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37B081D">
      <w:pPr>
        <w:pStyle w:val="17"/>
        <w:jc w:val="center"/>
        <w:rPr>
          <w:rFonts w:ascii="Times New Roman" w:hAnsi="Times New Roman" w:cs="Times New Roman"/>
          <w:sz w:val="56"/>
          <w:szCs w:val="56"/>
        </w:rPr>
      </w:pPr>
    </w:p>
    <w:p w14:paraId="7957AC67">
      <w:pPr>
        <w:pStyle w:val="17"/>
        <w:jc w:val="center"/>
        <w:rPr>
          <w:rFonts w:ascii="Times New Roman" w:hAnsi="Times New Roman" w:cs="Times New Roman"/>
          <w:sz w:val="84"/>
          <w:szCs w:val="84"/>
        </w:rPr>
      </w:pPr>
    </w:p>
    <w:p w14:paraId="13FDC825">
      <w:pPr>
        <w:pStyle w:val="17"/>
        <w:jc w:val="center"/>
        <w:rPr>
          <w:rFonts w:ascii="Times New Roman" w:hAnsi="Times New Roman" w:cs="Times New Roman"/>
          <w:sz w:val="84"/>
          <w:szCs w:val="84"/>
        </w:rPr>
      </w:pPr>
    </w:p>
    <w:p w14:paraId="535A1321">
      <w:pPr>
        <w:pStyle w:val="17"/>
        <w:jc w:val="center"/>
        <w:rPr>
          <w:rFonts w:ascii="Times New Roman" w:hAnsi="Times New Roman" w:eastAsia="方正小标宋简体" w:cs="Times New Roman"/>
          <w:sz w:val="72"/>
          <w:szCs w:val="72"/>
        </w:rPr>
      </w:pPr>
      <w:r>
        <w:rPr>
          <w:rFonts w:ascii="Times New Roman" w:hAnsi="Times New Roman" w:eastAsia="方正小标宋简体" w:cs="Times New Roman"/>
          <w:sz w:val="72"/>
          <w:szCs w:val="72"/>
        </w:rPr>
        <w:t>202</w:t>
      </w:r>
      <w:r>
        <w:rPr>
          <w:rFonts w:hint="eastAsia" w:ascii="Times New Roman" w:hAnsi="Times New Roman" w:eastAsia="方正小标宋简体" w:cs="Times New Roman"/>
          <w:sz w:val="72"/>
          <w:szCs w:val="72"/>
          <w:lang w:val="en-US" w:eastAsia="zh-CN"/>
        </w:rPr>
        <w:t>5</w:t>
      </w:r>
      <w:r>
        <w:rPr>
          <w:rFonts w:ascii="Times New Roman" w:hAnsi="Times New Roman" w:eastAsia="方正小标宋简体" w:cs="Times New Roman"/>
          <w:sz w:val="72"/>
          <w:szCs w:val="72"/>
        </w:rPr>
        <w:t>年度</w:t>
      </w:r>
    </w:p>
    <w:p w14:paraId="4A5E276F">
      <w:pPr>
        <w:pStyle w:val="17"/>
        <w:jc w:val="center"/>
        <w:rPr>
          <w:rFonts w:ascii="Times New Roman" w:hAnsi="Times New Roman" w:eastAsia="方正小标宋简体" w:cs="Times New Roman"/>
          <w:sz w:val="72"/>
          <w:szCs w:val="72"/>
        </w:rPr>
      </w:pPr>
      <w:r>
        <w:rPr>
          <w:rFonts w:hint="eastAsia" w:ascii="Times New Roman" w:hAnsi="Times New Roman" w:eastAsia="方正小标宋简体" w:cs="Times New Roman"/>
          <w:sz w:val="72"/>
          <w:szCs w:val="72"/>
        </w:rPr>
        <w:t>祁阳现代农业产业园区管理委员会</w:t>
      </w:r>
      <w:r>
        <w:rPr>
          <w:rFonts w:ascii="Times New Roman" w:hAnsi="Times New Roman" w:eastAsia="方正小标宋简体" w:cs="Times New Roman"/>
          <w:sz w:val="72"/>
          <w:szCs w:val="72"/>
        </w:rPr>
        <w:t>部门决算</w:t>
      </w:r>
    </w:p>
    <w:p w14:paraId="1A388118">
      <w:pPr>
        <w:pStyle w:val="17"/>
        <w:jc w:val="center"/>
        <w:rPr>
          <w:rFonts w:ascii="Times New Roman" w:hAnsi="Times New Roman" w:eastAsia="方正小标宋_GBK" w:cs="Times New Roman"/>
          <w:sz w:val="56"/>
          <w:szCs w:val="56"/>
        </w:rPr>
      </w:pPr>
    </w:p>
    <w:p w14:paraId="0C3436C9">
      <w:pPr>
        <w:pStyle w:val="17"/>
        <w:jc w:val="center"/>
        <w:rPr>
          <w:rFonts w:ascii="Times New Roman" w:hAnsi="Times New Roman" w:cs="Times New Roman"/>
          <w:sz w:val="56"/>
          <w:szCs w:val="56"/>
        </w:rPr>
      </w:pPr>
    </w:p>
    <w:p w14:paraId="32D76505">
      <w:pPr>
        <w:pStyle w:val="17"/>
        <w:rPr>
          <w:rFonts w:ascii="Times New Roman" w:hAnsi="Times New Roman" w:cs="Times New Roman"/>
          <w:sz w:val="56"/>
          <w:szCs w:val="56"/>
        </w:rPr>
      </w:pPr>
    </w:p>
    <w:p w14:paraId="006C4C13">
      <w:pPr>
        <w:pStyle w:val="17"/>
        <w:jc w:val="center"/>
        <w:rPr>
          <w:rFonts w:ascii="Times New Roman" w:hAnsi="Times New Roman" w:cs="Times New Roman"/>
          <w:sz w:val="32"/>
          <w:szCs w:val="32"/>
        </w:rPr>
      </w:pPr>
    </w:p>
    <w:p w14:paraId="5D36BA8A">
      <w:pPr>
        <w:pStyle w:val="17"/>
        <w:jc w:val="center"/>
        <w:rPr>
          <w:rFonts w:ascii="Times New Roman" w:hAnsi="Times New Roman" w:cs="Times New Roman"/>
          <w:sz w:val="32"/>
          <w:szCs w:val="32"/>
        </w:rPr>
      </w:pPr>
    </w:p>
    <w:p w14:paraId="1272D2BF">
      <w:pPr>
        <w:pStyle w:val="17"/>
        <w:jc w:val="center"/>
        <w:rPr>
          <w:rFonts w:ascii="Times New Roman" w:hAnsi="Times New Roman" w:cs="Times New Roman"/>
          <w:sz w:val="32"/>
          <w:szCs w:val="32"/>
        </w:rPr>
      </w:pPr>
    </w:p>
    <w:p w14:paraId="27DAB297">
      <w:pPr>
        <w:pStyle w:val="17"/>
        <w:jc w:val="center"/>
        <w:rPr>
          <w:rFonts w:ascii="Times New Roman" w:hAnsi="Times New Roman" w:cs="Times New Roman"/>
          <w:sz w:val="32"/>
          <w:szCs w:val="32"/>
        </w:rPr>
      </w:pPr>
    </w:p>
    <w:p w14:paraId="19F5830A">
      <w:pPr>
        <w:rPr>
          <w:rFonts w:ascii="Times New Roman" w:hAnsi="Times New Roman" w:cs="Times New Roman"/>
          <w:b/>
          <w:sz w:val="36"/>
          <w:szCs w:val="28"/>
        </w:rPr>
        <w:sectPr>
          <w:pgSz w:w="11906" w:h="16838"/>
          <w:pgMar w:top="1417" w:right="1588" w:bottom="1417" w:left="1588" w:header="851" w:footer="992" w:gutter="0"/>
          <w:cols w:space="425" w:num="1"/>
          <w:docGrid w:type="lines" w:linePitch="312" w:charSpace="0"/>
        </w:sectPr>
      </w:pPr>
    </w:p>
    <w:p w14:paraId="15B4945E">
      <w:pPr>
        <w:pStyle w:val="17"/>
        <w:spacing w:line="600" w:lineRule="exact"/>
        <w:jc w:val="both"/>
        <w:rPr>
          <w:rFonts w:ascii="Times New Roman" w:hAnsi="Times New Roman" w:cs="Times New Roman"/>
          <w:b/>
          <w:sz w:val="36"/>
          <w:szCs w:val="28"/>
        </w:rPr>
      </w:pPr>
    </w:p>
    <w:p w14:paraId="77387F00">
      <w:pPr>
        <w:pStyle w:val="17"/>
        <w:spacing w:line="600" w:lineRule="exact"/>
        <w:jc w:val="center"/>
        <w:rPr>
          <w:rFonts w:ascii="Times New Roman" w:hAnsi="Times New Roman" w:cs="Times New Roman"/>
          <w:bCs/>
          <w:sz w:val="36"/>
          <w:szCs w:val="28"/>
        </w:rPr>
      </w:pPr>
      <w:r>
        <w:rPr>
          <w:rFonts w:ascii="Times New Roman" w:hAnsi="Times New Roman" w:cs="Times New Roman"/>
          <w:bCs/>
          <w:sz w:val="36"/>
          <w:szCs w:val="28"/>
        </w:rPr>
        <w:t>目  录</w:t>
      </w:r>
    </w:p>
    <w:p w14:paraId="37962328">
      <w:pPr>
        <w:pStyle w:val="17"/>
        <w:spacing w:line="600" w:lineRule="exact"/>
        <w:jc w:val="center"/>
        <w:rPr>
          <w:rFonts w:ascii="Times New Roman" w:hAnsi="Times New Roman" w:cs="Times New Roman"/>
          <w:b/>
          <w:sz w:val="36"/>
          <w:szCs w:val="28"/>
        </w:rPr>
      </w:pPr>
    </w:p>
    <w:p w14:paraId="3C638513">
      <w:pPr>
        <w:pStyle w:val="17"/>
        <w:spacing w:after="156" w:afterLines="50" w:line="600" w:lineRule="exact"/>
        <w:rPr>
          <w:rFonts w:ascii="Times New Roman" w:hAnsi="Times New Roman" w:cs="Times New Roman"/>
          <w:bCs/>
          <w:sz w:val="32"/>
          <w:szCs w:val="32"/>
        </w:rPr>
      </w:pPr>
      <w:r>
        <w:rPr>
          <w:rFonts w:ascii="Times New Roman" w:hAnsi="Times New Roman" w:cs="Times New Roman"/>
          <w:bCs/>
          <w:sz w:val="32"/>
          <w:szCs w:val="32"/>
        </w:rPr>
        <w:t xml:space="preserve">第一部分 </w:t>
      </w:r>
      <w:r>
        <w:rPr>
          <w:rFonts w:hint="eastAsia" w:ascii="Times New Roman" w:hAnsi="Times New Roman" w:cs="Times New Roman"/>
          <w:bCs/>
          <w:sz w:val="32"/>
          <w:szCs w:val="32"/>
        </w:rPr>
        <w:t>祁阳现代农业产业园区管理委员会</w:t>
      </w:r>
      <w:r>
        <w:rPr>
          <w:rFonts w:ascii="Times New Roman" w:hAnsi="Times New Roman" w:cs="Times New Roman"/>
          <w:bCs/>
          <w:sz w:val="32"/>
          <w:szCs w:val="32"/>
        </w:rPr>
        <w:t>部门概况</w:t>
      </w:r>
    </w:p>
    <w:p w14:paraId="5E953CB7">
      <w:pPr>
        <w:pStyle w:val="17"/>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一、部门职责</w:t>
      </w:r>
    </w:p>
    <w:p w14:paraId="615B0A14">
      <w:pPr>
        <w:pStyle w:val="17"/>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二、机构设置及决算单位构成</w:t>
      </w:r>
    </w:p>
    <w:p w14:paraId="1553BF3D">
      <w:pPr>
        <w:pStyle w:val="17"/>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第二部分 部门决算表</w:t>
      </w:r>
    </w:p>
    <w:p w14:paraId="2A4FEB81">
      <w:pPr>
        <w:pStyle w:val="17"/>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一、收入支出决算总表</w:t>
      </w:r>
    </w:p>
    <w:p w14:paraId="35F7156C">
      <w:pPr>
        <w:pStyle w:val="17"/>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二、收入决算表</w:t>
      </w:r>
    </w:p>
    <w:p w14:paraId="3F223775">
      <w:pPr>
        <w:pStyle w:val="17"/>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三、支出决算表</w:t>
      </w:r>
    </w:p>
    <w:p w14:paraId="34C96B9A">
      <w:pPr>
        <w:pStyle w:val="17"/>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四、财政拨款收入支出决算总表</w:t>
      </w:r>
    </w:p>
    <w:p w14:paraId="63294955">
      <w:pPr>
        <w:pStyle w:val="17"/>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五、一般公共预算财政拨款支出决算表</w:t>
      </w:r>
    </w:p>
    <w:p w14:paraId="4C3AAD7A">
      <w:pPr>
        <w:pStyle w:val="17"/>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六、一般公共预算财政拨款基本支出决算明细表</w:t>
      </w:r>
    </w:p>
    <w:p w14:paraId="375DE25E">
      <w:pPr>
        <w:pStyle w:val="17"/>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七、政府性基金预算财政拨款收入支出决算表</w:t>
      </w:r>
    </w:p>
    <w:p w14:paraId="372B0467">
      <w:pPr>
        <w:pStyle w:val="17"/>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八、国有资本经营预算财政拨款支出决算表</w:t>
      </w:r>
    </w:p>
    <w:p w14:paraId="280F3BC4">
      <w:pPr>
        <w:pStyle w:val="17"/>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九、财政拨款“三公”经费支出决算表</w:t>
      </w:r>
    </w:p>
    <w:p w14:paraId="32D7488B">
      <w:pPr>
        <w:pStyle w:val="17"/>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第三部分 部门决算情况说明</w:t>
      </w:r>
    </w:p>
    <w:p w14:paraId="1669EA35">
      <w:pPr>
        <w:pStyle w:val="17"/>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一、收入支出决算总体情况说明</w:t>
      </w:r>
    </w:p>
    <w:p w14:paraId="2CEAEDDA">
      <w:pPr>
        <w:spacing w:line="600" w:lineRule="exact"/>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二、收入决算情况说明</w:t>
      </w:r>
    </w:p>
    <w:p w14:paraId="1923585A">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三、支出决算情况说明</w:t>
      </w:r>
    </w:p>
    <w:p w14:paraId="6AD9698E">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四、财政拨款收入支出决算总体情况说明</w:t>
      </w:r>
    </w:p>
    <w:p w14:paraId="4088C843">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五、一般公共预算财政拨款支出决算情况说明</w:t>
      </w:r>
    </w:p>
    <w:p w14:paraId="4B07833B">
      <w:pPr>
        <w:autoSpaceDE w:val="0"/>
        <w:autoSpaceDN w:val="0"/>
        <w:adjustRightInd w:val="0"/>
        <w:spacing w:line="600" w:lineRule="exact"/>
        <w:jc w:val="left"/>
        <w:rPr>
          <w:rFonts w:ascii="Times New Roman" w:hAnsi="Times New Roman" w:eastAsia="仿宋_GB2312" w:cs="Times New Roman"/>
          <w:color w:val="000000"/>
          <w:kern w:val="0"/>
          <w:sz w:val="32"/>
          <w:szCs w:val="32"/>
        </w:rPr>
        <w:sectPr>
          <w:footerReference r:id="rId3" w:type="default"/>
          <w:pgSz w:w="11906" w:h="16838"/>
          <w:pgMar w:top="1417" w:right="1588" w:bottom="1417" w:left="1588" w:header="851" w:footer="992" w:gutter="0"/>
          <w:pgNumType w:start="1"/>
          <w:cols w:space="425" w:num="1"/>
          <w:docGrid w:type="lines" w:linePitch="312" w:charSpace="0"/>
        </w:sectPr>
      </w:pPr>
    </w:p>
    <w:p w14:paraId="656AB3C8">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六、一般公共预算财政拨款基本支出决算情况说明</w:t>
      </w:r>
    </w:p>
    <w:p w14:paraId="35DE7792">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七、财政拨款“三公”经费支出决算情况说明</w:t>
      </w:r>
    </w:p>
    <w:p w14:paraId="40ABB4FE">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八、政府性基金预算收入支出决算情况</w:t>
      </w:r>
    </w:p>
    <w:p w14:paraId="79B2320A">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九、关于机关运行经费支出说明</w:t>
      </w:r>
    </w:p>
    <w:p w14:paraId="7A05B084">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十、一般性支出情况说明</w:t>
      </w:r>
    </w:p>
    <w:p w14:paraId="70B2C9F8">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十一、关于政府采购支出说明</w:t>
      </w:r>
    </w:p>
    <w:p w14:paraId="6772A64A">
      <w:pPr>
        <w:pStyle w:val="17"/>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十二、关于国有资产占用情况说明</w:t>
      </w:r>
    </w:p>
    <w:p w14:paraId="0C7D9B78">
      <w:pPr>
        <w:pStyle w:val="17"/>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十三、关于202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年度预算绩效管理情况的说明</w:t>
      </w:r>
    </w:p>
    <w:p w14:paraId="7B64C76E">
      <w:pPr>
        <w:pStyle w:val="17"/>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第四部分 名词解释</w:t>
      </w:r>
    </w:p>
    <w:p w14:paraId="4203EF57">
      <w:pPr>
        <w:pStyle w:val="17"/>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第五部分 附件</w:t>
      </w:r>
    </w:p>
    <w:p w14:paraId="1AC8E7E1">
      <w:pPr>
        <w:pStyle w:val="17"/>
        <w:spacing w:line="600" w:lineRule="exact"/>
        <w:rPr>
          <w:rFonts w:ascii="Times New Roman" w:hAnsi="Times New Roman" w:cs="Times New Roman"/>
          <w:bCs/>
          <w:sz w:val="28"/>
          <w:szCs w:val="28"/>
        </w:rPr>
      </w:pPr>
    </w:p>
    <w:p w14:paraId="3B7658AA">
      <w:pPr>
        <w:jc w:val="center"/>
        <w:rPr>
          <w:rFonts w:ascii="Times New Roman" w:hAnsi="Times New Roman" w:cs="Times New Roman"/>
          <w:sz w:val="72"/>
          <w:szCs w:val="72"/>
        </w:rPr>
      </w:pPr>
    </w:p>
    <w:p w14:paraId="46FB2DED">
      <w:pPr>
        <w:jc w:val="center"/>
        <w:rPr>
          <w:rFonts w:ascii="Times New Roman" w:hAnsi="Times New Roman" w:cs="Times New Roman"/>
          <w:sz w:val="72"/>
          <w:szCs w:val="72"/>
        </w:rPr>
      </w:pPr>
    </w:p>
    <w:p w14:paraId="36AFEB72">
      <w:pPr>
        <w:jc w:val="center"/>
        <w:rPr>
          <w:rFonts w:ascii="Times New Roman" w:hAnsi="Times New Roman" w:cs="Times New Roman"/>
          <w:sz w:val="72"/>
          <w:szCs w:val="72"/>
        </w:rPr>
      </w:pPr>
    </w:p>
    <w:p w14:paraId="4437EFBC">
      <w:pPr>
        <w:pStyle w:val="11"/>
        <w:rPr>
          <w:rFonts w:ascii="Times New Roman" w:hAnsi="Times New Roman" w:cs="Times New Roman"/>
        </w:rPr>
        <w:sectPr>
          <w:footerReference r:id="rId4" w:type="default"/>
          <w:pgSz w:w="11906" w:h="16838"/>
          <w:pgMar w:top="1417" w:right="1588" w:bottom="1417" w:left="1588" w:header="851" w:footer="992" w:gutter="0"/>
          <w:pgNumType w:start="1"/>
          <w:cols w:space="425" w:num="1"/>
          <w:docGrid w:type="lines" w:linePitch="312" w:charSpace="0"/>
        </w:sectPr>
      </w:pPr>
    </w:p>
    <w:p w14:paraId="6017E7F9">
      <w:pPr>
        <w:rPr>
          <w:rFonts w:ascii="Times New Roman" w:hAnsi="Times New Roman" w:eastAsia="方正小标宋_GBK" w:cs="Times New Roman"/>
          <w:sz w:val="72"/>
          <w:szCs w:val="72"/>
        </w:rPr>
      </w:pPr>
    </w:p>
    <w:p w14:paraId="21F81574">
      <w:pPr>
        <w:pStyle w:val="17"/>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第一部分</w:t>
      </w:r>
    </w:p>
    <w:p w14:paraId="6476EB31">
      <w:pPr>
        <w:pStyle w:val="17"/>
        <w:spacing w:line="360" w:lineRule="auto"/>
        <w:jc w:val="center"/>
        <w:rPr>
          <w:rFonts w:ascii="Times New Roman" w:hAnsi="Times New Roman" w:eastAsia="方正小标宋_GBK" w:cs="Times New Roman"/>
          <w:sz w:val="52"/>
          <w:szCs w:val="52"/>
        </w:rPr>
      </w:pPr>
      <w:r>
        <w:rPr>
          <w:rFonts w:hint="eastAsia" w:ascii="Times New Roman" w:hAnsi="Times New Roman" w:eastAsia="方正小标宋_GBK" w:cs="Times New Roman"/>
          <w:sz w:val="52"/>
          <w:szCs w:val="52"/>
        </w:rPr>
        <w:t>祁阳现代农业产业园区管理委员会</w:t>
      </w:r>
    </w:p>
    <w:p w14:paraId="06B4F1BF">
      <w:pPr>
        <w:pStyle w:val="17"/>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概况</w:t>
      </w:r>
    </w:p>
    <w:p w14:paraId="51EF72C0">
      <w:pPr>
        <w:pStyle w:val="2"/>
        <w:ind w:left="0" w:leftChars="0" w:firstLine="0" w:firstLineChars="0"/>
        <w:rPr>
          <w:rFonts w:ascii="Times New Roman" w:hAnsi="Times New Roman" w:cs="Times New Roman"/>
        </w:rPr>
      </w:pPr>
    </w:p>
    <w:p w14:paraId="34F29E38">
      <w:pPr>
        <w:pStyle w:val="18"/>
        <w:spacing w:line="600" w:lineRule="exact"/>
        <w:ind w:firstLine="0" w:firstLineChars="0"/>
        <w:jc w:val="left"/>
        <w:rPr>
          <w:rFonts w:ascii="Times New Roman" w:hAnsi="Times New Roman" w:eastAsia="黑体" w:cs="Times New Roman"/>
          <w:sz w:val="32"/>
          <w:szCs w:val="32"/>
        </w:rPr>
      </w:pPr>
      <w:r>
        <w:rPr>
          <w:rFonts w:hint="eastAsia" w:ascii="Times New Roman" w:hAnsi="Times New Roman" w:eastAsia="黑体" w:cs="Times New Roman"/>
          <w:sz w:val="32"/>
          <w:szCs w:val="32"/>
        </w:rPr>
        <w:t>一、</w:t>
      </w:r>
      <w:r>
        <w:rPr>
          <w:rFonts w:ascii="Times New Roman" w:hAnsi="Times New Roman" w:eastAsia="黑体" w:cs="Times New Roman"/>
          <w:sz w:val="32"/>
          <w:szCs w:val="32"/>
        </w:rPr>
        <w:t>部门职责</w:t>
      </w:r>
    </w:p>
    <w:p w14:paraId="66476C1F">
      <w:pPr>
        <w:widowControl/>
        <w:spacing w:line="560" w:lineRule="exact"/>
        <w:ind w:firstLine="640" w:firstLineChars="200"/>
        <w:rPr>
          <w:rFonts w:hint="eastAsia" w:ascii="仿宋_GB2312" w:hAnsi="仿宋_GB2312" w:eastAsia="仿宋_GB2312" w:cs="仿宋_GB2312"/>
          <w:bCs/>
          <w:sz w:val="32"/>
          <w:szCs w:val="32"/>
        </w:rPr>
      </w:pPr>
      <w:r>
        <w:rPr>
          <w:rFonts w:ascii="Times New Roman" w:hAnsi="Times New Roman" w:eastAsia="仿宋_GB2312" w:cs="Times New Roman"/>
          <w:sz w:val="32"/>
          <w:szCs w:val="32"/>
        </w:rPr>
        <w:t>（一）</w:t>
      </w:r>
      <w:r>
        <w:rPr>
          <w:rFonts w:hint="eastAsia" w:ascii="仿宋_GB2312" w:hAnsi="仿宋_GB2312" w:eastAsia="仿宋_GB2312" w:cs="仿宋_GB2312"/>
          <w:bCs/>
          <w:sz w:val="32"/>
          <w:szCs w:val="32"/>
        </w:rPr>
        <w:t>负责国家、省、永州市有关农业园区发展的法律、 法规和政策的贯彻实施,落实市委、市人民政府的重要决策和工作部署。根据全市国民经济和社会发展规划、土地利用总体规划,负责编制园区中长期发展规划和年度计划,经批准后组织实施。</w:t>
      </w:r>
    </w:p>
    <w:p w14:paraId="402300E4">
      <w:pPr>
        <w:pStyle w:val="6"/>
        <w:spacing w:line="560" w:lineRule="exact"/>
        <w:ind w:firstLine="640" w:firstLineChars="200"/>
        <w:rPr>
          <w:rFonts w:hint="eastAsia" w:ascii="仿宋_GB2312" w:hAnsi="仿宋_GB2312" w:eastAsia="仿宋_GB2312" w:cs="仿宋_GB2312"/>
          <w:bCs/>
          <w:sz w:val="32"/>
          <w:szCs w:val="32"/>
        </w:rPr>
      </w:pPr>
      <w:r>
        <w:rPr>
          <w:rFonts w:hint="eastAsia" w:ascii="仿宋_GB2312" w:hAnsi="仿宋_GB2312" w:eastAsia="仿宋_GB2312" w:cs="仿宋_GB2312"/>
          <w:bCs/>
          <w:sz w:val="32"/>
          <w:szCs w:val="32"/>
        </w:rPr>
        <w:t>(二)负责农业科技成果、先进实用技术的引进、示范、创新和推广,推进优质农产品标准化和产业化建设。</w:t>
      </w:r>
    </w:p>
    <w:p w14:paraId="29B298C8">
      <w:pPr>
        <w:pStyle w:val="6"/>
        <w:spacing w:line="560" w:lineRule="exact"/>
        <w:ind w:firstLine="640" w:firstLineChars="200"/>
        <w:rPr>
          <w:rFonts w:hint="eastAsia" w:ascii="仿宋_GB2312" w:hAnsi="仿宋_GB2312" w:eastAsia="仿宋_GB2312" w:cs="仿宋_GB2312"/>
          <w:bCs/>
          <w:sz w:val="32"/>
          <w:szCs w:val="32"/>
        </w:rPr>
      </w:pPr>
      <w:r>
        <w:rPr>
          <w:rFonts w:hint="eastAsia" w:ascii="仿宋_GB2312" w:hAnsi="仿宋_GB2312" w:eastAsia="仿宋_GB2312" w:cs="仿宋_GB2312"/>
          <w:bCs/>
          <w:sz w:val="32"/>
          <w:szCs w:val="32"/>
        </w:rPr>
        <w:t>(三)负责组织园区各类项目申报、实施和组织协调相关部门对园区农业企业成果鉴定、验收和管理。</w:t>
      </w:r>
    </w:p>
    <w:p w14:paraId="70681DB7">
      <w:pPr>
        <w:pStyle w:val="6"/>
        <w:spacing w:line="560" w:lineRule="exact"/>
        <w:ind w:firstLine="640" w:firstLineChars="200"/>
        <w:rPr>
          <w:rFonts w:hint="eastAsia" w:ascii="仿宋_GB2312" w:hAnsi="仿宋_GB2312" w:eastAsia="仿宋_GB2312" w:cs="仿宋_GB2312"/>
          <w:bCs/>
          <w:sz w:val="32"/>
          <w:szCs w:val="32"/>
        </w:rPr>
      </w:pPr>
      <w:r>
        <w:rPr>
          <w:rFonts w:hint="eastAsia" w:ascii="仿宋_GB2312" w:hAnsi="仿宋_GB2312" w:eastAsia="仿宋_GB2312" w:cs="仿宋_GB2312"/>
          <w:bCs/>
          <w:sz w:val="32"/>
          <w:szCs w:val="32"/>
        </w:rPr>
        <w:t>(四)负责园区基础设施规划、建设和管理;负责园区内有关农业产业景区的管理和服务工作。</w:t>
      </w:r>
    </w:p>
    <w:p w14:paraId="40F98858">
      <w:pPr>
        <w:pStyle w:val="6"/>
        <w:spacing w:line="560" w:lineRule="exact"/>
        <w:ind w:firstLine="640" w:firstLineChars="200"/>
        <w:rPr>
          <w:rFonts w:hint="eastAsia" w:ascii="仿宋_GB2312" w:hAnsi="仿宋_GB2312" w:eastAsia="仿宋_GB2312" w:cs="仿宋_GB2312"/>
          <w:bCs/>
          <w:sz w:val="32"/>
          <w:szCs w:val="32"/>
        </w:rPr>
      </w:pPr>
      <w:r>
        <w:rPr>
          <w:rFonts w:hint="eastAsia" w:ascii="仿宋_GB2312" w:hAnsi="仿宋_GB2312" w:eastAsia="仿宋_GB2312" w:cs="仿宋_GB2312"/>
          <w:bCs/>
          <w:sz w:val="32"/>
          <w:szCs w:val="32"/>
        </w:rPr>
        <w:t>(五)负责园区建设和招商引资工作。</w:t>
      </w:r>
    </w:p>
    <w:p w14:paraId="22F43591">
      <w:pPr>
        <w:pStyle w:val="6"/>
        <w:spacing w:line="560" w:lineRule="exact"/>
        <w:ind w:firstLine="640" w:firstLineChars="200"/>
        <w:rPr>
          <w:rFonts w:hint="eastAsia" w:ascii="仿宋_GB2312" w:hAnsi="仿宋_GB2312" w:eastAsia="仿宋_GB2312" w:cs="仿宋_GB2312"/>
          <w:bCs/>
          <w:sz w:val="32"/>
          <w:szCs w:val="32"/>
        </w:rPr>
      </w:pPr>
      <w:r>
        <w:rPr>
          <w:rFonts w:hint="eastAsia" w:ascii="仿宋_GB2312" w:hAnsi="仿宋_GB2312" w:eastAsia="仿宋_GB2312" w:cs="仿宋_GB2312"/>
          <w:bCs/>
          <w:sz w:val="32"/>
          <w:szCs w:val="32"/>
        </w:rPr>
        <w:t>(六)负责园区与各类科研机构(院校)开展合作交流, 加强各类专业技术人才的引进、培训、培养和合作。</w:t>
      </w:r>
    </w:p>
    <w:p w14:paraId="3D80D7B1">
      <w:pPr>
        <w:pStyle w:val="6"/>
        <w:spacing w:line="560" w:lineRule="exact"/>
        <w:ind w:firstLine="640" w:firstLineChars="200"/>
        <w:rPr>
          <w:rFonts w:hint="eastAsia" w:ascii="仿宋_GB2312" w:hAnsi="仿宋_GB2312" w:eastAsia="仿宋_GB2312" w:cs="仿宋_GB2312"/>
          <w:bCs/>
          <w:sz w:val="32"/>
          <w:szCs w:val="32"/>
        </w:rPr>
      </w:pPr>
      <w:r>
        <w:rPr>
          <w:rFonts w:hint="eastAsia" w:ascii="仿宋_GB2312" w:hAnsi="仿宋_GB2312" w:eastAsia="仿宋_GB2312" w:cs="仿宋_GB2312"/>
          <w:bCs/>
          <w:sz w:val="32"/>
          <w:szCs w:val="32"/>
        </w:rPr>
        <w:t>(七)负责园区党务、群团、人事、人才、统计、审计、 财务、国有资产管理、人力资源和社会保障、社会管理综合治理、安全生产监督、环境卫生等工作。</w:t>
      </w:r>
    </w:p>
    <w:p w14:paraId="38E7359B">
      <w:pPr>
        <w:pStyle w:val="6"/>
        <w:spacing w:line="560" w:lineRule="exact"/>
        <w:ind w:firstLine="640" w:firstLineChars="200"/>
        <w:rPr>
          <w:rFonts w:ascii="Times New Roman" w:hAnsi="Times New Roman" w:eastAsia="仿宋_GB2312" w:cs="Times New Roman"/>
          <w:sz w:val="32"/>
          <w:szCs w:val="32"/>
        </w:rPr>
      </w:pPr>
      <w:r>
        <w:rPr>
          <w:rFonts w:hint="eastAsia" w:ascii="仿宋_GB2312" w:hAnsi="仿宋_GB2312" w:eastAsia="仿宋_GB2312" w:cs="仿宋_GB2312"/>
          <w:bCs/>
          <w:sz w:val="32"/>
          <w:szCs w:val="32"/>
        </w:rPr>
        <w:t>（八）承办市委、市人民政府交办的其他事项。</w:t>
      </w:r>
    </w:p>
    <w:p w14:paraId="7A313A79">
      <w:pPr>
        <w:widowControl/>
        <w:spacing w:line="600" w:lineRule="exact"/>
        <w:rPr>
          <w:rFonts w:ascii="Times New Roman" w:hAnsi="Times New Roman" w:eastAsia="黑体" w:cs="Times New Roman"/>
          <w:bCs/>
          <w:kern w:val="0"/>
          <w:sz w:val="32"/>
          <w:szCs w:val="32"/>
        </w:rPr>
      </w:pPr>
      <w:r>
        <w:rPr>
          <w:rFonts w:ascii="Times New Roman" w:hAnsi="Times New Roman" w:eastAsia="黑体" w:cs="Times New Roman"/>
          <w:bCs/>
          <w:kern w:val="0"/>
          <w:sz w:val="32"/>
          <w:szCs w:val="32"/>
        </w:rPr>
        <w:t>二、机构设置及决算单位构成</w:t>
      </w:r>
    </w:p>
    <w:p w14:paraId="2AD01C1A">
      <w:pPr>
        <w:widowControl/>
        <w:spacing w:line="560" w:lineRule="exact"/>
        <w:ind w:firstLine="640" w:firstLineChars="200"/>
        <w:rPr>
          <w:rFonts w:ascii="Times New Roman" w:hAnsi="Times New Roman" w:eastAsia="楷体_GB2312" w:cs="Times New Roman"/>
          <w:b/>
          <w:bCs/>
          <w:sz w:val="32"/>
          <w:szCs w:val="32"/>
        </w:rPr>
      </w:pPr>
      <w:r>
        <w:rPr>
          <w:rFonts w:ascii="Times New Roman" w:hAnsi="Times New Roman" w:eastAsia="仿宋_GB2312" w:cs="Times New Roman"/>
          <w:bCs/>
          <w:kern w:val="0"/>
          <w:sz w:val="32"/>
          <w:szCs w:val="32"/>
        </w:rPr>
        <w:t>（一）内设机构设置。</w:t>
      </w:r>
      <w:r>
        <w:rPr>
          <w:rFonts w:hint="eastAsia" w:eastAsia="仿宋_GB2312"/>
          <w:sz w:val="32"/>
          <w:szCs w:val="32"/>
        </w:rPr>
        <w:t>祁阳现代农业产业园区管理委员会</w:t>
      </w:r>
      <w:r>
        <w:rPr>
          <w:rFonts w:ascii="Times New Roman" w:hAnsi="Times New Roman" w:eastAsia="仿宋_GB2312" w:cs="Times New Roman"/>
          <w:bCs/>
          <w:kern w:val="0"/>
          <w:sz w:val="32"/>
          <w:szCs w:val="32"/>
        </w:rPr>
        <w:t>内设机构包括：</w:t>
      </w:r>
      <w:r>
        <w:rPr>
          <w:rFonts w:hint="eastAsia" w:ascii="Times New Roman" w:hAnsi="Times New Roman" w:eastAsia="仿宋_GB2312" w:cs="Times New Roman"/>
          <w:bCs/>
          <w:kern w:val="0"/>
          <w:sz w:val="32"/>
          <w:szCs w:val="32"/>
          <w:lang w:eastAsia="zh-CN"/>
        </w:rPr>
        <w:t>综合办公室</w:t>
      </w:r>
      <w:r>
        <w:rPr>
          <w:rFonts w:hint="eastAsia" w:ascii="仿宋_GB2312" w:hAnsi="仿宋_GB2312" w:eastAsia="仿宋_GB2312" w:cs="仿宋_GB2312"/>
          <w:bCs/>
          <w:sz w:val="32"/>
          <w:szCs w:val="32"/>
        </w:rPr>
        <w:t>、计划财务</w:t>
      </w:r>
      <w:r>
        <w:rPr>
          <w:rFonts w:hint="eastAsia" w:ascii="仿宋_GB2312" w:hAnsi="仿宋_GB2312" w:eastAsia="仿宋_GB2312" w:cs="仿宋_GB2312"/>
          <w:bCs/>
          <w:sz w:val="32"/>
          <w:szCs w:val="32"/>
          <w:lang w:eastAsia="zh-CN"/>
        </w:rPr>
        <w:t>股</w:t>
      </w:r>
      <w:r>
        <w:rPr>
          <w:rFonts w:hint="eastAsia" w:ascii="仿宋_GB2312" w:hAnsi="仿宋_GB2312" w:eastAsia="仿宋_GB2312" w:cs="仿宋_GB2312"/>
          <w:bCs/>
          <w:sz w:val="32"/>
          <w:szCs w:val="32"/>
        </w:rPr>
        <w:t>、项目建设管理</w:t>
      </w:r>
      <w:r>
        <w:rPr>
          <w:rFonts w:hint="eastAsia" w:ascii="仿宋_GB2312" w:hAnsi="仿宋_GB2312" w:eastAsia="仿宋_GB2312" w:cs="仿宋_GB2312"/>
          <w:bCs/>
          <w:sz w:val="32"/>
          <w:szCs w:val="32"/>
          <w:lang w:eastAsia="zh-CN"/>
        </w:rPr>
        <w:t>股</w:t>
      </w:r>
      <w:r>
        <w:rPr>
          <w:rFonts w:hint="eastAsia" w:ascii="仿宋_GB2312" w:hAnsi="仿宋_GB2312" w:eastAsia="仿宋_GB2312" w:cs="仿宋_GB2312"/>
          <w:bCs/>
          <w:sz w:val="32"/>
          <w:szCs w:val="32"/>
        </w:rPr>
        <w:t>(农业科技开发</w:t>
      </w:r>
      <w:r>
        <w:rPr>
          <w:rFonts w:hint="eastAsia" w:ascii="仿宋_GB2312" w:hAnsi="仿宋_GB2312" w:eastAsia="仿宋_GB2312" w:cs="仿宋_GB2312"/>
          <w:bCs/>
          <w:sz w:val="32"/>
          <w:szCs w:val="32"/>
          <w:lang w:eastAsia="zh-CN"/>
        </w:rPr>
        <w:t>股</w:t>
      </w:r>
      <w:r>
        <w:rPr>
          <w:rFonts w:hint="eastAsia" w:ascii="仿宋_GB2312" w:hAnsi="仿宋_GB2312" w:eastAsia="仿宋_GB2312" w:cs="仿宋_GB2312"/>
          <w:bCs/>
          <w:sz w:val="32"/>
          <w:szCs w:val="32"/>
        </w:rPr>
        <w:t>)、景区管理服务</w:t>
      </w:r>
      <w:r>
        <w:rPr>
          <w:rFonts w:hint="eastAsia" w:ascii="仿宋_GB2312" w:hAnsi="仿宋_GB2312" w:eastAsia="仿宋_GB2312" w:cs="仿宋_GB2312"/>
          <w:bCs/>
          <w:sz w:val="32"/>
          <w:szCs w:val="32"/>
          <w:lang w:eastAsia="zh-CN"/>
        </w:rPr>
        <w:t>股</w:t>
      </w:r>
      <w:r>
        <w:rPr>
          <w:rFonts w:hint="eastAsia" w:ascii="仿宋_GB2312" w:hAnsi="仿宋_GB2312" w:eastAsia="仿宋_GB2312" w:cs="仿宋_GB2312"/>
          <w:bCs/>
          <w:sz w:val="32"/>
          <w:szCs w:val="32"/>
        </w:rPr>
        <w:t>、产业发展</w:t>
      </w:r>
      <w:r>
        <w:rPr>
          <w:rFonts w:hint="eastAsia" w:ascii="仿宋_GB2312" w:hAnsi="仿宋_GB2312" w:eastAsia="仿宋_GB2312" w:cs="仿宋_GB2312"/>
          <w:bCs/>
          <w:sz w:val="32"/>
          <w:szCs w:val="32"/>
          <w:lang w:eastAsia="zh-CN"/>
        </w:rPr>
        <w:t>股</w:t>
      </w:r>
      <w:r>
        <w:rPr>
          <w:rFonts w:hint="eastAsia" w:ascii="仿宋_GB2312" w:hAnsi="仿宋_GB2312" w:eastAsia="仿宋_GB2312" w:cs="仿宋_GB2312"/>
          <w:bCs/>
          <w:sz w:val="32"/>
          <w:szCs w:val="32"/>
        </w:rPr>
        <w:t>(招商合作</w:t>
      </w:r>
      <w:r>
        <w:rPr>
          <w:rFonts w:hint="eastAsia" w:ascii="仿宋_GB2312" w:hAnsi="仿宋_GB2312" w:eastAsia="仿宋_GB2312" w:cs="仿宋_GB2312"/>
          <w:bCs/>
          <w:sz w:val="32"/>
          <w:szCs w:val="32"/>
          <w:lang w:eastAsia="zh-CN"/>
        </w:rPr>
        <w:t>股</w:t>
      </w:r>
      <w:r>
        <w:rPr>
          <w:rFonts w:hint="eastAsia" w:ascii="仿宋_GB2312" w:hAnsi="仿宋_GB2312" w:eastAsia="仿宋_GB2312" w:cs="仿宋_GB2312"/>
          <w:bCs/>
          <w:sz w:val="32"/>
          <w:szCs w:val="32"/>
        </w:rPr>
        <w:t>)</w:t>
      </w:r>
      <w:r>
        <w:rPr>
          <w:rFonts w:hint="eastAsia" w:ascii="仿宋_GB2312" w:hAnsi="仿宋_GB2312" w:eastAsia="仿宋_GB2312" w:cs="仿宋_GB2312"/>
          <w:bCs/>
          <w:sz w:val="32"/>
          <w:szCs w:val="32"/>
          <w:lang w:eastAsia="zh-CN"/>
        </w:rPr>
        <w:t>、</w:t>
      </w:r>
      <w:r>
        <w:rPr>
          <w:rFonts w:hint="eastAsia" w:ascii="仿宋_GB2312" w:hAnsi="仿宋_GB2312" w:eastAsia="仿宋_GB2312" w:cs="仿宋_GB2312"/>
          <w:bCs/>
          <w:sz w:val="32"/>
          <w:szCs w:val="32"/>
        </w:rPr>
        <w:t>农村工作</w:t>
      </w:r>
      <w:r>
        <w:rPr>
          <w:rFonts w:hint="eastAsia" w:ascii="仿宋_GB2312" w:hAnsi="仿宋_GB2312" w:eastAsia="仿宋_GB2312" w:cs="仿宋_GB2312"/>
          <w:bCs/>
          <w:sz w:val="32"/>
          <w:szCs w:val="32"/>
          <w:lang w:eastAsia="zh-CN"/>
        </w:rPr>
        <w:t>股</w:t>
      </w:r>
      <w:r>
        <w:rPr>
          <w:rFonts w:hint="eastAsia" w:ascii="仿宋_GB2312" w:hAnsi="仿宋_GB2312" w:eastAsia="仿宋_GB2312" w:cs="仿宋_GB2312"/>
          <w:bCs/>
          <w:sz w:val="32"/>
          <w:szCs w:val="32"/>
        </w:rPr>
        <w:t>。</w:t>
      </w:r>
    </w:p>
    <w:p w14:paraId="32738A09">
      <w:pPr>
        <w:widowControl/>
        <w:spacing w:line="600" w:lineRule="exact"/>
        <w:ind w:firstLine="640" w:firstLineChars="200"/>
        <w:rPr>
          <w:rFonts w:ascii="Times New Roman" w:hAnsi="Times New Roman" w:eastAsia="仿宋_GB2312" w:cs="Times New Roman"/>
          <w:bCs/>
          <w:kern w:val="0"/>
          <w:sz w:val="32"/>
          <w:szCs w:val="32"/>
        </w:rPr>
      </w:pPr>
      <w:r>
        <w:rPr>
          <w:rFonts w:ascii="Times New Roman" w:hAnsi="Times New Roman" w:eastAsia="仿宋_GB2312" w:cs="Times New Roman"/>
          <w:bCs/>
          <w:kern w:val="0"/>
          <w:sz w:val="32"/>
          <w:szCs w:val="32"/>
        </w:rPr>
        <w:t>（二）决算单位构成。</w:t>
      </w:r>
      <w:r>
        <w:rPr>
          <w:rFonts w:hint="eastAsia" w:eastAsia="仿宋_GB2312"/>
          <w:sz w:val="32"/>
          <w:szCs w:val="32"/>
        </w:rPr>
        <w:t>祁阳现代农业产业园区管理委员会</w:t>
      </w:r>
      <w:r>
        <w:rPr>
          <w:rFonts w:ascii="Times New Roman" w:hAnsi="Times New Roman" w:eastAsia="仿宋_GB2312" w:cs="Times New Roman"/>
          <w:bCs/>
          <w:kern w:val="0"/>
          <w:sz w:val="32"/>
          <w:szCs w:val="32"/>
        </w:rPr>
        <w:t>202</w:t>
      </w:r>
      <w:r>
        <w:rPr>
          <w:rFonts w:hint="eastAsia" w:ascii="Times New Roman" w:hAnsi="Times New Roman" w:eastAsia="仿宋_GB2312" w:cs="Times New Roman"/>
          <w:bCs/>
          <w:kern w:val="0"/>
          <w:sz w:val="32"/>
          <w:szCs w:val="32"/>
          <w:lang w:val="en-US" w:eastAsia="zh-CN"/>
        </w:rPr>
        <w:t>5</w:t>
      </w:r>
      <w:r>
        <w:rPr>
          <w:rFonts w:ascii="Times New Roman" w:hAnsi="Times New Roman" w:eastAsia="仿宋_GB2312" w:cs="Times New Roman"/>
          <w:bCs/>
          <w:kern w:val="0"/>
          <w:sz w:val="32"/>
          <w:szCs w:val="32"/>
        </w:rPr>
        <w:t>年部门决算汇总公开单位构成包括：</w:t>
      </w:r>
      <w:r>
        <w:rPr>
          <w:rFonts w:hint="eastAsia" w:eastAsia="仿宋_GB2312"/>
          <w:sz w:val="32"/>
          <w:szCs w:val="32"/>
        </w:rPr>
        <w:t>祁阳现代农业产业园区管理委员会</w:t>
      </w:r>
      <w:r>
        <w:rPr>
          <w:rFonts w:ascii="Times New Roman" w:hAnsi="Times New Roman" w:eastAsia="仿宋_GB2312" w:cs="Times New Roman"/>
          <w:bCs/>
          <w:kern w:val="0"/>
          <w:sz w:val="32"/>
          <w:szCs w:val="32"/>
        </w:rPr>
        <w:t>本级</w:t>
      </w:r>
      <w:r>
        <w:rPr>
          <w:rFonts w:hint="eastAsia" w:ascii="Times New Roman" w:hAnsi="Times New Roman" w:eastAsia="仿宋_GB2312" w:cs="Times New Roman"/>
          <w:bCs/>
          <w:kern w:val="0"/>
          <w:sz w:val="32"/>
          <w:szCs w:val="32"/>
        </w:rPr>
        <w:t>。</w:t>
      </w:r>
    </w:p>
    <w:p w14:paraId="651856F1">
      <w:pPr>
        <w:jc w:val="left"/>
        <w:rPr>
          <w:rFonts w:ascii="Times New Roman" w:hAnsi="Times New Roman" w:eastAsia="仿宋_GB2312" w:cs="Times New Roman"/>
          <w:sz w:val="28"/>
          <w:szCs w:val="32"/>
        </w:rPr>
      </w:pPr>
    </w:p>
    <w:p w14:paraId="62FCFC49">
      <w:pPr>
        <w:jc w:val="center"/>
        <w:rPr>
          <w:rFonts w:ascii="Times New Roman" w:hAnsi="Times New Roman" w:eastAsia="黑体" w:cs="Times New Roman"/>
          <w:sz w:val="28"/>
          <w:szCs w:val="28"/>
        </w:rPr>
      </w:pPr>
    </w:p>
    <w:p w14:paraId="05352B46">
      <w:pPr>
        <w:jc w:val="center"/>
        <w:rPr>
          <w:rFonts w:ascii="Times New Roman" w:hAnsi="Times New Roman" w:eastAsia="黑体" w:cs="Times New Roman"/>
          <w:sz w:val="28"/>
          <w:szCs w:val="28"/>
        </w:rPr>
      </w:pPr>
    </w:p>
    <w:p w14:paraId="1D8E0D4F">
      <w:pPr>
        <w:jc w:val="center"/>
        <w:rPr>
          <w:rFonts w:ascii="Times New Roman" w:hAnsi="Times New Roman" w:eastAsia="黑体" w:cs="Times New Roman"/>
          <w:sz w:val="28"/>
          <w:szCs w:val="28"/>
        </w:rPr>
      </w:pPr>
    </w:p>
    <w:p w14:paraId="3F0E59E1">
      <w:pPr>
        <w:jc w:val="center"/>
        <w:rPr>
          <w:rFonts w:ascii="Times New Roman" w:hAnsi="Times New Roman" w:eastAsia="黑体" w:cs="Times New Roman"/>
          <w:sz w:val="28"/>
          <w:szCs w:val="28"/>
        </w:rPr>
      </w:pPr>
    </w:p>
    <w:p w14:paraId="4829F9C2">
      <w:pPr>
        <w:jc w:val="center"/>
        <w:rPr>
          <w:rFonts w:ascii="Times New Roman" w:hAnsi="Times New Roman" w:eastAsia="黑体" w:cs="Times New Roman"/>
          <w:sz w:val="28"/>
          <w:szCs w:val="28"/>
        </w:rPr>
      </w:pPr>
    </w:p>
    <w:p w14:paraId="642E879A">
      <w:pPr>
        <w:pStyle w:val="11"/>
        <w:rPr>
          <w:rFonts w:ascii="Times New Roman" w:hAnsi="Times New Roman" w:cs="Times New Roman"/>
        </w:rPr>
        <w:sectPr>
          <w:footerReference r:id="rId5" w:type="default"/>
          <w:pgSz w:w="11906" w:h="16838"/>
          <w:pgMar w:top="1417" w:right="1588" w:bottom="1417" w:left="1588" w:header="851" w:footer="992" w:gutter="0"/>
          <w:pgNumType w:start="1"/>
          <w:cols w:space="425" w:num="1"/>
          <w:docGrid w:type="lines" w:linePitch="312" w:charSpace="0"/>
        </w:sectPr>
      </w:pPr>
    </w:p>
    <w:p w14:paraId="1EBA0C00">
      <w:pPr>
        <w:pStyle w:val="17"/>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第二部分    部门决算表</w:t>
      </w:r>
    </w:p>
    <w:p w14:paraId="6B7DE49F">
      <w:pPr>
        <w:widowControl/>
        <w:spacing w:after="156" w:afterLines="50"/>
        <w:jc w:val="center"/>
        <w:textAlignment w:val="center"/>
        <w:rPr>
          <w:rFonts w:ascii="Times New Roman" w:hAnsi="Times New Roman" w:eastAsia="黑体" w:cs="Times New Roman"/>
          <w:color w:val="000000"/>
          <w:sz w:val="36"/>
          <w:szCs w:val="36"/>
        </w:rPr>
      </w:pPr>
      <w:r>
        <w:rPr>
          <w:rFonts w:ascii="Times New Roman" w:hAnsi="Times New Roman" w:eastAsia="黑体" w:cs="Times New Roman"/>
          <w:color w:val="000000"/>
          <w:kern w:val="0"/>
          <w:sz w:val="36"/>
          <w:szCs w:val="36"/>
          <w:lang w:bidi="ar"/>
        </w:rPr>
        <w:t>收入支出决算总表</w:t>
      </w:r>
    </w:p>
    <w:p w14:paraId="2855B9EC">
      <w:pPr>
        <w:widowControl/>
        <w:tabs>
          <w:tab w:val="left" w:pos="4442"/>
          <w:tab w:val="left" w:pos="5045"/>
          <w:tab w:val="left" w:pos="6444"/>
          <w:tab w:val="left" w:pos="11477"/>
          <w:tab w:val="left" w:pos="13102"/>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kern w:val="0"/>
          <w:sz w:val="20"/>
          <w:szCs w:val="20"/>
          <w:lang w:bidi="ar"/>
        </w:rPr>
        <w:t>公开01表</w:t>
      </w:r>
    </w:p>
    <w:p w14:paraId="486CB515">
      <w:pPr>
        <w:widowControl/>
        <w:tabs>
          <w:tab w:val="left" w:pos="4442"/>
          <w:tab w:val="left" w:pos="5045"/>
          <w:tab w:val="left" w:pos="6444"/>
          <w:tab w:val="left" w:pos="11477"/>
          <w:tab w:val="left" w:pos="13102"/>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部门：</w:t>
      </w:r>
      <w:r>
        <w:rPr>
          <w:rFonts w:hint="eastAsia" w:ascii="Times New Roman" w:hAnsi="Times New Roman" w:eastAsia="仿宋_GB2312" w:cs="Times New Roman"/>
          <w:color w:val="000000"/>
          <w:kern w:val="0"/>
          <w:sz w:val="20"/>
          <w:szCs w:val="20"/>
          <w:lang w:bidi="ar"/>
        </w:rPr>
        <w:t>祁阳现代农业产业园区管理委员会</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kern w:val="0"/>
          <w:sz w:val="20"/>
          <w:szCs w:val="20"/>
          <w:lang w:bidi="ar"/>
        </w:rPr>
        <w:t>单位：万元</w:t>
      </w:r>
    </w:p>
    <w:tbl>
      <w:tblPr>
        <w:tblStyle w:val="13"/>
        <w:tblW w:w="14896" w:type="dxa"/>
        <w:jc w:val="center"/>
        <w:tblLayout w:type="autofit"/>
        <w:tblCellMar>
          <w:top w:w="0" w:type="dxa"/>
          <w:left w:w="108" w:type="dxa"/>
          <w:bottom w:w="0" w:type="dxa"/>
          <w:right w:w="108" w:type="dxa"/>
        </w:tblCellMar>
      </w:tblPr>
      <w:tblGrid>
        <w:gridCol w:w="5762"/>
        <w:gridCol w:w="850"/>
        <w:gridCol w:w="1291"/>
        <w:gridCol w:w="4851"/>
        <w:gridCol w:w="850"/>
        <w:gridCol w:w="1292"/>
      </w:tblGrid>
      <w:tr w14:paraId="66CDAC7A">
        <w:tblPrEx>
          <w:tblCellMar>
            <w:top w:w="0" w:type="dxa"/>
            <w:left w:w="108" w:type="dxa"/>
            <w:bottom w:w="0" w:type="dxa"/>
            <w:right w:w="108" w:type="dxa"/>
          </w:tblCellMar>
        </w:tblPrEx>
        <w:trPr>
          <w:trHeight w:val="340" w:hRule="exact"/>
          <w:jc w:val="center"/>
        </w:trPr>
        <w:tc>
          <w:tcPr>
            <w:tcW w:w="0" w:type="auto"/>
            <w:gridSpan w:val="3"/>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462B095">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收入</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D4CE697">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支出</w:t>
            </w:r>
          </w:p>
        </w:tc>
      </w:tr>
      <w:tr w14:paraId="2120299E">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2111E85">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项    目</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909D779">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行次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4291041">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决算数</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C292580">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项    目</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FDF1EE2">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行次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64D7DB1">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决算数</w:t>
            </w:r>
          </w:p>
        </w:tc>
      </w:tr>
      <w:tr w14:paraId="62A426A4">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50800DB">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    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2B97745">
            <w:pPr>
              <w:jc w:val="center"/>
              <w:rPr>
                <w:rFonts w:ascii="Times New Roman" w:hAnsi="Times New Roman" w:eastAsia="仿宋_GB2312" w:cs="Times New Roman"/>
                <w:color w:val="000000"/>
                <w:sz w:val="24"/>
                <w:szCs w:val="24"/>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CB7CFEE">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7546071">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    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B6D2206">
            <w:pPr>
              <w:jc w:val="center"/>
              <w:rPr>
                <w:rFonts w:ascii="Times New Roman" w:hAnsi="Times New Roman" w:eastAsia="仿宋_GB2312" w:cs="Times New Roman"/>
                <w:color w:val="000000"/>
                <w:sz w:val="24"/>
                <w:szCs w:val="24"/>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4162BF0">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2</w:t>
            </w:r>
          </w:p>
        </w:tc>
      </w:tr>
      <w:tr w14:paraId="7CBF9C36">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DAA400">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一、一般公共预算财政拨款收入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F4DA52F">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B28B38">
            <w:pPr>
              <w:jc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520.00</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C55896C">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一、一般公共服务支出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4385893">
            <w:pPr>
              <w:widowControl/>
              <w:jc w:val="center"/>
              <w:textAlignment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32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58CF81">
            <w:pPr>
              <w:jc w:val="right"/>
              <w:rPr>
                <w:rFonts w:ascii="Times New Roman" w:hAnsi="Times New Roman" w:eastAsia="仿宋_GB2312" w:cs="Times New Roman"/>
                <w:color w:val="000000"/>
                <w:sz w:val="22"/>
              </w:rPr>
            </w:pPr>
          </w:p>
        </w:tc>
      </w:tr>
      <w:tr w14:paraId="13321594">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0C60895">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二、政府性基金预算财政拨款收入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ECE4125">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05A195">
            <w:pPr>
              <w:jc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3020.73</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59C0FD6">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二、外交支出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4C2F8BF">
            <w:pPr>
              <w:widowControl/>
              <w:jc w:val="center"/>
              <w:textAlignment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33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64225E">
            <w:pPr>
              <w:jc w:val="right"/>
              <w:rPr>
                <w:rFonts w:ascii="Times New Roman" w:hAnsi="Times New Roman" w:eastAsia="仿宋_GB2312" w:cs="Times New Roman"/>
                <w:color w:val="000000"/>
                <w:sz w:val="22"/>
              </w:rPr>
            </w:pPr>
          </w:p>
        </w:tc>
      </w:tr>
      <w:tr w14:paraId="0868E4B0">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4682D5">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三、国有资本经营预算财政拨款收入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3A47156">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980A08">
            <w:pPr>
              <w:jc w:val="center"/>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59F0F96">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三、国防支出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0F1B028">
            <w:pPr>
              <w:widowControl/>
              <w:jc w:val="center"/>
              <w:textAlignment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34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123795">
            <w:pPr>
              <w:jc w:val="right"/>
              <w:rPr>
                <w:rFonts w:ascii="Times New Roman" w:hAnsi="Times New Roman" w:eastAsia="仿宋_GB2312" w:cs="Times New Roman"/>
                <w:color w:val="000000"/>
                <w:sz w:val="22"/>
              </w:rPr>
            </w:pPr>
          </w:p>
        </w:tc>
      </w:tr>
      <w:tr w14:paraId="1D728631">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92855D0">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四、上级补助收入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8AA620F">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B7977B">
            <w:pPr>
              <w:jc w:val="center"/>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3779D0E">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四、公共安全支出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581F763">
            <w:pPr>
              <w:widowControl/>
              <w:jc w:val="center"/>
              <w:textAlignment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35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E9536F">
            <w:pPr>
              <w:jc w:val="right"/>
              <w:rPr>
                <w:rFonts w:ascii="Times New Roman" w:hAnsi="Times New Roman" w:eastAsia="仿宋_GB2312" w:cs="Times New Roman"/>
                <w:color w:val="000000"/>
                <w:sz w:val="22"/>
              </w:rPr>
            </w:pPr>
          </w:p>
        </w:tc>
      </w:tr>
      <w:tr w14:paraId="39C50DEF">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FB037E0">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五、事业收入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5806609">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9F68F4">
            <w:pPr>
              <w:jc w:val="center"/>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3283093">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五、教育支出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C73C9C8">
            <w:pPr>
              <w:widowControl/>
              <w:jc w:val="center"/>
              <w:textAlignment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36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C424E0">
            <w:pPr>
              <w:jc w:val="right"/>
              <w:rPr>
                <w:rFonts w:ascii="Times New Roman" w:hAnsi="Times New Roman" w:eastAsia="仿宋_GB2312" w:cs="Times New Roman"/>
                <w:color w:val="000000"/>
                <w:sz w:val="22"/>
              </w:rPr>
            </w:pPr>
          </w:p>
        </w:tc>
      </w:tr>
      <w:tr w14:paraId="4888457B">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29D22AD">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六、经营收入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90A9074">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4E30BC">
            <w:pPr>
              <w:jc w:val="center"/>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6692A7E">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六、科学技术支出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5CAFA1D">
            <w:pPr>
              <w:widowControl/>
              <w:jc w:val="center"/>
              <w:textAlignment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37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7D5555">
            <w:pPr>
              <w:jc w:val="right"/>
              <w:rPr>
                <w:rFonts w:ascii="Times New Roman" w:hAnsi="Times New Roman" w:eastAsia="仿宋_GB2312" w:cs="Times New Roman"/>
                <w:color w:val="000000"/>
                <w:sz w:val="22"/>
              </w:rPr>
            </w:pPr>
          </w:p>
        </w:tc>
      </w:tr>
      <w:tr w14:paraId="74C783A1">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D393D22">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七、附属单位上缴收入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4C5519A">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B6E727">
            <w:pPr>
              <w:jc w:val="center"/>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F4C12F">
            <w:pPr>
              <w:widowControl/>
              <w:jc w:val="left"/>
              <w:textAlignment w:val="center"/>
              <w:rPr>
                <w:rFonts w:ascii="Times New Roman" w:hAnsi="Times New Roman" w:eastAsia="仿宋_GB2312" w:cs="Times New Roman"/>
                <w:color w:val="000000"/>
                <w:kern w:val="2"/>
                <w:sz w:val="24"/>
                <w:szCs w:val="24"/>
                <w:lang w:val="en-US" w:eastAsia="zh-CN" w:bidi="ar-SA"/>
              </w:rPr>
            </w:pPr>
            <w:r>
              <w:rPr>
                <w:rFonts w:hint="eastAsia" w:ascii="Times New Roman" w:hAnsi="Times New Roman" w:eastAsia="仿宋_GB2312" w:cs="Times New Roman"/>
                <w:color w:val="000000"/>
                <w:sz w:val="24"/>
                <w:szCs w:val="24"/>
              </w:rPr>
              <w:t>七、</w:t>
            </w:r>
            <w:r>
              <w:rPr>
                <w:rFonts w:hint="eastAsia" w:ascii="Times New Roman" w:hAnsi="Times New Roman" w:eastAsia="仿宋_GB2312" w:cs="Times New Roman"/>
                <w:color w:val="000000"/>
                <w:kern w:val="0"/>
                <w:sz w:val="22"/>
                <w:lang w:bidi="ar"/>
              </w:rPr>
              <w:t>文化旅游体育与传媒支出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8989AAE">
            <w:pPr>
              <w:widowControl/>
              <w:jc w:val="center"/>
              <w:textAlignment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38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738C29">
            <w:pPr>
              <w:jc w:val="right"/>
              <w:rPr>
                <w:rFonts w:ascii="Times New Roman" w:hAnsi="Times New Roman" w:eastAsia="仿宋_GB2312" w:cs="Times New Roman"/>
                <w:color w:val="000000"/>
                <w:sz w:val="22"/>
              </w:rPr>
            </w:pPr>
          </w:p>
        </w:tc>
      </w:tr>
      <w:tr w14:paraId="27A19082">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C896E4C">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八、其他收入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0E94F6C">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A8C837">
            <w:pPr>
              <w:jc w:val="center"/>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20ED37">
            <w:pPr>
              <w:jc w:val="left"/>
              <w:rPr>
                <w:rFonts w:ascii="Times New Roman" w:hAnsi="Times New Roman" w:eastAsia="仿宋_GB2312" w:cs="Times New Roman"/>
                <w:color w:val="000000"/>
                <w:kern w:val="2"/>
                <w:sz w:val="22"/>
                <w:szCs w:val="22"/>
                <w:lang w:val="en-US" w:eastAsia="zh-CN" w:bidi="ar-SA"/>
              </w:rPr>
            </w:pPr>
            <w:r>
              <w:rPr>
                <w:rFonts w:hint="eastAsia" w:ascii="Times New Roman" w:hAnsi="Times New Roman" w:eastAsia="仿宋_GB2312" w:cs="Times New Roman"/>
                <w:color w:val="000000"/>
                <w:sz w:val="22"/>
              </w:rPr>
              <w:t>八、社会保障和就业支出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82796DA">
            <w:pPr>
              <w:widowControl/>
              <w:jc w:val="center"/>
              <w:textAlignment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39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37E8A3">
            <w:pPr>
              <w:jc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6.54</w:t>
            </w:r>
          </w:p>
        </w:tc>
      </w:tr>
      <w:tr w14:paraId="5C3CF56C">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DB31E8">
            <w:pPr>
              <w:jc w:val="right"/>
              <w:rPr>
                <w:rFonts w:ascii="Times New Roman" w:hAnsi="Times New Roman" w:eastAsia="仿宋_GB2312" w:cs="Times New Roman"/>
                <w:color w:val="000000"/>
                <w:sz w:val="20"/>
                <w:szCs w:val="20"/>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5F5E24C">
            <w:pPr>
              <w:widowControl/>
              <w:jc w:val="center"/>
              <w:textAlignment w:val="center"/>
              <w:rPr>
                <w:rFonts w:hint="eastAsia"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EC7B03">
            <w:pPr>
              <w:jc w:val="center"/>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BD7F0D">
            <w:pPr>
              <w:widowControl/>
              <w:jc w:val="left"/>
              <w:textAlignment w:val="center"/>
              <w:rPr>
                <w:rFonts w:ascii="Times New Roman" w:hAnsi="Times New Roman" w:eastAsia="仿宋_GB2312" w:cs="Times New Roman"/>
                <w:color w:val="000000"/>
                <w:kern w:val="0"/>
                <w:sz w:val="22"/>
                <w:szCs w:val="22"/>
                <w:lang w:val="en-US" w:eastAsia="zh-CN" w:bidi="ar"/>
              </w:rPr>
            </w:pPr>
            <w:r>
              <w:rPr>
                <w:rFonts w:hint="eastAsia" w:ascii="Times New Roman" w:hAnsi="Times New Roman" w:eastAsia="仿宋_GB2312" w:cs="Times New Roman"/>
                <w:color w:val="000000"/>
                <w:kern w:val="0"/>
                <w:sz w:val="22"/>
                <w:lang w:bidi="ar"/>
              </w:rPr>
              <w:t>九、卫生健康支出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C5DAA08">
            <w:pPr>
              <w:widowControl/>
              <w:jc w:val="center"/>
              <w:textAlignment w:val="center"/>
              <w:rPr>
                <w:rFonts w:hint="default"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40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6EC724">
            <w:pPr>
              <w:jc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2.74</w:t>
            </w:r>
          </w:p>
        </w:tc>
      </w:tr>
      <w:tr w14:paraId="2C6E3001">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F01FCA">
            <w:pPr>
              <w:jc w:val="right"/>
              <w:rPr>
                <w:rFonts w:ascii="Times New Roman" w:hAnsi="Times New Roman" w:eastAsia="仿宋_GB2312" w:cs="Times New Roman"/>
                <w:color w:val="000000"/>
                <w:sz w:val="20"/>
                <w:szCs w:val="20"/>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C1EEA32">
            <w:pPr>
              <w:widowControl/>
              <w:jc w:val="center"/>
              <w:textAlignment w:val="center"/>
              <w:rPr>
                <w:rFonts w:hint="default"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5C119D">
            <w:pPr>
              <w:jc w:val="center"/>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3C7A6B">
            <w:pPr>
              <w:widowControl/>
              <w:jc w:val="left"/>
              <w:textAlignment w:val="center"/>
              <w:rPr>
                <w:rFonts w:ascii="Times New Roman" w:hAnsi="Times New Roman" w:eastAsia="仿宋_GB2312" w:cs="Times New Roman"/>
                <w:color w:val="000000"/>
                <w:kern w:val="0"/>
                <w:sz w:val="22"/>
                <w:szCs w:val="22"/>
                <w:lang w:val="en-US" w:eastAsia="zh-CN" w:bidi="ar"/>
              </w:rPr>
            </w:pPr>
            <w:r>
              <w:rPr>
                <w:rFonts w:hint="eastAsia" w:ascii="Times New Roman" w:hAnsi="Times New Roman" w:eastAsia="仿宋_GB2312" w:cs="Times New Roman"/>
                <w:color w:val="000000"/>
                <w:kern w:val="0"/>
                <w:sz w:val="22"/>
                <w:lang w:bidi="ar"/>
              </w:rPr>
              <w:t>十、节能环保支出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7A4927C">
            <w:pPr>
              <w:widowControl/>
              <w:jc w:val="center"/>
              <w:textAlignment w:val="center"/>
              <w:rPr>
                <w:rFonts w:hint="default"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41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3B6C15">
            <w:pPr>
              <w:jc w:val="center"/>
              <w:rPr>
                <w:rFonts w:hint="eastAsia" w:ascii="Times New Roman" w:hAnsi="Times New Roman" w:eastAsia="仿宋_GB2312" w:cs="Times New Roman"/>
                <w:color w:val="000000"/>
                <w:sz w:val="22"/>
                <w:lang w:val="en-US" w:eastAsia="zh-CN"/>
              </w:rPr>
            </w:pPr>
          </w:p>
        </w:tc>
      </w:tr>
      <w:tr w14:paraId="76D09312">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1C7447">
            <w:pPr>
              <w:jc w:val="right"/>
              <w:rPr>
                <w:rFonts w:ascii="Times New Roman" w:hAnsi="Times New Roman" w:eastAsia="仿宋_GB2312" w:cs="Times New Roman"/>
                <w:color w:val="000000"/>
                <w:sz w:val="20"/>
                <w:szCs w:val="20"/>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9C634D7">
            <w:pPr>
              <w:widowControl/>
              <w:jc w:val="center"/>
              <w:textAlignment w:val="center"/>
              <w:rPr>
                <w:rFonts w:hint="default"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11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A9816F">
            <w:pPr>
              <w:jc w:val="center"/>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72F9A6">
            <w:pPr>
              <w:widowControl/>
              <w:jc w:val="left"/>
              <w:textAlignment w:val="center"/>
              <w:rPr>
                <w:rFonts w:ascii="Times New Roman" w:hAnsi="Times New Roman" w:eastAsia="仿宋_GB2312" w:cs="Times New Roman"/>
                <w:color w:val="000000"/>
                <w:kern w:val="0"/>
                <w:sz w:val="22"/>
                <w:szCs w:val="22"/>
                <w:lang w:val="en-US" w:eastAsia="zh-CN" w:bidi="ar"/>
              </w:rPr>
            </w:pPr>
            <w:r>
              <w:rPr>
                <w:rFonts w:hint="eastAsia" w:ascii="Times New Roman" w:hAnsi="Times New Roman" w:eastAsia="仿宋_GB2312" w:cs="Times New Roman"/>
                <w:color w:val="000000"/>
                <w:kern w:val="0"/>
                <w:sz w:val="22"/>
                <w:lang w:bidi="ar"/>
              </w:rPr>
              <w:t>十一、城乡社区支出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AA326D9">
            <w:pPr>
              <w:widowControl/>
              <w:jc w:val="center"/>
              <w:textAlignment w:val="center"/>
              <w:rPr>
                <w:rFonts w:hint="default"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42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27FEB6">
            <w:pPr>
              <w:jc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2935.47</w:t>
            </w:r>
          </w:p>
        </w:tc>
      </w:tr>
      <w:tr w14:paraId="6681395D">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D5021B">
            <w:pPr>
              <w:jc w:val="right"/>
              <w:rPr>
                <w:rFonts w:ascii="Times New Roman" w:hAnsi="Times New Roman" w:eastAsia="仿宋_GB2312" w:cs="Times New Roman"/>
                <w:color w:val="000000"/>
                <w:sz w:val="20"/>
                <w:szCs w:val="20"/>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A3AF10C">
            <w:pPr>
              <w:widowControl/>
              <w:jc w:val="center"/>
              <w:textAlignment w:val="center"/>
              <w:rPr>
                <w:rFonts w:hint="default"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12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C608D5">
            <w:pPr>
              <w:jc w:val="center"/>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7C8DAA">
            <w:pPr>
              <w:widowControl/>
              <w:jc w:val="left"/>
              <w:textAlignment w:val="center"/>
              <w:rPr>
                <w:rFonts w:ascii="Times New Roman" w:hAnsi="Times New Roman" w:eastAsia="仿宋_GB2312" w:cs="Times New Roman"/>
                <w:color w:val="000000"/>
                <w:kern w:val="0"/>
                <w:sz w:val="22"/>
                <w:szCs w:val="22"/>
                <w:lang w:val="en-US" w:eastAsia="zh-CN" w:bidi="ar"/>
              </w:rPr>
            </w:pPr>
            <w:r>
              <w:rPr>
                <w:rFonts w:hint="eastAsia" w:ascii="Times New Roman" w:hAnsi="Times New Roman" w:eastAsia="仿宋_GB2312" w:cs="Times New Roman"/>
                <w:color w:val="000000"/>
                <w:kern w:val="0"/>
                <w:sz w:val="22"/>
                <w:lang w:bidi="ar"/>
              </w:rPr>
              <w:t>十二、农林水支出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99F631F">
            <w:pPr>
              <w:widowControl/>
              <w:jc w:val="center"/>
              <w:textAlignment w:val="center"/>
              <w:rPr>
                <w:rFonts w:hint="default"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43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9F0AC7">
            <w:pPr>
              <w:jc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505.83</w:t>
            </w:r>
          </w:p>
        </w:tc>
      </w:tr>
      <w:tr w14:paraId="765BB78F">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885C2F">
            <w:pPr>
              <w:jc w:val="right"/>
              <w:rPr>
                <w:rFonts w:ascii="Times New Roman" w:hAnsi="Times New Roman" w:eastAsia="仿宋_GB2312" w:cs="Times New Roman"/>
                <w:color w:val="000000"/>
                <w:sz w:val="20"/>
                <w:szCs w:val="20"/>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5EC2612">
            <w:pPr>
              <w:widowControl/>
              <w:jc w:val="center"/>
              <w:textAlignment w:val="center"/>
              <w:rPr>
                <w:rFonts w:hint="default"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13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D0C7A5">
            <w:pPr>
              <w:jc w:val="center"/>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4999A4">
            <w:pPr>
              <w:widowControl/>
              <w:jc w:val="left"/>
              <w:textAlignment w:val="center"/>
              <w:rPr>
                <w:rFonts w:ascii="Times New Roman" w:hAnsi="Times New Roman" w:eastAsia="仿宋_GB2312" w:cs="Times New Roman"/>
                <w:color w:val="000000"/>
                <w:kern w:val="0"/>
                <w:sz w:val="22"/>
                <w:szCs w:val="22"/>
                <w:lang w:val="en-US" w:eastAsia="zh-CN" w:bidi="ar"/>
              </w:rPr>
            </w:pPr>
            <w:r>
              <w:rPr>
                <w:rFonts w:hint="eastAsia" w:ascii="Times New Roman" w:hAnsi="Times New Roman" w:eastAsia="仿宋_GB2312" w:cs="Times New Roman"/>
                <w:color w:val="000000"/>
                <w:kern w:val="0"/>
                <w:sz w:val="22"/>
                <w:lang w:bidi="ar"/>
              </w:rPr>
              <w:t>十三、交通运输支出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3880A35">
            <w:pPr>
              <w:widowControl/>
              <w:jc w:val="center"/>
              <w:textAlignment w:val="center"/>
              <w:rPr>
                <w:rFonts w:hint="default"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44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2A0D2F">
            <w:pPr>
              <w:jc w:val="center"/>
              <w:rPr>
                <w:rFonts w:hint="eastAsia" w:ascii="Times New Roman" w:hAnsi="Times New Roman" w:eastAsia="仿宋_GB2312" w:cs="Times New Roman"/>
                <w:color w:val="000000"/>
                <w:sz w:val="22"/>
                <w:lang w:val="en-US" w:eastAsia="zh-CN"/>
              </w:rPr>
            </w:pPr>
          </w:p>
        </w:tc>
      </w:tr>
      <w:tr w14:paraId="27BF0896">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C5AD45">
            <w:pPr>
              <w:jc w:val="right"/>
              <w:rPr>
                <w:rFonts w:ascii="Times New Roman" w:hAnsi="Times New Roman" w:eastAsia="仿宋_GB2312" w:cs="Times New Roman"/>
                <w:color w:val="000000"/>
                <w:sz w:val="20"/>
                <w:szCs w:val="20"/>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4D3212B">
            <w:pPr>
              <w:widowControl/>
              <w:jc w:val="center"/>
              <w:textAlignment w:val="center"/>
              <w:rPr>
                <w:rFonts w:hint="default"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14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9D34A2">
            <w:pPr>
              <w:jc w:val="center"/>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95E938">
            <w:pPr>
              <w:widowControl/>
              <w:jc w:val="left"/>
              <w:textAlignment w:val="center"/>
              <w:rPr>
                <w:rFonts w:ascii="Times New Roman" w:hAnsi="Times New Roman" w:eastAsia="仿宋_GB2312" w:cs="Times New Roman"/>
                <w:color w:val="000000"/>
                <w:kern w:val="0"/>
                <w:sz w:val="22"/>
                <w:szCs w:val="22"/>
                <w:lang w:val="en-US" w:eastAsia="zh-CN" w:bidi="ar"/>
              </w:rPr>
            </w:pPr>
            <w:r>
              <w:rPr>
                <w:rFonts w:hint="eastAsia" w:ascii="Times New Roman" w:hAnsi="Times New Roman" w:eastAsia="仿宋_GB2312" w:cs="Times New Roman"/>
                <w:color w:val="000000"/>
                <w:kern w:val="0"/>
                <w:sz w:val="22"/>
                <w:lang w:bidi="ar"/>
              </w:rPr>
              <w:t>十四、资源勘探工业信息等支出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1C6D7F2">
            <w:pPr>
              <w:widowControl/>
              <w:jc w:val="center"/>
              <w:textAlignment w:val="center"/>
              <w:rPr>
                <w:rFonts w:hint="default"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45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F0763B">
            <w:pPr>
              <w:jc w:val="center"/>
              <w:rPr>
                <w:rFonts w:hint="eastAsia" w:ascii="Times New Roman" w:hAnsi="Times New Roman" w:eastAsia="仿宋_GB2312" w:cs="Times New Roman"/>
                <w:color w:val="000000"/>
                <w:sz w:val="22"/>
                <w:lang w:val="en-US" w:eastAsia="zh-CN"/>
              </w:rPr>
            </w:pPr>
          </w:p>
        </w:tc>
      </w:tr>
      <w:tr w14:paraId="2CCE7AD1">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A56CD0">
            <w:pPr>
              <w:jc w:val="right"/>
              <w:rPr>
                <w:rFonts w:ascii="Times New Roman" w:hAnsi="Times New Roman" w:eastAsia="仿宋_GB2312" w:cs="Times New Roman"/>
                <w:color w:val="000000"/>
                <w:sz w:val="20"/>
                <w:szCs w:val="20"/>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DEB4399">
            <w:pPr>
              <w:widowControl/>
              <w:jc w:val="center"/>
              <w:textAlignment w:val="center"/>
              <w:rPr>
                <w:rFonts w:hint="default"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15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3CD482">
            <w:pPr>
              <w:jc w:val="center"/>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564239">
            <w:pPr>
              <w:widowControl/>
              <w:jc w:val="left"/>
              <w:textAlignment w:val="center"/>
              <w:rPr>
                <w:rFonts w:ascii="Times New Roman" w:hAnsi="Times New Roman" w:eastAsia="仿宋_GB2312" w:cs="Times New Roman"/>
                <w:color w:val="000000"/>
                <w:kern w:val="0"/>
                <w:sz w:val="22"/>
                <w:szCs w:val="22"/>
                <w:lang w:val="en-US" w:eastAsia="zh-CN" w:bidi="ar"/>
              </w:rPr>
            </w:pPr>
            <w:r>
              <w:rPr>
                <w:rFonts w:hint="eastAsia" w:ascii="Times New Roman" w:hAnsi="Times New Roman" w:eastAsia="仿宋_GB2312" w:cs="Times New Roman"/>
                <w:color w:val="000000"/>
                <w:kern w:val="0"/>
                <w:sz w:val="22"/>
                <w:lang w:bidi="ar"/>
              </w:rPr>
              <w:t>十五、商业服务业等支出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6FB9B59">
            <w:pPr>
              <w:widowControl/>
              <w:jc w:val="center"/>
              <w:textAlignment w:val="center"/>
              <w:rPr>
                <w:rFonts w:hint="default"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46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D5B740">
            <w:pPr>
              <w:jc w:val="center"/>
              <w:rPr>
                <w:rFonts w:hint="eastAsia" w:ascii="Times New Roman" w:hAnsi="Times New Roman" w:eastAsia="仿宋_GB2312" w:cs="Times New Roman"/>
                <w:color w:val="000000"/>
                <w:sz w:val="22"/>
                <w:lang w:val="en-US" w:eastAsia="zh-CN"/>
              </w:rPr>
            </w:pPr>
          </w:p>
        </w:tc>
      </w:tr>
      <w:tr w14:paraId="76D7B45C">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9C2577">
            <w:pPr>
              <w:jc w:val="right"/>
              <w:rPr>
                <w:rFonts w:ascii="Times New Roman" w:hAnsi="Times New Roman" w:eastAsia="仿宋_GB2312" w:cs="Times New Roman"/>
                <w:color w:val="000000"/>
                <w:sz w:val="20"/>
                <w:szCs w:val="20"/>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89C0A0F">
            <w:pPr>
              <w:widowControl/>
              <w:jc w:val="center"/>
              <w:textAlignment w:val="center"/>
              <w:rPr>
                <w:rFonts w:hint="default"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16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7FD523">
            <w:pPr>
              <w:jc w:val="center"/>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697EAD">
            <w:pPr>
              <w:widowControl/>
              <w:jc w:val="left"/>
              <w:textAlignment w:val="center"/>
              <w:rPr>
                <w:rFonts w:ascii="Times New Roman" w:hAnsi="Times New Roman" w:eastAsia="仿宋_GB2312" w:cs="Times New Roman"/>
                <w:color w:val="000000"/>
                <w:kern w:val="0"/>
                <w:sz w:val="22"/>
                <w:szCs w:val="22"/>
                <w:lang w:val="en-US" w:eastAsia="zh-CN" w:bidi="ar"/>
              </w:rPr>
            </w:pPr>
            <w:r>
              <w:rPr>
                <w:rFonts w:hint="eastAsia" w:ascii="Times New Roman" w:hAnsi="Times New Roman" w:eastAsia="仿宋_GB2312" w:cs="Times New Roman"/>
                <w:color w:val="000000"/>
                <w:kern w:val="0"/>
                <w:sz w:val="22"/>
                <w:lang w:bidi="ar"/>
              </w:rPr>
              <w:t>十六、金融支出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60118B5">
            <w:pPr>
              <w:widowControl/>
              <w:jc w:val="center"/>
              <w:textAlignment w:val="center"/>
              <w:rPr>
                <w:rFonts w:hint="default"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47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8EF871">
            <w:pPr>
              <w:jc w:val="center"/>
              <w:rPr>
                <w:rFonts w:hint="eastAsia" w:ascii="Times New Roman" w:hAnsi="Times New Roman" w:eastAsia="仿宋_GB2312" w:cs="Times New Roman"/>
                <w:color w:val="000000"/>
                <w:sz w:val="22"/>
                <w:lang w:val="en-US" w:eastAsia="zh-CN"/>
              </w:rPr>
            </w:pPr>
          </w:p>
        </w:tc>
      </w:tr>
      <w:tr w14:paraId="74C78C35">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034EF8">
            <w:pPr>
              <w:jc w:val="right"/>
              <w:rPr>
                <w:rFonts w:ascii="Times New Roman" w:hAnsi="Times New Roman" w:eastAsia="仿宋_GB2312" w:cs="Times New Roman"/>
                <w:color w:val="000000"/>
                <w:sz w:val="20"/>
                <w:szCs w:val="20"/>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9DA27FC">
            <w:pPr>
              <w:widowControl/>
              <w:jc w:val="center"/>
              <w:textAlignment w:val="center"/>
              <w:rPr>
                <w:rFonts w:hint="default"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17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4BE3BF">
            <w:pPr>
              <w:jc w:val="center"/>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8A06E7">
            <w:pPr>
              <w:widowControl/>
              <w:jc w:val="left"/>
              <w:textAlignment w:val="center"/>
              <w:rPr>
                <w:rFonts w:ascii="Times New Roman" w:hAnsi="Times New Roman" w:eastAsia="仿宋_GB2312" w:cs="Times New Roman"/>
                <w:color w:val="000000"/>
                <w:kern w:val="0"/>
                <w:sz w:val="22"/>
                <w:szCs w:val="22"/>
                <w:lang w:val="en-US" w:eastAsia="zh-CN" w:bidi="ar"/>
              </w:rPr>
            </w:pPr>
            <w:r>
              <w:rPr>
                <w:rFonts w:hint="eastAsia" w:ascii="Times New Roman" w:hAnsi="Times New Roman" w:eastAsia="仿宋_GB2312" w:cs="Times New Roman"/>
                <w:color w:val="000000"/>
                <w:kern w:val="0"/>
                <w:sz w:val="22"/>
                <w:lang w:bidi="ar"/>
              </w:rPr>
              <w:t>十七、援助其他地区支出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F686743">
            <w:pPr>
              <w:widowControl/>
              <w:jc w:val="center"/>
              <w:textAlignment w:val="center"/>
              <w:rPr>
                <w:rFonts w:hint="default"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48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6F4BA9">
            <w:pPr>
              <w:jc w:val="center"/>
              <w:rPr>
                <w:rFonts w:hint="eastAsia" w:ascii="Times New Roman" w:hAnsi="Times New Roman" w:eastAsia="仿宋_GB2312" w:cs="Times New Roman"/>
                <w:color w:val="000000"/>
                <w:sz w:val="22"/>
                <w:lang w:val="en-US" w:eastAsia="zh-CN"/>
              </w:rPr>
            </w:pPr>
          </w:p>
        </w:tc>
      </w:tr>
      <w:tr w14:paraId="725CA538">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09EB7A">
            <w:pPr>
              <w:jc w:val="right"/>
              <w:rPr>
                <w:rFonts w:ascii="Times New Roman" w:hAnsi="Times New Roman" w:eastAsia="仿宋_GB2312" w:cs="Times New Roman"/>
                <w:color w:val="000000"/>
                <w:sz w:val="20"/>
                <w:szCs w:val="20"/>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CC3CC83">
            <w:pPr>
              <w:widowControl/>
              <w:jc w:val="center"/>
              <w:textAlignment w:val="center"/>
              <w:rPr>
                <w:rFonts w:hint="default"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18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21B6E3">
            <w:pPr>
              <w:jc w:val="center"/>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BF4356">
            <w:pPr>
              <w:widowControl/>
              <w:jc w:val="left"/>
              <w:textAlignment w:val="center"/>
              <w:rPr>
                <w:rFonts w:ascii="Times New Roman" w:hAnsi="Times New Roman" w:eastAsia="仿宋_GB2312" w:cs="Times New Roman"/>
                <w:color w:val="000000"/>
                <w:kern w:val="0"/>
                <w:sz w:val="22"/>
                <w:szCs w:val="22"/>
                <w:lang w:val="en-US" w:eastAsia="zh-CN" w:bidi="ar"/>
              </w:rPr>
            </w:pPr>
            <w:r>
              <w:rPr>
                <w:rFonts w:hint="eastAsia" w:ascii="Times New Roman" w:hAnsi="Times New Roman" w:eastAsia="仿宋_GB2312" w:cs="Times New Roman"/>
                <w:color w:val="000000"/>
                <w:kern w:val="0"/>
                <w:sz w:val="22"/>
                <w:lang w:bidi="ar"/>
              </w:rPr>
              <w:t>十八、自然资源海洋气象等支出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7093521">
            <w:pPr>
              <w:widowControl/>
              <w:jc w:val="center"/>
              <w:textAlignment w:val="center"/>
              <w:rPr>
                <w:rFonts w:hint="default"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49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B45C37">
            <w:pPr>
              <w:jc w:val="center"/>
              <w:rPr>
                <w:rFonts w:hint="eastAsia" w:ascii="Times New Roman" w:hAnsi="Times New Roman" w:eastAsia="仿宋_GB2312" w:cs="Times New Roman"/>
                <w:color w:val="000000"/>
                <w:sz w:val="22"/>
                <w:lang w:val="en-US" w:eastAsia="zh-CN"/>
              </w:rPr>
            </w:pPr>
          </w:p>
        </w:tc>
      </w:tr>
      <w:tr w14:paraId="5D8FE460">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E04DC6">
            <w:pPr>
              <w:jc w:val="right"/>
              <w:rPr>
                <w:rFonts w:ascii="Times New Roman" w:hAnsi="Times New Roman" w:eastAsia="仿宋_GB2312" w:cs="Times New Roman"/>
                <w:color w:val="000000"/>
                <w:sz w:val="20"/>
                <w:szCs w:val="20"/>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7A67DCE">
            <w:pPr>
              <w:widowControl/>
              <w:jc w:val="center"/>
              <w:textAlignment w:val="center"/>
              <w:rPr>
                <w:rFonts w:hint="default"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19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89E6FF">
            <w:pPr>
              <w:jc w:val="center"/>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EA2715">
            <w:pPr>
              <w:widowControl/>
              <w:jc w:val="left"/>
              <w:textAlignment w:val="center"/>
              <w:rPr>
                <w:rFonts w:ascii="Times New Roman" w:hAnsi="Times New Roman" w:eastAsia="仿宋_GB2312" w:cs="Times New Roman"/>
                <w:color w:val="000000"/>
                <w:kern w:val="0"/>
                <w:sz w:val="22"/>
                <w:szCs w:val="22"/>
                <w:lang w:val="en-US" w:eastAsia="zh-CN" w:bidi="ar"/>
              </w:rPr>
            </w:pPr>
            <w:r>
              <w:rPr>
                <w:rFonts w:hint="eastAsia" w:ascii="Times New Roman" w:hAnsi="Times New Roman" w:eastAsia="仿宋_GB2312" w:cs="Times New Roman"/>
                <w:color w:val="000000"/>
                <w:kern w:val="0"/>
                <w:sz w:val="22"/>
                <w:lang w:bidi="ar"/>
              </w:rPr>
              <w:t>十九、住房保障支出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C83F285">
            <w:pPr>
              <w:widowControl/>
              <w:jc w:val="center"/>
              <w:textAlignment w:val="center"/>
              <w:rPr>
                <w:rFonts w:hint="default"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D8809A">
            <w:pPr>
              <w:jc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4.90</w:t>
            </w:r>
          </w:p>
        </w:tc>
      </w:tr>
      <w:tr w14:paraId="7430EFF5">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3F9188">
            <w:pPr>
              <w:jc w:val="right"/>
              <w:rPr>
                <w:rFonts w:ascii="Times New Roman" w:hAnsi="Times New Roman" w:eastAsia="仿宋_GB2312" w:cs="Times New Roman"/>
                <w:color w:val="000000"/>
                <w:sz w:val="20"/>
                <w:szCs w:val="20"/>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94E4298">
            <w:pPr>
              <w:widowControl/>
              <w:jc w:val="center"/>
              <w:textAlignment w:val="center"/>
              <w:rPr>
                <w:rFonts w:hint="default"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20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94CDBA">
            <w:pPr>
              <w:jc w:val="center"/>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57D0BB">
            <w:pPr>
              <w:widowControl/>
              <w:jc w:val="left"/>
              <w:textAlignment w:val="center"/>
              <w:rPr>
                <w:rFonts w:ascii="Times New Roman" w:hAnsi="Times New Roman" w:eastAsia="仿宋_GB2312" w:cs="Times New Roman"/>
                <w:color w:val="000000"/>
                <w:kern w:val="0"/>
                <w:sz w:val="22"/>
                <w:szCs w:val="22"/>
                <w:lang w:val="en-US" w:eastAsia="zh-CN" w:bidi="ar"/>
              </w:rPr>
            </w:pPr>
            <w:r>
              <w:rPr>
                <w:rFonts w:hint="eastAsia" w:ascii="Times New Roman" w:hAnsi="Times New Roman" w:eastAsia="仿宋_GB2312" w:cs="Times New Roman"/>
                <w:color w:val="000000"/>
                <w:kern w:val="0"/>
                <w:sz w:val="22"/>
                <w:lang w:bidi="ar"/>
              </w:rPr>
              <w:t>二十、粮油物资储备支出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8D1CE21">
            <w:pPr>
              <w:widowControl/>
              <w:jc w:val="center"/>
              <w:textAlignment w:val="center"/>
              <w:rPr>
                <w:rFonts w:hint="default"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51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8DC550">
            <w:pPr>
              <w:jc w:val="center"/>
              <w:rPr>
                <w:rFonts w:hint="eastAsia" w:ascii="Times New Roman" w:hAnsi="Times New Roman" w:eastAsia="仿宋_GB2312" w:cs="Times New Roman"/>
                <w:color w:val="000000"/>
                <w:sz w:val="22"/>
                <w:lang w:val="en-US" w:eastAsia="zh-CN"/>
              </w:rPr>
            </w:pPr>
          </w:p>
        </w:tc>
      </w:tr>
      <w:tr w14:paraId="1124054C">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28114D">
            <w:pPr>
              <w:jc w:val="right"/>
              <w:rPr>
                <w:rFonts w:ascii="Times New Roman" w:hAnsi="Times New Roman" w:eastAsia="仿宋_GB2312" w:cs="Times New Roman"/>
                <w:color w:val="000000"/>
                <w:sz w:val="20"/>
                <w:szCs w:val="20"/>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7AA3988">
            <w:pPr>
              <w:widowControl/>
              <w:jc w:val="center"/>
              <w:textAlignment w:val="center"/>
              <w:rPr>
                <w:rFonts w:hint="default"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21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EB8398">
            <w:pPr>
              <w:jc w:val="center"/>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8791C3">
            <w:pPr>
              <w:widowControl/>
              <w:jc w:val="left"/>
              <w:textAlignment w:val="center"/>
              <w:rPr>
                <w:rFonts w:ascii="Times New Roman" w:hAnsi="Times New Roman" w:eastAsia="仿宋_GB2312" w:cs="Times New Roman"/>
                <w:color w:val="000000"/>
                <w:kern w:val="0"/>
                <w:sz w:val="22"/>
                <w:szCs w:val="22"/>
                <w:lang w:val="en-US" w:eastAsia="zh-CN" w:bidi="ar"/>
              </w:rPr>
            </w:pPr>
            <w:r>
              <w:rPr>
                <w:rFonts w:hint="eastAsia" w:ascii="Times New Roman" w:hAnsi="Times New Roman" w:eastAsia="仿宋_GB2312" w:cs="Times New Roman"/>
                <w:color w:val="000000"/>
                <w:kern w:val="0"/>
                <w:sz w:val="22"/>
                <w:lang w:bidi="ar"/>
              </w:rPr>
              <w:t>二十一、国有资本经营预算支出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16E7136">
            <w:pPr>
              <w:widowControl/>
              <w:jc w:val="center"/>
              <w:textAlignment w:val="center"/>
              <w:rPr>
                <w:rFonts w:hint="default"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52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9E6088">
            <w:pPr>
              <w:jc w:val="center"/>
              <w:rPr>
                <w:rFonts w:hint="eastAsia" w:ascii="Times New Roman" w:hAnsi="Times New Roman" w:eastAsia="仿宋_GB2312" w:cs="Times New Roman"/>
                <w:color w:val="000000"/>
                <w:sz w:val="22"/>
                <w:lang w:val="en-US" w:eastAsia="zh-CN"/>
              </w:rPr>
            </w:pPr>
          </w:p>
        </w:tc>
      </w:tr>
      <w:tr w14:paraId="264D042C">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AB777C">
            <w:pPr>
              <w:jc w:val="right"/>
              <w:rPr>
                <w:rFonts w:ascii="Times New Roman" w:hAnsi="Times New Roman" w:eastAsia="仿宋_GB2312" w:cs="Times New Roman"/>
                <w:color w:val="000000"/>
                <w:sz w:val="20"/>
                <w:szCs w:val="20"/>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54A2BBD">
            <w:pPr>
              <w:widowControl/>
              <w:jc w:val="center"/>
              <w:textAlignment w:val="center"/>
              <w:rPr>
                <w:rFonts w:hint="default"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22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924F4E">
            <w:pPr>
              <w:jc w:val="center"/>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51E0CE">
            <w:pPr>
              <w:widowControl/>
              <w:jc w:val="left"/>
              <w:textAlignment w:val="center"/>
              <w:rPr>
                <w:rFonts w:ascii="Times New Roman" w:hAnsi="Times New Roman" w:eastAsia="仿宋_GB2312" w:cs="Times New Roman"/>
                <w:color w:val="000000"/>
                <w:kern w:val="0"/>
                <w:sz w:val="22"/>
                <w:szCs w:val="22"/>
                <w:lang w:val="en-US" w:eastAsia="zh-CN" w:bidi="ar"/>
              </w:rPr>
            </w:pPr>
            <w:r>
              <w:rPr>
                <w:rFonts w:hint="eastAsia" w:ascii="Times New Roman" w:hAnsi="Times New Roman" w:eastAsia="仿宋_GB2312" w:cs="Times New Roman"/>
                <w:color w:val="000000"/>
                <w:kern w:val="0"/>
                <w:sz w:val="22"/>
                <w:lang w:bidi="ar"/>
              </w:rPr>
              <w:t>二十二、灾害防治及应急管理支出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5C980F9">
            <w:pPr>
              <w:widowControl/>
              <w:jc w:val="center"/>
              <w:textAlignment w:val="center"/>
              <w:rPr>
                <w:rFonts w:hint="default"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53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FAAA1A">
            <w:pPr>
              <w:jc w:val="center"/>
              <w:rPr>
                <w:rFonts w:hint="eastAsia" w:ascii="Times New Roman" w:hAnsi="Times New Roman" w:eastAsia="仿宋_GB2312" w:cs="Times New Roman"/>
                <w:color w:val="000000"/>
                <w:sz w:val="22"/>
                <w:lang w:val="en-US" w:eastAsia="zh-CN"/>
              </w:rPr>
            </w:pPr>
          </w:p>
        </w:tc>
      </w:tr>
      <w:tr w14:paraId="64715146">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DC273D">
            <w:pPr>
              <w:jc w:val="right"/>
              <w:rPr>
                <w:rFonts w:ascii="Times New Roman" w:hAnsi="Times New Roman" w:eastAsia="仿宋_GB2312" w:cs="Times New Roman"/>
                <w:color w:val="000000"/>
                <w:sz w:val="20"/>
                <w:szCs w:val="20"/>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985FB54">
            <w:pPr>
              <w:widowControl/>
              <w:jc w:val="center"/>
              <w:textAlignment w:val="center"/>
              <w:rPr>
                <w:rFonts w:hint="default"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23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7394EE">
            <w:pPr>
              <w:jc w:val="center"/>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0063F3">
            <w:pPr>
              <w:widowControl/>
              <w:jc w:val="left"/>
              <w:textAlignment w:val="center"/>
              <w:rPr>
                <w:rFonts w:ascii="Times New Roman" w:hAnsi="Times New Roman" w:eastAsia="仿宋_GB2312" w:cs="Times New Roman"/>
                <w:color w:val="000000"/>
                <w:kern w:val="0"/>
                <w:sz w:val="22"/>
                <w:szCs w:val="22"/>
                <w:lang w:val="en-US" w:eastAsia="zh-CN" w:bidi="ar"/>
              </w:rPr>
            </w:pPr>
            <w:r>
              <w:rPr>
                <w:rFonts w:hint="eastAsia" w:ascii="Times New Roman" w:hAnsi="Times New Roman" w:eastAsia="仿宋_GB2312" w:cs="Times New Roman"/>
                <w:color w:val="000000"/>
                <w:kern w:val="0"/>
                <w:sz w:val="22"/>
                <w:lang w:bidi="ar"/>
              </w:rPr>
              <w:t>二十三、其他支出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EB47164">
            <w:pPr>
              <w:widowControl/>
              <w:jc w:val="center"/>
              <w:textAlignment w:val="center"/>
              <w:rPr>
                <w:rFonts w:hint="default"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54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EFD014">
            <w:pPr>
              <w:jc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85.25</w:t>
            </w:r>
          </w:p>
        </w:tc>
      </w:tr>
      <w:tr w14:paraId="17F12C99">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FD6C3E">
            <w:pPr>
              <w:jc w:val="right"/>
              <w:rPr>
                <w:rFonts w:ascii="Times New Roman" w:hAnsi="Times New Roman" w:eastAsia="仿宋_GB2312" w:cs="Times New Roman"/>
                <w:color w:val="000000"/>
                <w:sz w:val="20"/>
                <w:szCs w:val="20"/>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06AD44D">
            <w:pPr>
              <w:widowControl/>
              <w:jc w:val="center"/>
              <w:textAlignment w:val="center"/>
              <w:rPr>
                <w:rFonts w:hint="default"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24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D383A0">
            <w:pPr>
              <w:jc w:val="center"/>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0E826D">
            <w:pPr>
              <w:widowControl/>
              <w:jc w:val="left"/>
              <w:textAlignment w:val="center"/>
              <w:rPr>
                <w:rFonts w:ascii="Times New Roman" w:hAnsi="Times New Roman" w:eastAsia="仿宋_GB2312" w:cs="Times New Roman"/>
                <w:color w:val="000000"/>
                <w:kern w:val="0"/>
                <w:sz w:val="22"/>
                <w:szCs w:val="22"/>
                <w:lang w:val="en-US" w:eastAsia="zh-CN" w:bidi="ar"/>
              </w:rPr>
            </w:pPr>
            <w:r>
              <w:rPr>
                <w:rFonts w:hint="eastAsia" w:ascii="Times New Roman" w:hAnsi="Times New Roman" w:eastAsia="仿宋_GB2312" w:cs="Times New Roman"/>
                <w:color w:val="000000"/>
                <w:kern w:val="0"/>
                <w:sz w:val="22"/>
                <w:lang w:bidi="ar"/>
              </w:rPr>
              <w:t>二十四、债务还本支出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658F8AB">
            <w:pPr>
              <w:widowControl/>
              <w:jc w:val="center"/>
              <w:textAlignment w:val="center"/>
              <w:rPr>
                <w:rFonts w:hint="default"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55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EEC211">
            <w:pPr>
              <w:jc w:val="center"/>
              <w:rPr>
                <w:rFonts w:hint="eastAsia" w:ascii="Times New Roman" w:hAnsi="Times New Roman" w:eastAsia="仿宋_GB2312" w:cs="Times New Roman"/>
                <w:color w:val="000000"/>
                <w:sz w:val="22"/>
                <w:lang w:val="en-US" w:eastAsia="zh-CN"/>
              </w:rPr>
            </w:pPr>
          </w:p>
        </w:tc>
      </w:tr>
      <w:tr w14:paraId="74117004">
        <w:tblPrEx>
          <w:tblCellMar>
            <w:top w:w="0" w:type="dxa"/>
            <w:left w:w="108" w:type="dxa"/>
            <w:bottom w:w="0" w:type="dxa"/>
            <w:right w:w="108" w:type="dxa"/>
          </w:tblCellMar>
        </w:tblPrEx>
        <w:trPr>
          <w:trHeight w:val="308"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488598">
            <w:pPr>
              <w:jc w:val="right"/>
              <w:rPr>
                <w:rFonts w:ascii="Times New Roman" w:hAnsi="Times New Roman" w:eastAsia="仿宋_GB2312" w:cs="Times New Roman"/>
                <w:color w:val="000000"/>
                <w:sz w:val="20"/>
                <w:szCs w:val="20"/>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9B45E3F">
            <w:pPr>
              <w:widowControl/>
              <w:jc w:val="center"/>
              <w:textAlignment w:val="center"/>
              <w:rPr>
                <w:rFonts w:hint="default"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9DC40B">
            <w:pPr>
              <w:jc w:val="center"/>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F9F340">
            <w:pPr>
              <w:widowControl/>
              <w:jc w:val="left"/>
              <w:textAlignment w:val="center"/>
              <w:rPr>
                <w:rFonts w:ascii="Times New Roman" w:hAnsi="Times New Roman" w:eastAsia="仿宋_GB2312" w:cs="Times New Roman"/>
                <w:color w:val="000000"/>
                <w:kern w:val="0"/>
                <w:sz w:val="22"/>
                <w:szCs w:val="22"/>
                <w:lang w:val="en-US" w:eastAsia="zh-CN" w:bidi="ar"/>
              </w:rPr>
            </w:pPr>
            <w:r>
              <w:rPr>
                <w:rFonts w:hint="eastAsia" w:ascii="Times New Roman" w:hAnsi="Times New Roman" w:eastAsia="仿宋_GB2312" w:cs="Times New Roman"/>
                <w:color w:val="000000"/>
                <w:kern w:val="0"/>
                <w:sz w:val="22"/>
                <w:lang w:bidi="ar"/>
              </w:rPr>
              <w:t>二十五、债务付息支出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2A3B90A">
            <w:pPr>
              <w:widowControl/>
              <w:jc w:val="center"/>
              <w:textAlignment w:val="center"/>
              <w:rPr>
                <w:rFonts w:hint="default"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56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43EC4A">
            <w:pPr>
              <w:jc w:val="center"/>
              <w:rPr>
                <w:rFonts w:hint="eastAsia" w:ascii="Times New Roman" w:hAnsi="Times New Roman" w:eastAsia="仿宋_GB2312" w:cs="Times New Roman"/>
                <w:color w:val="000000"/>
                <w:sz w:val="22"/>
                <w:lang w:val="en-US" w:eastAsia="zh-CN"/>
              </w:rPr>
            </w:pPr>
          </w:p>
        </w:tc>
      </w:tr>
      <w:tr w14:paraId="7100D070">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15716A">
            <w:pPr>
              <w:jc w:val="right"/>
              <w:rPr>
                <w:rFonts w:ascii="Times New Roman" w:hAnsi="Times New Roman" w:eastAsia="仿宋_GB2312" w:cs="Times New Roman"/>
                <w:color w:val="000000"/>
                <w:sz w:val="20"/>
                <w:szCs w:val="20"/>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7B3D8F9">
            <w:pPr>
              <w:widowControl/>
              <w:jc w:val="center"/>
              <w:textAlignment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26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06F349">
            <w:pPr>
              <w:jc w:val="center"/>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91535D">
            <w:pPr>
              <w:widowControl/>
              <w:jc w:val="left"/>
              <w:textAlignment w:val="center"/>
              <w:rPr>
                <w:rFonts w:ascii="Times New Roman" w:hAnsi="Times New Roman" w:eastAsia="仿宋_GB2312" w:cs="Times New Roman"/>
                <w:color w:val="000000"/>
                <w:kern w:val="0"/>
                <w:sz w:val="22"/>
                <w:szCs w:val="22"/>
                <w:lang w:val="en-US" w:eastAsia="zh-CN" w:bidi="ar"/>
              </w:rPr>
            </w:pPr>
            <w:r>
              <w:rPr>
                <w:rFonts w:hint="eastAsia" w:ascii="Times New Roman" w:hAnsi="Times New Roman" w:eastAsia="仿宋_GB2312" w:cs="Times New Roman"/>
                <w:color w:val="000000"/>
                <w:kern w:val="0"/>
                <w:sz w:val="22"/>
                <w:lang w:bidi="ar"/>
              </w:rPr>
              <w:t>二十六、抗疫特别国债安排的支出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90F7FC1">
            <w:pPr>
              <w:widowControl/>
              <w:jc w:val="center"/>
              <w:textAlignment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57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E36826">
            <w:pPr>
              <w:jc w:val="center"/>
              <w:rPr>
                <w:rFonts w:hint="eastAsia" w:ascii="Times New Roman" w:hAnsi="Times New Roman" w:eastAsia="仿宋_GB2312" w:cs="Times New Roman"/>
                <w:color w:val="000000"/>
                <w:sz w:val="22"/>
                <w:lang w:val="en-US" w:eastAsia="zh-CN"/>
              </w:rPr>
            </w:pPr>
          </w:p>
        </w:tc>
      </w:tr>
      <w:tr w14:paraId="3126F5A2">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066137">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本年收入合计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9BF0812">
            <w:pPr>
              <w:widowControl/>
              <w:jc w:val="center"/>
              <w:textAlignment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27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4231CA">
            <w:pPr>
              <w:jc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3540.73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A05858">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本年支出合计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80BCA2F">
            <w:pPr>
              <w:widowControl/>
              <w:jc w:val="center"/>
              <w:textAlignment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58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004D04">
            <w:pPr>
              <w:jc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3540.73</w:t>
            </w:r>
          </w:p>
        </w:tc>
      </w:tr>
      <w:tr w14:paraId="56083723">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BABEBF">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 xml:space="preserve">    使用非财政拨款结余（含专用结余）</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DD73D15">
            <w:pPr>
              <w:widowControl/>
              <w:jc w:val="center"/>
              <w:textAlignment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28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6D390E">
            <w:pPr>
              <w:jc w:val="center"/>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D6C6EA">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 xml:space="preserve">                结余分配</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5F05854">
            <w:pPr>
              <w:widowControl/>
              <w:jc w:val="center"/>
              <w:textAlignment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59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2E64DB">
            <w:pPr>
              <w:jc w:val="center"/>
              <w:rPr>
                <w:rFonts w:hint="eastAsia" w:ascii="Times New Roman" w:hAnsi="Times New Roman" w:eastAsia="仿宋_GB2312" w:cs="Times New Roman"/>
                <w:color w:val="000000"/>
                <w:sz w:val="22"/>
                <w:lang w:val="en-US" w:eastAsia="zh-CN"/>
              </w:rPr>
            </w:pPr>
          </w:p>
        </w:tc>
      </w:tr>
      <w:tr w14:paraId="5161EE01">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2A6A61">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 xml:space="preserve">         年初结转和结余</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3BB6D25">
            <w:pPr>
              <w:widowControl/>
              <w:jc w:val="center"/>
              <w:textAlignment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29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69AC9C">
            <w:pPr>
              <w:jc w:val="center"/>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69CE46">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 xml:space="preserve">                年末结转和结余</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820F4CA">
            <w:pPr>
              <w:widowControl/>
              <w:jc w:val="center"/>
              <w:textAlignment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kern w:val="0"/>
                <w:sz w:val="22"/>
                <w:lang w:val="en-US" w:eastAsia="zh-CN" w:bidi="ar"/>
              </w:rPr>
              <w:t>60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ABD090">
            <w:pPr>
              <w:jc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0.00</w:t>
            </w:r>
          </w:p>
        </w:tc>
      </w:tr>
      <w:tr w14:paraId="0B6B4CE9">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30FF120">
            <w:pPr>
              <w:widowControl/>
              <w:jc w:val="center"/>
              <w:textAlignment w:val="center"/>
              <w:rPr>
                <w:rFonts w:ascii="Times New Roman" w:hAnsi="Times New Roman" w:eastAsia="仿宋_GB2312" w:cs="Times New Roman"/>
                <w:b/>
                <w:color w:val="000000"/>
                <w:kern w:val="0"/>
                <w:sz w:val="22"/>
                <w:lang w:bidi="ar"/>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19C484C">
            <w:pPr>
              <w:widowControl/>
              <w:jc w:val="center"/>
              <w:textAlignment w:val="center"/>
              <w:rPr>
                <w:rFonts w:hint="default"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30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9AF3E0">
            <w:pPr>
              <w:jc w:val="center"/>
              <w:rPr>
                <w:rFonts w:hint="eastAsia" w:ascii="Times New Roman" w:hAnsi="Times New Roman" w:eastAsia="仿宋_GB2312" w:cs="Times New Roman"/>
                <w:color w:val="000000"/>
                <w:sz w:val="22"/>
                <w:lang w:val="en-US" w:eastAsia="zh-CN"/>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8B0EFCB">
            <w:pPr>
              <w:widowControl/>
              <w:jc w:val="center"/>
              <w:textAlignment w:val="center"/>
              <w:rPr>
                <w:rFonts w:ascii="Times New Roman" w:hAnsi="Times New Roman" w:eastAsia="仿宋_GB2312" w:cs="Times New Roman"/>
                <w:b/>
                <w:color w:val="000000"/>
                <w:kern w:val="0"/>
                <w:sz w:val="22"/>
                <w:lang w:bidi="ar"/>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05D7549">
            <w:pPr>
              <w:widowControl/>
              <w:jc w:val="center"/>
              <w:textAlignment w:val="center"/>
              <w:rPr>
                <w:rFonts w:hint="default"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61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FDD042">
            <w:pPr>
              <w:jc w:val="center"/>
              <w:rPr>
                <w:rFonts w:hint="eastAsia" w:ascii="Times New Roman" w:hAnsi="Times New Roman" w:eastAsia="仿宋_GB2312" w:cs="Times New Roman"/>
                <w:color w:val="000000"/>
                <w:sz w:val="22"/>
                <w:lang w:val="en-US" w:eastAsia="zh-CN"/>
              </w:rPr>
            </w:pPr>
          </w:p>
        </w:tc>
      </w:tr>
      <w:tr w14:paraId="60DBA504">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208CA58">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总计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454FB10">
            <w:pPr>
              <w:widowControl/>
              <w:jc w:val="center"/>
              <w:textAlignment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31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9E5B31">
            <w:pPr>
              <w:jc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3540.73</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E1D4E79">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总计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BB87684">
            <w:pPr>
              <w:widowControl/>
              <w:jc w:val="center"/>
              <w:textAlignment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62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C673F9">
            <w:pPr>
              <w:jc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3540.73</w:t>
            </w:r>
          </w:p>
        </w:tc>
      </w:tr>
    </w:tbl>
    <w:p w14:paraId="491F4D58">
      <w:pPr>
        <w:widowControl/>
        <w:jc w:val="left"/>
        <w:textAlignment w:val="center"/>
        <w:rPr>
          <w:rFonts w:ascii="Times New Roman" w:hAnsi="Times New Roman" w:eastAsia="仿宋_GB2312" w:cs="Times New Roman"/>
          <w:color w:val="000000"/>
          <w:kern w:val="0"/>
          <w:sz w:val="24"/>
          <w:szCs w:val="24"/>
          <w:lang w:bidi="ar"/>
        </w:rPr>
      </w:pPr>
    </w:p>
    <w:p w14:paraId="622EEFAB">
      <w:pPr>
        <w:widowControl/>
        <w:jc w:val="left"/>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注：1.本表反映部门本年度的总收支和年末结转结余情况。</w:t>
      </w:r>
      <w:r>
        <w:rPr>
          <w:rFonts w:ascii="Times New Roman" w:hAnsi="Times New Roman" w:eastAsia="仿宋_GB2312" w:cs="Times New Roman"/>
          <w:color w:val="000000"/>
          <w:kern w:val="0"/>
          <w:sz w:val="24"/>
          <w:szCs w:val="24"/>
          <w:lang w:bidi="ar"/>
        </w:rPr>
        <w:br w:type="textWrapping"/>
      </w:r>
      <w:r>
        <w:rPr>
          <w:rFonts w:ascii="Times New Roman" w:hAnsi="Times New Roman" w:eastAsia="仿宋_GB2312" w:cs="Times New Roman"/>
          <w:color w:val="000000"/>
          <w:kern w:val="0"/>
          <w:sz w:val="24"/>
          <w:szCs w:val="24"/>
          <w:lang w:bidi="ar"/>
        </w:rPr>
        <w:t xml:space="preserve">    2.本套报表金额单位转换时可能存在尾数误差。</w:t>
      </w:r>
    </w:p>
    <w:p w14:paraId="53EC86B5">
      <w:pPr>
        <w:rPr>
          <w:rFonts w:ascii="Times New Roman" w:hAnsi="Times New Roman" w:eastAsia="华文中宋" w:cs="Times New Roman"/>
          <w:color w:val="000000"/>
          <w:sz w:val="32"/>
          <w:szCs w:val="32"/>
        </w:rPr>
      </w:pPr>
      <w:r>
        <w:rPr>
          <w:rFonts w:ascii="Times New Roman" w:hAnsi="Times New Roman" w:eastAsia="华文中宋" w:cs="Times New Roman"/>
          <w:color w:val="000000"/>
          <w:sz w:val="32"/>
          <w:szCs w:val="32"/>
        </w:rPr>
        <w:br w:type="page"/>
      </w:r>
    </w:p>
    <w:p w14:paraId="7E119960">
      <w:pPr>
        <w:widowControl/>
        <w:spacing w:line="400" w:lineRule="exact"/>
        <w:jc w:val="center"/>
        <w:textAlignment w:val="center"/>
        <w:rPr>
          <w:rFonts w:ascii="Times New Roman" w:hAnsi="Times New Roman" w:eastAsia="黑体" w:cs="Times New Roman"/>
          <w:color w:val="000000"/>
          <w:kern w:val="0"/>
          <w:sz w:val="32"/>
          <w:szCs w:val="32"/>
          <w:lang w:bidi="ar"/>
        </w:rPr>
      </w:pPr>
    </w:p>
    <w:p w14:paraId="5EB809C8">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收入决算表</w:t>
      </w:r>
    </w:p>
    <w:p w14:paraId="2A5EFFAF">
      <w:pPr>
        <w:tabs>
          <w:tab w:val="left" w:pos="315"/>
          <w:tab w:val="left" w:pos="630"/>
          <w:tab w:val="left" w:pos="2100"/>
          <w:tab w:val="left" w:pos="3895"/>
          <w:tab w:val="left" w:pos="5690"/>
          <w:tab w:val="left" w:pos="7485"/>
          <w:tab w:val="left" w:pos="9280"/>
          <w:tab w:val="left" w:pos="11075"/>
          <w:tab w:val="left" w:pos="12870"/>
        </w:tabs>
        <w:jc w:val="right"/>
        <w:rPr>
          <w:rFonts w:ascii="Times New Roman" w:hAnsi="Times New Roman" w:eastAsia="仿宋_GB2312" w:cs="Times New Roman"/>
          <w:color w:val="000000"/>
          <w:sz w:val="20"/>
          <w:szCs w:val="20"/>
        </w:rPr>
      </w:pP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公开02表</w:t>
      </w:r>
    </w:p>
    <w:p w14:paraId="0A6535CC">
      <w:pPr>
        <w:tabs>
          <w:tab w:val="left" w:pos="630"/>
          <w:tab w:val="left" w:pos="2100"/>
          <w:tab w:val="left" w:pos="3895"/>
          <w:tab w:val="left" w:pos="5690"/>
          <w:tab w:val="left" w:pos="7485"/>
          <w:tab w:val="left" w:pos="9280"/>
          <w:tab w:val="left" w:pos="11075"/>
          <w:tab w:val="left" w:pos="12870"/>
        </w:tabs>
        <w:jc w:val="both"/>
        <w:rPr>
          <w:rFonts w:ascii="Times New Roman" w:hAnsi="Times New Roman" w:eastAsia="仿宋_GB2312" w:cs="Times New Roman"/>
          <w:color w:val="000000"/>
          <w:sz w:val="20"/>
          <w:szCs w:val="20"/>
        </w:rPr>
      </w:pPr>
      <w:r>
        <w:rPr>
          <w:rFonts w:hint="eastAsia" w:ascii="Times New Roman" w:hAnsi="Times New Roman" w:eastAsia="仿宋_GB2312" w:cs="Times New Roman"/>
          <w:color w:val="000000"/>
          <w:sz w:val="20"/>
          <w:szCs w:val="20"/>
          <w:lang w:val="en-US" w:eastAsia="zh-CN"/>
        </w:rPr>
        <w:t xml:space="preserve"> </w:t>
      </w:r>
      <w:r>
        <w:rPr>
          <w:rFonts w:ascii="Times New Roman" w:hAnsi="Times New Roman" w:eastAsia="仿宋_GB2312" w:cs="Times New Roman"/>
          <w:color w:val="000000"/>
          <w:sz w:val="20"/>
          <w:szCs w:val="20"/>
        </w:rPr>
        <w:t>部门：</w:t>
      </w:r>
      <w:r>
        <w:rPr>
          <w:rFonts w:hint="eastAsia" w:ascii="Times New Roman" w:hAnsi="Times New Roman" w:eastAsia="仿宋_GB2312" w:cs="Times New Roman"/>
          <w:color w:val="000000"/>
          <w:sz w:val="20"/>
          <w:szCs w:val="20"/>
        </w:rPr>
        <w:t>祁阳现代农业产业园区管理委员会</w:t>
      </w:r>
      <w:r>
        <w:rPr>
          <w:rFonts w:ascii="Times New Roman" w:hAnsi="Times New Roman" w:eastAsia="仿宋_GB2312" w:cs="Times New Roman"/>
        </w:rPr>
        <w:t>　</w:t>
      </w:r>
      <w:r>
        <w:rPr>
          <w:rFonts w:hint="eastAsia" w:ascii="Times New Roman" w:hAnsi="Times New Roman" w:eastAsia="仿宋_GB2312" w:cs="Times New Roman"/>
          <w:lang w:val="en-US" w:eastAsia="zh-CN"/>
        </w:rPr>
        <w:t xml:space="preserve">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　</w:t>
      </w:r>
      <w:r>
        <w:rPr>
          <w:rFonts w:hint="eastAsia" w:ascii="Times New Roman" w:hAnsi="Times New Roman" w:eastAsia="仿宋_GB2312" w:cs="Times New Roman"/>
          <w:color w:val="000000"/>
          <w:sz w:val="20"/>
          <w:szCs w:val="20"/>
          <w:lang w:val="en-US" w:eastAsia="zh-CN"/>
        </w:rPr>
        <w:t xml:space="preserve">                </w:t>
      </w:r>
      <w:r>
        <w:rPr>
          <w:rFonts w:ascii="Times New Roman" w:hAnsi="Times New Roman" w:eastAsia="仿宋_GB2312" w:cs="Times New Roman"/>
        </w:rPr>
        <w:t>　</w:t>
      </w:r>
      <w:r>
        <w:rPr>
          <w:rFonts w:ascii="Times New Roman" w:hAnsi="Times New Roman" w:eastAsia="仿宋_GB2312" w:cs="Times New Roman"/>
          <w:color w:val="000000"/>
          <w:sz w:val="20"/>
          <w:szCs w:val="20"/>
        </w:rPr>
        <w:t>单位：万元</w:t>
      </w:r>
    </w:p>
    <w:tbl>
      <w:tblPr>
        <w:tblStyle w:val="13"/>
        <w:tblW w:w="13170" w:type="dxa"/>
        <w:jc w:val="center"/>
        <w:tblLayout w:type="fixed"/>
        <w:tblCellMar>
          <w:top w:w="0" w:type="dxa"/>
          <w:left w:w="0" w:type="dxa"/>
          <w:bottom w:w="0" w:type="dxa"/>
          <w:right w:w="0" w:type="dxa"/>
        </w:tblCellMar>
      </w:tblPr>
      <w:tblGrid>
        <w:gridCol w:w="1037"/>
        <w:gridCol w:w="3144"/>
        <w:gridCol w:w="1442"/>
        <w:gridCol w:w="1420"/>
        <w:gridCol w:w="1273"/>
        <w:gridCol w:w="1143"/>
        <w:gridCol w:w="1274"/>
        <w:gridCol w:w="1264"/>
        <w:gridCol w:w="1173"/>
      </w:tblGrid>
      <w:tr w14:paraId="06B1AA2F">
        <w:tblPrEx>
          <w:tblCellMar>
            <w:top w:w="0" w:type="dxa"/>
            <w:left w:w="0" w:type="dxa"/>
            <w:bottom w:w="0" w:type="dxa"/>
            <w:right w:w="0" w:type="dxa"/>
          </w:tblCellMar>
        </w:tblPrEx>
        <w:trPr>
          <w:trHeight w:val="450" w:hRule="atLeast"/>
          <w:jc w:val="center"/>
        </w:trPr>
        <w:tc>
          <w:tcPr>
            <w:tcW w:w="4181" w:type="dxa"/>
            <w:gridSpan w:val="2"/>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6EAA33AA">
            <w:pPr>
              <w:jc w:val="center"/>
              <w:rPr>
                <w:rFonts w:ascii="Times New Roman" w:hAnsi="Times New Roman" w:eastAsia="仿宋_GB2312" w:cs="Times New Roman"/>
                <w:b/>
                <w:bCs/>
                <w:sz w:val="24"/>
                <w:szCs w:val="24"/>
              </w:rPr>
            </w:pPr>
            <w:r>
              <w:rPr>
                <w:rFonts w:ascii="Times New Roman" w:hAnsi="Times New Roman" w:eastAsia="仿宋_GB2312" w:cs="Times New Roman"/>
                <w:b/>
                <w:bCs/>
              </w:rPr>
              <w:t>项    目</w:t>
            </w:r>
          </w:p>
        </w:tc>
        <w:tc>
          <w:tcPr>
            <w:tcW w:w="1442"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06142BAF">
            <w:pPr>
              <w:jc w:val="center"/>
              <w:rPr>
                <w:rFonts w:ascii="Times New Roman" w:hAnsi="Times New Roman" w:eastAsia="仿宋_GB2312" w:cs="Times New Roman"/>
                <w:b/>
                <w:bCs/>
                <w:sz w:val="24"/>
                <w:szCs w:val="24"/>
              </w:rPr>
            </w:pPr>
            <w:r>
              <w:rPr>
                <w:rFonts w:ascii="Times New Roman" w:hAnsi="Times New Roman" w:eastAsia="仿宋_GB2312" w:cs="Times New Roman"/>
                <w:b/>
                <w:bCs/>
              </w:rPr>
              <w:t>本年收入合计</w:t>
            </w:r>
          </w:p>
        </w:tc>
        <w:tc>
          <w:tcPr>
            <w:tcW w:w="1420" w:type="dxa"/>
            <w:vMerge w:val="restart"/>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1061187B">
            <w:pPr>
              <w:jc w:val="center"/>
              <w:rPr>
                <w:rFonts w:ascii="Times New Roman" w:hAnsi="Times New Roman" w:eastAsia="仿宋_GB2312" w:cs="Times New Roman"/>
                <w:b/>
                <w:bCs/>
                <w:sz w:val="24"/>
                <w:szCs w:val="24"/>
              </w:rPr>
            </w:pPr>
            <w:r>
              <w:rPr>
                <w:rFonts w:ascii="Times New Roman" w:hAnsi="Times New Roman" w:eastAsia="仿宋_GB2312" w:cs="Times New Roman"/>
                <w:b/>
                <w:bCs/>
              </w:rPr>
              <w:t>财政拨款收入</w:t>
            </w:r>
          </w:p>
        </w:tc>
        <w:tc>
          <w:tcPr>
            <w:tcW w:w="1273"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1C74BA61">
            <w:pPr>
              <w:jc w:val="center"/>
              <w:rPr>
                <w:rFonts w:ascii="Times New Roman" w:hAnsi="Times New Roman" w:eastAsia="仿宋_GB2312" w:cs="Times New Roman"/>
                <w:b/>
                <w:bCs/>
                <w:sz w:val="24"/>
                <w:szCs w:val="24"/>
              </w:rPr>
            </w:pPr>
            <w:r>
              <w:rPr>
                <w:rFonts w:ascii="Times New Roman" w:hAnsi="Times New Roman" w:eastAsia="仿宋_GB2312" w:cs="Times New Roman"/>
                <w:b/>
                <w:bCs/>
              </w:rPr>
              <w:t>上级补助收入</w:t>
            </w:r>
          </w:p>
        </w:tc>
        <w:tc>
          <w:tcPr>
            <w:tcW w:w="1143"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1AC02DD5">
            <w:pPr>
              <w:jc w:val="center"/>
              <w:rPr>
                <w:rFonts w:ascii="Times New Roman" w:hAnsi="Times New Roman" w:eastAsia="仿宋_GB2312" w:cs="Times New Roman"/>
                <w:b/>
                <w:bCs/>
                <w:sz w:val="24"/>
                <w:szCs w:val="24"/>
              </w:rPr>
            </w:pPr>
            <w:r>
              <w:rPr>
                <w:rFonts w:ascii="Times New Roman" w:hAnsi="Times New Roman" w:eastAsia="仿宋_GB2312" w:cs="Times New Roman"/>
                <w:b/>
                <w:bCs/>
              </w:rPr>
              <w:t>事业收入</w:t>
            </w:r>
          </w:p>
        </w:tc>
        <w:tc>
          <w:tcPr>
            <w:tcW w:w="1274"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7DF9E0AD">
            <w:pPr>
              <w:jc w:val="center"/>
              <w:rPr>
                <w:rFonts w:ascii="Times New Roman" w:hAnsi="Times New Roman" w:eastAsia="仿宋_GB2312" w:cs="Times New Roman"/>
                <w:b/>
                <w:bCs/>
                <w:sz w:val="24"/>
                <w:szCs w:val="24"/>
              </w:rPr>
            </w:pPr>
            <w:r>
              <w:rPr>
                <w:rFonts w:ascii="Times New Roman" w:hAnsi="Times New Roman" w:eastAsia="仿宋_GB2312" w:cs="Times New Roman"/>
                <w:b/>
                <w:bCs/>
              </w:rPr>
              <w:t>经营收入</w:t>
            </w:r>
          </w:p>
        </w:tc>
        <w:tc>
          <w:tcPr>
            <w:tcW w:w="1264"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7FA29259">
            <w:pPr>
              <w:jc w:val="center"/>
              <w:rPr>
                <w:rFonts w:ascii="Times New Roman" w:hAnsi="Times New Roman" w:eastAsia="仿宋_GB2312" w:cs="Times New Roman"/>
                <w:b/>
                <w:bCs/>
                <w:sz w:val="24"/>
                <w:szCs w:val="24"/>
              </w:rPr>
            </w:pPr>
            <w:r>
              <w:rPr>
                <w:rFonts w:ascii="Times New Roman" w:hAnsi="Times New Roman" w:eastAsia="仿宋_GB2312" w:cs="Times New Roman"/>
                <w:b/>
                <w:bCs/>
              </w:rPr>
              <w:t>附属单位上缴收入</w:t>
            </w:r>
          </w:p>
        </w:tc>
        <w:tc>
          <w:tcPr>
            <w:tcW w:w="1173"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660881AA">
            <w:pPr>
              <w:jc w:val="center"/>
              <w:rPr>
                <w:rFonts w:ascii="Times New Roman" w:hAnsi="Times New Roman" w:eastAsia="仿宋_GB2312" w:cs="Times New Roman"/>
                <w:b/>
                <w:bCs/>
                <w:sz w:val="24"/>
                <w:szCs w:val="24"/>
              </w:rPr>
            </w:pPr>
            <w:r>
              <w:rPr>
                <w:rFonts w:ascii="Times New Roman" w:hAnsi="Times New Roman" w:eastAsia="仿宋_GB2312" w:cs="Times New Roman"/>
                <w:b/>
                <w:bCs/>
              </w:rPr>
              <w:t>其他收入</w:t>
            </w:r>
          </w:p>
        </w:tc>
      </w:tr>
      <w:tr w14:paraId="4A66EB39">
        <w:tblPrEx>
          <w:tblCellMar>
            <w:top w:w="0" w:type="dxa"/>
            <w:left w:w="0" w:type="dxa"/>
            <w:bottom w:w="0" w:type="dxa"/>
            <w:right w:w="0" w:type="dxa"/>
          </w:tblCellMar>
        </w:tblPrEx>
        <w:trPr>
          <w:trHeight w:val="334" w:hRule="exact"/>
          <w:jc w:val="center"/>
        </w:trPr>
        <w:tc>
          <w:tcPr>
            <w:tcW w:w="1037"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46CBC243">
            <w:pPr>
              <w:jc w:val="center"/>
              <w:rPr>
                <w:rFonts w:ascii="Times New Roman" w:hAnsi="Times New Roman" w:eastAsia="仿宋_GB2312" w:cs="Times New Roman"/>
                <w:b/>
                <w:bCs/>
                <w:sz w:val="24"/>
                <w:szCs w:val="24"/>
              </w:rPr>
            </w:pPr>
            <w:r>
              <w:rPr>
                <w:rFonts w:ascii="Times New Roman" w:hAnsi="Times New Roman" w:eastAsia="仿宋_GB2312" w:cs="Times New Roman"/>
                <w:b/>
                <w:bCs/>
              </w:rPr>
              <w:t>功能分类科目编码</w:t>
            </w:r>
          </w:p>
        </w:tc>
        <w:tc>
          <w:tcPr>
            <w:tcW w:w="3144" w:type="dxa"/>
            <w:vMerge w:val="restart"/>
            <w:tcBorders>
              <w:top w:val="nil"/>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29CAD93B">
            <w:pPr>
              <w:jc w:val="center"/>
              <w:rPr>
                <w:rFonts w:ascii="Times New Roman" w:hAnsi="Times New Roman" w:eastAsia="仿宋_GB2312" w:cs="Times New Roman"/>
                <w:b/>
                <w:bCs/>
                <w:sz w:val="24"/>
                <w:szCs w:val="24"/>
              </w:rPr>
            </w:pPr>
            <w:r>
              <w:rPr>
                <w:rFonts w:ascii="Times New Roman" w:hAnsi="Times New Roman" w:eastAsia="仿宋_GB2312" w:cs="Times New Roman"/>
                <w:b/>
                <w:bCs/>
              </w:rPr>
              <w:t>科目名称</w:t>
            </w:r>
          </w:p>
        </w:tc>
        <w:tc>
          <w:tcPr>
            <w:tcW w:w="1442" w:type="dxa"/>
            <w:vMerge w:val="continue"/>
            <w:tcBorders>
              <w:top w:val="single" w:color="auto" w:sz="4" w:space="0"/>
              <w:left w:val="single" w:color="auto" w:sz="4" w:space="0"/>
              <w:bottom w:val="single" w:color="auto" w:sz="4" w:space="0"/>
              <w:right w:val="single" w:color="auto" w:sz="4" w:space="0"/>
            </w:tcBorders>
            <w:vAlign w:val="center"/>
          </w:tcPr>
          <w:p w14:paraId="5768206C">
            <w:pPr>
              <w:rPr>
                <w:rFonts w:ascii="Times New Roman" w:hAnsi="Times New Roman" w:eastAsia="仿宋_GB2312" w:cs="Times New Roman"/>
                <w:sz w:val="24"/>
                <w:szCs w:val="24"/>
              </w:rPr>
            </w:pPr>
          </w:p>
        </w:tc>
        <w:tc>
          <w:tcPr>
            <w:tcW w:w="1420" w:type="dxa"/>
            <w:vMerge w:val="continue"/>
            <w:tcBorders>
              <w:top w:val="single" w:color="auto" w:sz="4" w:space="0"/>
              <w:left w:val="single" w:color="auto" w:sz="4" w:space="0"/>
              <w:bottom w:val="single" w:color="auto" w:sz="4" w:space="0"/>
              <w:right w:val="single" w:color="auto" w:sz="4" w:space="0"/>
            </w:tcBorders>
            <w:vAlign w:val="center"/>
          </w:tcPr>
          <w:p w14:paraId="75A37FDE">
            <w:pPr>
              <w:rPr>
                <w:rFonts w:ascii="Times New Roman" w:hAnsi="Times New Roman" w:eastAsia="仿宋_GB2312" w:cs="Times New Roman"/>
                <w:sz w:val="24"/>
                <w:szCs w:val="24"/>
              </w:rPr>
            </w:pPr>
          </w:p>
        </w:tc>
        <w:tc>
          <w:tcPr>
            <w:tcW w:w="1273" w:type="dxa"/>
            <w:vMerge w:val="continue"/>
            <w:tcBorders>
              <w:top w:val="single" w:color="auto" w:sz="4" w:space="0"/>
              <w:left w:val="single" w:color="auto" w:sz="4" w:space="0"/>
              <w:bottom w:val="single" w:color="auto" w:sz="4" w:space="0"/>
              <w:right w:val="single" w:color="auto" w:sz="4" w:space="0"/>
            </w:tcBorders>
            <w:vAlign w:val="center"/>
          </w:tcPr>
          <w:p w14:paraId="6665F2C1">
            <w:pPr>
              <w:rPr>
                <w:rFonts w:ascii="Times New Roman" w:hAnsi="Times New Roman" w:eastAsia="仿宋_GB2312" w:cs="Times New Roman"/>
                <w:sz w:val="24"/>
                <w:szCs w:val="24"/>
              </w:rPr>
            </w:pPr>
          </w:p>
        </w:tc>
        <w:tc>
          <w:tcPr>
            <w:tcW w:w="1143" w:type="dxa"/>
            <w:vMerge w:val="continue"/>
            <w:tcBorders>
              <w:top w:val="single" w:color="auto" w:sz="4" w:space="0"/>
              <w:left w:val="single" w:color="auto" w:sz="4" w:space="0"/>
              <w:bottom w:val="single" w:color="auto" w:sz="4" w:space="0"/>
              <w:right w:val="single" w:color="auto" w:sz="4" w:space="0"/>
            </w:tcBorders>
            <w:vAlign w:val="center"/>
          </w:tcPr>
          <w:p w14:paraId="51E31BE0">
            <w:pPr>
              <w:rPr>
                <w:rFonts w:ascii="Times New Roman" w:hAnsi="Times New Roman" w:eastAsia="仿宋_GB2312" w:cs="Times New Roman"/>
                <w:sz w:val="24"/>
                <w:szCs w:val="24"/>
              </w:rPr>
            </w:pPr>
          </w:p>
        </w:tc>
        <w:tc>
          <w:tcPr>
            <w:tcW w:w="1274" w:type="dxa"/>
            <w:vMerge w:val="continue"/>
            <w:tcBorders>
              <w:top w:val="single" w:color="auto" w:sz="4" w:space="0"/>
              <w:left w:val="single" w:color="auto" w:sz="4" w:space="0"/>
              <w:bottom w:val="single" w:color="auto" w:sz="4" w:space="0"/>
              <w:right w:val="single" w:color="auto" w:sz="4" w:space="0"/>
            </w:tcBorders>
            <w:vAlign w:val="center"/>
          </w:tcPr>
          <w:p w14:paraId="17C735CE">
            <w:pPr>
              <w:rPr>
                <w:rFonts w:ascii="Times New Roman" w:hAnsi="Times New Roman" w:eastAsia="仿宋_GB2312" w:cs="Times New Roman"/>
                <w:sz w:val="24"/>
                <w:szCs w:val="24"/>
              </w:rPr>
            </w:pPr>
          </w:p>
        </w:tc>
        <w:tc>
          <w:tcPr>
            <w:tcW w:w="1264" w:type="dxa"/>
            <w:vMerge w:val="continue"/>
            <w:tcBorders>
              <w:top w:val="single" w:color="auto" w:sz="4" w:space="0"/>
              <w:left w:val="single" w:color="auto" w:sz="4" w:space="0"/>
              <w:bottom w:val="single" w:color="auto" w:sz="4" w:space="0"/>
              <w:right w:val="single" w:color="auto" w:sz="4" w:space="0"/>
            </w:tcBorders>
            <w:vAlign w:val="center"/>
          </w:tcPr>
          <w:p w14:paraId="6F3EE073">
            <w:pPr>
              <w:rPr>
                <w:rFonts w:ascii="Times New Roman" w:hAnsi="Times New Roman" w:eastAsia="仿宋_GB2312" w:cs="Times New Roman"/>
                <w:sz w:val="24"/>
                <w:szCs w:val="24"/>
              </w:rPr>
            </w:pPr>
          </w:p>
        </w:tc>
        <w:tc>
          <w:tcPr>
            <w:tcW w:w="1173" w:type="dxa"/>
            <w:vMerge w:val="continue"/>
            <w:tcBorders>
              <w:top w:val="single" w:color="auto" w:sz="4" w:space="0"/>
              <w:left w:val="single" w:color="auto" w:sz="4" w:space="0"/>
              <w:bottom w:val="single" w:color="auto" w:sz="4" w:space="0"/>
              <w:right w:val="single" w:color="auto" w:sz="4" w:space="0"/>
            </w:tcBorders>
            <w:vAlign w:val="center"/>
          </w:tcPr>
          <w:p w14:paraId="4166C469">
            <w:pPr>
              <w:rPr>
                <w:rFonts w:ascii="Times New Roman" w:hAnsi="Times New Roman" w:eastAsia="仿宋_GB2312" w:cs="Times New Roman"/>
                <w:sz w:val="24"/>
                <w:szCs w:val="24"/>
              </w:rPr>
            </w:pPr>
          </w:p>
        </w:tc>
      </w:tr>
      <w:tr w14:paraId="571D9FC8">
        <w:tblPrEx>
          <w:tblCellMar>
            <w:top w:w="0" w:type="dxa"/>
            <w:left w:w="0" w:type="dxa"/>
            <w:bottom w:w="0" w:type="dxa"/>
            <w:right w:w="0" w:type="dxa"/>
          </w:tblCellMar>
        </w:tblPrEx>
        <w:trPr>
          <w:trHeight w:val="312" w:hRule="atLeast"/>
          <w:jc w:val="center"/>
        </w:trPr>
        <w:tc>
          <w:tcPr>
            <w:tcW w:w="1037" w:type="dxa"/>
            <w:vMerge w:val="continue"/>
            <w:tcBorders>
              <w:top w:val="single" w:color="auto" w:sz="4" w:space="0"/>
              <w:left w:val="single" w:color="auto" w:sz="4" w:space="0"/>
              <w:bottom w:val="single" w:color="auto" w:sz="4" w:space="0"/>
              <w:right w:val="single" w:color="auto" w:sz="4" w:space="0"/>
            </w:tcBorders>
            <w:vAlign w:val="center"/>
          </w:tcPr>
          <w:p w14:paraId="51ED2DC6">
            <w:pPr>
              <w:rPr>
                <w:rFonts w:ascii="Times New Roman" w:hAnsi="Times New Roman" w:eastAsia="仿宋_GB2312" w:cs="Times New Roman"/>
                <w:sz w:val="24"/>
                <w:szCs w:val="24"/>
              </w:rPr>
            </w:pPr>
          </w:p>
        </w:tc>
        <w:tc>
          <w:tcPr>
            <w:tcW w:w="3144" w:type="dxa"/>
            <w:vMerge w:val="continue"/>
            <w:tcBorders>
              <w:top w:val="nil"/>
              <w:left w:val="single" w:color="auto" w:sz="4" w:space="0"/>
              <w:bottom w:val="single" w:color="auto" w:sz="4" w:space="0"/>
              <w:right w:val="single" w:color="auto" w:sz="4" w:space="0"/>
            </w:tcBorders>
            <w:vAlign w:val="center"/>
          </w:tcPr>
          <w:p w14:paraId="2584A895">
            <w:pPr>
              <w:rPr>
                <w:rFonts w:ascii="Times New Roman" w:hAnsi="Times New Roman" w:eastAsia="仿宋_GB2312" w:cs="Times New Roman"/>
                <w:sz w:val="24"/>
                <w:szCs w:val="24"/>
              </w:rPr>
            </w:pPr>
          </w:p>
        </w:tc>
        <w:tc>
          <w:tcPr>
            <w:tcW w:w="1442" w:type="dxa"/>
            <w:vMerge w:val="continue"/>
            <w:tcBorders>
              <w:top w:val="single" w:color="auto" w:sz="4" w:space="0"/>
              <w:left w:val="single" w:color="auto" w:sz="4" w:space="0"/>
              <w:bottom w:val="single" w:color="auto" w:sz="4" w:space="0"/>
              <w:right w:val="single" w:color="auto" w:sz="4" w:space="0"/>
            </w:tcBorders>
            <w:vAlign w:val="center"/>
          </w:tcPr>
          <w:p w14:paraId="5B6BA3A0">
            <w:pPr>
              <w:rPr>
                <w:rFonts w:ascii="Times New Roman" w:hAnsi="Times New Roman" w:eastAsia="仿宋_GB2312" w:cs="Times New Roman"/>
                <w:sz w:val="24"/>
                <w:szCs w:val="24"/>
              </w:rPr>
            </w:pPr>
          </w:p>
        </w:tc>
        <w:tc>
          <w:tcPr>
            <w:tcW w:w="1420" w:type="dxa"/>
            <w:vMerge w:val="continue"/>
            <w:tcBorders>
              <w:top w:val="single" w:color="auto" w:sz="4" w:space="0"/>
              <w:left w:val="single" w:color="auto" w:sz="4" w:space="0"/>
              <w:bottom w:val="single" w:color="auto" w:sz="4" w:space="0"/>
              <w:right w:val="single" w:color="auto" w:sz="4" w:space="0"/>
            </w:tcBorders>
            <w:vAlign w:val="center"/>
          </w:tcPr>
          <w:p w14:paraId="703C2485">
            <w:pPr>
              <w:rPr>
                <w:rFonts w:ascii="Times New Roman" w:hAnsi="Times New Roman" w:eastAsia="仿宋_GB2312" w:cs="Times New Roman"/>
                <w:sz w:val="24"/>
                <w:szCs w:val="24"/>
              </w:rPr>
            </w:pPr>
          </w:p>
        </w:tc>
        <w:tc>
          <w:tcPr>
            <w:tcW w:w="1273" w:type="dxa"/>
            <w:vMerge w:val="continue"/>
            <w:tcBorders>
              <w:top w:val="single" w:color="auto" w:sz="4" w:space="0"/>
              <w:left w:val="single" w:color="auto" w:sz="4" w:space="0"/>
              <w:bottom w:val="single" w:color="auto" w:sz="4" w:space="0"/>
              <w:right w:val="single" w:color="auto" w:sz="4" w:space="0"/>
            </w:tcBorders>
            <w:vAlign w:val="center"/>
          </w:tcPr>
          <w:p w14:paraId="745E71B3">
            <w:pPr>
              <w:rPr>
                <w:rFonts w:ascii="Times New Roman" w:hAnsi="Times New Roman" w:eastAsia="仿宋_GB2312" w:cs="Times New Roman"/>
                <w:sz w:val="24"/>
                <w:szCs w:val="24"/>
              </w:rPr>
            </w:pPr>
          </w:p>
        </w:tc>
        <w:tc>
          <w:tcPr>
            <w:tcW w:w="1143" w:type="dxa"/>
            <w:vMerge w:val="continue"/>
            <w:tcBorders>
              <w:top w:val="single" w:color="auto" w:sz="4" w:space="0"/>
              <w:left w:val="single" w:color="auto" w:sz="4" w:space="0"/>
              <w:bottom w:val="single" w:color="auto" w:sz="4" w:space="0"/>
              <w:right w:val="single" w:color="auto" w:sz="4" w:space="0"/>
            </w:tcBorders>
            <w:vAlign w:val="center"/>
          </w:tcPr>
          <w:p w14:paraId="77F850A5">
            <w:pPr>
              <w:rPr>
                <w:rFonts w:ascii="Times New Roman" w:hAnsi="Times New Roman" w:eastAsia="仿宋_GB2312" w:cs="Times New Roman"/>
                <w:sz w:val="24"/>
                <w:szCs w:val="24"/>
              </w:rPr>
            </w:pPr>
          </w:p>
        </w:tc>
        <w:tc>
          <w:tcPr>
            <w:tcW w:w="1274" w:type="dxa"/>
            <w:vMerge w:val="continue"/>
            <w:tcBorders>
              <w:top w:val="single" w:color="auto" w:sz="4" w:space="0"/>
              <w:left w:val="single" w:color="auto" w:sz="4" w:space="0"/>
              <w:bottom w:val="single" w:color="auto" w:sz="4" w:space="0"/>
              <w:right w:val="single" w:color="auto" w:sz="4" w:space="0"/>
            </w:tcBorders>
            <w:vAlign w:val="center"/>
          </w:tcPr>
          <w:p w14:paraId="63D899BC">
            <w:pPr>
              <w:rPr>
                <w:rFonts w:ascii="Times New Roman" w:hAnsi="Times New Roman" w:eastAsia="仿宋_GB2312" w:cs="Times New Roman"/>
                <w:sz w:val="24"/>
                <w:szCs w:val="24"/>
              </w:rPr>
            </w:pPr>
          </w:p>
        </w:tc>
        <w:tc>
          <w:tcPr>
            <w:tcW w:w="1264" w:type="dxa"/>
            <w:vMerge w:val="continue"/>
            <w:tcBorders>
              <w:top w:val="single" w:color="auto" w:sz="4" w:space="0"/>
              <w:left w:val="single" w:color="auto" w:sz="4" w:space="0"/>
              <w:bottom w:val="single" w:color="auto" w:sz="4" w:space="0"/>
              <w:right w:val="single" w:color="auto" w:sz="4" w:space="0"/>
            </w:tcBorders>
            <w:vAlign w:val="center"/>
          </w:tcPr>
          <w:p w14:paraId="53CF6BFF">
            <w:pPr>
              <w:rPr>
                <w:rFonts w:ascii="Times New Roman" w:hAnsi="Times New Roman" w:eastAsia="仿宋_GB2312" w:cs="Times New Roman"/>
                <w:sz w:val="24"/>
                <w:szCs w:val="24"/>
              </w:rPr>
            </w:pPr>
          </w:p>
        </w:tc>
        <w:tc>
          <w:tcPr>
            <w:tcW w:w="1173" w:type="dxa"/>
            <w:vMerge w:val="continue"/>
            <w:tcBorders>
              <w:top w:val="single" w:color="auto" w:sz="4" w:space="0"/>
              <w:left w:val="single" w:color="auto" w:sz="4" w:space="0"/>
              <w:bottom w:val="single" w:color="auto" w:sz="4" w:space="0"/>
              <w:right w:val="single" w:color="auto" w:sz="4" w:space="0"/>
            </w:tcBorders>
            <w:vAlign w:val="center"/>
          </w:tcPr>
          <w:p w14:paraId="10488042">
            <w:pPr>
              <w:rPr>
                <w:rFonts w:ascii="Times New Roman" w:hAnsi="Times New Roman" w:eastAsia="仿宋_GB2312" w:cs="Times New Roman"/>
                <w:sz w:val="24"/>
                <w:szCs w:val="24"/>
              </w:rPr>
            </w:pPr>
          </w:p>
        </w:tc>
      </w:tr>
      <w:tr w14:paraId="2A473D60">
        <w:tblPrEx>
          <w:tblCellMar>
            <w:top w:w="0" w:type="dxa"/>
            <w:left w:w="0" w:type="dxa"/>
            <w:bottom w:w="0" w:type="dxa"/>
            <w:right w:w="0" w:type="dxa"/>
          </w:tblCellMar>
        </w:tblPrEx>
        <w:trPr>
          <w:trHeight w:val="450" w:hRule="atLeast"/>
          <w:jc w:val="center"/>
        </w:trPr>
        <w:tc>
          <w:tcPr>
            <w:tcW w:w="4181"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3C7AD43B">
            <w:pPr>
              <w:jc w:val="center"/>
              <w:rPr>
                <w:rFonts w:ascii="Times New Roman" w:hAnsi="Times New Roman" w:eastAsia="仿宋_GB2312" w:cs="Times New Roman"/>
                <w:sz w:val="24"/>
                <w:szCs w:val="24"/>
              </w:rPr>
            </w:pPr>
            <w:r>
              <w:rPr>
                <w:rFonts w:ascii="Times New Roman" w:hAnsi="Times New Roman" w:eastAsia="仿宋_GB2312" w:cs="Times New Roman"/>
              </w:rPr>
              <w:t>栏次</w:t>
            </w:r>
          </w:p>
        </w:tc>
        <w:tc>
          <w:tcPr>
            <w:tcW w:w="1442"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4966C02C">
            <w:pPr>
              <w:jc w:val="center"/>
              <w:rPr>
                <w:rFonts w:ascii="Times New Roman" w:hAnsi="Times New Roman" w:eastAsia="仿宋_GB2312" w:cs="Times New Roman"/>
                <w:sz w:val="24"/>
                <w:szCs w:val="24"/>
              </w:rPr>
            </w:pPr>
            <w:r>
              <w:rPr>
                <w:rFonts w:ascii="Times New Roman" w:hAnsi="Times New Roman" w:eastAsia="仿宋_GB2312" w:cs="Times New Roman"/>
              </w:rPr>
              <w:t>1</w:t>
            </w:r>
          </w:p>
        </w:tc>
        <w:tc>
          <w:tcPr>
            <w:tcW w:w="142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15A23A17">
            <w:pPr>
              <w:jc w:val="center"/>
              <w:rPr>
                <w:rFonts w:ascii="Times New Roman" w:hAnsi="Times New Roman" w:eastAsia="仿宋_GB2312" w:cs="Times New Roman"/>
                <w:sz w:val="24"/>
                <w:szCs w:val="24"/>
              </w:rPr>
            </w:pPr>
            <w:r>
              <w:rPr>
                <w:rFonts w:ascii="Times New Roman" w:hAnsi="Times New Roman" w:eastAsia="仿宋_GB2312" w:cs="Times New Roman"/>
              </w:rPr>
              <w:t>2</w:t>
            </w:r>
          </w:p>
        </w:tc>
        <w:tc>
          <w:tcPr>
            <w:tcW w:w="1273"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71B324D6">
            <w:pPr>
              <w:jc w:val="center"/>
              <w:rPr>
                <w:rFonts w:ascii="Times New Roman" w:hAnsi="Times New Roman" w:eastAsia="仿宋_GB2312" w:cs="Times New Roman"/>
                <w:sz w:val="24"/>
                <w:szCs w:val="24"/>
              </w:rPr>
            </w:pPr>
            <w:r>
              <w:rPr>
                <w:rFonts w:ascii="Times New Roman" w:hAnsi="Times New Roman" w:eastAsia="仿宋_GB2312" w:cs="Times New Roman"/>
              </w:rPr>
              <w:t>3</w:t>
            </w:r>
          </w:p>
        </w:tc>
        <w:tc>
          <w:tcPr>
            <w:tcW w:w="1143"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7AABFD35">
            <w:pPr>
              <w:jc w:val="center"/>
              <w:rPr>
                <w:rFonts w:ascii="Times New Roman" w:hAnsi="Times New Roman" w:eastAsia="仿宋_GB2312" w:cs="Times New Roman"/>
                <w:sz w:val="24"/>
                <w:szCs w:val="24"/>
              </w:rPr>
            </w:pPr>
            <w:r>
              <w:rPr>
                <w:rFonts w:ascii="Times New Roman" w:hAnsi="Times New Roman" w:eastAsia="仿宋_GB2312" w:cs="Times New Roman"/>
              </w:rPr>
              <w:t>4</w:t>
            </w:r>
          </w:p>
        </w:tc>
        <w:tc>
          <w:tcPr>
            <w:tcW w:w="1274"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49686605">
            <w:pPr>
              <w:jc w:val="center"/>
              <w:rPr>
                <w:rFonts w:ascii="Times New Roman" w:hAnsi="Times New Roman" w:eastAsia="仿宋_GB2312" w:cs="Times New Roman"/>
                <w:sz w:val="24"/>
                <w:szCs w:val="24"/>
              </w:rPr>
            </w:pPr>
            <w:r>
              <w:rPr>
                <w:rFonts w:ascii="Times New Roman" w:hAnsi="Times New Roman" w:eastAsia="仿宋_GB2312" w:cs="Times New Roman"/>
              </w:rPr>
              <w:t>5</w:t>
            </w:r>
          </w:p>
        </w:tc>
        <w:tc>
          <w:tcPr>
            <w:tcW w:w="1264"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6D63B7D2">
            <w:pPr>
              <w:jc w:val="center"/>
              <w:rPr>
                <w:rFonts w:ascii="Times New Roman" w:hAnsi="Times New Roman" w:eastAsia="仿宋_GB2312" w:cs="Times New Roman"/>
                <w:sz w:val="24"/>
                <w:szCs w:val="24"/>
              </w:rPr>
            </w:pPr>
            <w:r>
              <w:rPr>
                <w:rFonts w:ascii="Times New Roman" w:hAnsi="Times New Roman" w:eastAsia="仿宋_GB2312" w:cs="Times New Roman"/>
              </w:rPr>
              <w:t>6</w:t>
            </w:r>
          </w:p>
        </w:tc>
        <w:tc>
          <w:tcPr>
            <w:tcW w:w="1173"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1AC6114D">
            <w:pPr>
              <w:jc w:val="center"/>
              <w:rPr>
                <w:rFonts w:ascii="Times New Roman" w:hAnsi="Times New Roman" w:eastAsia="仿宋_GB2312" w:cs="Times New Roman"/>
                <w:sz w:val="24"/>
                <w:szCs w:val="24"/>
              </w:rPr>
            </w:pPr>
            <w:r>
              <w:rPr>
                <w:rFonts w:ascii="Times New Roman" w:hAnsi="Times New Roman" w:eastAsia="仿宋_GB2312" w:cs="Times New Roman"/>
              </w:rPr>
              <w:t>7</w:t>
            </w:r>
          </w:p>
        </w:tc>
      </w:tr>
      <w:tr w14:paraId="5CC62920">
        <w:tblPrEx>
          <w:tblCellMar>
            <w:top w:w="0" w:type="dxa"/>
            <w:left w:w="0" w:type="dxa"/>
            <w:bottom w:w="0" w:type="dxa"/>
            <w:right w:w="0" w:type="dxa"/>
          </w:tblCellMar>
        </w:tblPrEx>
        <w:trPr>
          <w:trHeight w:val="450" w:hRule="atLeast"/>
          <w:jc w:val="center"/>
        </w:trPr>
        <w:tc>
          <w:tcPr>
            <w:tcW w:w="4181"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148213DE">
            <w:pPr>
              <w:jc w:val="center"/>
              <w:rPr>
                <w:rFonts w:ascii="Times New Roman" w:hAnsi="Times New Roman" w:eastAsia="仿宋_GB2312" w:cs="Times New Roman"/>
                <w:sz w:val="24"/>
                <w:szCs w:val="24"/>
              </w:rPr>
            </w:pPr>
            <w:r>
              <w:rPr>
                <w:rFonts w:ascii="Times New Roman" w:hAnsi="Times New Roman" w:eastAsia="仿宋_GB2312" w:cs="Times New Roman"/>
              </w:rPr>
              <w:t>合计</w:t>
            </w:r>
          </w:p>
        </w:tc>
        <w:tc>
          <w:tcPr>
            <w:tcW w:w="144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538F82D">
            <w:pPr>
              <w:jc w:val="center"/>
              <w:rPr>
                <w:rFonts w:hint="eastAsia"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3540.73　</w:t>
            </w:r>
          </w:p>
        </w:tc>
        <w:tc>
          <w:tcPr>
            <w:tcW w:w="142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1EC9F55">
            <w:pPr>
              <w:jc w:val="center"/>
              <w:rPr>
                <w:rFonts w:hint="eastAsia" w:ascii="Times New Roman" w:hAnsi="Times New Roman" w:eastAsia="仿宋_GB2312" w:cs="Times New Roman"/>
                <w:color w:val="000000"/>
                <w:kern w:val="2"/>
                <w:sz w:val="22"/>
                <w:szCs w:val="22"/>
                <w:lang w:val="en-US" w:eastAsia="zh-CN" w:bidi="ar-SA"/>
              </w:rPr>
            </w:pPr>
            <w:r>
              <w:rPr>
                <w:rFonts w:hint="eastAsia" w:ascii="Times New Roman" w:hAnsi="Times New Roman" w:eastAsia="仿宋_GB2312" w:cs="Times New Roman"/>
                <w:color w:val="000000"/>
                <w:sz w:val="22"/>
                <w:lang w:val="en-US" w:eastAsia="zh-CN"/>
              </w:rPr>
              <w:t>3540.73　</w:t>
            </w:r>
          </w:p>
        </w:tc>
        <w:tc>
          <w:tcPr>
            <w:tcW w:w="127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67B3FF0">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14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4F75FB6">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27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918FA65">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26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913514F">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17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E7B7701">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14:paraId="6A6C8FDE">
        <w:tblPrEx>
          <w:tblCellMar>
            <w:top w:w="0" w:type="dxa"/>
            <w:left w:w="0" w:type="dxa"/>
            <w:bottom w:w="0" w:type="dxa"/>
            <w:right w:w="0" w:type="dxa"/>
          </w:tblCellMar>
        </w:tblPrEx>
        <w:trPr>
          <w:trHeight w:val="450" w:hRule="atLeast"/>
          <w:jc w:val="center"/>
        </w:trPr>
        <w:tc>
          <w:tcPr>
            <w:tcW w:w="1037"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58BAEDD7">
            <w:pPr>
              <w:jc w:val="left"/>
              <w:rPr>
                <w:rFonts w:hint="eastAsia" w:ascii="仿宋_GB2312" w:hAnsi="仿宋_GB2312" w:eastAsia="仿宋_GB2312" w:cs="仿宋_GB2312"/>
                <w:kern w:val="2"/>
                <w:sz w:val="24"/>
                <w:szCs w:val="24"/>
                <w:lang w:val="en-US" w:eastAsia="zh-CN" w:bidi="ar-SA"/>
              </w:rPr>
            </w:pPr>
            <w:r>
              <w:rPr>
                <w:rFonts w:hint="eastAsia" w:ascii="仿宋_GB2312" w:hAnsi="仿宋_GB2312" w:eastAsia="仿宋_GB2312" w:cs="仿宋_GB2312"/>
              </w:rPr>
              <w:t>208</w:t>
            </w:r>
          </w:p>
        </w:tc>
        <w:tc>
          <w:tcPr>
            <w:tcW w:w="3144"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544312B2">
            <w:pPr>
              <w:rPr>
                <w:rFonts w:hint="eastAsia" w:ascii="仿宋_GB2312" w:hAnsi="仿宋_GB2312" w:eastAsia="仿宋_GB2312" w:cs="仿宋_GB2312"/>
                <w:kern w:val="2"/>
                <w:sz w:val="24"/>
                <w:szCs w:val="24"/>
                <w:lang w:val="en-US" w:eastAsia="zh-CN" w:bidi="ar-SA"/>
              </w:rPr>
            </w:pPr>
            <w:r>
              <w:rPr>
                <w:rFonts w:hint="eastAsia" w:ascii="仿宋_GB2312" w:hAnsi="仿宋_GB2312" w:eastAsia="仿宋_GB2312" w:cs="仿宋_GB2312"/>
              </w:rPr>
              <w:t>社会保障和就业支出</w:t>
            </w:r>
          </w:p>
        </w:tc>
        <w:tc>
          <w:tcPr>
            <w:tcW w:w="144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606BB9C">
            <w:pPr>
              <w:jc w:val="center"/>
              <w:rPr>
                <w:rFonts w:hint="eastAsia" w:ascii="Times New Roman" w:hAnsi="Times New Roman" w:eastAsia="仿宋_GB2312" w:cs="Times New Roman"/>
                <w:color w:val="000000"/>
                <w:kern w:val="2"/>
                <w:sz w:val="22"/>
                <w:szCs w:val="22"/>
                <w:lang w:val="en-US" w:eastAsia="zh-CN" w:bidi="ar-SA"/>
              </w:rPr>
            </w:pPr>
            <w:r>
              <w:rPr>
                <w:rFonts w:hint="eastAsia" w:ascii="Times New Roman" w:hAnsi="Times New Roman" w:eastAsia="仿宋_GB2312" w:cs="Times New Roman"/>
                <w:color w:val="000000"/>
                <w:sz w:val="22"/>
                <w:lang w:val="en-US" w:eastAsia="zh-CN"/>
              </w:rPr>
              <w:t>6.54　</w:t>
            </w:r>
          </w:p>
        </w:tc>
        <w:tc>
          <w:tcPr>
            <w:tcW w:w="142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C3148D9">
            <w:pPr>
              <w:jc w:val="center"/>
              <w:rPr>
                <w:rFonts w:hint="eastAsia" w:ascii="Times New Roman" w:hAnsi="Times New Roman" w:eastAsia="仿宋_GB2312" w:cs="Times New Roman"/>
                <w:color w:val="000000"/>
                <w:kern w:val="2"/>
                <w:sz w:val="22"/>
                <w:szCs w:val="22"/>
                <w:lang w:val="en-US" w:eastAsia="zh-CN" w:bidi="ar-SA"/>
              </w:rPr>
            </w:pPr>
            <w:r>
              <w:rPr>
                <w:rFonts w:hint="eastAsia" w:ascii="Times New Roman" w:hAnsi="Times New Roman" w:eastAsia="仿宋_GB2312" w:cs="Times New Roman"/>
                <w:color w:val="000000"/>
                <w:sz w:val="22"/>
                <w:lang w:val="en-US" w:eastAsia="zh-CN"/>
              </w:rPr>
              <w:t>6.54　</w:t>
            </w:r>
          </w:p>
        </w:tc>
        <w:tc>
          <w:tcPr>
            <w:tcW w:w="127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94D8BAD">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14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EA91716">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27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028E142">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26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B80862E">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17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3B48A3D">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14:paraId="683F49C2">
        <w:tblPrEx>
          <w:tblCellMar>
            <w:top w:w="0" w:type="dxa"/>
            <w:left w:w="0" w:type="dxa"/>
            <w:bottom w:w="0" w:type="dxa"/>
            <w:right w:w="0" w:type="dxa"/>
          </w:tblCellMar>
        </w:tblPrEx>
        <w:trPr>
          <w:trHeight w:val="450" w:hRule="atLeast"/>
          <w:jc w:val="center"/>
        </w:trPr>
        <w:tc>
          <w:tcPr>
            <w:tcW w:w="1037"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60390AF9">
            <w:pPr>
              <w:jc w:val="left"/>
              <w:rPr>
                <w:rFonts w:hint="eastAsia" w:ascii="仿宋_GB2312" w:hAnsi="仿宋_GB2312" w:eastAsia="仿宋_GB2312" w:cs="仿宋_GB2312"/>
                <w:kern w:val="2"/>
                <w:sz w:val="21"/>
                <w:szCs w:val="22"/>
                <w:lang w:val="en-US" w:eastAsia="zh-CN" w:bidi="ar-SA"/>
              </w:rPr>
            </w:pPr>
            <w:r>
              <w:rPr>
                <w:rFonts w:hint="eastAsia" w:ascii="仿宋_GB2312" w:hAnsi="仿宋_GB2312" w:eastAsia="仿宋_GB2312" w:cs="仿宋_GB2312"/>
              </w:rPr>
              <w:t>20805</w:t>
            </w:r>
          </w:p>
        </w:tc>
        <w:tc>
          <w:tcPr>
            <w:tcW w:w="3144"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506DB072">
            <w:pPr>
              <w:rPr>
                <w:rFonts w:hint="eastAsia" w:ascii="仿宋_GB2312" w:hAnsi="仿宋_GB2312" w:eastAsia="仿宋_GB2312" w:cs="仿宋_GB2312"/>
                <w:kern w:val="2"/>
                <w:sz w:val="21"/>
                <w:szCs w:val="22"/>
                <w:lang w:val="en-US" w:eastAsia="zh-CN" w:bidi="ar-SA"/>
              </w:rPr>
            </w:pPr>
            <w:r>
              <w:rPr>
                <w:rFonts w:hint="eastAsia" w:ascii="仿宋_GB2312" w:hAnsi="仿宋_GB2312" w:eastAsia="仿宋_GB2312" w:cs="仿宋_GB2312"/>
              </w:rPr>
              <w:t>行政事业单位养老支出</w:t>
            </w:r>
          </w:p>
        </w:tc>
        <w:tc>
          <w:tcPr>
            <w:tcW w:w="144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3C0D84D">
            <w:pPr>
              <w:jc w:val="center"/>
              <w:rPr>
                <w:rFonts w:hint="eastAsia" w:ascii="Times New Roman" w:hAnsi="Times New Roman" w:eastAsia="仿宋_GB2312" w:cs="Times New Roman"/>
                <w:color w:val="000000"/>
                <w:kern w:val="2"/>
                <w:sz w:val="22"/>
                <w:szCs w:val="22"/>
                <w:lang w:val="en-US" w:eastAsia="zh-CN" w:bidi="ar-SA"/>
              </w:rPr>
            </w:pPr>
            <w:r>
              <w:rPr>
                <w:rFonts w:hint="eastAsia" w:ascii="Times New Roman" w:hAnsi="Times New Roman" w:eastAsia="仿宋_GB2312" w:cs="Times New Roman"/>
                <w:color w:val="000000"/>
                <w:sz w:val="22"/>
                <w:lang w:val="en-US" w:eastAsia="zh-CN"/>
              </w:rPr>
              <w:t>6.54　</w:t>
            </w:r>
          </w:p>
        </w:tc>
        <w:tc>
          <w:tcPr>
            <w:tcW w:w="142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ABA8981">
            <w:pPr>
              <w:jc w:val="center"/>
              <w:rPr>
                <w:rFonts w:hint="eastAsia" w:ascii="Times New Roman" w:hAnsi="Times New Roman" w:eastAsia="仿宋_GB2312" w:cs="Times New Roman"/>
                <w:color w:val="000000"/>
                <w:kern w:val="2"/>
                <w:sz w:val="22"/>
                <w:szCs w:val="22"/>
                <w:lang w:val="en-US" w:eastAsia="zh-CN" w:bidi="ar-SA"/>
              </w:rPr>
            </w:pPr>
            <w:r>
              <w:rPr>
                <w:rFonts w:hint="eastAsia" w:ascii="Times New Roman" w:hAnsi="Times New Roman" w:eastAsia="仿宋_GB2312" w:cs="Times New Roman"/>
                <w:color w:val="000000"/>
                <w:sz w:val="22"/>
                <w:lang w:val="en-US" w:eastAsia="zh-CN"/>
              </w:rPr>
              <w:t>6.54　</w:t>
            </w:r>
          </w:p>
        </w:tc>
        <w:tc>
          <w:tcPr>
            <w:tcW w:w="127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7AB7676">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14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973F716">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27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349F8EF">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26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AB1EE58">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17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3E5004E">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14:paraId="56658B4B">
        <w:tblPrEx>
          <w:tblCellMar>
            <w:top w:w="0" w:type="dxa"/>
            <w:left w:w="0" w:type="dxa"/>
            <w:bottom w:w="0" w:type="dxa"/>
            <w:right w:w="0" w:type="dxa"/>
          </w:tblCellMar>
        </w:tblPrEx>
        <w:trPr>
          <w:trHeight w:val="450" w:hRule="atLeast"/>
          <w:jc w:val="center"/>
        </w:trPr>
        <w:tc>
          <w:tcPr>
            <w:tcW w:w="1037"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36CD4FFE">
            <w:pPr>
              <w:jc w:val="left"/>
              <w:rPr>
                <w:rFonts w:hint="eastAsia" w:ascii="仿宋_GB2312" w:hAnsi="仿宋_GB2312" w:eastAsia="仿宋_GB2312" w:cs="仿宋_GB2312"/>
                <w:kern w:val="2"/>
                <w:sz w:val="21"/>
                <w:szCs w:val="22"/>
                <w:lang w:val="en-US" w:eastAsia="zh-CN" w:bidi="ar-SA"/>
              </w:rPr>
            </w:pPr>
            <w:r>
              <w:rPr>
                <w:rFonts w:hint="eastAsia" w:ascii="仿宋_GB2312" w:hAnsi="仿宋_GB2312" w:eastAsia="仿宋_GB2312" w:cs="仿宋_GB2312"/>
              </w:rPr>
              <w:t>2080505</w:t>
            </w:r>
          </w:p>
        </w:tc>
        <w:tc>
          <w:tcPr>
            <w:tcW w:w="3144"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2E376872">
            <w:pPr>
              <w:rPr>
                <w:rFonts w:hint="eastAsia" w:ascii="仿宋_GB2312" w:hAnsi="仿宋_GB2312" w:eastAsia="仿宋_GB2312" w:cs="仿宋_GB2312"/>
                <w:kern w:val="2"/>
                <w:sz w:val="21"/>
                <w:szCs w:val="22"/>
                <w:lang w:val="en-US" w:eastAsia="zh-CN" w:bidi="ar-SA"/>
              </w:rPr>
            </w:pPr>
            <w:r>
              <w:rPr>
                <w:rFonts w:hint="eastAsia" w:ascii="仿宋_GB2312" w:hAnsi="仿宋_GB2312" w:eastAsia="仿宋_GB2312" w:cs="仿宋_GB2312"/>
              </w:rPr>
              <w:t>机关事业单位基本养老保险缴费支出</w:t>
            </w:r>
          </w:p>
        </w:tc>
        <w:tc>
          <w:tcPr>
            <w:tcW w:w="144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CE52F8A">
            <w:pPr>
              <w:jc w:val="center"/>
              <w:rPr>
                <w:rFonts w:hint="eastAsia" w:ascii="Times New Roman" w:hAnsi="Times New Roman" w:eastAsia="仿宋_GB2312" w:cs="Times New Roman"/>
                <w:color w:val="000000"/>
                <w:kern w:val="2"/>
                <w:sz w:val="22"/>
                <w:szCs w:val="22"/>
                <w:lang w:val="en-US" w:eastAsia="zh-CN" w:bidi="ar-SA"/>
              </w:rPr>
            </w:pPr>
            <w:r>
              <w:rPr>
                <w:rFonts w:hint="eastAsia" w:ascii="Times New Roman" w:hAnsi="Times New Roman" w:eastAsia="仿宋_GB2312" w:cs="Times New Roman"/>
                <w:color w:val="000000"/>
                <w:sz w:val="22"/>
                <w:lang w:val="en-US" w:eastAsia="zh-CN"/>
              </w:rPr>
              <w:t>6.54　</w:t>
            </w:r>
          </w:p>
        </w:tc>
        <w:tc>
          <w:tcPr>
            <w:tcW w:w="142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C155903">
            <w:pPr>
              <w:jc w:val="center"/>
              <w:rPr>
                <w:rFonts w:hint="eastAsia" w:ascii="Times New Roman" w:hAnsi="Times New Roman" w:eastAsia="仿宋_GB2312" w:cs="Times New Roman"/>
                <w:color w:val="000000"/>
                <w:kern w:val="2"/>
                <w:sz w:val="22"/>
                <w:szCs w:val="22"/>
                <w:lang w:val="en-US" w:eastAsia="zh-CN" w:bidi="ar-SA"/>
              </w:rPr>
            </w:pPr>
            <w:r>
              <w:rPr>
                <w:rFonts w:hint="eastAsia" w:ascii="Times New Roman" w:hAnsi="Times New Roman" w:eastAsia="仿宋_GB2312" w:cs="Times New Roman"/>
                <w:color w:val="000000"/>
                <w:sz w:val="22"/>
                <w:lang w:val="en-US" w:eastAsia="zh-CN"/>
              </w:rPr>
              <w:t>6.54　</w:t>
            </w:r>
          </w:p>
        </w:tc>
        <w:tc>
          <w:tcPr>
            <w:tcW w:w="127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926352C">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14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85AA469">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27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DD1CB14">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26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170F7F8">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17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012CC23">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14:paraId="32CEA6E6">
        <w:tblPrEx>
          <w:tblCellMar>
            <w:top w:w="0" w:type="dxa"/>
            <w:left w:w="0" w:type="dxa"/>
            <w:bottom w:w="0" w:type="dxa"/>
            <w:right w:w="0" w:type="dxa"/>
          </w:tblCellMar>
        </w:tblPrEx>
        <w:trPr>
          <w:trHeight w:val="450" w:hRule="atLeast"/>
          <w:jc w:val="center"/>
        </w:trPr>
        <w:tc>
          <w:tcPr>
            <w:tcW w:w="1037"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6D4D9AB0">
            <w:pPr>
              <w:rPr>
                <w:rFonts w:hint="eastAsia" w:ascii="仿宋_GB2312" w:hAnsi="仿宋_GB2312" w:eastAsia="仿宋_GB2312" w:cs="仿宋_GB2312"/>
                <w:kern w:val="2"/>
                <w:sz w:val="24"/>
                <w:szCs w:val="24"/>
                <w:lang w:val="en-US" w:eastAsia="zh-CN" w:bidi="ar-SA"/>
              </w:rPr>
            </w:pPr>
            <w:r>
              <w:rPr>
                <w:rFonts w:hint="eastAsia" w:ascii="仿宋_GB2312" w:hAnsi="仿宋_GB2312" w:eastAsia="仿宋_GB2312" w:cs="仿宋_GB2312"/>
              </w:rPr>
              <w:t>210</w:t>
            </w:r>
          </w:p>
        </w:tc>
        <w:tc>
          <w:tcPr>
            <w:tcW w:w="3144"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7EAE8035">
            <w:pPr>
              <w:rPr>
                <w:rFonts w:hint="eastAsia" w:ascii="仿宋_GB2312" w:hAnsi="仿宋_GB2312" w:eastAsia="仿宋_GB2312" w:cs="仿宋_GB2312"/>
                <w:kern w:val="2"/>
                <w:sz w:val="24"/>
                <w:szCs w:val="24"/>
                <w:lang w:val="en-US" w:eastAsia="zh-CN" w:bidi="ar-SA"/>
              </w:rPr>
            </w:pPr>
            <w:r>
              <w:rPr>
                <w:rFonts w:hint="eastAsia" w:ascii="仿宋_GB2312" w:hAnsi="仿宋_GB2312" w:eastAsia="仿宋_GB2312" w:cs="仿宋_GB2312"/>
              </w:rPr>
              <w:t>卫生健康支出</w:t>
            </w:r>
          </w:p>
        </w:tc>
        <w:tc>
          <w:tcPr>
            <w:tcW w:w="144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AD29685">
            <w:pPr>
              <w:jc w:val="center"/>
              <w:rPr>
                <w:rFonts w:hint="eastAsia" w:ascii="Times New Roman" w:hAnsi="Times New Roman" w:eastAsia="仿宋_GB2312" w:cs="Times New Roman"/>
                <w:color w:val="000000"/>
                <w:kern w:val="2"/>
                <w:sz w:val="22"/>
                <w:szCs w:val="22"/>
                <w:lang w:val="en-US" w:eastAsia="zh-CN" w:bidi="ar-SA"/>
              </w:rPr>
            </w:pPr>
            <w:r>
              <w:rPr>
                <w:rFonts w:hint="eastAsia" w:ascii="Times New Roman" w:hAnsi="Times New Roman" w:eastAsia="仿宋_GB2312" w:cs="Times New Roman"/>
                <w:color w:val="000000"/>
                <w:sz w:val="22"/>
                <w:lang w:val="en-US" w:eastAsia="zh-CN"/>
              </w:rPr>
              <w:t>2.74　</w:t>
            </w:r>
          </w:p>
        </w:tc>
        <w:tc>
          <w:tcPr>
            <w:tcW w:w="142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81422C2">
            <w:pPr>
              <w:jc w:val="center"/>
              <w:rPr>
                <w:rFonts w:hint="eastAsia" w:ascii="Times New Roman" w:hAnsi="Times New Roman" w:eastAsia="仿宋_GB2312" w:cs="Times New Roman"/>
                <w:color w:val="000000"/>
                <w:kern w:val="2"/>
                <w:sz w:val="22"/>
                <w:szCs w:val="22"/>
                <w:lang w:val="en-US" w:eastAsia="zh-CN" w:bidi="ar-SA"/>
              </w:rPr>
            </w:pPr>
            <w:r>
              <w:rPr>
                <w:rFonts w:hint="eastAsia" w:ascii="Times New Roman" w:hAnsi="Times New Roman" w:eastAsia="仿宋_GB2312" w:cs="Times New Roman"/>
                <w:color w:val="000000"/>
                <w:sz w:val="22"/>
                <w:lang w:val="en-US" w:eastAsia="zh-CN"/>
              </w:rPr>
              <w:t>2.74　</w:t>
            </w:r>
          </w:p>
        </w:tc>
        <w:tc>
          <w:tcPr>
            <w:tcW w:w="127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CF420EE">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14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4FB1A05">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27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35923A6">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26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B632710">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17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60E7BFB">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14:paraId="101EE6DC">
        <w:tblPrEx>
          <w:tblCellMar>
            <w:top w:w="0" w:type="dxa"/>
            <w:left w:w="0" w:type="dxa"/>
            <w:bottom w:w="0" w:type="dxa"/>
            <w:right w:w="0" w:type="dxa"/>
          </w:tblCellMar>
        </w:tblPrEx>
        <w:trPr>
          <w:trHeight w:val="450" w:hRule="atLeast"/>
          <w:jc w:val="center"/>
        </w:trPr>
        <w:tc>
          <w:tcPr>
            <w:tcW w:w="1037"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0525CB6E">
            <w:pPr>
              <w:rPr>
                <w:rFonts w:hint="eastAsia" w:ascii="仿宋_GB2312" w:hAnsi="仿宋_GB2312" w:eastAsia="仿宋_GB2312" w:cs="仿宋_GB2312"/>
                <w:kern w:val="2"/>
                <w:sz w:val="24"/>
                <w:szCs w:val="24"/>
                <w:lang w:val="en-US" w:eastAsia="zh-CN" w:bidi="ar-SA"/>
              </w:rPr>
            </w:pPr>
            <w:r>
              <w:rPr>
                <w:rFonts w:hint="eastAsia" w:ascii="仿宋_GB2312" w:hAnsi="仿宋_GB2312" w:eastAsia="仿宋_GB2312" w:cs="仿宋_GB2312"/>
              </w:rPr>
              <w:t>21011</w:t>
            </w:r>
          </w:p>
        </w:tc>
        <w:tc>
          <w:tcPr>
            <w:tcW w:w="3144"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75494389">
            <w:pPr>
              <w:jc w:val="left"/>
              <w:rPr>
                <w:rFonts w:hint="eastAsia" w:ascii="仿宋_GB2312" w:hAnsi="仿宋_GB2312" w:eastAsia="仿宋_GB2312" w:cs="仿宋_GB2312"/>
                <w:kern w:val="2"/>
                <w:sz w:val="24"/>
                <w:szCs w:val="24"/>
                <w:lang w:val="en-US" w:eastAsia="zh-CN" w:bidi="ar-SA"/>
              </w:rPr>
            </w:pPr>
            <w:r>
              <w:rPr>
                <w:rFonts w:hint="eastAsia" w:ascii="仿宋_GB2312" w:hAnsi="仿宋_GB2312" w:eastAsia="仿宋_GB2312" w:cs="仿宋_GB2312"/>
              </w:rPr>
              <w:t>行政事业单位医疗</w:t>
            </w:r>
          </w:p>
        </w:tc>
        <w:tc>
          <w:tcPr>
            <w:tcW w:w="144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9C15F4C">
            <w:pPr>
              <w:jc w:val="center"/>
              <w:rPr>
                <w:rFonts w:hint="eastAsia" w:ascii="Times New Roman" w:hAnsi="Times New Roman" w:eastAsia="仿宋_GB2312" w:cs="Times New Roman"/>
                <w:color w:val="000000"/>
                <w:kern w:val="2"/>
                <w:sz w:val="22"/>
                <w:szCs w:val="22"/>
                <w:lang w:val="en-US" w:eastAsia="zh-CN" w:bidi="ar-SA"/>
              </w:rPr>
            </w:pPr>
            <w:r>
              <w:rPr>
                <w:rFonts w:hint="eastAsia" w:ascii="Times New Roman" w:hAnsi="Times New Roman" w:eastAsia="仿宋_GB2312" w:cs="Times New Roman"/>
                <w:color w:val="000000"/>
                <w:sz w:val="22"/>
                <w:lang w:val="en-US" w:eastAsia="zh-CN"/>
              </w:rPr>
              <w:t>2.74　</w:t>
            </w:r>
          </w:p>
        </w:tc>
        <w:tc>
          <w:tcPr>
            <w:tcW w:w="142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FFF5B0C">
            <w:pPr>
              <w:jc w:val="center"/>
              <w:rPr>
                <w:rFonts w:hint="eastAsia" w:ascii="Times New Roman" w:hAnsi="Times New Roman" w:eastAsia="仿宋_GB2312" w:cs="Times New Roman"/>
                <w:color w:val="000000"/>
                <w:kern w:val="2"/>
                <w:sz w:val="22"/>
                <w:szCs w:val="22"/>
                <w:lang w:val="en-US" w:eastAsia="zh-CN" w:bidi="ar-SA"/>
              </w:rPr>
            </w:pPr>
            <w:r>
              <w:rPr>
                <w:rFonts w:hint="eastAsia" w:ascii="Times New Roman" w:hAnsi="Times New Roman" w:eastAsia="仿宋_GB2312" w:cs="Times New Roman"/>
                <w:color w:val="000000"/>
                <w:sz w:val="22"/>
                <w:lang w:val="en-US" w:eastAsia="zh-CN"/>
              </w:rPr>
              <w:t>2.74　</w:t>
            </w:r>
          </w:p>
        </w:tc>
        <w:tc>
          <w:tcPr>
            <w:tcW w:w="127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0053FEB">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14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FEEA09E">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27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26EB0B1">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26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B794BA3">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17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4104B06">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14:paraId="318B9224">
        <w:tblPrEx>
          <w:tblCellMar>
            <w:top w:w="0" w:type="dxa"/>
            <w:left w:w="0" w:type="dxa"/>
            <w:bottom w:w="0" w:type="dxa"/>
            <w:right w:w="0" w:type="dxa"/>
          </w:tblCellMar>
        </w:tblPrEx>
        <w:trPr>
          <w:trHeight w:val="450" w:hRule="atLeast"/>
          <w:jc w:val="center"/>
        </w:trPr>
        <w:tc>
          <w:tcPr>
            <w:tcW w:w="1037"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4801ED06">
            <w:pPr>
              <w:rPr>
                <w:rFonts w:hint="eastAsia" w:ascii="仿宋_GB2312" w:hAnsi="仿宋_GB2312" w:eastAsia="仿宋_GB2312" w:cs="仿宋_GB2312"/>
                <w:kern w:val="2"/>
                <w:sz w:val="24"/>
                <w:szCs w:val="24"/>
                <w:lang w:val="en-US" w:eastAsia="zh-CN" w:bidi="ar-SA"/>
              </w:rPr>
            </w:pPr>
            <w:r>
              <w:rPr>
                <w:rFonts w:hint="eastAsia" w:ascii="仿宋_GB2312" w:hAnsi="仿宋_GB2312" w:eastAsia="仿宋_GB2312" w:cs="仿宋_GB2312"/>
              </w:rPr>
              <w:t>2101102</w:t>
            </w:r>
          </w:p>
        </w:tc>
        <w:tc>
          <w:tcPr>
            <w:tcW w:w="3144"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249379A7">
            <w:pPr>
              <w:jc w:val="left"/>
              <w:rPr>
                <w:rFonts w:hint="eastAsia" w:ascii="仿宋_GB2312" w:hAnsi="仿宋_GB2312" w:eastAsia="仿宋_GB2312" w:cs="仿宋_GB2312"/>
                <w:kern w:val="2"/>
                <w:sz w:val="24"/>
                <w:szCs w:val="24"/>
                <w:lang w:val="en-US" w:eastAsia="zh-CN" w:bidi="ar-SA"/>
              </w:rPr>
            </w:pPr>
            <w:r>
              <w:rPr>
                <w:rFonts w:hint="eastAsia" w:ascii="仿宋_GB2312" w:hAnsi="仿宋_GB2312" w:eastAsia="仿宋_GB2312" w:cs="仿宋_GB2312"/>
              </w:rPr>
              <w:t>事业单位医疗</w:t>
            </w:r>
          </w:p>
        </w:tc>
        <w:tc>
          <w:tcPr>
            <w:tcW w:w="144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C1798ED">
            <w:pPr>
              <w:jc w:val="center"/>
              <w:rPr>
                <w:rFonts w:hint="eastAsia" w:ascii="Times New Roman" w:hAnsi="Times New Roman" w:eastAsia="仿宋_GB2312" w:cs="Times New Roman"/>
                <w:color w:val="000000"/>
                <w:kern w:val="2"/>
                <w:sz w:val="22"/>
                <w:szCs w:val="22"/>
                <w:lang w:val="en-US" w:eastAsia="zh-CN" w:bidi="ar-SA"/>
              </w:rPr>
            </w:pPr>
            <w:r>
              <w:rPr>
                <w:rFonts w:hint="eastAsia" w:ascii="Times New Roman" w:hAnsi="Times New Roman" w:eastAsia="仿宋_GB2312" w:cs="Times New Roman"/>
                <w:color w:val="000000"/>
                <w:sz w:val="22"/>
                <w:lang w:val="en-US" w:eastAsia="zh-CN"/>
              </w:rPr>
              <w:t>2.74　</w:t>
            </w:r>
          </w:p>
        </w:tc>
        <w:tc>
          <w:tcPr>
            <w:tcW w:w="142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4EA6BF7">
            <w:pPr>
              <w:jc w:val="center"/>
              <w:rPr>
                <w:rFonts w:hint="eastAsia" w:ascii="Times New Roman" w:hAnsi="Times New Roman" w:eastAsia="仿宋_GB2312" w:cs="Times New Roman"/>
                <w:color w:val="000000"/>
                <w:kern w:val="2"/>
                <w:sz w:val="22"/>
                <w:szCs w:val="22"/>
                <w:lang w:val="en-US" w:eastAsia="zh-CN" w:bidi="ar-SA"/>
              </w:rPr>
            </w:pPr>
            <w:r>
              <w:rPr>
                <w:rFonts w:hint="eastAsia" w:ascii="Times New Roman" w:hAnsi="Times New Roman" w:eastAsia="仿宋_GB2312" w:cs="Times New Roman"/>
                <w:color w:val="000000"/>
                <w:sz w:val="22"/>
                <w:lang w:val="en-US" w:eastAsia="zh-CN"/>
              </w:rPr>
              <w:t>2.74　</w:t>
            </w:r>
          </w:p>
        </w:tc>
        <w:tc>
          <w:tcPr>
            <w:tcW w:w="127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32708EB">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14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594C7CE">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27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92AA593">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26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B139074">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17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E42DA16">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14:paraId="49B6EEF4">
        <w:tblPrEx>
          <w:tblCellMar>
            <w:top w:w="0" w:type="dxa"/>
            <w:left w:w="0" w:type="dxa"/>
            <w:bottom w:w="0" w:type="dxa"/>
            <w:right w:w="0" w:type="dxa"/>
          </w:tblCellMar>
        </w:tblPrEx>
        <w:trPr>
          <w:trHeight w:val="450" w:hRule="atLeast"/>
          <w:jc w:val="center"/>
        </w:trPr>
        <w:tc>
          <w:tcPr>
            <w:tcW w:w="1037" w:type="dxa"/>
            <w:tcBorders>
              <w:top w:val="single" w:color="auto" w:sz="4" w:space="0"/>
              <w:left w:val="single" w:color="auto" w:sz="4" w:space="0"/>
              <w:bottom w:val="single" w:color="auto" w:sz="4" w:space="0"/>
              <w:right w:val="single" w:color="auto" w:sz="4" w:space="0"/>
            </w:tcBorders>
            <w:shd w:val="clear" w:color="000000" w:fill="FFFFFF"/>
            <w:vAlign w:val="center"/>
          </w:tcPr>
          <w:p w14:paraId="30BEB864">
            <w:pPr>
              <w:rPr>
                <w:rFonts w:hint="eastAsia" w:ascii="仿宋_GB2312" w:hAnsi="仿宋_GB2312" w:eastAsia="仿宋_GB2312" w:cs="仿宋_GB2312"/>
                <w:lang w:val="en-US" w:eastAsia="zh-CN"/>
              </w:rPr>
            </w:pPr>
            <w:r>
              <w:rPr>
                <w:rFonts w:hint="eastAsia" w:ascii="仿宋_GB2312" w:hAnsi="仿宋_GB2312" w:eastAsia="仿宋_GB2312" w:cs="仿宋_GB2312"/>
              </w:rPr>
              <w:t>212</w:t>
            </w:r>
          </w:p>
        </w:tc>
        <w:tc>
          <w:tcPr>
            <w:tcW w:w="3144" w:type="dxa"/>
            <w:tcBorders>
              <w:top w:val="single" w:color="auto" w:sz="4" w:space="0"/>
              <w:left w:val="single" w:color="auto" w:sz="4" w:space="0"/>
              <w:bottom w:val="single" w:color="auto" w:sz="4" w:space="0"/>
              <w:right w:val="single" w:color="auto" w:sz="4" w:space="0"/>
            </w:tcBorders>
            <w:shd w:val="clear" w:color="000000" w:fill="FFFFFF"/>
            <w:vAlign w:val="center"/>
          </w:tcPr>
          <w:p w14:paraId="130EA3BF">
            <w:pPr>
              <w:jc w:val="left"/>
              <w:rPr>
                <w:rFonts w:hint="eastAsia" w:ascii="仿宋_GB2312" w:hAnsi="仿宋_GB2312" w:eastAsia="仿宋_GB2312" w:cs="仿宋_GB2312"/>
                <w:lang w:val="en-US" w:eastAsia="zh-CN"/>
              </w:rPr>
            </w:pPr>
            <w:r>
              <w:rPr>
                <w:rFonts w:hint="eastAsia" w:ascii="仿宋_GB2312" w:hAnsi="仿宋_GB2312" w:eastAsia="仿宋_GB2312" w:cs="仿宋_GB2312"/>
              </w:rPr>
              <w:t>城乡社区支出</w:t>
            </w:r>
          </w:p>
        </w:tc>
        <w:tc>
          <w:tcPr>
            <w:tcW w:w="1442" w:type="dxa"/>
            <w:tcBorders>
              <w:top w:val="single" w:color="auto" w:sz="4" w:space="0"/>
              <w:left w:val="single" w:color="auto" w:sz="4" w:space="0"/>
              <w:bottom w:val="single" w:color="auto" w:sz="4" w:space="0"/>
              <w:right w:val="single" w:color="auto" w:sz="4" w:space="0"/>
            </w:tcBorders>
            <w:shd w:val="clear" w:color="auto" w:fill="auto"/>
            <w:vAlign w:val="top"/>
          </w:tcPr>
          <w:p w14:paraId="46D33CE4">
            <w:pPr>
              <w:jc w:val="center"/>
              <w:rPr>
                <w:rFonts w:hint="default" w:ascii="Times New Roman" w:hAnsi="Times New Roman" w:eastAsia="仿宋_GB2312" w:cs="Times New Roman"/>
                <w:color w:val="000000"/>
                <w:kern w:val="2"/>
                <w:sz w:val="22"/>
                <w:szCs w:val="22"/>
                <w:lang w:val="en-US" w:eastAsia="zh-CN" w:bidi="ar-SA"/>
              </w:rPr>
            </w:pPr>
            <w:r>
              <w:rPr>
                <w:rFonts w:hint="eastAsia" w:ascii="Times New Roman" w:hAnsi="Times New Roman" w:eastAsia="仿宋_GB2312" w:cs="Times New Roman"/>
                <w:color w:val="000000"/>
                <w:sz w:val="22"/>
                <w:lang w:val="en-US" w:eastAsia="zh-CN"/>
              </w:rPr>
              <w:t>2935.47</w:t>
            </w:r>
          </w:p>
        </w:tc>
        <w:tc>
          <w:tcPr>
            <w:tcW w:w="1420" w:type="dxa"/>
            <w:tcBorders>
              <w:top w:val="single" w:color="auto" w:sz="4" w:space="0"/>
              <w:left w:val="single" w:color="auto" w:sz="4" w:space="0"/>
              <w:bottom w:val="single" w:color="auto" w:sz="4" w:space="0"/>
              <w:right w:val="single" w:color="auto" w:sz="4" w:space="0"/>
            </w:tcBorders>
            <w:shd w:val="clear" w:color="auto" w:fill="auto"/>
            <w:vAlign w:val="top"/>
          </w:tcPr>
          <w:p w14:paraId="72FFB52B">
            <w:pPr>
              <w:jc w:val="center"/>
              <w:rPr>
                <w:rFonts w:hint="eastAsia" w:ascii="Times New Roman" w:hAnsi="Times New Roman" w:eastAsia="仿宋_GB2312" w:cs="Times New Roman"/>
                <w:color w:val="000000"/>
                <w:kern w:val="2"/>
                <w:sz w:val="22"/>
                <w:szCs w:val="22"/>
                <w:lang w:val="en-US" w:eastAsia="zh-CN" w:bidi="ar-SA"/>
              </w:rPr>
            </w:pPr>
            <w:r>
              <w:rPr>
                <w:rFonts w:hint="eastAsia" w:ascii="Times New Roman" w:hAnsi="Times New Roman" w:eastAsia="仿宋_GB2312" w:cs="Times New Roman"/>
                <w:color w:val="000000"/>
                <w:sz w:val="22"/>
                <w:lang w:val="en-US" w:eastAsia="zh-CN"/>
              </w:rPr>
              <w:t>2935.47</w:t>
            </w:r>
          </w:p>
        </w:tc>
        <w:tc>
          <w:tcPr>
            <w:tcW w:w="1273" w:type="dxa"/>
            <w:tcBorders>
              <w:top w:val="single" w:color="auto" w:sz="4" w:space="0"/>
              <w:left w:val="single" w:color="auto" w:sz="4" w:space="0"/>
              <w:bottom w:val="single" w:color="auto" w:sz="4" w:space="0"/>
              <w:right w:val="single" w:color="auto" w:sz="4" w:space="0"/>
            </w:tcBorders>
          </w:tcPr>
          <w:p w14:paraId="3560B4F2">
            <w:pPr>
              <w:rPr>
                <w:rFonts w:hint="eastAsia" w:ascii="仿宋_GB2312" w:hAnsi="仿宋_GB2312" w:eastAsia="仿宋_GB2312" w:cs="仿宋_GB2312"/>
              </w:rPr>
            </w:pPr>
          </w:p>
        </w:tc>
        <w:tc>
          <w:tcPr>
            <w:tcW w:w="1143" w:type="dxa"/>
            <w:tcBorders>
              <w:top w:val="single" w:color="auto" w:sz="4" w:space="0"/>
              <w:left w:val="single" w:color="auto" w:sz="4" w:space="0"/>
              <w:bottom w:val="single" w:color="auto" w:sz="4" w:space="0"/>
              <w:right w:val="single" w:color="auto" w:sz="4" w:space="0"/>
            </w:tcBorders>
          </w:tcPr>
          <w:p w14:paraId="45997C0F">
            <w:pPr>
              <w:rPr>
                <w:rFonts w:hint="eastAsia" w:ascii="仿宋_GB2312" w:hAnsi="仿宋_GB2312" w:eastAsia="仿宋_GB2312" w:cs="仿宋_GB2312"/>
              </w:rPr>
            </w:pPr>
          </w:p>
        </w:tc>
        <w:tc>
          <w:tcPr>
            <w:tcW w:w="1274" w:type="dxa"/>
            <w:tcBorders>
              <w:top w:val="single" w:color="auto" w:sz="4" w:space="0"/>
              <w:left w:val="single" w:color="auto" w:sz="4" w:space="0"/>
              <w:bottom w:val="single" w:color="auto" w:sz="4" w:space="0"/>
              <w:right w:val="single" w:color="auto" w:sz="4" w:space="0"/>
            </w:tcBorders>
          </w:tcPr>
          <w:p w14:paraId="7FF2C4B4">
            <w:pPr>
              <w:rPr>
                <w:rFonts w:hint="eastAsia" w:ascii="仿宋_GB2312" w:hAnsi="仿宋_GB2312" w:eastAsia="仿宋_GB2312" w:cs="仿宋_GB2312"/>
              </w:rPr>
            </w:pPr>
          </w:p>
        </w:tc>
        <w:tc>
          <w:tcPr>
            <w:tcW w:w="1264" w:type="dxa"/>
            <w:tcBorders>
              <w:top w:val="single" w:color="auto" w:sz="4" w:space="0"/>
              <w:left w:val="single" w:color="auto" w:sz="4" w:space="0"/>
              <w:bottom w:val="single" w:color="auto" w:sz="4" w:space="0"/>
              <w:right w:val="single" w:color="auto" w:sz="4" w:space="0"/>
            </w:tcBorders>
          </w:tcPr>
          <w:p w14:paraId="6982DED2">
            <w:pPr>
              <w:rPr>
                <w:rFonts w:hint="eastAsia" w:ascii="仿宋_GB2312" w:hAnsi="仿宋_GB2312" w:eastAsia="仿宋_GB2312" w:cs="仿宋_GB2312"/>
              </w:rPr>
            </w:pPr>
          </w:p>
        </w:tc>
        <w:tc>
          <w:tcPr>
            <w:tcW w:w="1173" w:type="dxa"/>
            <w:tcBorders>
              <w:top w:val="single" w:color="auto" w:sz="4" w:space="0"/>
              <w:left w:val="single" w:color="auto" w:sz="4" w:space="0"/>
              <w:bottom w:val="single" w:color="auto" w:sz="4" w:space="0"/>
              <w:right w:val="single" w:color="auto" w:sz="4" w:space="0"/>
            </w:tcBorders>
          </w:tcPr>
          <w:p w14:paraId="5103BB2D">
            <w:pPr>
              <w:rPr>
                <w:rFonts w:hint="eastAsia" w:ascii="仿宋_GB2312" w:hAnsi="仿宋_GB2312" w:eastAsia="仿宋_GB2312" w:cs="仿宋_GB2312"/>
              </w:rPr>
            </w:pPr>
          </w:p>
        </w:tc>
      </w:tr>
      <w:tr w14:paraId="4A284127">
        <w:tblPrEx>
          <w:tblCellMar>
            <w:top w:w="0" w:type="dxa"/>
            <w:left w:w="0" w:type="dxa"/>
            <w:bottom w:w="0" w:type="dxa"/>
            <w:right w:w="0" w:type="dxa"/>
          </w:tblCellMar>
        </w:tblPrEx>
        <w:trPr>
          <w:trHeight w:val="450" w:hRule="atLeast"/>
          <w:jc w:val="center"/>
        </w:trPr>
        <w:tc>
          <w:tcPr>
            <w:tcW w:w="1037" w:type="dxa"/>
            <w:tcBorders>
              <w:top w:val="single" w:color="auto" w:sz="4" w:space="0"/>
              <w:left w:val="single" w:color="auto" w:sz="4" w:space="0"/>
              <w:bottom w:val="single" w:color="auto" w:sz="4" w:space="0"/>
              <w:right w:val="single" w:color="auto" w:sz="4" w:space="0"/>
            </w:tcBorders>
            <w:shd w:val="clear" w:color="000000" w:fill="FFFFFF"/>
            <w:vAlign w:val="center"/>
          </w:tcPr>
          <w:p w14:paraId="7CF6F062">
            <w:pPr>
              <w:rPr>
                <w:rFonts w:hint="eastAsia" w:ascii="仿宋_GB2312" w:hAnsi="仿宋_GB2312" w:eastAsia="仿宋_GB2312" w:cs="仿宋_GB2312"/>
                <w:lang w:val="en-US" w:eastAsia="zh-CN"/>
              </w:rPr>
            </w:pPr>
            <w:r>
              <w:rPr>
                <w:rFonts w:hint="eastAsia" w:ascii="仿宋_GB2312" w:hAnsi="仿宋_GB2312" w:eastAsia="仿宋_GB2312" w:cs="仿宋_GB2312"/>
              </w:rPr>
              <w:t>21208</w:t>
            </w:r>
          </w:p>
        </w:tc>
        <w:tc>
          <w:tcPr>
            <w:tcW w:w="3144" w:type="dxa"/>
            <w:tcBorders>
              <w:top w:val="single" w:color="auto" w:sz="4" w:space="0"/>
              <w:left w:val="single" w:color="auto" w:sz="4" w:space="0"/>
              <w:bottom w:val="single" w:color="auto" w:sz="4" w:space="0"/>
              <w:right w:val="single" w:color="auto" w:sz="4" w:space="0"/>
            </w:tcBorders>
            <w:shd w:val="clear" w:color="000000" w:fill="FFFFFF"/>
            <w:vAlign w:val="center"/>
          </w:tcPr>
          <w:p w14:paraId="3BBB2363">
            <w:pPr>
              <w:jc w:val="left"/>
              <w:rPr>
                <w:rFonts w:hint="eastAsia" w:ascii="仿宋_GB2312" w:hAnsi="仿宋_GB2312" w:eastAsia="仿宋_GB2312" w:cs="仿宋_GB2312"/>
                <w:lang w:val="en-US" w:eastAsia="zh-CN"/>
              </w:rPr>
            </w:pPr>
            <w:r>
              <w:rPr>
                <w:rFonts w:hint="eastAsia" w:ascii="仿宋_GB2312" w:hAnsi="仿宋_GB2312" w:eastAsia="仿宋_GB2312" w:cs="仿宋_GB2312"/>
              </w:rPr>
              <w:t>国有土地使用权出让收入安排的支出</w:t>
            </w:r>
          </w:p>
        </w:tc>
        <w:tc>
          <w:tcPr>
            <w:tcW w:w="1442" w:type="dxa"/>
            <w:tcBorders>
              <w:top w:val="single" w:color="auto" w:sz="4" w:space="0"/>
              <w:left w:val="single" w:color="auto" w:sz="4" w:space="0"/>
              <w:bottom w:val="single" w:color="auto" w:sz="4" w:space="0"/>
              <w:right w:val="single" w:color="auto" w:sz="4" w:space="0"/>
            </w:tcBorders>
            <w:shd w:val="clear" w:color="auto" w:fill="auto"/>
            <w:vAlign w:val="top"/>
          </w:tcPr>
          <w:p w14:paraId="2614092D">
            <w:pPr>
              <w:jc w:val="center"/>
              <w:rPr>
                <w:rFonts w:hint="default" w:ascii="Times New Roman" w:hAnsi="Times New Roman" w:eastAsia="仿宋_GB2312" w:cs="Times New Roman"/>
                <w:color w:val="000000"/>
                <w:kern w:val="2"/>
                <w:sz w:val="22"/>
                <w:szCs w:val="22"/>
                <w:lang w:val="en-US" w:eastAsia="zh-CN" w:bidi="ar-SA"/>
              </w:rPr>
            </w:pPr>
            <w:r>
              <w:rPr>
                <w:rFonts w:hint="eastAsia" w:ascii="Times New Roman" w:hAnsi="Times New Roman" w:eastAsia="仿宋_GB2312" w:cs="Times New Roman"/>
                <w:color w:val="000000"/>
                <w:sz w:val="22"/>
                <w:lang w:val="en-US" w:eastAsia="zh-CN"/>
              </w:rPr>
              <w:t>2935.47</w:t>
            </w:r>
          </w:p>
        </w:tc>
        <w:tc>
          <w:tcPr>
            <w:tcW w:w="1420" w:type="dxa"/>
            <w:tcBorders>
              <w:top w:val="single" w:color="auto" w:sz="4" w:space="0"/>
              <w:left w:val="single" w:color="auto" w:sz="4" w:space="0"/>
              <w:bottom w:val="single" w:color="auto" w:sz="4" w:space="0"/>
              <w:right w:val="single" w:color="auto" w:sz="4" w:space="0"/>
            </w:tcBorders>
            <w:shd w:val="clear" w:color="auto" w:fill="auto"/>
            <w:vAlign w:val="top"/>
          </w:tcPr>
          <w:p w14:paraId="7ADCE616">
            <w:pPr>
              <w:jc w:val="center"/>
              <w:rPr>
                <w:rFonts w:hint="eastAsia" w:ascii="Times New Roman" w:hAnsi="Times New Roman" w:eastAsia="仿宋_GB2312" w:cs="Times New Roman"/>
                <w:color w:val="000000"/>
                <w:kern w:val="2"/>
                <w:sz w:val="22"/>
                <w:szCs w:val="22"/>
                <w:lang w:val="en-US" w:eastAsia="zh-CN" w:bidi="ar-SA"/>
              </w:rPr>
            </w:pPr>
            <w:r>
              <w:rPr>
                <w:rFonts w:hint="eastAsia" w:ascii="Times New Roman" w:hAnsi="Times New Roman" w:eastAsia="仿宋_GB2312" w:cs="Times New Roman"/>
                <w:color w:val="000000"/>
                <w:sz w:val="22"/>
                <w:lang w:val="en-US" w:eastAsia="zh-CN"/>
              </w:rPr>
              <w:t>2935.47</w:t>
            </w:r>
          </w:p>
        </w:tc>
        <w:tc>
          <w:tcPr>
            <w:tcW w:w="1273" w:type="dxa"/>
            <w:tcBorders>
              <w:top w:val="single" w:color="auto" w:sz="4" w:space="0"/>
              <w:left w:val="single" w:color="auto" w:sz="4" w:space="0"/>
              <w:bottom w:val="single" w:color="auto" w:sz="4" w:space="0"/>
              <w:right w:val="single" w:color="auto" w:sz="4" w:space="0"/>
            </w:tcBorders>
          </w:tcPr>
          <w:p w14:paraId="02162D74">
            <w:pPr>
              <w:rPr>
                <w:rFonts w:hint="eastAsia" w:ascii="仿宋_GB2312" w:hAnsi="仿宋_GB2312" w:eastAsia="仿宋_GB2312" w:cs="仿宋_GB2312"/>
              </w:rPr>
            </w:pPr>
          </w:p>
        </w:tc>
        <w:tc>
          <w:tcPr>
            <w:tcW w:w="1143" w:type="dxa"/>
            <w:tcBorders>
              <w:top w:val="single" w:color="auto" w:sz="4" w:space="0"/>
              <w:left w:val="single" w:color="auto" w:sz="4" w:space="0"/>
              <w:bottom w:val="single" w:color="auto" w:sz="4" w:space="0"/>
              <w:right w:val="single" w:color="auto" w:sz="4" w:space="0"/>
            </w:tcBorders>
          </w:tcPr>
          <w:p w14:paraId="5DDA2FA3">
            <w:pPr>
              <w:rPr>
                <w:rFonts w:hint="eastAsia" w:ascii="仿宋_GB2312" w:hAnsi="仿宋_GB2312" w:eastAsia="仿宋_GB2312" w:cs="仿宋_GB2312"/>
              </w:rPr>
            </w:pPr>
          </w:p>
        </w:tc>
        <w:tc>
          <w:tcPr>
            <w:tcW w:w="1274" w:type="dxa"/>
            <w:tcBorders>
              <w:top w:val="single" w:color="auto" w:sz="4" w:space="0"/>
              <w:left w:val="single" w:color="auto" w:sz="4" w:space="0"/>
              <w:bottom w:val="single" w:color="auto" w:sz="4" w:space="0"/>
              <w:right w:val="single" w:color="auto" w:sz="4" w:space="0"/>
            </w:tcBorders>
          </w:tcPr>
          <w:p w14:paraId="475B13B1">
            <w:pPr>
              <w:rPr>
                <w:rFonts w:hint="eastAsia" w:ascii="仿宋_GB2312" w:hAnsi="仿宋_GB2312" w:eastAsia="仿宋_GB2312" w:cs="仿宋_GB2312"/>
              </w:rPr>
            </w:pPr>
          </w:p>
        </w:tc>
        <w:tc>
          <w:tcPr>
            <w:tcW w:w="1264" w:type="dxa"/>
            <w:tcBorders>
              <w:top w:val="single" w:color="auto" w:sz="4" w:space="0"/>
              <w:left w:val="single" w:color="auto" w:sz="4" w:space="0"/>
              <w:bottom w:val="single" w:color="auto" w:sz="4" w:space="0"/>
              <w:right w:val="single" w:color="auto" w:sz="4" w:space="0"/>
            </w:tcBorders>
          </w:tcPr>
          <w:p w14:paraId="2280945F">
            <w:pPr>
              <w:rPr>
                <w:rFonts w:hint="eastAsia" w:ascii="仿宋_GB2312" w:hAnsi="仿宋_GB2312" w:eastAsia="仿宋_GB2312" w:cs="仿宋_GB2312"/>
              </w:rPr>
            </w:pPr>
          </w:p>
        </w:tc>
        <w:tc>
          <w:tcPr>
            <w:tcW w:w="1173" w:type="dxa"/>
            <w:tcBorders>
              <w:top w:val="single" w:color="auto" w:sz="4" w:space="0"/>
              <w:left w:val="single" w:color="auto" w:sz="4" w:space="0"/>
              <w:bottom w:val="single" w:color="auto" w:sz="4" w:space="0"/>
              <w:right w:val="single" w:color="auto" w:sz="4" w:space="0"/>
            </w:tcBorders>
          </w:tcPr>
          <w:p w14:paraId="5A4691A2">
            <w:pPr>
              <w:rPr>
                <w:rFonts w:hint="eastAsia" w:ascii="仿宋_GB2312" w:hAnsi="仿宋_GB2312" w:eastAsia="仿宋_GB2312" w:cs="仿宋_GB2312"/>
              </w:rPr>
            </w:pPr>
          </w:p>
        </w:tc>
      </w:tr>
      <w:tr w14:paraId="7FE505FF">
        <w:tblPrEx>
          <w:tblCellMar>
            <w:top w:w="0" w:type="dxa"/>
            <w:left w:w="0" w:type="dxa"/>
            <w:bottom w:w="0" w:type="dxa"/>
            <w:right w:w="0" w:type="dxa"/>
          </w:tblCellMar>
        </w:tblPrEx>
        <w:trPr>
          <w:trHeight w:val="450" w:hRule="atLeast"/>
          <w:jc w:val="center"/>
        </w:trPr>
        <w:tc>
          <w:tcPr>
            <w:tcW w:w="1037" w:type="dxa"/>
            <w:tcBorders>
              <w:top w:val="single" w:color="auto" w:sz="4" w:space="0"/>
              <w:left w:val="single" w:color="auto" w:sz="4" w:space="0"/>
              <w:bottom w:val="single" w:color="auto" w:sz="4" w:space="0"/>
              <w:right w:val="single" w:color="auto" w:sz="4" w:space="0"/>
            </w:tcBorders>
            <w:shd w:val="clear" w:color="000000" w:fill="FFFFFF"/>
            <w:vAlign w:val="center"/>
          </w:tcPr>
          <w:p w14:paraId="5F171C78">
            <w:pPr>
              <w:rPr>
                <w:rFonts w:hint="default" w:ascii="仿宋_GB2312" w:hAnsi="仿宋_GB2312" w:eastAsia="仿宋_GB2312" w:cs="仿宋_GB2312"/>
                <w:lang w:val="en-US" w:eastAsia="zh-CN"/>
              </w:rPr>
            </w:pPr>
            <w:r>
              <w:rPr>
                <w:rFonts w:hint="eastAsia" w:ascii="仿宋_GB2312" w:hAnsi="仿宋_GB2312" w:eastAsia="仿宋_GB2312" w:cs="仿宋_GB2312"/>
              </w:rPr>
              <w:t>21208</w:t>
            </w:r>
            <w:r>
              <w:rPr>
                <w:rFonts w:hint="eastAsia" w:ascii="仿宋_GB2312" w:hAnsi="仿宋_GB2312" w:eastAsia="仿宋_GB2312" w:cs="仿宋_GB2312"/>
                <w:lang w:val="en-US" w:eastAsia="zh-CN"/>
              </w:rPr>
              <w:t>14</w:t>
            </w:r>
          </w:p>
        </w:tc>
        <w:tc>
          <w:tcPr>
            <w:tcW w:w="3144" w:type="dxa"/>
            <w:tcBorders>
              <w:top w:val="single" w:color="auto" w:sz="4" w:space="0"/>
              <w:left w:val="single" w:color="auto" w:sz="4" w:space="0"/>
              <w:bottom w:val="single" w:color="auto" w:sz="4" w:space="0"/>
              <w:right w:val="single" w:color="auto" w:sz="4" w:space="0"/>
            </w:tcBorders>
            <w:shd w:val="clear" w:color="000000" w:fill="FFFFFF"/>
            <w:vAlign w:val="center"/>
          </w:tcPr>
          <w:p w14:paraId="66E2FC07">
            <w:pPr>
              <w:rPr>
                <w:rFonts w:hint="eastAsia" w:ascii="仿宋_GB2312" w:hAnsi="仿宋_GB2312" w:eastAsia="仿宋_GB2312" w:cs="仿宋_GB2312"/>
                <w:lang w:val="en-US" w:eastAsia="zh-CN"/>
              </w:rPr>
            </w:pPr>
            <w:r>
              <w:rPr>
                <w:rFonts w:hint="eastAsia" w:ascii="仿宋_GB2312" w:hAnsi="仿宋_GB2312" w:eastAsia="仿宋_GB2312" w:cs="仿宋_GB2312"/>
              </w:rPr>
              <w:t>农业生产发展支出</w:t>
            </w:r>
          </w:p>
        </w:tc>
        <w:tc>
          <w:tcPr>
            <w:tcW w:w="1442" w:type="dxa"/>
            <w:tcBorders>
              <w:top w:val="single" w:color="auto" w:sz="4" w:space="0"/>
              <w:left w:val="single" w:color="auto" w:sz="4" w:space="0"/>
              <w:bottom w:val="single" w:color="auto" w:sz="4" w:space="0"/>
              <w:right w:val="single" w:color="auto" w:sz="4" w:space="0"/>
            </w:tcBorders>
            <w:shd w:val="clear" w:color="auto" w:fill="auto"/>
            <w:vAlign w:val="top"/>
          </w:tcPr>
          <w:p w14:paraId="501F4062">
            <w:pPr>
              <w:jc w:val="center"/>
              <w:rPr>
                <w:rFonts w:hint="default" w:ascii="Times New Roman" w:hAnsi="Times New Roman" w:eastAsia="仿宋_GB2312" w:cs="Times New Roman"/>
                <w:color w:val="000000"/>
                <w:kern w:val="2"/>
                <w:sz w:val="22"/>
                <w:szCs w:val="22"/>
                <w:lang w:val="en-US" w:eastAsia="zh-CN" w:bidi="ar-SA"/>
              </w:rPr>
            </w:pPr>
            <w:r>
              <w:rPr>
                <w:rFonts w:hint="eastAsia" w:ascii="Times New Roman" w:hAnsi="Times New Roman" w:eastAsia="仿宋_GB2312" w:cs="Times New Roman"/>
                <w:color w:val="000000"/>
                <w:sz w:val="22"/>
                <w:lang w:val="en-US" w:eastAsia="zh-CN"/>
              </w:rPr>
              <w:t>2449.98</w:t>
            </w:r>
          </w:p>
        </w:tc>
        <w:tc>
          <w:tcPr>
            <w:tcW w:w="1420" w:type="dxa"/>
            <w:tcBorders>
              <w:top w:val="single" w:color="auto" w:sz="4" w:space="0"/>
              <w:left w:val="single" w:color="auto" w:sz="4" w:space="0"/>
              <w:bottom w:val="single" w:color="auto" w:sz="4" w:space="0"/>
              <w:right w:val="single" w:color="auto" w:sz="4" w:space="0"/>
            </w:tcBorders>
            <w:shd w:val="clear" w:color="auto" w:fill="auto"/>
            <w:vAlign w:val="top"/>
          </w:tcPr>
          <w:p w14:paraId="01415946">
            <w:pPr>
              <w:jc w:val="center"/>
              <w:rPr>
                <w:rFonts w:hint="eastAsia" w:ascii="Times New Roman" w:hAnsi="Times New Roman" w:eastAsia="仿宋_GB2312" w:cs="Times New Roman"/>
                <w:color w:val="000000"/>
                <w:kern w:val="2"/>
                <w:sz w:val="22"/>
                <w:szCs w:val="22"/>
                <w:lang w:val="en-US" w:eastAsia="zh-CN" w:bidi="ar-SA"/>
              </w:rPr>
            </w:pPr>
            <w:r>
              <w:rPr>
                <w:rFonts w:hint="eastAsia" w:ascii="Times New Roman" w:hAnsi="Times New Roman" w:eastAsia="仿宋_GB2312" w:cs="Times New Roman"/>
                <w:color w:val="000000"/>
                <w:sz w:val="22"/>
                <w:lang w:val="en-US" w:eastAsia="zh-CN"/>
              </w:rPr>
              <w:t>2449.98</w:t>
            </w:r>
          </w:p>
        </w:tc>
        <w:tc>
          <w:tcPr>
            <w:tcW w:w="1273" w:type="dxa"/>
            <w:tcBorders>
              <w:top w:val="single" w:color="auto" w:sz="4" w:space="0"/>
              <w:left w:val="single" w:color="auto" w:sz="4" w:space="0"/>
              <w:bottom w:val="single" w:color="auto" w:sz="4" w:space="0"/>
              <w:right w:val="single" w:color="auto" w:sz="4" w:space="0"/>
            </w:tcBorders>
          </w:tcPr>
          <w:p w14:paraId="528C024E">
            <w:pPr>
              <w:rPr>
                <w:rFonts w:hint="eastAsia" w:ascii="仿宋_GB2312" w:hAnsi="仿宋_GB2312" w:eastAsia="仿宋_GB2312" w:cs="仿宋_GB2312"/>
              </w:rPr>
            </w:pPr>
          </w:p>
        </w:tc>
        <w:tc>
          <w:tcPr>
            <w:tcW w:w="1143" w:type="dxa"/>
            <w:tcBorders>
              <w:top w:val="single" w:color="auto" w:sz="4" w:space="0"/>
              <w:left w:val="single" w:color="auto" w:sz="4" w:space="0"/>
              <w:bottom w:val="single" w:color="auto" w:sz="4" w:space="0"/>
              <w:right w:val="single" w:color="auto" w:sz="4" w:space="0"/>
            </w:tcBorders>
          </w:tcPr>
          <w:p w14:paraId="2A9C2E50">
            <w:pPr>
              <w:rPr>
                <w:rFonts w:hint="eastAsia" w:ascii="仿宋_GB2312" w:hAnsi="仿宋_GB2312" w:eastAsia="仿宋_GB2312" w:cs="仿宋_GB2312"/>
              </w:rPr>
            </w:pPr>
          </w:p>
        </w:tc>
        <w:tc>
          <w:tcPr>
            <w:tcW w:w="1274" w:type="dxa"/>
            <w:tcBorders>
              <w:top w:val="single" w:color="auto" w:sz="4" w:space="0"/>
              <w:left w:val="single" w:color="auto" w:sz="4" w:space="0"/>
              <w:bottom w:val="single" w:color="auto" w:sz="4" w:space="0"/>
              <w:right w:val="single" w:color="auto" w:sz="4" w:space="0"/>
            </w:tcBorders>
          </w:tcPr>
          <w:p w14:paraId="30223A5F">
            <w:pPr>
              <w:rPr>
                <w:rFonts w:hint="eastAsia" w:ascii="仿宋_GB2312" w:hAnsi="仿宋_GB2312" w:eastAsia="仿宋_GB2312" w:cs="仿宋_GB2312"/>
              </w:rPr>
            </w:pPr>
          </w:p>
        </w:tc>
        <w:tc>
          <w:tcPr>
            <w:tcW w:w="1264" w:type="dxa"/>
            <w:tcBorders>
              <w:top w:val="single" w:color="auto" w:sz="4" w:space="0"/>
              <w:left w:val="single" w:color="auto" w:sz="4" w:space="0"/>
              <w:bottom w:val="single" w:color="auto" w:sz="4" w:space="0"/>
              <w:right w:val="single" w:color="auto" w:sz="4" w:space="0"/>
            </w:tcBorders>
          </w:tcPr>
          <w:p w14:paraId="19F93293">
            <w:pPr>
              <w:rPr>
                <w:rFonts w:hint="eastAsia" w:ascii="仿宋_GB2312" w:hAnsi="仿宋_GB2312" w:eastAsia="仿宋_GB2312" w:cs="仿宋_GB2312"/>
              </w:rPr>
            </w:pPr>
          </w:p>
        </w:tc>
        <w:tc>
          <w:tcPr>
            <w:tcW w:w="1173" w:type="dxa"/>
            <w:tcBorders>
              <w:top w:val="single" w:color="auto" w:sz="4" w:space="0"/>
              <w:left w:val="single" w:color="auto" w:sz="4" w:space="0"/>
              <w:bottom w:val="single" w:color="auto" w:sz="4" w:space="0"/>
              <w:right w:val="single" w:color="auto" w:sz="4" w:space="0"/>
            </w:tcBorders>
          </w:tcPr>
          <w:p w14:paraId="442A008D">
            <w:pPr>
              <w:rPr>
                <w:rFonts w:hint="eastAsia" w:ascii="仿宋_GB2312" w:hAnsi="仿宋_GB2312" w:eastAsia="仿宋_GB2312" w:cs="仿宋_GB2312"/>
              </w:rPr>
            </w:pPr>
          </w:p>
        </w:tc>
      </w:tr>
      <w:tr w14:paraId="0F1E935B">
        <w:tblPrEx>
          <w:tblCellMar>
            <w:top w:w="0" w:type="dxa"/>
            <w:left w:w="0" w:type="dxa"/>
            <w:bottom w:w="0" w:type="dxa"/>
            <w:right w:w="0" w:type="dxa"/>
          </w:tblCellMar>
        </w:tblPrEx>
        <w:trPr>
          <w:trHeight w:val="450" w:hRule="atLeast"/>
          <w:jc w:val="center"/>
        </w:trPr>
        <w:tc>
          <w:tcPr>
            <w:tcW w:w="1037" w:type="dxa"/>
            <w:tcBorders>
              <w:top w:val="single" w:color="auto" w:sz="4" w:space="0"/>
              <w:left w:val="single" w:color="auto" w:sz="4" w:space="0"/>
              <w:bottom w:val="single" w:color="auto" w:sz="4" w:space="0"/>
              <w:right w:val="single" w:color="auto" w:sz="4" w:space="0"/>
            </w:tcBorders>
            <w:shd w:val="clear" w:color="000000" w:fill="FFFFFF"/>
            <w:vAlign w:val="center"/>
          </w:tcPr>
          <w:p w14:paraId="3091B7CA">
            <w:pPr>
              <w:rPr>
                <w:rFonts w:hint="default" w:ascii="仿宋_GB2312" w:hAnsi="仿宋_GB2312" w:eastAsia="仿宋_GB2312" w:cs="仿宋_GB2312"/>
                <w:lang w:val="en-US" w:eastAsia="zh-CN"/>
              </w:rPr>
            </w:pPr>
            <w:r>
              <w:rPr>
                <w:rFonts w:hint="eastAsia" w:ascii="仿宋_GB2312" w:hAnsi="仿宋_GB2312" w:eastAsia="仿宋_GB2312" w:cs="仿宋_GB2312"/>
              </w:rPr>
              <w:t>212</w:t>
            </w:r>
            <w:r>
              <w:rPr>
                <w:rFonts w:hint="eastAsia" w:ascii="仿宋_GB2312" w:hAnsi="仿宋_GB2312" w:eastAsia="仿宋_GB2312" w:cs="仿宋_GB2312"/>
                <w:lang w:val="en-US" w:eastAsia="zh-CN"/>
              </w:rPr>
              <w:t>0899</w:t>
            </w:r>
          </w:p>
        </w:tc>
        <w:tc>
          <w:tcPr>
            <w:tcW w:w="3144" w:type="dxa"/>
            <w:tcBorders>
              <w:top w:val="single" w:color="auto" w:sz="4" w:space="0"/>
              <w:left w:val="single" w:color="auto" w:sz="4" w:space="0"/>
              <w:bottom w:val="single" w:color="auto" w:sz="4" w:space="0"/>
              <w:right w:val="single" w:color="auto" w:sz="4" w:space="0"/>
            </w:tcBorders>
            <w:shd w:val="clear" w:color="000000" w:fill="FFFFFF"/>
            <w:vAlign w:val="center"/>
          </w:tcPr>
          <w:p w14:paraId="03ACD370">
            <w:pPr>
              <w:rPr>
                <w:rFonts w:hint="eastAsia" w:ascii="仿宋_GB2312" w:hAnsi="仿宋_GB2312" w:eastAsia="仿宋_GB2312" w:cs="仿宋_GB2312"/>
                <w:lang w:val="en-US" w:eastAsia="zh-CN"/>
              </w:rPr>
            </w:pPr>
            <w:r>
              <w:rPr>
                <w:rFonts w:hint="eastAsia" w:ascii="仿宋_GB2312" w:hAnsi="仿宋_GB2312" w:eastAsia="仿宋_GB2312" w:cs="仿宋_GB2312"/>
                <w:lang w:eastAsia="zh-CN"/>
              </w:rPr>
              <w:t>其他国有土地使用权出让收入安排的</w:t>
            </w:r>
            <w:r>
              <w:rPr>
                <w:rFonts w:hint="eastAsia" w:ascii="仿宋_GB2312" w:hAnsi="仿宋_GB2312" w:eastAsia="仿宋_GB2312" w:cs="仿宋_GB2312"/>
              </w:rPr>
              <w:t>支出</w:t>
            </w:r>
          </w:p>
        </w:tc>
        <w:tc>
          <w:tcPr>
            <w:tcW w:w="1442" w:type="dxa"/>
            <w:tcBorders>
              <w:top w:val="single" w:color="auto" w:sz="4" w:space="0"/>
              <w:left w:val="single" w:color="auto" w:sz="4" w:space="0"/>
              <w:bottom w:val="single" w:color="auto" w:sz="4" w:space="0"/>
              <w:right w:val="single" w:color="auto" w:sz="4" w:space="0"/>
            </w:tcBorders>
            <w:shd w:val="clear" w:color="auto" w:fill="auto"/>
            <w:vAlign w:val="top"/>
          </w:tcPr>
          <w:p w14:paraId="2FA80CC9">
            <w:pPr>
              <w:jc w:val="center"/>
              <w:rPr>
                <w:rFonts w:hint="default" w:ascii="Times New Roman" w:hAnsi="Times New Roman" w:eastAsia="仿宋_GB2312" w:cs="Times New Roman"/>
                <w:color w:val="000000"/>
                <w:kern w:val="2"/>
                <w:sz w:val="22"/>
                <w:szCs w:val="22"/>
                <w:lang w:val="en-US" w:eastAsia="zh-CN" w:bidi="ar-SA"/>
              </w:rPr>
            </w:pPr>
            <w:r>
              <w:rPr>
                <w:rFonts w:hint="eastAsia" w:ascii="Times New Roman" w:hAnsi="Times New Roman" w:eastAsia="仿宋_GB2312" w:cs="Times New Roman"/>
                <w:color w:val="000000"/>
                <w:sz w:val="22"/>
                <w:lang w:val="en-US" w:eastAsia="zh-CN"/>
              </w:rPr>
              <w:t>485.50</w:t>
            </w:r>
          </w:p>
        </w:tc>
        <w:tc>
          <w:tcPr>
            <w:tcW w:w="1420" w:type="dxa"/>
            <w:tcBorders>
              <w:top w:val="single" w:color="auto" w:sz="4" w:space="0"/>
              <w:left w:val="single" w:color="auto" w:sz="4" w:space="0"/>
              <w:bottom w:val="single" w:color="auto" w:sz="4" w:space="0"/>
              <w:right w:val="single" w:color="auto" w:sz="4" w:space="0"/>
            </w:tcBorders>
            <w:shd w:val="clear" w:color="auto" w:fill="auto"/>
            <w:vAlign w:val="top"/>
          </w:tcPr>
          <w:p w14:paraId="19A95E1C">
            <w:pPr>
              <w:jc w:val="center"/>
              <w:rPr>
                <w:rFonts w:hint="default" w:ascii="Times New Roman" w:hAnsi="Times New Roman" w:eastAsia="仿宋_GB2312" w:cs="Times New Roman"/>
                <w:color w:val="000000"/>
                <w:kern w:val="2"/>
                <w:sz w:val="22"/>
                <w:szCs w:val="22"/>
                <w:lang w:val="en-US" w:eastAsia="zh-CN" w:bidi="ar-SA"/>
              </w:rPr>
            </w:pPr>
            <w:r>
              <w:rPr>
                <w:rFonts w:hint="eastAsia" w:ascii="Times New Roman" w:hAnsi="Times New Roman" w:eastAsia="仿宋_GB2312" w:cs="Times New Roman"/>
                <w:color w:val="000000"/>
                <w:sz w:val="22"/>
                <w:lang w:val="en-US" w:eastAsia="zh-CN"/>
              </w:rPr>
              <w:t>485.50</w:t>
            </w:r>
          </w:p>
        </w:tc>
        <w:tc>
          <w:tcPr>
            <w:tcW w:w="1273" w:type="dxa"/>
            <w:tcBorders>
              <w:top w:val="single" w:color="auto" w:sz="4" w:space="0"/>
              <w:left w:val="single" w:color="auto" w:sz="4" w:space="0"/>
              <w:bottom w:val="single" w:color="auto" w:sz="4" w:space="0"/>
              <w:right w:val="single" w:color="auto" w:sz="4" w:space="0"/>
            </w:tcBorders>
          </w:tcPr>
          <w:p w14:paraId="62668200">
            <w:pPr>
              <w:rPr>
                <w:rFonts w:hint="eastAsia" w:ascii="仿宋_GB2312" w:hAnsi="仿宋_GB2312" w:eastAsia="仿宋_GB2312" w:cs="仿宋_GB2312"/>
              </w:rPr>
            </w:pPr>
          </w:p>
        </w:tc>
        <w:tc>
          <w:tcPr>
            <w:tcW w:w="1143" w:type="dxa"/>
            <w:tcBorders>
              <w:top w:val="single" w:color="auto" w:sz="4" w:space="0"/>
              <w:left w:val="single" w:color="auto" w:sz="4" w:space="0"/>
              <w:bottom w:val="single" w:color="auto" w:sz="4" w:space="0"/>
              <w:right w:val="single" w:color="auto" w:sz="4" w:space="0"/>
            </w:tcBorders>
          </w:tcPr>
          <w:p w14:paraId="1BBCB139">
            <w:pPr>
              <w:rPr>
                <w:rFonts w:hint="eastAsia" w:ascii="仿宋_GB2312" w:hAnsi="仿宋_GB2312" w:eastAsia="仿宋_GB2312" w:cs="仿宋_GB2312"/>
              </w:rPr>
            </w:pPr>
          </w:p>
        </w:tc>
        <w:tc>
          <w:tcPr>
            <w:tcW w:w="1274" w:type="dxa"/>
            <w:tcBorders>
              <w:top w:val="single" w:color="auto" w:sz="4" w:space="0"/>
              <w:left w:val="single" w:color="auto" w:sz="4" w:space="0"/>
              <w:bottom w:val="single" w:color="auto" w:sz="4" w:space="0"/>
              <w:right w:val="single" w:color="auto" w:sz="4" w:space="0"/>
            </w:tcBorders>
          </w:tcPr>
          <w:p w14:paraId="62EF720B">
            <w:pPr>
              <w:rPr>
                <w:rFonts w:hint="eastAsia" w:ascii="仿宋_GB2312" w:hAnsi="仿宋_GB2312" w:eastAsia="仿宋_GB2312" w:cs="仿宋_GB2312"/>
              </w:rPr>
            </w:pPr>
          </w:p>
        </w:tc>
        <w:tc>
          <w:tcPr>
            <w:tcW w:w="1264" w:type="dxa"/>
            <w:tcBorders>
              <w:top w:val="single" w:color="auto" w:sz="4" w:space="0"/>
              <w:left w:val="single" w:color="auto" w:sz="4" w:space="0"/>
              <w:bottom w:val="single" w:color="auto" w:sz="4" w:space="0"/>
              <w:right w:val="single" w:color="auto" w:sz="4" w:space="0"/>
            </w:tcBorders>
          </w:tcPr>
          <w:p w14:paraId="2665EC8E">
            <w:pPr>
              <w:rPr>
                <w:rFonts w:hint="eastAsia" w:ascii="仿宋_GB2312" w:hAnsi="仿宋_GB2312" w:eastAsia="仿宋_GB2312" w:cs="仿宋_GB2312"/>
              </w:rPr>
            </w:pPr>
          </w:p>
        </w:tc>
        <w:tc>
          <w:tcPr>
            <w:tcW w:w="1173" w:type="dxa"/>
            <w:tcBorders>
              <w:top w:val="single" w:color="auto" w:sz="4" w:space="0"/>
              <w:left w:val="single" w:color="auto" w:sz="4" w:space="0"/>
              <w:bottom w:val="single" w:color="auto" w:sz="4" w:space="0"/>
              <w:right w:val="single" w:color="auto" w:sz="4" w:space="0"/>
            </w:tcBorders>
          </w:tcPr>
          <w:p w14:paraId="38895065">
            <w:pPr>
              <w:rPr>
                <w:rFonts w:hint="eastAsia" w:ascii="仿宋_GB2312" w:hAnsi="仿宋_GB2312" w:eastAsia="仿宋_GB2312" w:cs="仿宋_GB2312"/>
              </w:rPr>
            </w:pPr>
          </w:p>
        </w:tc>
      </w:tr>
      <w:tr w14:paraId="526F2023">
        <w:tblPrEx>
          <w:tblCellMar>
            <w:top w:w="0" w:type="dxa"/>
            <w:left w:w="0" w:type="dxa"/>
            <w:bottom w:w="0" w:type="dxa"/>
            <w:right w:w="0" w:type="dxa"/>
          </w:tblCellMar>
        </w:tblPrEx>
        <w:trPr>
          <w:trHeight w:val="450" w:hRule="atLeast"/>
          <w:jc w:val="center"/>
        </w:trPr>
        <w:tc>
          <w:tcPr>
            <w:tcW w:w="1037" w:type="dxa"/>
            <w:tcBorders>
              <w:top w:val="single" w:color="auto" w:sz="4" w:space="0"/>
              <w:left w:val="single" w:color="auto" w:sz="4" w:space="0"/>
              <w:bottom w:val="single" w:color="auto" w:sz="4" w:space="0"/>
              <w:right w:val="single" w:color="auto" w:sz="4" w:space="0"/>
            </w:tcBorders>
            <w:shd w:val="clear" w:color="000000" w:fill="FFFFFF"/>
            <w:vAlign w:val="center"/>
          </w:tcPr>
          <w:p w14:paraId="4D68CAF2">
            <w:pPr>
              <w:rPr>
                <w:rFonts w:hint="eastAsia" w:ascii="仿宋_GB2312" w:hAnsi="仿宋_GB2312" w:eastAsia="仿宋_GB2312" w:cs="仿宋_GB2312"/>
                <w:lang w:val="en-US" w:eastAsia="zh-CN"/>
              </w:rPr>
            </w:pPr>
            <w:r>
              <w:rPr>
                <w:rFonts w:hint="eastAsia" w:ascii="仿宋_GB2312" w:hAnsi="仿宋_GB2312" w:eastAsia="仿宋_GB2312" w:cs="仿宋_GB2312"/>
              </w:rPr>
              <w:t>213</w:t>
            </w:r>
          </w:p>
        </w:tc>
        <w:tc>
          <w:tcPr>
            <w:tcW w:w="3144" w:type="dxa"/>
            <w:tcBorders>
              <w:top w:val="single" w:color="auto" w:sz="4" w:space="0"/>
              <w:left w:val="single" w:color="auto" w:sz="4" w:space="0"/>
              <w:bottom w:val="single" w:color="auto" w:sz="4" w:space="0"/>
              <w:right w:val="single" w:color="auto" w:sz="4" w:space="0"/>
            </w:tcBorders>
            <w:shd w:val="clear" w:color="000000" w:fill="FFFFFF"/>
            <w:vAlign w:val="center"/>
          </w:tcPr>
          <w:p w14:paraId="45D04F75">
            <w:pPr>
              <w:rPr>
                <w:rFonts w:hint="eastAsia" w:ascii="仿宋_GB2312" w:hAnsi="仿宋_GB2312" w:eastAsia="仿宋_GB2312" w:cs="仿宋_GB2312"/>
                <w:lang w:val="en-US" w:eastAsia="zh-CN"/>
              </w:rPr>
            </w:pPr>
            <w:r>
              <w:rPr>
                <w:rFonts w:hint="eastAsia" w:ascii="仿宋_GB2312" w:hAnsi="仿宋_GB2312" w:eastAsia="仿宋_GB2312" w:cs="仿宋_GB2312"/>
              </w:rPr>
              <w:t>农林水支出</w:t>
            </w:r>
          </w:p>
        </w:tc>
        <w:tc>
          <w:tcPr>
            <w:tcW w:w="1442" w:type="dxa"/>
            <w:tcBorders>
              <w:top w:val="single" w:color="auto" w:sz="4" w:space="0"/>
              <w:left w:val="single" w:color="auto" w:sz="4" w:space="0"/>
              <w:bottom w:val="single" w:color="auto" w:sz="4" w:space="0"/>
              <w:right w:val="single" w:color="auto" w:sz="4" w:space="0"/>
            </w:tcBorders>
            <w:shd w:val="clear" w:color="auto" w:fill="auto"/>
            <w:vAlign w:val="top"/>
          </w:tcPr>
          <w:p w14:paraId="59CD1E68">
            <w:pPr>
              <w:jc w:val="center"/>
              <w:rPr>
                <w:rFonts w:hint="default" w:ascii="Times New Roman" w:hAnsi="Times New Roman" w:eastAsia="仿宋_GB2312" w:cs="Times New Roman"/>
                <w:color w:val="000000"/>
                <w:kern w:val="2"/>
                <w:sz w:val="22"/>
                <w:szCs w:val="22"/>
                <w:lang w:val="en-US" w:eastAsia="zh-CN" w:bidi="ar-SA"/>
              </w:rPr>
            </w:pPr>
            <w:r>
              <w:rPr>
                <w:rFonts w:hint="eastAsia" w:ascii="Times New Roman" w:hAnsi="Times New Roman" w:eastAsia="仿宋_GB2312" w:cs="Times New Roman"/>
                <w:color w:val="000000"/>
                <w:sz w:val="22"/>
                <w:lang w:val="en-US" w:eastAsia="zh-CN"/>
              </w:rPr>
              <w:t>505.83</w:t>
            </w:r>
          </w:p>
        </w:tc>
        <w:tc>
          <w:tcPr>
            <w:tcW w:w="1420" w:type="dxa"/>
            <w:tcBorders>
              <w:top w:val="single" w:color="auto" w:sz="4" w:space="0"/>
              <w:left w:val="single" w:color="auto" w:sz="4" w:space="0"/>
              <w:bottom w:val="single" w:color="auto" w:sz="4" w:space="0"/>
              <w:right w:val="single" w:color="auto" w:sz="4" w:space="0"/>
            </w:tcBorders>
            <w:shd w:val="clear" w:color="auto" w:fill="auto"/>
            <w:vAlign w:val="top"/>
          </w:tcPr>
          <w:p w14:paraId="1A77CA8B">
            <w:pPr>
              <w:jc w:val="center"/>
              <w:rPr>
                <w:rFonts w:hint="eastAsia" w:ascii="Times New Roman" w:hAnsi="Times New Roman" w:eastAsia="仿宋_GB2312" w:cs="Times New Roman"/>
                <w:color w:val="000000"/>
                <w:kern w:val="2"/>
                <w:sz w:val="22"/>
                <w:szCs w:val="22"/>
                <w:lang w:val="en-US" w:eastAsia="zh-CN" w:bidi="ar-SA"/>
              </w:rPr>
            </w:pPr>
            <w:r>
              <w:rPr>
                <w:rFonts w:hint="eastAsia" w:ascii="Times New Roman" w:hAnsi="Times New Roman" w:eastAsia="仿宋_GB2312" w:cs="Times New Roman"/>
                <w:color w:val="000000"/>
                <w:sz w:val="22"/>
                <w:lang w:val="en-US" w:eastAsia="zh-CN"/>
              </w:rPr>
              <w:t>505.83</w:t>
            </w:r>
          </w:p>
        </w:tc>
        <w:tc>
          <w:tcPr>
            <w:tcW w:w="1273" w:type="dxa"/>
            <w:tcBorders>
              <w:top w:val="single" w:color="auto" w:sz="4" w:space="0"/>
              <w:left w:val="single" w:color="auto" w:sz="4" w:space="0"/>
              <w:bottom w:val="single" w:color="auto" w:sz="4" w:space="0"/>
              <w:right w:val="single" w:color="auto" w:sz="4" w:space="0"/>
            </w:tcBorders>
          </w:tcPr>
          <w:p w14:paraId="0C0C0655">
            <w:pPr>
              <w:rPr>
                <w:rFonts w:hint="eastAsia" w:ascii="仿宋_GB2312" w:hAnsi="仿宋_GB2312" w:eastAsia="仿宋_GB2312" w:cs="仿宋_GB2312"/>
              </w:rPr>
            </w:pPr>
          </w:p>
        </w:tc>
        <w:tc>
          <w:tcPr>
            <w:tcW w:w="1143" w:type="dxa"/>
            <w:tcBorders>
              <w:top w:val="single" w:color="auto" w:sz="4" w:space="0"/>
              <w:left w:val="single" w:color="auto" w:sz="4" w:space="0"/>
              <w:bottom w:val="single" w:color="auto" w:sz="4" w:space="0"/>
              <w:right w:val="single" w:color="auto" w:sz="4" w:space="0"/>
            </w:tcBorders>
          </w:tcPr>
          <w:p w14:paraId="62D4B809">
            <w:pPr>
              <w:rPr>
                <w:rFonts w:hint="eastAsia" w:ascii="仿宋_GB2312" w:hAnsi="仿宋_GB2312" w:eastAsia="仿宋_GB2312" w:cs="仿宋_GB2312"/>
              </w:rPr>
            </w:pPr>
          </w:p>
        </w:tc>
        <w:tc>
          <w:tcPr>
            <w:tcW w:w="1274" w:type="dxa"/>
            <w:tcBorders>
              <w:top w:val="single" w:color="auto" w:sz="4" w:space="0"/>
              <w:left w:val="single" w:color="auto" w:sz="4" w:space="0"/>
              <w:bottom w:val="single" w:color="auto" w:sz="4" w:space="0"/>
              <w:right w:val="single" w:color="auto" w:sz="4" w:space="0"/>
            </w:tcBorders>
          </w:tcPr>
          <w:p w14:paraId="4A26810C">
            <w:pPr>
              <w:rPr>
                <w:rFonts w:hint="eastAsia" w:ascii="仿宋_GB2312" w:hAnsi="仿宋_GB2312" w:eastAsia="仿宋_GB2312" w:cs="仿宋_GB2312"/>
              </w:rPr>
            </w:pPr>
          </w:p>
        </w:tc>
        <w:tc>
          <w:tcPr>
            <w:tcW w:w="1264" w:type="dxa"/>
            <w:tcBorders>
              <w:top w:val="single" w:color="auto" w:sz="4" w:space="0"/>
              <w:left w:val="single" w:color="auto" w:sz="4" w:space="0"/>
              <w:bottom w:val="single" w:color="auto" w:sz="4" w:space="0"/>
              <w:right w:val="single" w:color="auto" w:sz="4" w:space="0"/>
            </w:tcBorders>
          </w:tcPr>
          <w:p w14:paraId="262EA9E1">
            <w:pPr>
              <w:rPr>
                <w:rFonts w:hint="eastAsia" w:ascii="仿宋_GB2312" w:hAnsi="仿宋_GB2312" w:eastAsia="仿宋_GB2312" w:cs="仿宋_GB2312"/>
              </w:rPr>
            </w:pPr>
          </w:p>
        </w:tc>
        <w:tc>
          <w:tcPr>
            <w:tcW w:w="1173" w:type="dxa"/>
            <w:tcBorders>
              <w:top w:val="single" w:color="auto" w:sz="4" w:space="0"/>
              <w:left w:val="single" w:color="auto" w:sz="4" w:space="0"/>
              <w:bottom w:val="single" w:color="auto" w:sz="4" w:space="0"/>
              <w:right w:val="single" w:color="auto" w:sz="4" w:space="0"/>
            </w:tcBorders>
          </w:tcPr>
          <w:p w14:paraId="7623B77E">
            <w:pPr>
              <w:rPr>
                <w:rFonts w:hint="eastAsia" w:ascii="仿宋_GB2312" w:hAnsi="仿宋_GB2312" w:eastAsia="仿宋_GB2312" w:cs="仿宋_GB2312"/>
              </w:rPr>
            </w:pPr>
          </w:p>
        </w:tc>
      </w:tr>
      <w:tr w14:paraId="13B43DD5">
        <w:tblPrEx>
          <w:tblCellMar>
            <w:top w:w="0" w:type="dxa"/>
            <w:left w:w="0" w:type="dxa"/>
            <w:bottom w:w="0" w:type="dxa"/>
            <w:right w:w="0" w:type="dxa"/>
          </w:tblCellMar>
        </w:tblPrEx>
        <w:trPr>
          <w:trHeight w:val="450" w:hRule="atLeast"/>
          <w:jc w:val="center"/>
        </w:trPr>
        <w:tc>
          <w:tcPr>
            <w:tcW w:w="1037" w:type="dxa"/>
            <w:tcBorders>
              <w:top w:val="single" w:color="auto" w:sz="4" w:space="0"/>
              <w:left w:val="single" w:color="auto" w:sz="4" w:space="0"/>
              <w:bottom w:val="single" w:color="auto" w:sz="4" w:space="0"/>
              <w:right w:val="single" w:color="auto" w:sz="4" w:space="0"/>
            </w:tcBorders>
            <w:shd w:val="clear" w:color="000000" w:fill="FFFFFF"/>
            <w:vAlign w:val="center"/>
          </w:tcPr>
          <w:p w14:paraId="2800178D">
            <w:pPr>
              <w:rPr>
                <w:rFonts w:hint="eastAsia" w:ascii="仿宋_GB2312" w:hAnsi="仿宋_GB2312" w:eastAsia="仿宋_GB2312" w:cs="仿宋_GB2312"/>
                <w:lang w:val="en-US" w:eastAsia="zh-CN"/>
              </w:rPr>
            </w:pPr>
            <w:r>
              <w:rPr>
                <w:rFonts w:hint="eastAsia" w:ascii="仿宋_GB2312" w:hAnsi="仿宋_GB2312" w:eastAsia="仿宋_GB2312" w:cs="仿宋_GB2312"/>
              </w:rPr>
              <w:t>21301</w:t>
            </w:r>
          </w:p>
        </w:tc>
        <w:tc>
          <w:tcPr>
            <w:tcW w:w="3144" w:type="dxa"/>
            <w:tcBorders>
              <w:top w:val="single" w:color="auto" w:sz="4" w:space="0"/>
              <w:left w:val="single" w:color="auto" w:sz="4" w:space="0"/>
              <w:bottom w:val="single" w:color="auto" w:sz="4" w:space="0"/>
              <w:right w:val="single" w:color="auto" w:sz="4" w:space="0"/>
            </w:tcBorders>
            <w:shd w:val="clear" w:color="000000" w:fill="FFFFFF"/>
            <w:vAlign w:val="center"/>
          </w:tcPr>
          <w:p w14:paraId="021A4C38">
            <w:pPr>
              <w:rPr>
                <w:rFonts w:hint="eastAsia" w:ascii="仿宋_GB2312" w:hAnsi="仿宋_GB2312" w:eastAsia="仿宋_GB2312" w:cs="仿宋_GB2312"/>
                <w:lang w:val="en-US" w:eastAsia="zh-CN"/>
              </w:rPr>
            </w:pPr>
            <w:r>
              <w:rPr>
                <w:rFonts w:hint="eastAsia" w:ascii="仿宋_GB2312" w:hAnsi="仿宋_GB2312" w:eastAsia="仿宋_GB2312" w:cs="仿宋_GB2312"/>
              </w:rPr>
              <w:t>农业农村</w:t>
            </w:r>
          </w:p>
        </w:tc>
        <w:tc>
          <w:tcPr>
            <w:tcW w:w="1442" w:type="dxa"/>
            <w:tcBorders>
              <w:top w:val="single" w:color="auto" w:sz="4" w:space="0"/>
              <w:left w:val="single" w:color="auto" w:sz="4" w:space="0"/>
              <w:bottom w:val="single" w:color="auto" w:sz="4" w:space="0"/>
              <w:right w:val="single" w:color="auto" w:sz="4" w:space="0"/>
            </w:tcBorders>
            <w:shd w:val="clear" w:color="auto" w:fill="auto"/>
            <w:vAlign w:val="top"/>
          </w:tcPr>
          <w:p w14:paraId="792E34F6">
            <w:pPr>
              <w:jc w:val="center"/>
              <w:rPr>
                <w:rFonts w:hint="default" w:ascii="Times New Roman" w:hAnsi="Times New Roman" w:eastAsia="仿宋_GB2312" w:cs="Times New Roman"/>
                <w:color w:val="000000"/>
                <w:kern w:val="2"/>
                <w:sz w:val="22"/>
                <w:szCs w:val="22"/>
                <w:lang w:val="en-US" w:eastAsia="zh-CN" w:bidi="ar-SA"/>
              </w:rPr>
            </w:pPr>
            <w:r>
              <w:rPr>
                <w:rFonts w:hint="eastAsia" w:ascii="Times New Roman" w:hAnsi="Times New Roman" w:eastAsia="仿宋_GB2312" w:cs="Times New Roman"/>
                <w:color w:val="000000"/>
                <w:sz w:val="22"/>
                <w:lang w:val="en-US" w:eastAsia="zh-CN"/>
              </w:rPr>
              <w:t>346.89</w:t>
            </w:r>
          </w:p>
        </w:tc>
        <w:tc>
          <w:tcPr>
            <w:tcW w:w="1420" w:type="dxa"/>
            <w:tcBorders>
              <w:top w:val="single" w:color="auto" w:sz="4" w:space="0"/>
              <w:left w:val="single" w:color="auto" w:sz="4" w:space="0"/>
              <w:bottom w:val="single" w:color="auto" w:sz="4" w:space="0"/>
              <w:right w:val="single" w:color="auto" w:sz="4" w:space="0"/>
            </w:tcBorders>
            <w:shd w:val="clear" w:color="auto" w:fill="auto"/>
            <w:vAlign w:val="top"/>
          </w:tcPr>
          <w:p w14:paraId="2667D070">
            <w:pPr>
              <w:jc w:val="center"/>
              <w:rPr>
                <w:rFonts w:hint="eastAsia" w:ascii="Times New Roman" w:hAnsi="Times New Roman" w:eastAsia="仿宋_GB2312" w:cs="Times New Roman"/>
                <w:color w:val="000000"/>
                <w:kern w:val="2"/>
                <w:sz w:val="22"/>
                <w:szCs w:val="22"/>
                <w:lang w:val="en-US" w:eastAsia="zh-CN" w:bidi="ar-SA"/>
              </w:rPr>
            </w:pPr>
            <w:r>
              <w:rPr>
                <w:rFonts w:hint="eastAsia" w:ascii="Times New Roman" w:hAnsi="Times New Roman" w:eastAsia="仿宋_GB2312" w:cs="Times New Roman"/>
                <w:color w:val="000000"/>
                <w:sz w:val="22"/>
                <w:lang w:val="en-US" w:eastAsia="zh-CN"/>
              </w:rPr>
              <w:t>346.89</w:t>
            </w:r>
          </w:p>
        </w:tc>
        <w:tc>
          <w:tcPr>
            <w:tcW w:w="1273" w:type="dxa"/>
            <w:tcBorders>
              <w:top w:val="single" w:color="auto" w:sz="4" w:space="0"/>
              <w:left w:val="single" w:color="auto" w:sz="4" w:space="0"/>
              <w:bottom w:val="single" w:color="auto" w:sz="4" w:space="0"/>
              <w:right w:val="single" w:color="auto" w:sz="4" w:space="0"/>
            </w:tcBorders>
          </w:tcPr>
          <w:p w14:paraId="4ABDC0F2">
            <w:pPr>
              <w:rPr>
                <w:rFonts w:hint="eastAsia" w:ascii="仿宋_GB2312" w:hAnsi="仿宋_GB2312" w:eastAsia="仿宋_GB2312" w:cs="仿宋_GB2312"/>
              </w:rPr>
            </w:pPr>
          </w:p>
        </w:tc>
        <w:tc>
          <w:tcPr>
            <w:tcW w:w="1143" w:type="dxa"/>
            <w:tcBorders>
              <w:top w:val="single" w:color="auto" w:sz="4" w:space="0"/>
              <w:left w:val="single" w:color="auto" w:sz="4" w:space="0"/>
              <w:bottom w:val="single" w:color="auto" w:sz="4" w:space="0"/>
              <w:right w:val="single" w:color="auto" w:sz="4" w:space="0"/>
            </w:tcBorders>
          </w:tcPr>
          <w:p w14:paraId="271E8336">
            <w:pPr>
              <w:rPr>
                <w:rFonts w:hint="eastAsia" w:ascii="仿宋_GB2312" w:hAnsi="仿宋_GB2312" w:eastAsia="仿宋_GB2312" w:cs="仿宋_GB2312"/>
              </w:rPr>
            </w:pPr>
          </w:p>
        </w:tc>
        <w:tc>
          <w:tcPr>
            <w:tcW w:w="1274" w:type="dxa"/>
            <w:tcBorders>
              <w:top w:val="single" w:color="auto" w:sz="4" w:space="0"/>
              <w:left w:val="single" w:color="auto" w:sz="4" w:space="0"/>
              <w:bottom w:val="single" w:color="auto" w:sz="4" w:space="0"/>
              <w:right w:val="single" w:color="auto" w:sz="4" w:space="0"/>
            </w:tcBorders>
          </w:tcPr>
          <w:p w14:paraId="4873C2AB">
            <w:pPr>
              <w:rPr>
                <w:rFonts w:hint="eastAsia" w:ascii="仿宋_GB2312" w:hAnsi="仿宋_GB2312" w:eastAsia="仿宋_GB2312" w:cs="仿宋_GB2312"/>
              </w:rPr>
            </w:pPr>
          </w:p>
        </w:tc>
        <w:tc>
          <w:tcPr>
            <w:tcW w:w="1264" w:type="dxa"/>
            <w:tcBorders>
              <w:top w:val="single" w:color="auto" w:sz="4" w:space="0"/>
              <w:left w:val="single" w:color="auto" w:sz="4" w:space="0"/>
              <w:bottom w:val="single" w:color="auto" w:sz="4" w:space="0"/>
              <w:right w:val="single" w:color="auto" w:sz="4" w:space="0"/>
            </w:tcBorders>
          </w:tcPr>
          <w:p w14:paraId="67B91EE4">
            <w:pPr>
              <w:rPr>
                <w:rFonts w:hint="eastAsia" w:ascii="仿宋_GB2312" w:hAnsi="仿宋_GB2312" w:eastAsia="仿宋_GB2312" w:cs="仿宋_GB2312"/>
              </w:rPr>
            </w:pPr>
          </w:p>
        </w:tc>
        <w:tc>
          <w:tcPr>
            <w:tcW w:w="1173" w:type="dxa"/>
            <w:tcBorders>
              <w:top w:val="single" w:color="auto" w:sz="4" w:space="0"/>
              <w:left w:val="single" w:color="auto" w:sz="4" w:space="0"/>
              <w:bottom w:val="single" w:color="auto" w:sz="4" w:space="0"/>
              <w:right w:val="single" w:color="auto" w:sz="4" w:space="0"/>
            </w:tcBorders>
          </w:tcPr>
          <w:p w14:paraId="20B31DF0">
            <w:pPr>
              <w:rPr>
                <w:rFonts w:hint="eastAsia" w:ascii="仿宋_GB2312" w:hAnsi="仿宋_GB2312" w:eastAsia="仿宋_GB2312" w:cs="仿宋_GB2312"/>
              </w:rPr>
            </w:pPr>
          </w:p>
        </w:tc>
      </w:tr>
      <w:tr w14:paraId="4DD49D65">
        <w:tblPrEx>
          <w:tblCellMar>
            <w:top w:w="0" w:type="dxa"/>
            <w:left w:w="0" w:type="dxa"/>
            <w:bottom w:w="0" w:type="dxa"/>
            <w:right w:w="0" w:type="dxa"/>
          </w:tblCellMar>
        </w:tblPrEx>
        <w:trPr>
          <w:trHeight w:val="450" w:hRule="atLeast"/>
          <w:jc w:val="center"/>
        </w:trPr>
        <w:tc>
          <w:tcPr>
            <w:tcW w:w="1037" w:type="dxa"/>
            <w:tcBorders>
              <w:top w:val="single" w:color="auto" w:sz="4" w:space="0"/>
              <w:left w:val="single" w:color="auto" w:sz="4" w:space="0"/>
              <w:bottom w:val="single" w:color="auto" w:sz="4" w:space="0"/>
              <w:right w:val="single" w:color="auto" w:sz="4" w:space="0"/>
            </w:tcBorders>
            <w:shd w:val="clear" w:color="000000" w:fill="FFFFFF"/>
            <w:vAlign w:val="center"/>
          </w:tcPr>
          <w:p w14:paraId="1DCA1F49">
            <w:pPr>
              <w:rPr>
                <w:rFonts w:hint="eastAsia" w:ascii="仿宋_GB2312" w:hAnsi="仿宋_GB2312" w:eastAsia="仿宋_GB2312" w:cs="仿宋_GB2312"/>
                <w:lang w:val="en-US" w:eastAsia="zh-CN"/>
              </w:rPr>
            </w:pPr>
            <w:r>
              <w:rPr>
                <w:rFonts w:hint="eastAsia" w:ascii="仿宋_GB2312" w:hAnsi="仿宋_GB2312" w:eastAsia="仿宋_GB2312" w:cs="仿宋_GB2312"/>
              </w:rPr>
              <w:t>2130101</w:t>
            </w:r>
          </w:p>
        </w:tc>
        <w:tc>
          <w:tcPr>
            <w:tcW w:w="3144" w:type="dxa"/>
            <w:tcBorders>
              <w:top w:val="single" w:color="auto" w:sz="4" w:space="0"/>
              <w:left w:val="single" w:color="auto" w:sz="4" w:space="0"/>
              <w:bottom w:val="single" w:color="auto" w:sz="4" w:space="0"/>
              <w:right w:val="single" w:color="auto" w:sz="4" w:space="0"/>
            </w:tcBorders>
            <w:shd w:val="clear" w:color="000000" w:fill="FFFFFF"/>
            <w:vAlign w:val="center"/>
          </w:tcPr>
          <w:p w14:paraId="0546E901">
            <w:pPr>
              <w:rPr>
                <w:rFonts w:hint="eastAsia" w:ascii="仿宋_GB2312" w:hAnsi="仿宋_GB2312" w:eastAsia="仿宋_GB2312" w:cs="仿宋_GB2312"/>
                <w:lang w:val="en-US" w:eastAsia="zh-CN"/>
              </w:rPr>
            </w:pPr>
            <w:r>
              <w:rPr>
                <w:rFonts w:hint="eastAsia" w:ascii="仿宋_GB2312" w:hAnsi="仿宋_GB2312" w:eastAsia="仿宋_GB2312" w:cs="仿宋_GB2312"/>
              </w:rPr>
              <w:t>行政运行</w:t>
            </w:r>
          </w:p>
        </w:tc>
        <w:tc>
          <w:tcPr>
            <w:tcW w:w="1442" w:type="dxa"/>
            <w:tcBorders>
              <w:top w:val="single" w:color="auto" w:sz="4" w:space="0"/>
              <w:left w:val="single" w:color="auto" w:sz="4" w:space="0"/>
              <w:bottom w:val="single" w:color="auto" w:sz="4" w:space="0"/>
              <w:right w:val="single" w:color="auto" w:sz="4" w:space="0"/>
            </w:tcBorders>
            <w:shd w:val="clear" w:color="auto" w:fill="auto"/>
            <w:vAlign w:val="top"/>
          </w:tcPr>
          <w:p w14:paraId="1A2D9318">
            <w:pPr>
              <w:jc w:val="center"/>
              <w:rPr>
                <w:rFonts w:hint="default" w:ascii="Times New Roman" w:hAnsi="Times New Roman" w:eastAsia="仿宋_GB2312" w:cs="Times New Roman"/>
                <w:color w:val="000000"/>
                <w:kern w:val="2"/>
                <w:sz w:val="22"/>
                <w:szCs w:val="22"/>
                <w:lang w:val="en-US" w:eastAsia="zh-CN" w:bidi="ar-SA"/>
              </w:rPr>
            </w:pPr>
            <w:r>
              <w:rPr>
                <w:rFonts w:hint="eastAsia" w:ascii="Times New Roman" w:hAnsi="Times New Roman" w:eastAsia="仿宋_GB2312" w:cs="Times New Roman"/>
                <w:color w:val="000000"/>
                <w:sz w:val="22"/>
                <w:lang w:val="en-US" w:eastAsia="zh-CN"/>
              </w:rPr>
              <w:t>55.89</w:t>
            </w:r>
          </w:p>
        </w:tc>
        <w:tc>
          <w:tcPr>
            <w:tcW w:w="1420" w:type="dxa"/>
            <w:tcBorders>
              <w:top w:val="single" w:color="auto" w:sz="4" w:space="0"/>
              <w:left w:val="single" w:color="auto" w:sz="4" w:space="0"/>
              <w:bottom w:val="single" w:color="auto" w:sz="4" w:space="0"/>
              <w:right w:val="single" w:color="auto" w:sz="4" w:space="0"/>
            </w:tcBorders>
            <w:shd w:val="clear" w:color="auto" w:fill="auto"/>
            <w:vAlign w:val="top"/>
          </w:tcPr>
          <w:p w14:paraId="41358D65">
            <w:pPr>
              <w:jc w:val="center"/>
              <w:rPr>
                <w:rFonts w:hint="eastAsia" w:ascii="Times New Roman" w:hAnsi="Times New Roman" w:eastAsia="仿宋_GB2312" w:cs="Times New Roman"/>
                <w:color w:val="000000"/>
                <w:kern w:val="2"/>
                <w:sz w:val="22"/>
                <w:szCs w:val="22"/>
                <w:lang w:val="en-US" w:eastAsia="zh-CN" w:bidi="ar-SA"/>
              </w:rPr>
            </w:pPr>
            <w:r>
              <w:rPr>
                <w:rFonts w:hint="eastAsia" w:ascii="Times New Roman" w:hAnsi="Times New Roman" w:eastAsia="仿宋_GB2312" w:cs="Times New Roman"/>
                <w:color w:val="000000"/>
                <w:sz w:val="22"/>
                <w:lang w:val="en-US" w:eastAsia="zh-CN"/>
              </w:rPr>
              <w:t>55.89</w:t>
            </w:r>
          </w:p>
        </w:tc>
        <w:tc>
          <w:tcPr>
            <w:tcW w:w="1273" w:type="dxa"/>
            <w:tcBorders>
              <w:top w:val="single" w:color="auto" w:sz="4" w:space="0"/>
              <w:left w:val="single" w:color="auto" w:sz="4" w:space="0"/>
              <w:bottom w:val="single" w:color="auto" w:sz="4" w:space="0"/>
              <w:right w:val="single" w:color="auto" w:sz="4" w:space="0"/>
            </w:tcBorders>
          </w:tcPr>
          <w:p w14:paraId="47C1EBC5">
            <w:pPr>
              <w:rPr>
                <w:rFonts w:hint="eastAsia" w:ascii="仿宋_GB2312" w:hAnsi="仿宋_GB2312" w:eastAsia="仿宋_GB2312" w:cs="仿宋_GB2312"/>
              </w:rPr>
            </w:pPr>
          </w:p>
        </w:tc>
        <w:tc>
          <w:tcPr>
            <w:tcW w:w="1143" w:type="dxa"/>
            <w:tcBorders>
              <w:top w:val="single" w:color="auto" w:sz="4" w:space="0"/>
              <w:left w:val="single" w:color="auto" w:sz="4" w:space="0"/>
              <w:bottom w:val="single" w:color="auto" w:sz="4" w:space="0"/>
              <w:right w:val="single" w:color="auto" w:sz="4" w:space="0"/>
            </w:tcBorders>
          </w:tcPr>
          <w:p w14:paraId="0C029D2B">
            <w:pPr>
              <w:rPr>
                <w:rFonts w:hint="eastAsia" w:ascii="仿宋_GB2312" w:hAnsi="仿宋_GB2312" w:eastAsia="仿宋_GB2312" w:cs="仿宋_GB2312"/>
              </w:rPr>
            </w:pPr>
          </w:p>
        </w:tc>
        <w:tc>
          <w:tcPr>
            <w:tcW w:w="1274" w:type="dxa"/>
            <w:tcBorders>
              <w:top w:val="single" w:color="auto" w:sz="4" w:space="0"/>
              <w:left w:val="single" w:color="auto" w:sz="4" w:space="0"/>
              <w:bottom w:val="single" w:color="auto" w:sz="4" w:space="0"/>
              <w:right w:val="single" w:color="auto" w:sz="4" w:space="0"/>
            </w:tcBorders>
          </w:tcPr>
          <w:p w14:paraId="4716B546">
            <w:pPr>
              <w:rPr>
                <w:rFonts w:hint="eastAsia" w:ascii="仿宋_GB2312" w:hAnsi="仿宋_GB2312" w:eastAsia="仿宋_GB2312" w:cs="仿宋_GB2312"/>
              </w:rPr>
            </w:pPr>
          </w:p>
        </w:tc>
        <w:tc>
          <w:tcPr>
            <w:tcW w:w="1264" w:type="dxa"/>
            <w:tcBorders>
              <w:top w:val="single" w:color="auto" w:sz="4" w:space="0"/>
              <w:left w:val="single" w:color="auto" w:sz="4" w:space="0"/>
              <w:bottom w:val="single" w:color="auto" w:sz="4" w:space="0"/>
              <w:right w:val="single" w:color="auto" w:sz="4" w:space="0"/>
            </w:tcBorders>
          </w:tcPr>
          <w:p w14:paraId="3E0D20EC">
            <w:pPr>
              <w:rPr>
                <w:rFonts w:hint="eastAsia" w:ascii="仿宋_GB2312" w:hAnsi="仿宋_GB2312" w:eastAsia="仿宋_GB2312" w:cs="仿宋_GB2312"/>
              </w:rPr>
            </w:pPr>
          </w:p>
        </w:tc>
        <w:tc>
          <w:tcPr>
            <w:tcW w:w="1173" w:type="dxa"/>
            <w:tcBorders>
              <w:top w:val="single" w:color="auto" w:sz="4" w:space="0"/>
              <w:left w:val="single" w:color="auto" w:sz="4" w:space="0"/>
              <w:bottom w:val="single" w:color="auto" w:sz="4" w:space="0"/>
              <w:right w:val="single" w:color="auto" w:sz="4" w:space="0"/>
            </w:tcBorders>
          </w:tcPr>
          <w:p w14:paraId="3986BF08">
            <w:pPr>
              <w:rPr>
                <w:rFonts w:hint="eastAsia" w:ascii="仿宋_GB2312" w:hAnsi="仿宋_GB2312" w:eastAsia="仿宋_GB2312" w:cs="仿宋_GB2312"/>
              </w:rPr>
            </w:pPr>
          </w:p>
        </w:tc>
      </w:tr>
      <w:tr w14:paraId="02F18135">
        <w:tblPrEx>
          <w:tblCellMar>
            <w:top w:w="0" w:type="dxa"/>
            <w:left w:w="0" w:type="dxa"/>
            <w:bottom w:w="0" w:type="dxa"/>
            <w:right w:w="0" w:type="dxa"/>
          </w:tblCellMar>
        </w:tblPrEx>
        <w:trPr>
          <w:trHeight w:val="450" w:hRule="atLeast"/>
          <w:jc w:val="center"/>
        </w:trPr>
        <w:tc>
          <w:tcPr>
            <w:tcW w:w="1037" w:type="dxa"/>
            <w:tcBorders>
              <w:top w:val="single" w:color="auto" w:sz="4" w:space="0"/>
              <w:left w:val="single" w:color="auto" w:sz="4" w:space="0"/>
              <w:bottom w:val="single" w:color="auto" w:sz="4" w:space="0"/>
              <w:right w:val="single" w:color="auto" w:sz="4" w:space="0"/>
            </w:tcBorders>
            <w:shd w:val="clear" w:color="000000" w:fill="FFFFFF"/>
            <w:vAlign w:val="center"/>
          </w:tcPr>
          <w:p w14:paraId="3992A974">
            <w:pPr>
              <w:rPr>
                <w:rFonts w:hint="eastAsia" w:ascii="仿宋_GB2312" w:hAnsi="仿宋_GB2312" w:eastAsia="仿宋_GB2312" w:cs="仿宋_GB2312"/>
                <w:lang w:val="en-US" w:eastAsia="zh-CN"/>
              </w:rPr>
            </w:pPr>
            <w:r>
              <w:rPr>
                <w:rFonts w:hint="eastAsia" w:ascii="仿宋_GB2312" w:hAnsi="仿宋_GB2312" w:eastAsia="仿宋_GB2312" w:cs="仿宋_GB2312"/>
              </w:rPr>
              <w:t>2130104</w:t>
            </w:r>
          </w:p>
        </w:tc>
        <w:tc>
          <w:tcPr>
            <w:tcW w:w="3144" w:type="dxa"/>
            <w:tcBorders>
              <w:top w:val="single" w:color="auto" w:sz="4" w:space="0"/>
              <w:left w:val="single" w:color="auto" w:sz="4" w:space="0"/>
              <w:bottom w:val="single" w:color="auto" w:sz="4" w:space="0"/>
              <w:right w:val="single" w:color="auto" w:sz="4" w:space="0"/>
            </w:tcBorders>
            <w:shd w:val="clear" w:color="auto" w:fill="auto"/>
            <w:vAlign w:val="center"/>
          </w:tcPr>
          <w:p w14:paraId="3C33F3AC">
            <w:pPr>
              <w:rPr>
                <w:rFonts w:hint="eastAsia" w:ascii="仿宋_GB2312" w:hAnsi="仿宋_GB2312" w:eastAsia="仿宋_GB2312" w:cs="仿宋_GB2312"/>
                <w:lang w:val="en-US" w:eastAsia="zh-CN"/>
              </w:rPr>
            </w:pPr>
            <w:r>
              <w:rPr>
                <w:rFonts w:hint="eastAsia" w:ascii="仿宋_GB2312" w:hAnsi="仿宋_GB2312" w:eastAsia="仿宋_GB2312" w:cs="仿宋_GB2312"/>
              </w:rPr>
              <w:t>事业运行</w:t>
            </w:r>
          </w:p>
        </w:tc>
        <w:tc>
          <w:tcPr>
            <w:tcW w:w="1442" w:type="dxa"/>
            <w:tcBorders>
              <w:top w:val="single" w:color="auto" w:sz="4" w:space="0"/>
              <w:left w:val="single" w:color="auto" w:sz="4" w:space="0"/>
              <w:bottom w:val="single" w:color="auto" w:sz="4" w:space="0"/>
              <w:right w:val="single" w:color="auto" w:sz="4" w:space="0"/>
            </w:tcBorders>
            <w:shd w:val="clear" w:color="auto" w:fill="auto"/>
            <w:vAlign w:val="top"/>
          </w:tcPr>
          <w:p w14:paraId="18A4DF52">
            <w:pPr>
              <w:jc w:val="center"/>
              <w:rPr>
                <w:rFonts w:hint="default" w:ascii="Times New Roman" w:hAnsi="Times New Roman" w:eastAsia="仿宋_GB2312" w:cs="Times New Roman"/>
                <w:color w:val="000000"/>
                <w:kern w:val="2"/>
                <w:sz w:val="22"/>
                <w:szCs w:val="22"/>
                <w:lang w:val="en-US" w:eastAsia="zh-CN" w:bidi="ar-SA"/>
              </w:rPr>
            </w:pPr>
            <w:r>
              <w:rPr>
                <w:rFonts w:hint="eastAsia" w:ascii="Times New Roman" w:hAnsi="Times New Roman" w:eastAsia="仿宋_GB2312" w:cs="Times New Roman"/>
                <w:color w:val="000000"/>
                <w:sz w:val="22"/>
                <w:lang w:val="en-US" w:eastAsia="zh-CN"/>
              </w:rPr>
              <w:t>4.47</w:t>
            </w:r>
          </w:p>
        </w:tc>
        <w:tc>
          <w:tcPr>
            <w:tcW w:w="1420" w:type="dxa"/>
            <w:tcBorders>
              <w:top w:val="single" w:color="auto" w:sz="4" w:space="0"/>
              <w:left w:val="single" w:color="auto" w:sz="4" w:space="0"/>
              <w:bottom w:val="single" w:color="auto" w:sz="4" w:space="0"/>
              <w:right w:val="single" w:color="auto" w:sz="4" w:space="0"/>
            </w:tcBorders>
            <w:shd w:val="clear" w:color="auto" w:fill="auto"/>
            <w:vAlign w:val="top"/>
          </w:tcPr>
          <w:p w14:paraId="77630CD8">
            <w:pPr>
              <w:jc w:val="center"/>
              <w:rPr>
                <w:rFonts w:hint="eastAsia" w:ascii="Times New Roman" w:hAnsi="Times New Roman" w:eastAsia="仿宋_GB2312" w:cs="Times New Roman"/>
                <w:color w:val="000000"/>
                <w:kern w:val="2"/>
                <w:sz w:val="22"/>
                <w:szCs w:val="22"/>
                <w:lang w:val="en-US" w:eastAsia="zh-CN" w:bidi="ar-SA"/>
              </w:rPr>
            </w:pPr>
            <w:r>
              <w:rPr>
                <w:rFonts w:hint="eastAsia" w:ascii="Times New Roman" w:hAnsi="Times New Roman" w:eastAsia="仿宋_GB2312" w:cs="Times New Roman"/>
                <w:color w:val="000000"/>
                <w:sz w:val="22"/>
                <w:lang w:val="en-US" w:eastAsia="zh-CN"/>
              </w:rPr>
              <w:t>4.47</w:t>
            </w:r>
          </w:p>
        </w:tc>
        <w:tc>
          <w:tcPr>
            <w:tcW w:w="1273" w:type="dxa"/>
            <w:tcBorders>
              <w:top w:val="single" w:color="auto" w:sz="4" w:space="0"/>
              <w:left w:val="single" w:color="auto" w:sz="4" w:space="0"/>
              <w:bottom w:val="single" w:color="auto" w:sz="4" w:space="0"/>
              <w:right w:val="single" w:color="auto" w:sz="4" w:space="0"/>
            </w:tcBorders>
          </w:tcPr>
          <w:p w14:paraId="561127A2">
            <w:pPr>
              <w:rPr>
                <w:rFonts w:hint="eastAsia" w:ascii="仿宋_GB2312" w:hAnsi="仿宋_GB2312" w:eastAsia="仿宋_GB2312" w:cs="仿宋_GB2312"/>
              </w:rPr>
            </w:pPr>
          </w:p>
        </w:tc>
        <w:tc>
          <w:tcPr>
            <w:tcW w:w="1143" w:type="dxa"/>
            <w:tcBorders>
              <w:top w:val="single" w:color="auto" w:sz="4" w:space="0"/>
              <w:left w:val="single" w:color="auto" w:sz="4" w:space="0"/>
              <w:bottom w:val="single" w:color="auto" w:sz="4" w:space="0"/>
              <w:right w:val="single" w:color="auto" w:sz="4" w:space="0"/>
            </w:tcBorders>
          </w:tcPr>
          <w:p w14:paraId="015B7752">
            <w:pPr>
              <w:rPr>
                <w:rFonts w:hint="eastAsia" w:ascii="仿宋_GB2312" w:hAnsi="仿宋_GB2312" w:eastAsia="仿宋_GB2312" w:cs="仿宋_GB2312"/>
              </w:rPr>
            </w:pPr>
          </w:p>
        </w:tc>
        <w:tc>
          <w:tcPr>
            <w:tcW w:w="1274" w:type="dxa"/>
            <w:tcBorders>
              <w:top w:val="single" w:color="auto" w:sz="4" w:space="0"/>
              <w:left w:val="single" w:color="auto" w:sz="4" w:space="0"/>
              <w:bottom w:val="single" w:color="auto" w:sz="4" w:space="0"/>
              <w:right w:val="single" w:color="auto" w:sz="4" w:space="0"/>
            </w:tcBorders>
          </w:tcPr>
          <w:p w14:paraId="17BFB18C">
            <w:pPr>
              <w:rPr>
                <w:rFonts w:hint="eastAsia" w:ascii="仿宋_GB2312" w:hAnsi="仿宋_GB2312" w:eastAsia="仿宋_GB2312" w:cs="仿宋_GB2312"/>
              </w:rPr>
            </w:pPr>
          </w:p>
        </w:tc>
        <w:tc>
          <w:tcPr>
            <w:tcW w:w="1264" w:type="dxa"/>
            <w:tcBorders>
              <w:top w:val="single" w:color="auto" w:sz="4" w:space="0"/>
              <w:left w:val="single" w:color="auto" w:sz="4" w:space="0"/>
              <w:bottom w:val="single" w:color="auto" w:sz="4" w:space="0"/>
              <w:right w:val="single" w:color="auto" w:sz="4" w:space="0"/>
            </w:tcBorders>
          </w:tcPr>
          <w:p w14:paraId="445E8A69">
            <w:pPr>
              <w:rPr>
                <w:rFonts w:hint="eastAsia" w:ascii="仿宋_GB2312" w:hAnsi="仿宋_GB2312" w:eastAsia="仿宋_GB2312" w:cs="仿宋_GB2312"/>
              </w:rPr>
            </w:pPr>
          </w:p>
        </w:tc>
        <w:tc>
          <w:tcPr>
            <w:tcW w:w="1173" w:type="dxa"/>
            <w:tcBorders>
              <w:top w:val="single" w:color="auto" w:sz="4" w:space="0"/>
              <w:left w:val="single" w:color="auto" w:sz="4" w:space="0"/>
              <w:bottom w:val="single" w:color="auto" w:sz="4" w:space="0"/>
              <w:right w:val="single" w:color="auto" w:sz="4" w:space="0"/>
            </w:tcBorders>
          </w:tcPr>
          <w:p w14:paraId="66651399">
            <w:pPr>
              <w:rPr>
                <w:rFonts w:hint="eastAsia" w:ascii="仿宋_GB2312" w:hAnsi="仿宋_GB2312" w:eastAsia="仿宋_GB2312" w:cs="仿宋_GB2312"/>
              </w:rPr>
            </w:pPr>
          </w:p>
        </w:tc>
      </w:tr>
      <w:tr w14:paraId="0A1EA05A">
        <w:tblPrEx>
          <w:tblCellMar>
            <w:top w:w="0" w:type="dxa"/>
            <w:left w:w="0" w:type="dxa"/>
            <w:bottom w:w="0" w:type="dxa"/>
            <w:right w:w="0" w:type="dxa"/>
          </w:tblCellMar>
        </w:tblPrEx>
        <w:trPr>
          <w:trHeight w:val="450" w:hRule="atLeast"/>
          <w:jc w:val="center"/>
        </w:trPr>
        <w:tc>
          <w:tcPr>
            <w:tcW w:w="1037" w:type="dxa"/>
            <w:tcBorders>
              <w:top w:val="single" w:color="auto" w:sz="4" w:space="0"/>
              <w:left w:val="single" w:color="auto" w:sz="4" w:space="0"/>
              <w:bottom w:val="single" w:color="auto" w:sz="4" w:space="0"/>
              <w:right w:val="single" w:color="auto" w:sz="4" w:space="0"/>
            </w:tcBorders>
            <w:shd w:val="clear" w:color="000000" w:fill="FFFFFF"/>
            <w:vAlign w:val="center"/>
          </w:tcPr>
          <w:p w14:paraId="6AED5FB7">
            <w:pPr>
              <w:rPr>
                <w:rFonts w:hint="eastAsia" w:ascii="仿宋_GB2312" w:hAnsi="仿宋_GB2312" w:eastAsia="仿宋_GB2312" w:cs="仿宋_GB2312"/>
                <w:lang w:val="en-US" w:eastAsia="zh-CN"/>
              </w:rPr>
            </w:pPr>
            <w:r>
              <w:rPr>
                <w:rFonts w:hint="eastAsia" w:ascii="仿宋_GB2312" w:hAnsi="仿宋_GB2312" w:eastAsia="仿宋_GB2312" w:cs="仿宋_GB2312"/>
              </w:rPr>
              <w:t>2130122</w:t>
            </w:r>
          </w:p>
        </w:tc>
        <w:tc>
          <w:tcPr>
            <w:tcW w:w="3144" w:type="dxa"/>
            <w:tcBorders>
              <w:top w:val="single" w:color="auto" w:sz="4" w:space="0"/>
              <w:left w:val="single" w:color="auto" w:sz="4" w:space="0"/>
              <w:bottom w:val="single" w:color="auto" w:sz="4" w:space="0"/>
              <w:right w:val="single" w:color="auto" w:sz="4" w:space="0"/>
            </w:tcBorders>
            <w:shd w:val="clear" w:color="000000" w:fill="FFFFFF"/>
            <w:vAlign w:val="center"/>
          </w:tcPr>
          <w:p w14:paraId="7555B2DA">
            <w:pPr>
              <w:rPr>
                <w:rFonts w:hint="eastAsia" w:ascii="仿宋_GB2312" w:hAnsi="仿宋_GB2312" w:eastAsia="仿宋_GB2312" w:cs="仿宋_GB2312"/>
                <w:lang w:val="en-US" w:eastAsia="zh-CN"/>
              </w:rPr>
            </w:pPr>
            <w:r>
              <w:rPr>
                <w:rFonts w:hint="eastAsia" w:ascii="仿宋_GB2312" w:hAnsi="仿宋_GB2312" w:eastAsia="仿宋_GB2312" w:cs="仿宋_GB2312"/>
              </w:rPr>
              <w:t>农业生产发展</w:t>
            </w:r>
          </w:p>
        </w:tc>
        <w:tc>
          <w:tcPr>
            <w:tcW w:w="1442" w:type="dxa"/>
            <w:tcBorders>
              <w:top w:val="single" w:color="auto" w:sz="4" w:space="0"/>
              <w:left w:val="single" w:color="auto" w:sz="4" w:space="0"/>
              <w:bottom w:val="single" w:color="auto" w:sz="4" w:space="0"/>
              <w:right w:val="single" w:color="auto" w:sz="4" w:space="0"/>
            </w:tcBorders>
            <w:shd w:val="clear" w:color="auto" w:fill="auto"/>
            <w:vAlign w:val="top"/>
          </w:tcPr>
          <w:p w14:paraId="578AA47A">
            <w:pPr>
              <w:jc w:val="center"/>
              <w:rPr>
                <w:rFonts w:hint="default" w:ascii="Times New Roman" w:hAnsi="Times New Roman" w:eastAsia="仿宋_GB2312" w:cs="Times New Roman"/>
                <w:color w:val="000000"/>
                <w:kern w:val="2"/>
                <w:sz w:val="22"/>
                <w:szCs w:val="22"/>
                <w:lang w:val="en-US" w:eastAsia="zh-CN" w:bidi="ar-SA"/>
              </w:rPr>
            </w:pPr>
            <w:r>
              <w:rPr>
                <w:rFonts w:hint="eastAsia" w:ascii="Times New Roman" w:hAnsi="Times New Roman" w:eastAsia="仿宋_GB2312" w:cs="Times New Roman"/>
                <w:color w:val="000000"/>
                <w:sz w:val="22"/>
                <w:lang w:val="en-US" w:eastAsia="zh-CN"/>
              </w:rPr>
              <w:t>286.53</w:t>
            </w:r>
          </w:p>
        </w:tc>
        <w:tc>
          <w:tcPr>
            <w:tcW w:w="1420" w:type="dxa"/>
            <w:tcBorders>
              <w:top w:val="single" w:color="auto" w:sz="4" w:space="0"/>
              <w:left w:val="single" w:color="auto" w:sz="4" w:space="0"/>
              <w:bottom w:val="single" w:color="auto" w:sz="4" w:space="0"/>
              <w:right w:val="single" w:color="auto" w:sz="4" w:space="0"/>
            </w:tcBorders>
            <w:shd w:val="clear" w:color="auto" w:fill="auto"/>
            <w:vAlign w:val="top"/>
          </w:tcPr>
          <w:p w14:paraId="77F9E6CE">
            <w:pPr>
              <w:jc w:val="center"/>
              <w:rPr>
                <w:rFonts w:hint="eastAsia" w:ascii="Times New Roman" w:hAnsi="Times New Roman" w:eastAsia="仿宋_GB2312" w:cs="Times New Roman"/>
                <w:color w:val="000000"/>
                <w:kern w:val="2"/>
                <w:sz w:val="22"/>
                <w:szCs w:val="22"/>
                <w:lang w:val="en-US" w:eastAsia="zh-CN" w:bidi="ar-SA"/>
              </w:rPr>
            </w:pPr>
            <w:r>
              <w:rPr>
                <w:rFonts w:hint="eastAsia" w:ascii="Times New Roman" w:hAnsi="Times New Roman" w:eastAsia="仿宋_GB2312" w:cs="Times New Roman"/>
                <w:color w:val="000000"/>
                <w:sz w:val="22"/>
                <w:lang w:val="en-US" w:eastAsia="zh-CN"/>
              </w:rPr>
              <w:t>286.53</w:t>
            </w:r>
          </w:p>
        </w:tc>
        <w:tc>
          <w:tcPr>
            <w:tcW w:w="1273" w:type="dxa"/>
            <w:tcBorders>
              <w:top w:val="single" w:color="auto" w:sz="4" w:space="0"/>
              <w:left w:val="single" w:color="auto" w:sz="4" w:space="0"/>
              <w:bottom w:val="single" w:color="auto" w:sz="4" w:space="0"/>
              <w:right w:val="single" w:color="auto" w:sz="4" w:space="0"/>
            </w:tcBorders>
          </w:tcPr>
          <w:p w14:paraId="6EB59442">
            <w:pPr>
              <w:rPr>
                <w:rFonts w:hint="eastAsia" w:ascii="仿宋_GB2312" w:hAnsi="仿宋_GB2312" w:eastAsia="仿宋_GB2312" w:cs="仿宋_GB2312"/>
              </w:rPr>
            </w:pPr>
          </w:p>
        </w:tc>
        <w:tc>
          <w:tcPr>
            <w:tcW w:w="1143" w:type="dxa"/>
            <w:tcBorders>
              <w:top w:val="single" w:color="auto" w:sz="4" w:space="0"/>
              <w:left w:val="single" w:color="auto" w:sz="4" w:space="0"/>
              <w:bottom w:val="single" w:color="auto" w:sz="4" w:space="0"/>
              <w:right w:val="single" w:color="auto" w:sz="4" w:space="0"/>
            </w:tcBorders>
          </w:tcPr>
          <w:p w14:paraId="1EC34206">
            <w:pPr>
              <w:rPr>
                <w:rFonts w:hint="eastAsia" w:ascii="仿宋_GB2312" w:hAnsi="仿宋_GB2312" w:eastAsia="仿宋_GB2312" w:cs="仿宋_GB2312"/>
              </w:rPr>
            </w:pPr>
          </w:p>
        </w:tc>
        <w:tc>
          <w:tcPr>
            <w:tcW w:w="1274" w:type="dxa"/>
            <w:tcBorders>
              <w:top w:val="single" w:color="auto" w:sz="4" w:space="0"/>
              <w:left w:val="single" w:color="auto" w:sz="4" w:space="0"/>
              <w:bottom w:val="single" w:color="auto" w:sz="4" w:space="0"/>
              <w:right w:val="single" w:color="auto" w:sz="4" w:space="0"/>
            </w:tcBorders>
          </w:tcPr>
          <w:p w14:paraId="40D7A273">
            <w:pPr>
              <w:rPr>
                <w:rFonts w:hint="eastAsia" w:ascii="仿宋_GB2312" w:hAnsi="仿宋_GB2312" w:eastAsia="仿宋_GB2312" w:cs="仿宋_GB2312"/>
              </w:rPr>
            </w:pPr>
          </w:p>
        </w:tc>
        <w:tc>
          <w:tcPr>
            <w:tcW w:w="1264" w:type="dxa"/>
            <w:tcBorders>
              <w:top w:val="single" w:color="auto" w:sz="4" w:space="0"/>
              <w:left w:val="single" w:color="auto" w:sz="4" w:space="0"/>
              <w:bottom w:val="single" w:color="auto" w:sz="4" w:space="0"/>
              <w:right w:val="single" w:color="auto" w:sz="4" w:space="0"/>
            </w:tcBorders>
          </w:tcPr>
          <w:p w14:paraId="76B0A6C9">
            <w:pPr>
              <w:rPr>
                <w:rFonts w:hint="eastAsia" w:ascii="仿宋_GB2312" w:hAnsi="仿宋_GB2312" w:eastAsia="仿宋_GB2312" w:cs="仿宋_GB2312"/>
              </w:rPr>
            </w:pPr>
          </w:p>
        </w:tc>
        <w:tc>
          <w:tcPr>
            <w:tcW w:w="1173" w:type="dxa"/>
            <w:tcBorders>
              <w:top w:val="single" w:color="auto" w:sz="4" w:space="0"/>
              <w:left w:val="single" w:color="auto" w:sz="4" w:space="0"/>
              <w:bottom w:val="single" w:color="auto" w:sz="4" w:space="0"/>
              <w:right w:val="single" w:color="auto" w:sz="4" w:space="0"/>
            </w:tcBorders>
          </w:tcPr>
          <w:p w14:paraId="179CBDE7">
            <w:pPr>
              <w:rPr>
                <w:rFonts w:hint="eastAsia" w:ascii="仿宋_GB2312" w:hAnsi="仿宋_GB2312" w:eastAsia="仿宋_GB2312" w:cs="仿宋_GB2312"/>
              </w:rPr>
            </w:pPr>
          </w:p>
        </w:tc>
      </w:tr>
      <w:tr w14:paraId="69C2F677">
        <w:tblPrEx>
          <w:tblCellMar>
            <w:top w:w="0" w:type="dxa"/>
            <w:left w:w="0" w:type="dxa"/>
            <w:bottom w:w="0" w:type="dxa"/>
            <w:right w:w="0" w:type="dxa"/>
          </w:tblCellMar>
        </w:tblPrEx>
        <w:trPr>
          <w:trHeight w:val="450" w:hRule="atLeast"/>
          <w:jc w:val="center"/>
        </w:trPr>
        <w:tc>
          <w:tcPr>
            <w:tcW w:w="1037" w:type="dxa"/>
            <w:tcBorders>
              <w:top w:val="single" w:color="auto" w:sz="4" w:space="0"/>
              <w:left w:val="single" w:color="auto" w:sz="4" w:space="0"/>
              <w:bottom w:val="single" w:color="auto" w:sz="4" w:space="0"/>
              <w:right w:val="single" w:color="auto" w:sz="4" w:space="0"/>
            </w:tcBorders>
            <w:shd w:val="clear" w:color="000000" w:fill="FFFFFF"/>
            <w:vAlign w:val="center"/>
          </w:tcPr>
          <w:p w14:paraId="23C1824F">
            <w:pPr>
              <w:rPr>
                <w:rFonts w:hint="eastAsia" w:ascii="仿宋_GB2312" w:hAnsi="仿宋_GB2312" w:eastAsia="仿宋_GB2312" w:cs="仿宋_GB2312"/>
                <w:lang w:val="en-US" w:eastAsia="zh-CN"/>
              </w:rPr>
            </w:pPr>
            <w:r>
              <w:rPr>
                <w:rFonts w:hint="eastAsia" w:ascii="仿宋_GB2312" w:hAnsi="仿宋_GB2312" w:eastAsia="仿宋_GB2312" w:cs="仿宋_GB2312"/>
              </w:rPr>
              <w:t>21307</w:t>
            </w:r>
          </w:p>
        </w:tc>
        <w:tc>
          <w:tcPr>
            <w:tcW w:w="3144" w:type="dxa"/>
            <w:tcBorders>
              <w:top w:val="single" w:color="auto" w:sz="4" w:space="0"/>
              <w:left w:val="single" w:color="auto" w:sz="4" w:space="0"/>
              <w:bottom w:val="single" w:color="auto" w:sz="4" w:space="0"/>
              <w:right w:val="single" w:color="auto" w:sz="4" w:space="0"/>
            </w:tcBorders>
            <w:shd w:val="clear" w:color="000000" w:fill="FFFFFF"/>
            <w:vAlign w:val="center"/>
          </w:tcPr>
          <w:p w14:paraId="710F8FDE">
            <w:pPr>
              <w:rPr>
                <w:rFonts w:hint="eastAsia" w:ascii="仿宋_GB2312" w:hAnsi="仿宋_GB2312" w:eastAsia="仿宋_GB2312" w:cs="仿宋_GB2312"/>
                <w:lang w:val="en-US" w:eastAsia="zh-CN"/>
              </w:rPr>
            </w:pPr>
            <w:r>
              <w:rPr>
                <w:rFonts w:hint="eastAsia" w:ascii="仿宋_GB2312" w:hAnsi="仿宋_GB2312" w:eastAsia="仿宋_GB2312" w:cs="仿宋_GB2312"/>
              </w:rPr>
              <w:t>农村综合改革</w:t>
            </w:r>
          </w:p>
        </w:tc>
        <w:tc>
          <w:tcPr>
            <w:tcW w:w="1442" w:type="dxa"/>
            <w:tcBorders>
              <w:top w:val="single" w:color="auto" w:sz="4" w:space="0"/>
              <w:left w:val="single" w:color="auto" w:sz="4" w:space="0"/>
              <w:bottom w:val="single" w:color="auto" w:sz="4" w:space="0"/>
              <w:right w:val="single" w:color="auto" w:sz="4" w:space="0"/>
            </w:tcBorders>
            <w:shd w:val="clear" w:color="auto" w:fill="auto"/>
            <w:vAlign w:val="top"/>
          </w:tcPr>
          <w:p w14:paraId="44CDF3CE">
            <w:pPr>
              <w:jc w:val="center"/>
              <w:rPr>
                <w:rFonts w:hint="default" w:ascii="Times New Roman" w:hAnsi="Times New Roman" w:eastAsia="仿宋_GB2312" w:cs="Times New Roman"/>
                <w:color w:val="000000"/>
                <w:kern w:val="2"/>
                <w:sz w:val="22"/>
                <w:szCs w:val="22"/>
                <w:lang w:val="en-US" w:eastAsia="zh-CN" w:bidi="ar-SA"/>
              </w:rPr>
            </w:pPr>
            <w:r>
              <w:rPr>
                <w:rFonts w:hint="eastAsia" w:ascii="Times New Roman" w:hAnsi="Times New Roman" w:eastAsia="仿宋_GB2312" w:cs="Times New Roman"/>
                <w:color w:val="000000"/>
                <w:sz w:val="22"/>
                <w:lang w:val="en-US" w:eastAsia="zh-CN"/>
              </w:rPr>
              <w:t>158.94</w:t>
            </w:r>
          </w:p>
        </w:tc>
        <w:tc>
          <w:tcPr>
            <w:tcW w:w="1420" w:type="dxa"/>
            <w:tcBorders>
              <w:top w:val="single" w:color="auto" w:sz="4" w:space="0"/>
              <w:left w:val="single" w:color="auto" w:sz="4" w:space="0"/>
              <w:bottom w:val="single" w:color="auto" w:sz="4" w:space="0"/>
              <w:right w:val="single" w:color="auto" w:sz="4" w:space="0"/>
            </w:tcBorders>
            <w:shd w:val="clear" w:color="auto" w:fill="auto"/>
            <w:vAlign w:val="top"/>
          </w:tcPr>
          <w:p w14:paraId="51287B2B">
            <w:pPr>
              <w:jc w:val="center"/>
              <w:rPr>
                <w:rFonts w:hint="eastAsia" w:ascii="Times New Roman" w:hAnsi="Times New Roman" w:eastAsia="仿宋_GB2312" w:cs="Times New Roman"/>
                <w:color w:val="000000"/>
                <w:kern w:val="2"/>
                <w:sz w:val="22"/>
                <w:szCs w:val="22"/>
                <w:lang w:val="en-US" w:eastAsia="zh-CN" w:bidi="ar-SA"/>
              </w:rPr>
            </w:pPr>
            <w:r>
              <w:rPr>
                <w:rFonts w:hint="eastAsia" w:ascii="Times New Roman" w:hAnsi="Times New Roman" w:eastAsia="仿宋_GB2312" w:cs="Times New Roman"/>
                <w:color w:val="000000"/>
                <w:sz w:val="22"/>
                <w:lang w:val="en-US" w:eastAsia="zh-CN"/>
              </w:rPr>
              <w:t>158.94</w:t>
            </w:r>
          </w:p>
        </w:tc>
        <w:tc>
          <w:tcPr>
            <w:tcW w:w="1273" w:type="dxa"/>
            <w:tcBorders>
              <w:top w:val="single" w:color="auto" w:sz="4" w:space="0"/>
              <w:left w:val="single" w:color="auto" w:sz="4" w:space="0"/>
              <w:bottom w:val="single" w:color="auto" w:sz="4" w:space="0"/>
              <w:right w:val="single" w:color="auto" w:sz="4" w:space="0"/>
            </w:tcBorders>
          </w:tcPr>
          <w:p w14:paraId="51927752">
            <w:pPr>
              <w:rPr>
                <w:rFonts w:hint="eastAsia" w:ascii="仿宋_GB2312" w:hAnsi="仿宋_GB2312" w:eastAsia="仿宋_GB2312" w:cs="仿宋_GB2312"/>
              </w:rPr>
            </w:pPr>
          </w:p>
        </w:tc>
        <w:tc>
          <w:tcPr>
            <w:tcW w:w="1143" w:type="dxa"/>
            <w:tcBorders>
              <w:top w:val="single" w:color="auto" w:sz="4" w:space="0"/>
              <w:left w:val="single" w:color="auto" w:sz="4" w:space="0"/>
              <w:bottom w:val="single" w:color="auto" w:sz="4" w:space="0"/>
              <w:right w:val="single" w:color="auto" w:sz="4" w:space="0"/>
            </w:tcBorders>
          </w:tcPr>
          <w:p w14:paraId="25F01C1F">
            <w:pPr>
              <w:rPr>
                <w:rFonts w:hint="eastAsia" w:ascii="仿宋_GB2312" w:hAnsi="仿宋_GB2312" w:eastAsia="仿宋_GB2312" w:cs="仿宋_GB2312"/>
              </w:rPr>
            </w:pPr>
          </w:p>
        </w:tc>
        <w:tc>
          <w:tcPr>
            <w:tcW w:w="1274" w:type="dxa"/>
            <w:tcBorders>
              <w:top w:val="single" w:color="auto" w:sz="4" w:space="0"/>
              <w:left w:val="single" w:color="auto" w:sz="4" w:space="0"/>
              <w:bottom w:val="single" w:color="auto" w:sz="4" w:space="0"/>
              <w:right w:val="single" w:color="auto" w:sz="4" w:space="0"/>
            </w:tcBorders>
          </w:tcPr>
          <w:p w14:paraId="641F348F">
            <w:pPr>
              <w:rPr>
                <w:rFonts w:hint="eastAsia" w:ascii="仿宋_GB2312" w:hAnsi="仿宋_GB2312" w:eastAsia="仿宋_GB2312" w:cs="仿宋_GB2312"/>
              </w:rPr>
            </w:pPr>
          </w:p>
        </w:tc>
        <w:tc>
          <w:tcPr>
            <w:tcW w:w="1264" w:type="dxa"/>
            <w:tcBorders>
              <w:top w:val="single" w:color="auto" w:sz="4" w:space="0"/>
              <w:left w:val="single" w:color="auto" w:sz="4" w:space="0"/>
              <w:bottom w:val="single" w:color="auto" w:sz="4" w:space="0"/>
              <w:right w:val="single" w:color="auto" w:sz="4" w:space="0"/>
            </w:tcBorders>
          </w:tcPr>
          <w:p w14:paraId="43BC6591">
            <w:pPr>
              <w:rPr>
                <w:rFonts w:hint="eastAsia" w:ascii="仿宋_GB2312" w:hAnsi="仿宋_GB2312" w:eastAsia="仿宋_GB2312" w:cs="仿宋_GB2312"/>
              </w:rPr>
            </w:pPr>
          </w:p>
        </w:tc>
        <w:tc>
          <w:tcPr>
            <w:tcW w:w="1173" w:type="dxa"/>
            <w:tcBorders>
              <w:top w:val="single" w:color="auto" w:sz="4" w:space="0"/>
              <w:left w:val="single" w:color="auto" w:sz="4" w:space="0"/>
              <w:bottom w:val="single" w:color="auto" w:sz="4" w:space="0"/>
              <w:right w:val="single" w:color="auto" w:sz="4" w:space="0"/>
            </w:tcBorders>
          </w:tcPr>
          <w:p w14:paraId="142CDC7B">
            <w:pPr>
              <w:rPr>
                <w:rFonts w:hint="eastAsia" w:ascii="仿宋_GB2312" w:hAnsi="仿宋_GB2312" w:eastAsia="仿宋_GB2312" w:cs="仿宋_GB2312"/>
              </w:rPr>
            </w:pPr>
          </w:p>
        </w:tc>
      </w:tr>
      <w:tr w14:paraId="09F694BE">
        <w:tblPrEx>
          <w:tblCellMar>
            <w:top w:w="0" w:type="dxa"/>
            <w:left w:w="0" w:type="dxa"/>
            <w:bottom w:w="0" w:type="dxa"/>
            <w:right w:w="0" w:type="dxa"/>
          </w:tblCellMar>
        </w:tblPrEx>
        <w:trPr>
          <w:trHeight w:val="450" w:hRule="atLeast"/>
          <w:jc w:val="center"/>
        </w:trPr>
        <w:tc>
          <w:tcPr>
            <w:tcW w:w="1037" w:type="dxa"/>
            <w:tcBorders>
              <w:top w:val="single" w:color="auto" w:sz="4" w:space="0"/>
              <w:left w:val="single" w:color="auto" w:sz="4" w:space="0"/>
              <w:bottom w:val="single" w:color="auto" w:sz="4" w:space="0"/>
              <w:right w:val="single" w:color="auto" w:sz="4" w:space="0"/>
            </w:tcBorders>
            <w:shd w:val="clear" w:color="000000" w:fill="FFFFFF"/>
            <w:vAlign w:val="center"/>
          </w:tcPr>
          <w:p w14:paraId="6E03D758">
            <w:pPr>
              <w:rPr>
                <w:rFonts w:hint="eastAsia" w:ascii="仿宋_GB2312" w:hAnsi="仿宋_GB2312" w:eastAsia="仿宋_GB2312" w:cs="仿宋_GB2312"/>
                <w:lang w:val="en-US" w:eastAsia="zh-CN"/>
              </w:rPr>
            </w:pPr>
            <w:r>
              <w:rPr>
                <w:rFonts w:hint="eastAsia" w:ascii="仿宋_GB2312" w:hAnsi="仿宋_GB2312" w:eastAsia="仿宋_GB2312" w:cs="仿宋_GB2312"/>
              </w:rPr>
              <w:t>2130701</w:t>
            </w:r>
          </w:p>
        </w:tc>
        <w:tc>
          <w:tcPr>
            <w:tcW w:w="3144" w:type="dxa"/>
            <w:tcBorders>
              <w:top w:val="single" w:color="auto" w:sz="4" w:space="0"/>
              <w:left w:val="single" w:color="auto" w:sz="4" w:space="0"/>
              <w:bottom w:val="single" w:color="auto" w:sz="4" w:space="0"/>
              <w:right w:val="single" w:color="auto" w:sz="4" w:space="0"/>
            </w:tcBorders>
            <w:shd w:val="clear" w:color="000000" w:fill="FFFFFF"/>
            <w:vAlign w:val="center"/>
          </w:tcPr>
          <w:p w14:paraId="3C6460A3">
            <w:pPr>
              <w:rPr>
                <w:rFonts w:hint="eastAsia" w:ascii="仿宋_GB2312" w:hAnsi="仿宋_GB2312" w:eastAsia="仿宋_GB2312" w:cs="仿宋_GB2312"/>
                <w:lang w:val="en-US" w:eastAsia="zh-CN"/>
              </w:rPr>
            </w:pPr>
            <w:r>
              <w:rPr>
                <w:rFonts w:hint="eastAsia" w:ascii="仿宋_GB2312" w:hAnsi="仿宋_GB2312" w:eastAsia="仿宋_GB2312" w:cs="仿宋_GB2312"/>
              </w:rPr>
              <w:t>对村级公益事业建设的补助</w:t>
            </w:r>
          </w:p>
        </w:tc>
        <w:tc>
          <w:tcPr>
            <w:tcW w:w="1442" w:type="dxa"/>
            <w:tcBorders>
              <w:top w:val="single" w:color="auto" w:sz="4" w:space="0"/>
              <w:left w:val="single" w:color="auto" w:sz="4" w:space="0"/>
              <w:bottom w:val="single" w:color="auto" w:sz="4" w:space="0"/>
              <w:right w:val="single" w:color="auto" w:sz="4" w:space="0"/>
            </w:tcBorders>
            <w:shd w:val="clear" w:color="auto" w:fill="auto"/>
            <w:vAlign w:val="top"/>
          </w:tcPr>
          <w:p w14:paraId="72024CF9">
            <w:pPr>
              <w:jc w:val="center"/>
              <w:rPr>
                <w:rFonts w:hint="default" w:ascii="Times New Roman" w:hAnsi="Times New Roman" w:eastAsia="仿宋_GB2312" w:cs="Times New Roman"/>
                <w:color w:val="000000"/>
                <w:kern w:val="2"/>
                <w:sz w:val="22"/>
                <w:szCs w:val="22"/>
                <w:lang w:val="en-US" w:eastAsia="zh-CN" w:bidi="ar-SA"/>
              </w:rPr>
            </w:pPr>
            <w:r>
              <w:rPr>
                <w:rFonts w:hint="eastAsia" w:ascii="Times New Roman" w:hAnsi="Times New Roman" w:eastAsia="仿宋_GB2312" w:cs="Times New Roman"/>
                <w:color w:val="000000"/>
                <w:sz w:val="22"/>
                <w:lang w:val="en-US" w:eastAsia="zh-CN"/>
              </w:rPr>
              <w:t>158.94</w:t>
            </w:r>
          </w:p>
        </w:tc>
        <w:tc>
          <w:tcPr>
            <w:tcW w:w="1420" w:type="dxa"/>
            <w:tcBorders>
              <w:top w:val="single" w:color="auto" w:sz="4" w:space="0"/>
              <w:left w:val="single" w:color="auto" w:sz="4" w:space="0"/>
              <w:bottom w:val="single" w:color="auto" w:sz="4" w:space="0"/>
              <w:right w:val="single" w:color="auto" w:sz="4" w:space="0"/>
            </w:tcBorders>
            <w:shd w:val="clear" w:color="auto" w:fill="auto"/>
            <w:vAlign w:val="top"/>
          </w:tcPr>
          <w:p w14:paraId="1560D75A">
            <w:pPr>
              <w:jc w:val="center"/>
              <w:rPr>
                <w:rFonts w:hint="eastAsia" w:ascii="Times New Roman" w:hAnsi="Times New Roman" w:eastAsia="仿宋_GB2312" w:cs="Times New Roman"/>
                <w:color w:val="000000"/>
                <w:kern w:val="2"/>
                <w:sz w:val="22"/>
                <w:szCs w:val="22"/>
                <w:lang w:val="en-US" w:eastAsia="zh-CN" w:bidi="ar-SA"/>
              </w:rPr>
            </w:pPr>
            <w:r>
              <w:rPr>
                <w:rFonts w:hint="eastAsia" w:ascii="Times New Roman" w:hAnsi="Times New Roman" w:eastAsia="仿宋_GB2312" w:cs="Times New Roman"/>
                <w:color w:val="000000"/>
                <w:sz w:val="22"/>
                <w:lang w:val="en-US" w:eastAsia="zh-CN"/>
              </w:rPr>
              <w:t>158.94</w:t>
            </w:r>
          </w:p>
        </w:tc>
        <w:tc>
          <w:tcPr>
            <w:tcW w:w="1273" w:type="dxa"/>
            <w:tcBorders>
              <w:top w:val="single" w:color="auto" w:sz="4" w:space="0"/>
              <w:left w:val="single" w:color="auto" w:sz="4" w:space="0"/>
              <w:bottom w:val="single" w:color="auto" w:sz="4" w:space="0"/>
              <w:right w:val="single" w:color="auto" w:sz="4" w:space="0"/>
            </w:tcBorders>
          </w:tcPr>
          <w:p w14:paraId="00FAC4CF">
            <w:pPr>
              <w:rPr>
                <w:rFonts w:hint="eastAsia" w:ascii="仿宋_GB2312" w:hAnsi="仿宋_GB2312" w:eastAsia="仿宋_GB2312" w:cs="仿宋_GB2312"/>
              </w:rPr>
            </w:pPr>
          </w:p>
        </w:tc>
        <w:tc>
          <w:tcPr>
            <w:tcW w:w="1143" w:type="dxa"/>
            <w:tcBorders>
              <w:top w:val="single" w:color="auto" w:sz="4" w:space="0"/>
              <w:left w:val="single" w:color="auto" w:sz="4" w:space="0"/>
              <w:bottom w:val="single" w:color="auto" w:sz="4" w:space="0"/>
              <w:right w:val="single" w:color="auto" w:sz="4" w:space="0"/>
            </w:tcBorders>
          </w:tcPr>
          <w:p w14:paraId="4454AE85">
            <w:pPr>
              <w:rPr>
                <w:rFonts w:hint="eastAsia" w:ascii="仿宋_GB2312" w:hAnsi="仿宋_GB2312" w:eastAsia="仿宋_GB2312" w:cs="仿宋_GB2312"/>
              </w:rPr>
            </w:pPr>
          </w:p>
        </w:tc>
        <w:tc>
          <w:tcPr>
            <w:tcW w:w="1274" w:type="dxa"/>
            <w:tcBorders>
              <w:top w:val="single" w:color="auto" w:sz="4" w:space="0"/>
              <w:left w:val="single" w:color="auto" w:sz="4" w:space="0"/>
              <w:bottom w:val="single" w:color="auto" w:sz="4" w:space="0"/>
              <w:right w:val="single" w:color="auto" w:sz="4" w:space="0"/>
            </w:tcBorders>
          </w:tcPr>
          <w:p w14:paraId="6E4188C8">
            <w:pPr>
              <w:rPr>
                <w:rFonts w:hint="eastAsia" w:ascii="仿宋_GB2312" w:hAnsi="仿宋_GB2312" w:eastAsia="仿宋_GB2312" w:cs="仿宋_GB2312"/>
              </w:rPr>
            </w:pPr>
          </w:p>
        </w:tc>
        <w:tc>
          <w:tcPr>
            <w:tcW w:w="1264" w:type="dxa"/>
            <w:tcBorders>
              <w:top w:val="single" w:color="auto" w:sz="4" w:space="0"/>
              <w:left w:val="single" w:color="auto" w:sz="4" w:space="0"/>
              <w:bottom w:val="single" w:color="auto" w:sz="4" w:space="0"/>
              <w:right w:val="single" w:color="auto" w:sz="4" w:space="0"/>
            </w:tcBorders>
          </w:tcPr>
          <w:p w14:paraId="3264CBD1">
            <w:pPr>
              <w:rPr>
                <w:rFonts w:hint="eastAsia" w:ascii="仿宋_GB2312" w:hAnsi="仿宋_GB2312" w:eastAsia="仿宋_GB2312" w:cs="仿宋_GB2312"/>
              </w:rPr>
            </w:pPr>
          </w:p>
        </w:tc>
        <w:tc>
          <w:tcPr>
            <w:tcW w:w="1173" w:type="dxa"/>
            <w:tcBorders>
              <w:top w:val="single" w:color="auto" w:sz="4" w:space="0"/>
              <w:left w:val="single" w:color="auto" w:sz="4" w:space="0"/>
              <w:bottom w:val="single" w:color="auto" w:sz="4" w:space="0"/>
              <w:right w:val="single" w:color="auto" w:sz="4" w:space="0"/>
            </w:tcBorders>
          </w:tcPr>
          <w:p w14:paraId="38C324DC">
            <w:pPr>
              <w:rPr>
                <w:rFonts w:hint="eastAsia" w:ascii="仿宋_GB2312" w:hAnsi="仿宋_GB2312" w:eastAsia="仿宋_GB2312" w:cs="仿宋_GB2312"/>
              </w:rPr>
            </w:pPr>
          </w:p>
        </w:tc>
      </w:tr>
      <w:tr w14:paraId="74E99902">
        <w:tblPrEx>
          <w:tblCellMar>
            <w:top w:w="0" w:type="dxa"/>
            <w:left w:w="0" w:type="dxa"/>
            <w:bottom w:w="0" w:type="dxa"/>
            <w:right w:w="0" w:type="dxa"/>
          </w:tblCellMar>
        </w:tblPrEx>
        <w:trPr>
          <w:trHeight w:val="450" w:hRule="atLeast"/>
          <w:jc w:val="center"/>
        </w:trPr>
        <w:tc>
          <w:tcPr>
            <w:tcW w:w="1037" w:type="dxa"/>
            <w:tcBorders>
              <w:top w:val="single" w:color="auto" w:sz="4" w:space="0"/>
              <w:left w:val="single" w:color="auto" w:sz="4" w:space="0"/>
              <w:bottom w:val="single" w:color="auto" w:sz="4" w:space="0"/>
              <w:right w:val="single" w:color="auto" w:sz="4" w:space="0"/>
            </w:tcBorders>
            <w:shd w:val="clear" w:color="000000" w:fill="FFFFFF"/>
            <w:vAlign w:val="center"/>
          </w:tcPr>
          <w:p w14:paraId="04346489">
            <w:pPr>
              <w:rPr>
                <w:rFonts w:hint="eastAsia" w:ascii="仿宋_GB2312" w:hAnsi="仿宋_GB2312" w:eastAsia="仿宋_GB2312" w:cs="仿宋_GB2312"/>
                <w:lang w:val="en-US" w:eastAsia="zh-CN"/>
              </w:rPr>
            </w:pPr>
            <w:r>
              <w:rPr>
                <w:rFonts w:hint="eastAsia" w:ascii="仿宋_GB2312" w:hAnsi="仿宋_GB2312" w:eastAsia="仿宋_GB2312" w:cs="仿宋_GB2312"/>
              </w:rPr>
              <w:t>221</w:t>
            </w:r>
          </w:p>
        </w:tc>
        <w:tc>
          <w:tcPr>
            <w:tcW w:w="3144" w:type="dxa"/>
            <w:tcBorders>
              <w:top w:val="single" w:color="auto" w:sz="4" w:space="0"/>
              <w:left w:val="single" w:color="auto" w:sz="4" w:space="0"/>
              <w:bottom w:val="single" w:color="auto" w:sz="4" w:space="0"/>
              <w:right w:val="single" w:color="auto" w:sz="4" w:space="0"/>
            </w:tcBorders>
            <w:shd w:val="clear" w:color="000000" w:fill="FFFFFF"/>
            <w:vAlign w:val="center"/>
          </w:tcPr>
          <w:p w14:paraId="38442935">
            <w:pPr>
              <w:rPr>
                <w:rFonts w:hint="eastAsia" w:ascii="仿宋_GB2312" w:hAnsi="仿宋_GB2312" w:eastAsia="仿宋_GB2312" w:cs="仿宋_GB2312"/>
                <w:lang w:val="en-US" w:eastAsia="zh-CN"/>
              </w:rPr>
            </w:pPr>
            <w:r>
              <w:rPr>
                <w:rFonts w:hint="eastAsia" w:ascii="仿宋_GB2312" w:hAnsi="仿宋_GB2312" w:eastAsia="仿宋_GB2312" w:cs="仿宋_GB2312"/>
              </w:rPr>
              <w:t>住房保障支出</w:t>
            </w:r>
          </w:p>
        </w:tc>
        <w:tc>
          <w:tcPr>
            <w:tcW w:w="1442" w:type="dxa"/>
            <w:tcBorders>
              <w:top w:val="single" w:color="auto" w:sz="4" w:space="0"/>
              <w:left w:val="single" w:color="auto" w:sz="4" w:space="0"/>
              <w:bottom w:val="single" w:color="auto" w:sz="4" w:space="0"/>
              <w:right w:val="single" w:color="auto" w:sz="4" w:space="0"/>
            </w:tcBorders>
            <w:shd w:val="clear" w:color="auto" w:fill="auto"/>
            <w:vAlign w:val="top"/>
          </w:tcPr>
          <w:p w14:paraId="09F5B9DE">
            <w:pPr>
              <w:jc w:val="center"/>
              <w:rPr>
                <w:rFonts w:hint="default" w:ascii="Times New Roman" w:hAnsi="Times New Roman" w:eastAsia="仿宋_GB2312" w:cs="Times New Roman"/>
                <w:color w:val="000000"/>
                <w:kern w:val="2"/>
                <w:sz w:val="22"/>
                <w:szCs w:val="22"/>
                <w:lang w:val="en-US" w:eastAsia="zh-CN" w:bidi="ar-SA"/>
              </w:rPr>
            </w:pPr>
            <w:r>
              <w:rPr>
                <w:rFonts w:hint="eastAsia" w:ascii="Times New Roman" w:hAnsi="Times New Roman" w:eastAsia="仿宋_GB2312" w:cs="Times New Roman"/>
                <w:color w:val="000000"/>
                <w:sz w:val="22"/>
                <w:lang w:val="en-US" w:eastAsia="zh-CN"/>
              </w:rPr>
              <w:t>4.90</w:t>
            </w:r>
          </w:p>
        </w:tc>
        <w:tc>
          <w:tcPr>
            <w:tcW w:w="1420" w:type="dxa"/>
            <w:tcBorders>
              <w:top w:val="single" w:color="auto" w:sz="4" w:space="0"/>
              <w:left w:val="single" w:color="auto" w:sz="4" w:space="0"/>
              <w:bottom w:val="single" w:color="auto" w:sz="4" w:space="0"/>
              <w:right w:val="single" w:color="auto" w:sz="4" w:space="0"/>
            </w:tcBorders>
            <w:shd w:val="clear" w:color="auto" w:fill="auto"/>
            <w:vAlign w:val="top"/>
          </w:tcPr>
          <w:p w14:paraId="4FED5734">
            <w:pPr>
              <w:jc w:val="center"/>
              <w:rPr>
                <w:rFonts w:hint="default" w:ascii="Times New Roman" w:hAnsi="Times New Roman" w:eastAsia="仿宋_GB2312" w:cs="Times New Roman"/>
                <w:color w:val="000000"/>
                <w:kern w:val="2"/>
                <w:sz w:val="22"/>
                <w:szCs w:val="22"/>
                <w:lang w:val="en-US" w:eastAsia="zh-CN" w:bidi="ar-SA"/>
              </w:rPr>
            </w:pPr>
            <w:r>
              <w:rPr>
                <w:rFonts w:hint="eastAsia" w:ascii="Times New Roman" w:hAnsi="Times New Roman" w:eastAsia="仿宋_GB2312" w:cs="Times New Roman"/>
                <w:color w:val="000000"/>
                <w:sz w:val="22"/>
                <w:lang w:val="en-US" w:eastAsia="zh-CN"/>
              </w:rPr>
              <w:t>4.90</w:t>
            </w:r>
          </w:p>
        </w:tc>
        <w:tc>
          <w:tcPr>
            <w:tcW w:w="1273" w:type="dxa"/>
            <w:tcBorders>
              <w:top w:val="single" w:color="auto" w:sz="4" w:space="0"/>
              <w:left w:val="single" w:color="auto" w:sz="4" w:space="0"/>
              <w:bottom w:val="single" w:color="auto" w:sz="4" w:space="0"/>
              <w:right w:val="single" w:color="auto" w:sz="4" w:space="0"/>
            </w:tcBorders>
          </w:tcPr>
          <w:p w14:paraId="7D6C5CB5">
            <w:pPr>
              <w:rPr>
                <w:rFonts w:hint="eastAsia" w:ascii="仿宋_GB2312" w:hAnsi="仿宋_GB2312" w:eastAsia="仿宋_GB2312" w:cs="仿宋_GB2312"/>
              </w:rPr>
            </w:pPr>
          </w:p>
        </w:tc>
        <w:tc>
          <w:tcPr>
            <w:tcW w:w="1143" w:type="dxa"/>
            <w:tcBorders>
              <w:top w:val="single" w:color="auto" w:sz="4" w:space="0"/>
              <w:left w:val="single" w:color="auto" w:sz="4" w:space="0"/>
              <w:bottom w:val="single" w:color="auto" w:sz="4" w:space="0"/>
              <w:right w:val="single" w:color="auto" w:sz="4" w:space="0"/>
            </w:tcBorders>
          </w:tcPr>
          <w:p w14:paraId="6A6D5881">
            <w:pPr>
              <w:rPr>
                <w:rFonts w:hint="eastAsia" w:ascii="仿宋_GB2312" w:hAnsi="仿宋_GB2312" w:eastAsia="仿宋_GB2312" w:cs="仿宋_GB2312"/>
              </w:rPr>
            </w:pPr>
          </w:p>
        </w:tc>
        <w:tc>
          <w:tcPr>
            <w:tcW w:w="1274" w:type="dxa"/>
            <w:tcBorders>
              <w:top w:val="single" w:color="auto" w:sz="4" w:space="0"/>
              <w:left w:val="single" w:color="auto" w:sz="4" w:space="0"/>
              <w:bottom w:val="single" w:color="auto" w:sz="4" w:space="0"/>
              <w:right w:val="single" w:color="auto" w:sz="4" w:space="0"/>
            </w:tcBorders>
          </w:tcPr>
          <w:p w14:paraId="45A132A1">
            <w:pPr>
              <w:rPr>
                <w:rFonts w:hint="eastAsia" w:ascii="仿宋_GB2312" w:hAnsi="仿宋_GB2312" w:eastAsia="仿宋_GB2312" w:cs="仿宋_GB2312"/>
              </w:rPr>
            </w:pPr>
          </w:p>
        </w:tc>
        <w:tc>
          <w:tcPr>
            <w:tcW w:w="1264" w:type="dxa"/>
            <w:tcBorders>
              <w:top w:val="single" w:color="auto" w:sz="4" w:space="0"/>
              <w:left w:val="single" w:color="auto" w:sz="4" w:space="0"/>
              <w:bottom w:val="single" w:color="auto" w:sz="4" w:space="0"/>
              <w:right w:val="single" w:color="auto" w:sz="4" w:space="0"/>
            </w:tcBorders>
          </w:tcPr>
          <w:p w14:paraId="323D9DB0">
            <w:pPr>
              <w:rPr>
                <w:rFonts w:hint="eastAsia" w:ascii="仿宋_GB2312" w:hAnsi="仿宋_GB2312" w:eastAsia="仿宋_GB2312" w:cs="仿宋_GB2312"/>
              </w:rPr>
            </w:pPr>
          </w:p>
        </w:tc>
        <w:tc>
          <w:tcPr>
            <w:tcW w:w="1173" w:type="dxa"/>
            <w:tcBorders>
              <w:top w:val="single" w:color="auto" w:sz="4" w:space="0"/>
              <w:left w:val="single" w:color="auto" w:sz="4" w:space="0"/>
              <w:bottom w:val="single" w:color="auto" w:sz="4" w:space="0"/>
              <w:right w:val="single" w:color="auto" w:sz="4" w:space="0"/>
            </w:tcBorders>
          </w:tcPr>
          <w:p w14:paraId="029B7559">
            <w:pPr>
              <w:rPr>
                <w:rFonts w:hint="eastAsia" w:ascii="仿宋_GB2312" w:hAnsi="仿宋_GB2312" w:eastAsia="仿宋_GB2312" w:cs="仿宋_GB2312"/>
              </w:rPr>
            </w:pPr>
          </w:p>
        </w:tc>
      </w:tr>
      <w:tr w14:paraId="3EA9CB0C">
        <w:tblPrEx>
          <w:tblCellMar>
            <w:top w:w="0" w:type="dxa"/>
            <w:left w:w="0" w:type="dxa"/>
            <w:bottom w:w="0" w:type="dxa"/>
            <w:right w:w="0" w:type="dxa"/>
          </w:tblCellMar>
        </w:tblPrEx>
        <w:trPr>
          <w:trHeight w:val="450" w:hRule="atLeast"/>
          <w:jc w:val="center"/>
        </w:trPr>
        <w:tc>
          <w:tcPr>
            <w:tcW w:w="1037" w:type="dxa"/>
            <w:tcBorders>
              <w:top w:val="single" w:color="auto" w:sz="4" w:space="0"/>
              <w:left w:val="single" w:color="auto" w:sz="4" w:space="0"/>
              <w:bottom w:val="single" w:color="auto" w:sz="4" w:space="0"/>
              <w:right w:val="single" w:color="auto" w:sz="4" w:space="0"/>
            </w:tcBorders>
            <w:shd w:val="clear" w:color="000000" w:fill="FFFFFF"/>
            <w:vAlign w:val="center"/>
          </w:tcPr>
          <w:p w14:paraId="642484BF">
            <w:pPr>
              <w:rPr>
                <w:rFonts w:hint="eastAsia" w:ascii="仿宋_GB2312" w:hAnsi="仿宋_GB2312" w:eastAsia="仿宋_GB2312" w:cs="仿宋_GB2312"/>
                <w:lang w:val="en-US" w:eastAsia="zh-CN"/>
              </w:rPr>
            </w:pPr>
            <w:r>
              <w:rPr>
                <w:rFonts w:hint="eastAsia" w:ascii="仿宋_GB2312" w:hAnsi="仿宋_GB2312" w:eastAsia="仿宋_GB2312" w:cs="仿宋_GB2312"/>
              </w:rPr>
              <w:t>22102</w:t>
            </w:r>
          </w:p>
        </w:tc>
        <w:tc>
          <w:tcPr>
            <w:tcW w:w="3144" w:type="dxa"/>
            <w:tcBorders>
              <w:top w:val="single" w:color="auto" w:sz="4" w:space="0"/>
              <w:left w:val="single" w:color="auto" w:sz="4" w:space="0"/>
              <w:bottom w:val="single" w:color="auto" w:sz="4" w:space="0"/>
              <w:right w:val="single" w:color="auto" w:sz="4" w:space="0"/>
            </w:tcBorders>
            <w:shd w:val="clear" w:color="000000" w:fill="FFFFFF"/>
            <w:vAlign w:val="center"/>
          </w:tcPr>
          <w:p w14:paraId="47CE9524">
            <w:pPr>
              <w:rPr>
                <w:rFonts w:hint="eastAsia" w:ascii="仿宋_GB2312" w:hAnsi="仿宋_GB2312" w:eastAsia="仿宋_GB2312" w:cs="仿宋_GB2312"/>
                <w:lang w:val="en-US" w:eastAsia="zh-CN"/>
              </w:rPr>
            </w:pPr>
            <w:r>
              <w:rPr>
                <w:rFonts w:hint="eastAsia" w:ascii="仿宋_GB2312" w:hAnsi="仿宋_GB2312" w:eastAsia="仿宋_GB2312" w:cs="仿宋_GB2312"/>
              </w:rPr>
              <w:t>住房改革支出</w:t>
            </w:r>
          </w:p>
        </w:tc>
        <w:tc>
          <w:tcPr>
            <w:tcW w:w="1442" w:type="dxa"/>
            <w:tcBorders>
              <w:top w:val="single" w:color="auto" w:sz="4" w:space="0"/>
              <w:left w:val="single" w:color="auto" w:sz="4" w:space="0"/>
              <w:bottom w:val="single" w:color="auto" w:sz="4" w:space="0"/>
              <w:right w:val="single" w:color="auto" w:sz="4" w:space="0"/>
            </w:tcBorders>
            <w:shd w:val="clear" w:color="auto" w:fill="auto"/>
            <w:vAlign w:val="top"/>
          </w:tcPr>
          <w:p w14:paraId="209E7FA8">
            <w:pPr>
              <w:jc w:val="center"/>
              <w:rPr>
                <w:rFonts w:hint="default" w:ascii="Times New Roman" w:hAnsi="Times New Roman" w:eastAsia="仿宋_GB2312" w:cs="Times New Roman"/>
                <w:color w:val="000000"/>
                <w:kern w:val="2"/>
                <w:sz w:val="22"/>
                <w:szCs w:val="22"/>
                <w:lang w:val="en-US" w:eastAsia="zh-CN" w:bidi="ar-SA"/>
              </w:rPr>
            </w:pPr>
            <w:r>
              <w:rPr>
                <w:rFonts w:hint="eastAsia" w:ascii="Times New Roman" w:hAnsi="Times New Roman" w:eastAsia="仿宋_GB2312" w:cs="Times New Roman"/>
                <w:color w:val="000000"/>
                <w:sz w:val="22"/>
                <w:lang w:val="en-US" w:eastAsia="zh-CN"/>
              </w:rPr>
              <w:t>4.90</w:t>
            </w:r>
          </w:p>
        </w:tc>
        <w:tc>
          <w:tcPr>
            <w:tcW w:w="1420" w:type="dxa"/>
            <w:tcBorders>
              <w:top w:val="single" w:color="auto" w:sz="4" w:space="0"/>
              <w:left w:val="single" w:color="auto" w:sz="4" w:space="0"/>
              <w:bottom w:val="single" w:color="auto" w:sz="4" w:space="0"/>
              <w:right w:val="single" w:color="auto" w:sz="4" w:space="0"/>
            </w:tcBorders>
            <w:shd w:val="clear" w:color="auto" w:fill="auto"/>
            <w:vAlign w:val="top"/>
          </w:tcPr>
          <w:p w14:paraId="3AD1D808">
            <w:pPr>
              <w:jc w:val="center"/>
              <w:rPr>
                <w:rFonts w:hint="default" w:ascii="Times New Roman" w:hAnsi="Times New Roman" w:eastAsia="仿宋_GB2312" w:cs="Times New Roman"/>
                <w:color w:val="000000"/>
                <w:kern w:val="2"/>
                <w:sz w:val="22"/>
                <w:szCs w:val="22"/>
                <w:lang w:val="en-US" w:eastAsia="zh-CN" w:bidi="ar-SA"/>
              </w:rPr>
            </w:pPr>
            <w:r>
              <w:rPr>
                <w:rFonts w:hint="eastAsia" w:ascii="Times New Roman" w:hAnsi="Times New Roman" w:eastAsia="仿宋_GB2312" w:cs="Times New Roman"/>
                <w:color w:val="000000"/>
                <w:sz w:val="22"/>
                <w:lang w:val="en-US" w:eastAsia="zh-CN"/>
              </w:rPr>
              <w:t>4.90</w:t>
            </w:r>
          </w:p>
        </w:tc>
        <w:tc>
          <w:tcPr>
            <w:tcW w:w="1273" w:type="dxa"/>
            <w:tcBorders>
              <w:top w:val="single" w:color="auto" w:sz="4" w:space="0"/>
              <w:left w:val="single" w:color="auto" w:sz="4" w:space="0"/>
              <w:bottom w:val="single" w:color="auto" w:sz="4" w:space="0"/>
              <w:right w:val="single" w:color="auto" w:sz="4" w:space="0"/>
            </w:tcBorders>
          </w:tcPr>
          <w:p w14:paraId="70F59779">
            <w:pPr>
              <w:rPr>
                <w:rFonts w:hint="eastAsia" w:ascii="仿宋_GB2312" w:hAnsi="仿宋_GB2312" w:eastAsia="仿宋_GB2312" w:cs="仿宋_GB2312"/>
              </w:rPr>
            </w:pPr>
          </w:p>
        </w:tc>
        <w:tc>
          <w:tcPr>
            <w:tcW w:w="1143" w:type="dxa"/>
            <w:tcBorders>
              <w:top w:val="single" w:color="auto" w:sz="4" w:space="0"/>
              <w:left w:val="single" w:color="auto" w:sz="4" w:space="0"/>
              <w:bottom w:val="single" w:color="auto" w:sz="4" w:space="0"/>
              <w:right w:val="single" w:color="auto" w:sz="4" w:space="0"/>
            </w:tcBorders>
          </w:tcPr>
          <w:p w14:paraId="66459AE4">
            <w:pPr>
              <w:rPr>
                <w:rFonts w:hint="eastAsia" w:ascii="仿宋_GB2312" w:hAnsi="仿宋_GB2312" w:eastAsia="仿宋_GB2312" w:cs="仿宋_GB2312"/>
              </w:rPr>
            </w:pPr>
          </w:p>
        </w:tc>
        <w:tc>
          <w:tcPr>
            <w:tcW w:w="1274" w:type="dxa"/>
            <w:tcBorders>
              <w:top w:val="single" w:color="auto" w:sz="4" w:space="0"/>
              <w:left w:val="single" w:color="auto" w:sz="4" w:space="0"/>
              <w:bottom w:val="single" w:color="auto" w:sz="4" w:space="0"/>
              <w:right w:val="single" w:color="auto" w:sz="4" w:space="0"/>
            </w:tcBorders>
          </w:tcPr>
          <w:p w14:paraId="7C9E6D0B">
            <w:pPr>
              <w:rPr>
                <w:rFonts w:hint="eastAsia" w:ascii="仿宋_GB2312" w:hAnsi="仿宋_GB2312" w:eastAsia="仿宋_GB2312" w:cs="仿宋_GB2312"/>
              </w:rPr>
            </w:pPr>
          </w:p>
        </w:tc>
        <w:tc>
          <w:tcPr>
            <w:tcW w:w="1264" w:type="dxa"/>
            <w:tcBorders>
              <w:top w:val="single" w:color="auto" w:sz="4" w:space="0"/>
              <w:left w:val="single" w:color="auto" w:sz="4" w:space="0"/>
              <w:bottom w:val="single" w:color="auto" w:sz="4" w:space="0"/>
              <w:right w:val="single" w:color="auto" w:sz="4" w:space="0"/>
            </w:tcBorders>
          </w:tcPr>
          <w:p w14:paraId="11C89292">
            <w:pPr>
              <w:rPr>
                <w:rFonts w:hint="eastAsia" w:ascii="仿宋_GB2312" w:hAnsi="仿宋_GB2312" w:eastAsia="仿宋_GB2312" w:cs="仿宋_GB2312"/>
              </w:rPr>
            </w:pPr>
          </w:p>
        </w:tc>
        <w:tc>
          <w:tcPr>
            <w:tcW w:w="1173" w:type="dxa"/>
            <w:tcBorders>
              <w:top w:val="single" w:color="auto" w:sz="4" w:space="0"/>
              <w:left w:val="single" w:color="auto" w:sz="4" w:space="0"/>
              <w:bottom w:val="single" w:color="auto" w:sz="4" w:space="0"/>
              <w:right w:val="single" w:color="auto" w:sz="4" w:space="0"/>
            </w:tcBorders>
          </w:tcPr>
          <w:p w14:paraId="594B7579">
            <w:pPr>
              <w:rPr>
                <w:rFonts w:hint="eastAsia" w:ascii="仿宋_GB2312" w:hAnsi="仿宋_GB2312" w:eastAsia="仿宋_GB2312" w:cs="仿宋_GB2312"/>
              </w:rPr>
            </w:pPr>
          </w:p>
        </w:tc>
      </w:tr>
      <w:tr w14:paraId="6E1D3AE2">
        <w:tblPrEx>
          <w:tblCellMar>
            <w:top w:w="0" w:type="dxa"/>
            <w:left w:w="0" w:type="dxa"/>
            <w:bottom w:w="0" w:type="dxa"/>
            <w:right w:w="0" w:type="dxa"/>
          </w:tblCellMar>
        </w:tblPrEx>
        <w:trPr>
          <w:trHeight w:val="450" w:hRule="atLeast"/>
          <w:jc w:val="center"/>
        </w:trPr>
        <w:tc>
          <w:tcPr>
            <w:tcW w:w="1037" w:type="dxa"/>
            <w:tcBorders>
              <w:top w:val="single" w:color="auto" w:sz="4" w:space="0"/>
              <w:left w:val="single" w:color="auto" w:sz="4" w:space="0"/>
              <w:bottom w:val="single" w:color="auto" w:sz="4" w:space="0"/>
              <w:right w:val="single" w:color="auto" w:sz="4" w:space="0"/>
            </w:tcBorders>
            <w:shd w:val="clear" w:color="000000" w:fill="FFFFFF"/>
            <w:vAlign w:val="center"/>
          </w:tcPr>
          <w:p w14:paraId="78F00F64">
            <w:pPr>
              <w:rPr>
                <w:rFonts w:hint="eastAsia" w:ascii="仿宋_GB2312" w:hAnsi="仿宋_GB2312" w:eastAsia="仿宋_GB2312" w:cs="仿宋_GB2312"/>
                <w:lang w:val="en-US" w:eastAsia="zh-CN"/>
              </w:rPr>
            </w:pPr>
            <w:r>
              <w:rPr>
                <w:rFonts w:hint="eastAsia" w:ascii="仿宋_GB2312" w:hAnsi="仿宋_GB2312" w:eastAsia="仿宋_GB2312" w:cs="仿宋_GB2312"/>
              </w:rPr>
              <w:t>2210201</w:t>
            </w:r>
          </w:p>
        </w:tc>
        <w:tc>
          <w:tcPr>
            <w:tcW w:w="3144" w:type="dxa"/>
            <w:tcBorders>
              <w:top w:val="single" w:color="auto" w:sz="4" w:space="0"/>
              <w:left w:val="single" w:color="auto" w:sz="4" w:space="0"/>
              <w:bottom w:val="single" w:color="auto" w:sz="4" w:space="0"/>
              <w:right w:val="single" w:color="auto" w:sz="4" w:space="0"/>
            </w:tcBorders>
            <w:shd w:val="clear" w:color="auto" w:fill="auto"/>
            <w:vAlign w:val="center"/>
          </w:tcPr>
          <w:p w14:paraId="21098C1C">
            <w:pPr>
              <w:rPr>
                <w:rFonts w:hint="eastAsia" w:ascii="仿宋_GB2312" w:hAnsi="仿宋_GB2312" w:eastAsia="仿宋_GB2312" w:cs="仿宋_GB2312"/>
                <w:lang w:val="en-US" w:eastAsia="zh-CN"/>
              </w:rPr>
            </w:pPr>
            <w:r>
              <w:rPr>
                <w:rFonts w:hint="eastAsia" w:ascii="仿宋_GB2312" w:hAnsi="仿宋_GB2312" w:eastAsia="仿宋_GB2312" w:cs="仿宋_GB2312"/>
              </w:rPr>
              <w:t>住房公积金</w:t>
            </w:r>
          </w:p>
        </w:tc>
        <w:tc>
          <w:tcPr>
            <w:tcW w:w="1442" w:type="dxa"/>
            <w:tcBorders>
              <w:top w:val="single" w:color="auto" w:sz="4" w:space="0"/>
              <w:left w:val="single" w:color="auto" w:sz="4" w:space="0"/>
              <w:bottom w:val="single" w:color="auto" w:sz="4" w:space="0"/>
              <w:right w:val="single" w:color="auto" w:sz="4" w:space="0"/>
            </w:tcBorders>
            <w:shd w:val="clear" w:color="auto" w:fill="auto"/>
            <w:vAlign w:val="top"/>
          </w:tcPr>
          <w:p w14:paraId="7FF31DE1">
            <w:pPr>
              <w:jc w:val="center"/>
              <w:rPr>
                <w:rFonts w:hint="default" w:ascii="Times New Roman" w:hAnsi="Times New Roman" w:eastAsia="仿宋_GB2312" w:cs="Times New Roman"/>
                <w:color w:val="000000"/>
                <w:kern w:val="2"/>
                <w:sz w:val="22"/>
                <w:szCs w:val="22"/>
                <w:lang w:val="en-US" w:eastAsia="zh-CN" w:bidi="ar-SA"/>
              </w:rPr>
            </w:pPr>
            <w:r>
              <w:rPr>
                <w:rFonts w:hint="eastAsia" w:ascii="Times New Roman" w:hAnsi="Times New Roman" w:eastAsia="仿宋_GB2312" w:cs="Times New Roman"/>
                <w:color w:val="000000"/>
                <w:sz w:val="22"/>
                <w:lang w:val="en-US" w:eastAsia="zh-CN"/>
              </w:rPr>
              <w:t>4.90</w:t>
            </w:r>
          </w:p>
        </w:tc>
        <w:tc>
          <w:tcPr>
            <w:tcW w:w="1420" w:type="dxa"/>
            <w:tcBorders>
              <w:top w:val="single" w:color="auto" w:sz="4" w:space="0"/>
              <w:left w:val="single" w:color="auto" w:sz="4" w:space="0"/>
              <w:bottom w:val="single" w:color="auto" w:sz="4" w:space="0"/>
              <w:right w:val="single" w:color="auto" w:sz="4" w:space="0"/>
            </w:tcBorders>
            <w:shd w:val="clear" w:color="auto" w:fill="auto"/>
            <w:vAlign w:val="top"/>
          </w:tcPr>
          <w:p w14:paraId="626D1B8D">
            <w:pPr>
              <w:jc w:val="center"/>
              <w:rPr>
                <w:rFonts w:hint="default" w:ascii="Times New Roman" w:hAnsi="Times New Roman" w:eastAsia="仿宋_GB2312" w:cs="Times New Roman"/>
                <w:color w:val="000000"/>
                <w:kern w:val="2"/>
                <w:sz w:val="22"/>
                <w:szCs w:val="22"/>
                <w:lang w:val="en-US" w:eastAsia="zh-CN" w:bidi="ar-SA"/>
              </w:rPr>
            </w:pPr>
            <w:r>
              <w:rPr>
                <w:rFonts w:hint="eastAsia" w:ascii="Times New Roman" w:hAnsi="Times New Roman" w:eastAsia="仿宋_GB2312" w:cs="Times New Roman"/>
                <w:color w:val="000000"/>
                <w:sz w:val="22"/>
                <w:lang w:val="en-US" w:eastAsia="zh-CN"/>
              </w:rPr>
              <w:t>4.90</w:t>
            </w:r>
          </w:p>
        </w:tc>
        <w:tc>
          <w:tcPr>
            <w:tcW w:w="1273" w:type="dxa"/>
            <w:tcBorders>
              <w:top w:val="single" w:color="auto" w:sz="4" w:space="0"/>
              <w:left w:val="single" w:color="auto" w:sz="4" w:space="0"/>
              <w:bottom w:val="single" w:color="auto" w:sz="4" w:space="0"/>
              <w:right w:val="single" w:color="auto" w:sz="4" w:space="0"/>
            </w:tcBorders>
          </w:tcPr>
          <w:p w14:paraId="60DB3A5F">
            <w:pPr>
              <w:rPr>
                <w:rFonts w:hint="eastAsia" w:ascii="仿宋_GB2312" w:hAnsi="仿宋_GB2312" w:eastAsia="仿宋_GB2312" w:cs="仿宋_GB2312"/>
              </w:rPr>
            </w:pPr>
          </w:p>
        </w:tc>
        <w:tc>
          <w:tcPr>
            <w:tcW w:w="1143" w:type="dxa"/>
            <w:tcBorders>
              <w:top w:val="single" w:color="auto" w:sz="4" w:space="0"/>
              <w:left w:val="single" w:color="auto" w:sz="4" w:space="0"/>
              <w:bottom w:val="single" w:color="auto" w:sz="4" w:space="0"/>
              <w:right w:val="single" w:color="auto" w:sz="4" w:space="0"/>
            </w:tcBorders>
          </w:tcPr>
          <w:p w14:paraId="2D8EC99B">
            <w:pPr>
              <w:rPr>
                <w:rFonts w:hint="eastAsia" w:ascii="仿宋_GB2312" w:hAnsi="仿宋_GB2312" w:eastAsia="仿宋_GB2312" w:cs="仿宋_GB2312"/>
              </w:rPr>
            </w:pPr>
          </w:p>
        </w:tc>
        <w:tc>
          <w:tcPr>
            <w:tcW w:w="1274" w:type="dxa"/>
            <w:tcBorders>
              <w:top w:val="single" w:color="auto" w:sz="4" w:space="0"/>
              <w:left w:val="single" w:color="auto" w:sz="4" w:space="0"/>
              <w:bottom w:val="single" w:color="auto" w:sz="4" w:space="0"/>
              <w:right w:val="single" w:color="auto" w:sz="4" w:space="0"/>
            </w:tcBorders>
          </w:tcPr>
          <w:p w14:paraId="3D389F65">
            <w:pPr>
              <w:rPr>
                <w:rFonts w:hint="eastAsia" w:ascii="仿宋_GB2312" w:hAnsi="仿宋_GB2312" w:eastAsia="仿宋_GB2312" w:cs="仿宋_GB2312"/>
              </w:rPr>
            </w:pPr>
          </w:p>
        </w:tc>
        <w:tc>
          <w:tcPr>
            <w:tcW w:w="1264" w:type="dxa"/>
            <w:tcBorders>
              <w:top w:val="single" w:color="auto" w:sz="4" w:space="0"/>
              <w:left w:val="single" w:color="auto" w:sz="4" w:space="0"/>
              <w:bottom w:val="single" w:color="auto" w:sz="4" w:space="0"/>
              <w:right w:val="single" w:color="auto" w:sz="4" w:space="0"/>
            </w:tcBorders>
          </w:tcPr>
          <w:p w14:paraId="3F92AF5D">
            <w:pPr>
              <w:rPr>
                <w:rFonts w:hint="eastAsia" w:ascii="仿宋_GB2312" w:hAnsi="仿宋_GB2312" w:eastAsia="仿宋_GB2312" w:cs="仿宋_GB2312"/>
              </w:rPr>
            </w:pPr>
          </w:p>
        </w:tc>
        <w:tc>
          <w:tcPr>
            <w:tcW w:w="1173" w:type="dxa"/>
            <w:tcBorders>
              <w:top w:val="single" w:color="auto" w:sz="4" w:space="0"/>
              <w:left w:val="single" w:color="auto" w:sz="4" w:space="0"/>
              <w:bottom w:val="single" w:color="auto" w:sz="4" w:space="0"/>
              <w:right w:val="single" w:color="auto" w:sz="4" w:space="0"/>
            </w:tcBorders>
          </w:tcPr>
          <w:p w14:paraId="026ABEBD">
            <w:pPr>
              <w:rPr>
                <w:rFonts w:hint="eastAsia" w:ascii="仿宋_GB2312" w:hAnsi="仿宋_GB2312" w:eastAsia="仿宋_GB2312" w:cs="仿宋_GB2312"/>
              </w:rPr>
            </w:pPr>
          </w:p>
        </w:tc>
      </w:tr>
      <w:tr w14:paraId="1021C542">
        <w:tblPrEx>
          <w:tblCellMar>
            <w:top w:w="0" w:type="dxa"/>
            <w:left w:w="0" w:type="dxa"/>
            <w:bottom w:w="0" w:type="dxa"/>
            <w:right w:w="0" w:type="dxa"/>
          </w:tblCellMar>
        </w:tblPrEx>
        <w:trPr>
          <w:trHeight w:val="450" w:hRule="atLeast"/>
          <w:jc w:val="center"/>
        </w:trPr>
        <w:tc>
          <w:tcPr>
            <w:tcW w:w="1037" w:type="dxa"/>
            <w:tcBorders>
              <w:top w:val="single" w:color="auto" w:sz="4" w:space="0"/>
              <w:left w:val="single" w:color="auto" w:sz="4" w:space="0"/>
              <w:bottom w:val="single" w:color="auto" w:sz="4" w:space="0"/>
              <w:right w:val="single" w:color="auto" w:sz="4" w:space="0"/>
            </w:tcBorders>
            <w:shd w:val="clear" w:color="000000" w:fill="FFFFFF"/>
            <w:vAlign w:val="center"/>
          </w:tcPr>
          <w:p w14:paraId="5FAC92E4">
            <w:pPr>
              <w:rPr>
                <w:rFonts w:hint="default" w:ascii="仿宋_GB2312" w:hAnsi="仿宋_GB2312" w:eastAsia="仿宋_GB2312" w:cs="仿宋_GB2312"/>
                <w:lang w:val="en-US" w:eastAsia="zh-CN"/>
              </w:rPr>
            </w:pPr>
            <w:r>
              <w:rPr>
                <w:rFonts w:hint="eastAsia" w:ascii="仿宋_GB2312" w:hAnsi="仿宋_GB2312" w:eastAsia="仿宋_GB2312" w:cs="仿宋_GB2312"/>
                <w:lang w:val="en-US" w:eastAsia="zh-CN"/>
              </w:rPr>
              <w:t>229</w:t>
            </w:r>
          </w:p>
        </w:tc>
        <w:tc>
          <w:tcPr>
            <w:tcW w:w="3144" w:type="dxa"/>
            <w:tcBorders>
              <w:top w:val="single" w:color="auto" w:sz="4" w:space="0"/>
              <w:left w:val="single" w:color="auto" w:sz="4" w:space="0"/>
              <w:bottom w:val="single" w:color="auto" w:sz="4" w:space="0"/>
              <w:right w:val="single" w:color="auto" w:sz="4" w:space="0"/>
            </w:tcBorders>
            <w:shd w:val="clear" w:color="auto" w:fill="auto"/>
            <w:vAlign w:val="center"/>
          </w:tcPr>
          <w:p w14:paraId="605B3DF8">
            <w:pPr>
              <w:rPr>
                <w:rFonts w:hint="eastAsia" w:ascii="仿宋_GB2312" w:hAnsi="仿宋_GB2312" w:eastAsia="仿宋_GB2312" w:cs="仿宋_GB2312"/>
                <w:lang w:eastAsia="zh-CN"/>
              </w:rPr>
            </w:pPr>
            <w:r>
              <w:rPr>
                <w:rFonts w:hint="eastAsia" w:ascii="仿宋_GB2312" w:hAnsi="仿宋_GB2312" w:eastAsia="仿宋_GB2312" w:cs="仿宋_GB2312"/>
                <w:lang w:eastAsia="zh-CN"/>
              </w:rPr>
              <w:t>其他支出</w:t>
            </w:r>
          </w:p>
        </w:tc>
        <w:tc>
          <w:tcPr>
            <w:tcW w:w="1442" w:type="dxa"/>
            <w:tcBorders>
              <w:top w:val="single" w:color="auto" w:sz="4" w:space="0"/>
              <w:left w:val="single" w:color="auto" w:sz="4" w:space="0"/>
              <w:bottom w:val="single" w:color="auto" w:sz="4" w:space="0"/>
              <w:right w:val="single" w:color="auto" w:sz="4" w:space="0"/>
            </w:tcBorders>
            <w:shd w:val="clear" w:color="auto" w:fill="auto"/>
            <w:vAlign w:val="top"/>
          </w:tcPr>
          <w:p w14:paraId="5017662F">
            <w:pPr>
              <w:jc w:val="center"/>
              <w:rPr>
                <w:rFonts w:hint="default" w:ascii="Times New Roman" w:hAnsi="Times New Roman" w:eastAsia="仿宋_GB2312" w:cs="Times New Roman"/>
                <w:color w:val="000000"/>
                <w:kern w:val="2"/>
                <w:sz w:val="22"/>
                <w:szCs w:val="22"/>
                <w:lang w:val="en-US" w:eastAsia="zh-CN" w:bidi="ar-SA"/>
              </w:rPr>
            </w:pPr>
            <w:r>
              <w:rPr>
                <w:rFonts w:hint="eastAsia" w:ascii="Times New Roman" w:hAnsi="Times New Roman" w:eastAsia="仿宋_GB2312" w:cs="Times New Roman"/>
                <w:color w:val="000000"/>
                <w:sz w:val="22"/>
                <w:lang w:val="en-US" w:eastAsia="zh-CN"/>
              </w:rPr>
              <w:t>85.25</w:t>
            </w:r>
          </w:p>
        </w:tc>
        <w:tc>
          <w:tcPr>
            <w:tcW w:w="1420" w:type="dxa"/>
            <w:tcBorders>
              <w:top w:val="single" w:color="auto" w:sz="4" w:space="0"/>
              <w:left w:val="single" w:color="auto" w:sz="4" w:space="0"/>
              <w:bottom w:val="single" w:color="auto" w:sz="4" w:space="0"/>
              <w:right w:val="single" w:color="auto" w:sz="4" w:space="0"/>
            </w:tcBorders>
            <w:shd w:val="clear" w:color="auto" w:fill="auto"/>
            <w:vAlign w:val="top"/>
          </w:tcPr>
          <w:p w14:paraId="353E76D6">
            <w:pPr>
              <w:jc w:val="center"/>
              <w:rPr>
                <w:rFonts w:hint="eastAsia" w:ascii="Times New Roman" w:hAnsi="Times New Roman" w:eastAsia="仿宋_GB2312" w:cs="Times New Roman"/>
                <w:color w:val="000000"/>
                <w:kern w:val="2"/>
                <w:sz w:val="22"/>
                <w:szCs w:val="22"/>
                <w:lang w:val="en-US" w:eastAsia="zh-CN" w:bidi="ar-SA"/>
              </w:rPr>
            </w:pPr>
            <w:r>
              <w:rPr>
                <w:rFonts w:hint="eastAsia" w:ascii="Times New Roman" w:hAnsi="Times New Roman" w:eastAsia="仿宋_GB2312" w:cs="Times New Roman"/>
                <w:color w:val="000000"/>
                <w:sz w:val="22"/>
                <w:lang w:val="en-US" w:eastAsia="zh-CN"/>
              </w:rPr>
              <w:t>85.25</w:t>
            </w:r>
          </w:p>
        </w:tc>
        <w:tc>
          <w:tcPr>
            <w:tcW w:w="1273" w:type="dxa"/>
            <w:tcBorders>
              <w:top w:val="single" w:color="auto" w:sz="4" w:space="0"/>
              <w:left w:val="single" w:color="auto" w:sz="4" w:space="0"/>
              <w:bottom w:val="single" w:color="auto" w:sz="4" w:space="0"/>
              <w:right w:val="single" w:color="auto" w:sz="4" w:space="0"/>
            </w:tcBorders>
          </w:tcPr>
          <w:p w14:paraId="04FAAB0D">
            <w:pPr>
              <w:rPr>
                <w:rFonts w:hint="eastAsia" w:ascii="仿宋_GB2312" w:hAnsi="仿宋_GB2312" w:eastAsia="仿宋_GB2312" w:cs="仿宋_GB2312"/>
              </w:rPr>
            </w:pPr>
          </w:p>
        </w:tc>
        <w:tc>
          <w:tcPr>
            <w:tcW w:w="1143" w:type="dxa"/>
            <w:tcBorders>
              <w:top w:val="single" w:color="auto" w:sz="4" w:space="0"/>
              <w:left w:val="single" w:color="auto" w:sz="4" w:space="0"/>
              <w:bottom w:val="single" w:color="auto" w:sz="4" w:space="0"/>
              <w:right w:val="single" w:color="auto" w:sz="4" w:space="0"/>
            </w:tcBorders>
          </w:tcPr>
          <w:p w14:paraId="4EB13125">
            <w:pPr>
              <w:rPr>
                <w:rFonts w:hint="eastAsia" w:ascii="仿宋_GB2312" w:hAnsi="仿宋_GB2312" w:eastAsia="仿宋_GB2312" w:cs="仿宋_GB2312"/>
              </w:rPr>
            </w:pPr>
          </w:p>
        </w:tc>
        <w:tc>
          <w:tcPr>
            <w:tcW w:w="1274" w:type="dxa"/>
            <w:tcBorders>
              <w:top w:val="single" w:color="auto" w:sz="4" w:space="0"/>
              <w:left w:val="single" w:color="auto" w:sz="4" w:space="0"/>
              <w:bottom w:val="single" w:color="auto" w:sz="4" w:space="0"/>
              <w:right w:val="single" w:color="auto" w:sz="4" w:space="0"/>
            </w:tcBorders>
          </w:tcPr>
          <w:p w14:paraId="0A68D1EC">
            <w:pPr>
              <w:rPr>
                <w:rFonts w:hint="eastAsia" w:ascii="仿宋_GB2312" w:hAnsi="仿宋_GB2312" w:eastAsia="仿宋_GB2312" w:cs="仿宋_GB2312"/>
              </w:rPr>
            </w:pPr>
          </w:p>
        </w:tc>
        <w:tc>
          <w:tcPr>
            <w:tcW w:w="1264" w:type="dxa"/>
            <w:tcBorders>
              <w:top w:val="single" w:color="auto" w:sz="4" w:space="0"/>
              <w:left w:val="single" w:color="auto" w:sz="4" w:space="0"/>
              <w:bottom w:val="single" w:color="auto" w:sz="4" w:space="0"/>
              <w:right w:val="single" w:color="auto" w:sz="4" w:space="0"/>
            </w:tcBorders>
          </w:tcPr>
          <w:p w14:paraId="2C41D689">
            <w:pPr>
              <w:rPr>
                <w:rFonts w:hint="eastAsia" w:ascii="仿宋_GB2312" w:hAnsi="仿宋_GB2312" w:eastAsia="仿宋_GB2312" w:cs="仿宋_GB2312"/>
              </w:rPr>
            </w:pPr>
          </w:p>
        </w:tc>
        <w:tc>
          <w:tcPr>
            <w:tcW w:w="1173" w:type="dxa"/>
            <w:tcBorders>
              <w:top w:val="single" w:color="auto" w:sz="4" w:space="0"/>
              <w:left w:val="single" w:color="auto" w:sz="4" w:space="0"/>
              <w:bottom w:val="single" w:color="auto" w:sz="4" w:space="0"/>
              <w:right w:val="single" w:color="auto" w:sz="4" w:space="0"/>
            </w:tcBorders>
          </w:tcPr>
          <w:p w14:paraId="34BD5B56">
            <w:pPr>
              <w:rPr>
                <w:rFonts w:hint="eastAsia" w:ascii="仿宋_GB2312" w:hAnsi="仿宋_GB2312" w:eastAsia="仿宋_GB2312" w:cs="仿宋_GB2312"/>
              </w:rPr>
            </w:pPr>
          </w:p>
        </w:tc>
      </w:tr>
      <w:tr w14:paraId="20B2DFF7">
        <w:tblPrEx>
          <w:tblCellMar>
            <w:top w:w="0" w:type="dxa"/>
            <w:left w:w="0" w:type="dxa"/>
            <w:bottom w:w="0" w:type="dxa"/>
            <w:right w:w="0" w:type="dxa"/>
          </w:tblCellMar>
        </w:tblPrEx>
        <w:trPr>
          <w:trHeight w:val="450" w:hRule="atLeast"/>
          <w:jc w:val="center"/>
        </w:trPr>
        <w:tc>
          <w:tcPr>
            <w:tcW w:w="1037" w:type="dxa"/>
            <w:tcBorders>
              <w:top w:val="single" w:color="auto" w:sz="4" w:space="0"/>
              <w:left w:val="single" w:color="auto" w:sz="4" w:space="0"/>
              <w:bottom w:val="single" w:color="auto" w:sz="4" w:space="0"/>
              <w:right w:val="single" w:color="auto" w:sz="4" w:space="0"/>
            </w:tcBorders>
            <w:shd w:val="clear" w:color="000000" w:fill="FFFFFF"/>
            <w:vAlign w:val="center"/>
          </w:tcPr>
          <w:p w14:paraId="38690822">
            <w:pPr>
              <w:rPr>
                <w:rFonts w:hint="default" w:ascii="仿宋_GB2312" w:hAnsi="仿宋_GB2312" w:eastAsia="仿宋_GB2312" w:cs="仿宋_GB2312"/>
                <w:lang w:val="en-US" w:eastAsia="zh-CN"/>
              </w:rPr>
            </w:pPr>
            <w:r>
              <w:rPr>
                <w:rFonts w:hint="eastAsia" w:ascii="仿宋_GB2312" w:hAnsi="仿宋_GB2312" w:eastAsia="仿宋_GB2312" w:cs="仿宋_GB2312"/>
                <w:lang w:val="en-US" w:eastAsia="zh-CN"/>
              </w:rPr>
              <w:t>22904</w:t>
            </w:r>
          </w:p>
        </w:tc>
        <w:tc>
          <w:tcPr>
            <w:tcW w:w="3144" w:type="dxa"/>
            <w:tcBorders>
              <w:top w:val="single" w:color="auto" w:sz="4" w:space="0"/>
              <w:left w:val="single" w:color="auto" w:sz="4" w:space="0"/>
              <w:bottom w:val="single" w:color="auto" w:sz="4" w:space="0"/>
              <w:right w:val="single" w:color="auto" w:sz="4" w:space="0"/>
            </w:tcBorders>
            <w:shd w:val="clear" w:color="auto" w:fill="auto"/>
            <w:vAlign w:val="center"/>
          </w:tcPr>
          <w:p w14:paraId="6F473287">
            <w:pPr>
              <w:rPr>
                <w:rFonts w:hint="eastAsia" w:ascii="仿宋_GB2312" w:hAnsi="仿宋_GB2312" w:eastAsia="仿宋_GB2312" w:cs="仿宋_GB2312"/>
                <w:lang w:eastAsia="zh-CN"/>
              </w:rPr>
            </w:pPr>
            <w:r>
              <w:rPr>
                <w:rFonts w:hint="eastAsia" w:ascii="仿宋_GB2312" w:hAnsi="仿宋_GB2312" w:eastAsia="仿宋_GB2312" w:cs="仿宋_GB2312"/>
                <w:lang w:eastAsia="zh-CN"/>
              </w:rPr>
              <w:t>其他政府性基金及对应专债收入安排的支出</w:t>
            </w:r>
          </w:p>
        </w:tc>
        <w:tc>
          <w:tcPr>
            <w:tcW w:w="1442" w:type="dxa"/>
            <w:tcBorders>
              <w:top w:val="single" w:color="auto" w:sz="4" w:space="0"/>
              <w:left w:val="single" w:color="auto" w:sz="4" w:space="0"/>
              <w:bottom w:val="single" w:color="auto" w:sz="4" w:space="0"/>
              <w:right w:val="single" w:color="auto" w:sz="4" w:space="0"/>
            </w:tcBorders>
            <w:shd w:val="clear" w:color="auto" w:fill="auto"/>
            <w:vAlign w:val="top"/>
          </w:tcPr>
          <w:p w14:paraId="155A54B2">
            <w:pPr>
              <w:jc w:val="center"/>
              <w:rPr>
                <w:rFonts w:hint="default" w:ascii="Times New Roman" w:hAnsi="Times New Roman" w:eastAsia="仿宋_GB2312" w:cs="Times New Roman"/>
                <w:color w:val="000000"/>
                <w:kern w:val="2"/>
                <w:sz w:val="22"/>
                <w:szCs w:val="22"/>
                <w:lang w:val="en-US" w:eastAsia="zh-CN" w:bidi="ar-SA"/>
              </w:rPr>
            </w:pPr>
            <w:r>
              <w:rPr>
                <w:rFonts w:hint="eastAsia" w:ascii="Times New Roman" w:hAnsi="Times New Roman" w:eastAsia="仿宋_GB2312" w:cs="Times New Roman"/>
                <w:color w:val="000000"/>
                <w:sz w:val="22"/>
                <w:lang w:val="en-US" w:eastAsia="zh-CN"/>
              </w:rPr>
              <w:t>85.25</w:t>
            </w:r>
          </w:p>
        </w:tc>
        <w:tc>
          <w:tcPr>
            <w:tcW w:w="1420" w:type="dxa"/>
            <w:tcBorders>
              <w:top w:val="single" w:color="auto" w:sz="4" w:space="0"/>
              <w:left w:val="single" w:color="auto" w:sz="4" w:space="0"/>
              <w:bottom w:val="single" w:color="auto" w:sz="4" w:space="0"/>
              <w:right w:val="single" w:color="auto" w:sz="4" w:space="0"/>
            </w:tcBorders>
            <w:shd w:val="clear" w:color="auto" w:fill="auto"/>
            <w:vAlign w:val="top"/>
          </w:tcPr>
          <w:p w14:paraId="7FF4C89F">
            <w:pPr>
              <w:jc w:val="center"/>
              <w:rPr>
                <w:rFonts w:hint="eastAsia" w:ascii="Times New Roman" w:hAnsi="Times New Roman" w:eastAsia="仿宋_GB2312" w:cs="Times New Roman"/>
                <w:color w:val="000000"/>
                <w:kern w:val="2"/>
                <w:sz w:val="22"/>
                <w:szCs w:val="22"/>
                <w:lang w:val="en-US" w:eastAsia="zh-CN" w:bidi="ar-SA"/>
              </w:rPr>
            </w:pPr>
            <w:r>
              <w:rPr>
                <w:rFonts w:hint="eastAsia" w:ascii="Times New Roman" w:hAnsi="Times New Roman" w:eastAsia="仿宋_GB2312" w:cs="Times New Roman"/>
                <w:color w:val="000000"/>
                <w:sz w:val="22"/>
                <w:lang w:val="en-US" w:eastAsia="zh-CN"/>
              </w:rPr>
              <w:t>85.25</w:t>
            </w:r>
          </w:p>
        </w:tc>
        <w:tc>
          <w:tcPr>
            <w:tcW w:w="1273" w:type="dxa"/>
            <w:tcBorders>
              <w:top w:val="single" w:color="auto" w:sz="4" w:space="0"/>
              <w:left w:val="single" w:color="auto" w:sz="4" w:space="0"/>
              <w:bottom w:val="single" w:color="auto" w:sz="4" w:space="0"/>
              <w:right w:val="single" w:color="auto" w:sz="4" w:space="0"/>
            </w:tcBorders>
          </w:tcPr>
          <w:p w14:paraId="3D52509F">
            <w:pPr>
              <w:rPr>
                <w:rFonts w:hint="eastAsia" w:ascii="仿宋_GB2312" w:hAnsi="仿宋_GB2312" w:eastAsia="仿宋_GB2312" w:cs="仿宋_GB2312"/>
              </w:rPr>
            </w:pPr>
          </w:p>
        </w:tc>
        <w:tc>
          <w:tcPr>
            <w:tcW w:w="1143" w:type="dxa"/>
            <w:tcBorders>
              <w:top w:val="single" w:color="auto" w:sz="4" w:space="0"/>
              <w:left w:val="single" w:color="auto" w:sz="4" w:space="0"/>
              <w:bottom w:val="single" w:color="auto" w:sz="4" w:space="0"/>
              <w:right w:val="single" w:color="auto" w:sz="4" w:space="0"/>
            </w:tcBorders>
          </w:tcPr>
          <w:p w14:paraId="32D3662F">
            <w:pPr>
              <w:rPr>
                <w:rFonts w:hint="eastAsia" w:ascii="仿宋_GB2312" w:hAnsi="仿宋_GB2312" w:eastAsia="仿宋_GB2312" w:cs="仿宋_GB2312"/>
              </w:rPr>
            </w:pPr>
          </w:p>
        </w:tc>
        <w:tc>
          <w:tcPr>
            <w:tcW w:w="1274" w:type="dxa"/>
            <w:tcBorders>
              <w:top w:val="single" w:color="auto" w:sz="4" w:space="0"/>
              <w:left w:val="single" w:color="auto" w:sz="4" w:space="0"/>
              <w:bottom w:val="single" w:color="auto" w:sz="4" w:space="0"/>
              <w:right w:val="single" w:color="auto" w:sz="4" w:space="0"/>
            </w:tcBorders>
          </w:tcPr>
          <w:p w14:paraId="3B483ABD">
            <w:pPr>
              <w:rPr>
                <w:rFonts w:hint="eastAsia" w:ascii="仿宋_GB2312" w:hAnsi="仿宋_GB2312" w:eastAsia="仿宋_GB2312" w:cs="仿宋_GB2312"/>
              </w:rPr>
            </w:pPr>
          </w:p>
        </w:tc>
        <w:tc>
          <w:tcPr>
            <w:tcW w:w="1264" w:type="dxa"/>
            <w:tcBorders>
              <w:top w:val="single" w:color="auto" w:sz="4" w:space="0"/>
              <w:left w:val="single" w:color="auto" w:sz="4" w:space="0"/>
              <w:bottom w:val="single" w:color="auto" w:sz="4" w:space="0"/>
              <w:right w:val="single" w:color="auto" w:sz="4" w:space="0"/>
            </w:tcBorders>
          </w:tcPr>
          <w:p w14:paraId="239E8EAD">
            <w:pPr>
              <w:rPr>
                <w:rFonts w:hint="eastAsia" w:ascii="仿宋_GB2312" w:hAnsi="仿宋_GB2312" w:eastAsia="仿宋_GB2312" w:cs="仿宋_GB2312"/>
              </w:rPr>
            </w:pPr>
          </w:p>
        </w:tc>
        <w:tc>
          <w:tcPr>
            <w:tcW w:w="1173" w:type="dxa"/>
            <w:tcBorders>
              <w:top w:val="single" w:color="auto" w:sz="4" w:space="0"/>
              <w:left w:val="single" w:color="auto" w:sz="4" w:space="0"/>
              <w:bottom w:val="single" w:color="auto" w:sz="4" w:space="0"/>
              <w:right w:val="single" w:color="auto" w:sz="4" w:space="0"/>
            </w:tcBorders>
          </w:tcPr>
          <w:p w14:paraId="5CD24B5E">
            <w:pPr>
              <w:rPr>
                <w:rFonts w:hint="eastAsia" w:ascii="仿宋_GB2312" w:hAnsi="仿宋_GB2312" w:eastAsia="仿宋_GB2312" w:cs="仿宋_GB2312"/>
              </w:rPr>
            </w:pPr>
          </w:p>
        </w:tc>
      </w:tr>
      <w:tr w14:paraId="05579012">
        <w:tblPrEx>
          <w:tblCellMar>
            <w:top w:w="0" w:type="dxa"/>
            <w:left w:w="0" w:type="dxa"/>
            <w:bottom w:w="0" w:type="dxa"/>
            <w:right w:w="0" w:type="dxa"/>
          </w:tblCellMar>
        </w:tblPrEx>
        <w:trPr>
          <w:trHeight w:val="450" w:hRule="atLeast"/>
          <w:jc w:val="center"/>
        </w:trPr>
        <w:tc>
          <w:tcPr>
            <w:tcW w:w="1037" w:type="dxa"/>
            <w:tcBorders>
              <w:top w:val="single" w:color="auto" w:sz="4" w:space="0"/>
              <w:left w:val="single" w:color="auto" w:sz="4" w:space="0"/>
              <w:bottom w:val="single" w:color="auto" w:sz="4" w:space="0"/>
              <w:right w:val="single" w:color="auto" w:sz="4" w:space="0"/>
            </w:tcBorders>
            <w:shd w:val="clear" w:color="000000" w:fill="FFFFFF"/>
            <w:vAlign w:val="center"/>
          </w:tcPr>
          <w:p w14:paraId="0BF7E033">
            <w:pPr>
              <w:rPr>
                <w:rFonts w:hint="default" w:ascii="仿宋_GB2312" w:hAnsi="仿宋_GB2312" w:eastAsia="仿宋_GB2312" w:cs="仿宋_GB2312"/>
                <w:lang w:val="en-US" w:eastAsia="zh-CN"/>
              </w:rPr>
            </w:pPr>
            <w:r>
              <w:rPr>
                <w:rFonts w:hint="eastAsia" w:ascii="仿宋_GB2312" w:hAnsi="仿宋_GB2312" w:eastAsia="仿宋_GB2312" w:cs="仿宋_GB2312"/>
                <w:lang w:val="en-US" w:eastAsia="zh-CN"/>
              </w:rPr>
              <w:t>2290403</w:t>
            </w:r>
          </w:p>
        </w:tc>
        <w:tc>
          <w:tcPr>
            <w:tcW w:w="3144" w:type="dxa"/>
            <w:tcBorders>
              <w:top w:val="single" w:color="auto" w:sz="4" w:space="0"/>
              <w:left w:val="single" w:color="auto" w:sz="4" w:space="0"/>
              <w:bottom w:val="single" w:color="auto" w:sz="4" w:space="0"/>
              <w:right w:val="single" w:color="auto" w:sz="4" w:space="0"/>
            </w:tcBorders>
            <w:shd w:val="clear" w:color="auto" w:fill="auto"/>
            <w:vAlign w:val="center"/>
          </w:tcPr>
          <w:p w14:paraId="7A0FC969">
            <w:pPr>
              <w:rPr>
                <w:rFonts w:hint="eastAsia" w:ascii="仿宋_GB2312" w:hAnsi="仿宋_GB2312" w:eastAsia="仿宋_GB2312" w:cs="仿宋_GB2312"/>
                <w:lang w:eastAsia="zh-CN"/>
              </w:rPr>
            </w:pPr>
            <w:r>
              <w:rPr>
                <w:rFonts w:hint="eastAsia" w:ascii="仿宋_GB2312" w:hAnsi="仿宋_GB2312" w:eastAsia="仿宋_GB2312" w:cs="仿宋_GB2312"/>
                <w:lang w:eastAsia="zh-CN"/>
              </w:rPr>
              <w:t>其他政府性基金债务收入安排的支出</w:t>
            </w:r>
          </w:p>
        </w:tc>
        <w:tc>
          <w:tcPr>
            <w:tcW w:w="1442" w:type="dxa"/>
            <w:tcBorders>
              <w:top w:val="single" w:color="auto" w:sz="4" w:space="0"/>
              <w:left w:val="single" w:color="auto" w:sz="4" w:space="0"/>
              <w:bottom w:val="single" w:color="auto" w:sz="4" w:space="0"/>
              <w:right w:val="single" w:color="auto" w:sz="4" w:space="0"/>
            </w:tcBorders>
            <w:shd w:val="clear" w:color="auto" w:fill="auto"/>
            <w:vAlign w:val="top"/>
          </w:tcPr>
          <w:p w14:paraId="0D04652C">
            <w:pPr>
              <w:jc w:val="center"/>
              <w:rPr>
                <w:rFonts w:hint="default" w:ascii="Times New Roman" w:hAnsi="Times New Roman" w:eastAsia="仿宋_GB2312" w:cs="Times New Roman"/>
                <w:color w:val="000000"/>
                <w:kern w:val="2"/>
                <w:sz w:val="22"/>
                <w:szCs w:val="22"/>
                <w:lang w:val="en-US" w:eastAsia="zh-CN" w:bidi="ar-SA"/>
              </w:rPr>
            </w:pPr>
            <w:r>
              <w:rPr>
                <w:rFonts w:hint="eastAsia" w:ascii="Times New Roman" w:hAnsi="Times New Roman" w:eastAsia="仿宋_GB2312" w:cs="Times New Roman"/>
                <w:color w:val="000000"/>
                <w:sz w:val="22"/>
                <w:lang w:val="en-US" w:eastAsia="zh-CN"/>
              </w:rPr>
              <w:t>85.25</w:t>
            </w:r>
          </w:p>
        </w:tc>
        <w:tc>
          <w:tcPr>
            <w:tcW w:w="1420" w:type="dxa"/>
            <w:tcBorders>
              <w:top w:val="single" w:color="auto" w:sz="4" w:space="0"/>
              <w:left w:val="single" w:color="auto" w:sz="4" w:space="0"/>
              <w:bottom w:val="single" w:color="auto" w:sz="4" w:space="0"/>
              <w:right w:val="single" w:color="auto" w:sz="4" w:space="0"/>
            </w:tcBorders>
            <w:shd w:val="clear" w:color="auto" w:fill="auto"/>
            <w:vAlign w:val="top"/>
          </w:tcPr>
          <w:p w14:paraId="783581E1">
            <w:pPr>
              <w:jc w:val="center"/>
              <w:rPr>
                <w:rFonts w:hint="eastAsia" w:ascii="Times New Roman" w:hAnsi="Times New Roman" w:eastAsia="仿宋_GB2312" w:cs="Times New Roman"/>
                <w:color w:val="000000"/>
                <w:kern w:val="2"/>
                <w:sz w:val="22"/>
                <w:szCs w:val="22"/>
                <w:lang w:val="en-US" w:eastAsia="zh-CN" w:bidi="ar-SA"/>
              </w:rPr>
            </w:pPr>
            <w:r>
              <w:rPr>
                <w:rFonts w:hint="eastAsia" w:ascii="Times New Roman" w:hAnsi="Times New Roman" w:eastAsia="仿宋_GB2312" w:cs="Times New Roman"/>
                <w:color w:val="000000"/>
                <w:sz w:val="22"/>
                <w:lang w:val="en-US" w:eastAsia="zh-CN"/>
              </w:rPr>
              <w:t>85.25</w:t>
            </w:r>
          </w:p>
        </w:tc>
        <w:tc>
          <w:tcPr>
            <w:tcW w:w="1273" w:type="dxa"/>
            <w:tcBorders>
              <w:top w:val="single" w:color="auto" w:sz="4" w:space="0"/>
              <w:left w:val="single" w:color="auto" w:sz="4" w:space="0"/>
              <w:bottom w:val="single" w:color="auto" w:sz="4" w:space="0"/>
              <w:right w:val="single" w:color="auto" w:sz="4" w:space="0"/>
            </w:tcBorders>
          </w:tcPr>
          <w:p w14:paraId="3AE75AF6">
            <w:pPr>
              <w:rPr>
                <w:rFonts w:hint="eastAsia" w:ascii="仿宋_GB2312" w:hAnsi="仿宋_GB2312" w:eastAsia="仿宋_GB2312" w:cs="仿宋_GB2312"/>
              </w:rPr>
            </w:pPr>
          </w:p>
        </w:tc>
        <w:tc>
          <w:tcPr>
            <w:tcW w:w="1143" w:type="dxa"/>
            <w:tcBorders>
              <w:top w:val="single" w:color="auto" w:sz="4" w:space="0"/>
              <w:left w:val="single" w:color="auto" w:sz="4" w:space="0"/>
              <w:bottom w:val="single" w:color="auto" w:sz="4" w:space="0"/>
              <w:right w:val="single" w:color="auto" w:sz="4" w:space="0"/>
            </w:tcBorders>
          </w:tcPr>
          <w:p w14:paraId="16042C78">
            <w:pPr>
              <w:rPr>
                <w:rFonts w:hint="eastAsia" w:ascii="仿宋_GB2312" w:hAnsi="仿宋_GB2312" w:eastAsia="仿宋_GB2312" w:cs="仿宋_GB2312"/>
              </w:rPr>
            </w:pPr>
          </w:p>
        </w:tc>
        <w:tc>
          <w:tcPr>
            <w:tcW w:w="1274" w:type="dxa"/>
            <w:tcBorders>
              <w:top w:val="single" w:color="auto" w:sz="4" w:space="0"/>
              <w:left w:val="single" w:color="auto" w:sz="4" w:space="0"/>
              <w:bottom w:val="single" w:color="auto" w:sz="4" w:space="0"/>
              <w:right w:val="single" w:color="auto" w:sz="4" w:space="0"/>
            </w:tcBorders>
          </w:tcPr>
          <w:p w14:paraId="68A7C03A">
            <w:pPr>
              <w:rPr>
                <w:rFonts w:hint="eastAsia" w:ascii="仿宋_GB2312" w:hAnsi="仿宋_GB2312" w:eastAsia="仿宋_GB2312" w:cs="仿宋_GB2312"/>
              </w:rPr>
            </w:pPr>
          </w:p>
        </w:tc>
        <w:tc>
          <w:tcPr>
            <w:tcW w:w="1264" w:type="dxa"/>
            <w:tcBorders>
              <w:top w:val="single" w:color="auto" w:sz="4" w:space="0"/>
              <w:left w:val="single" w:color="auto" w:sz="4" w:space="0"/>
              <w:bottom w:val="single" w:color="auto" w:sz="4" w:space="0"/>
              <w:right w:val="single" w:color="auto" w:sz="4" w:space="0"/>
            </w:tcBorders>
          </w:tcPr>
          <w:p w14:paraId="28483F38">
            <w:pPr>
              <w:rPr>
                <w:rFonts w:hint="eastAsia" w:ascii="仿宋_GB2312" w:hAnsi="仿宋_GB2312" w:eastAsia="仿宋_GB2312" w:cs="仿宋_GB2312"/>
              </w:rPr>
            </w:pPr>
          </w:p>
        </w:tc>
        <w:tc>
          <w:tcPr>
            <w:tcW w:w="1173" w:type="dxa"/>
            <w:tcBorders>
              <w:top w:val="single" w:color="auto" w:sz="4" w:space="0"/>
              <w:left w:val="single" w:color="auto" w:sz="4" w:space="0"/>
              <w:bottom w:val="single" w:color="auto" w:sz="4" w:space="0"/>
              <w:right w:val="single" w:color="auto" w:sz="4" w:space="0"/>
            </w:tcBorders>
          </w:tcPr>
          <w:p w14:paraId="2020B799">
            <w:pPr>
              <w:rPr>
                <w:rFonts w:hint="eastAsia" w:ascii="仿宋_GB2312" w:hAnsi="仿宋_GB2312" w:eastAsia="仿宋_GB2312" w:cs="仿宋_GB2312"/>
              </w:rPr>
            </w:pPr>
          </w:p>
        </w:tc>
      </w:tr>
    </w:tbl>
    <w:p w14:paraId="543A9D71">
      <w:pPr>
        <w:spacing w:before="120"/>
        <w:rPr>
          <w:rFonts w:ascii="Times New Roman" w:hAnsi="Times New Roman" w:eastAsia="仿宋_GB2312" w:cs="Times New Roman"/>
          <w:sz w:val="24"/>
          <w:szCs w:val="24"/>
        </w:rPr>
      </w:pPr>
      <w:r>
        <w:rPr>
          <w:rFonts w:ascii="Times New Roman" w:hAnsi="Times New Roman" w:eastAsia="仿宋_GB2312" w:cs="Times New Roman"/>
        </w:rPr>
        <w:t>注：本表反映部门本年度取得的各项收入情况。</w:t>
      </w:r>
    </w:p>
    <w:p w14:paraId="4C7761F0">
      <w:pPr>
        <w:widowControl/>
        <w:jc w:val="left"/>
        <w:rPr>
          <w:rFonts w:ascii="Times New Roman" w:hAnsi="Times New Roman" w:eastAsia="黑体" w:cs="Times New Roman"/>
          <w:bCs/>
          <w:kern w:val="0"/>
          <w:sz w:val="32"/>
          <w:szCs w:val="32"/>
        </w:rPr>
      </w:pPr>
      <w:r>
        <w:rPr>
          <w:rFonts w:ascii="Times New Roman" w:hAnsi="Times New Roman" w:eastAsia="黑体" w:cs="Times New Roman"/>
          <w:bCs/>
          <w:kern w:val="0"/>
          <w:sz w:val="32"/>
          <w:szCs w:val="32"/>
        </w:rPr>
        <w:t xml:space="preserve"> </w:t>
      </w:r>
      <w:r>
        <w:rPr>
          <w:rFonts w:ascii="Times New Roman" w:hAnsi="Times New Roman" w:eastAsia="黑体" w:cs="Times New Roman"/>
          <w:bCs/>
          <w:kern w:val="0"/>
          <w:sz w:val="32"/>
          <w:szCs w:val="32"/>
        </w:rPr>
        <w:br w:type="page"/>
      </w:r>
    </w:p>
    <w:p w14:paraId="66464E88">
      <w:pPr>
        <w:widowControl/>
        <w:jc w:val="center"/>
        <w:textAlignment w:val="center"/>
        <w:rPr>
          <w:rFonts w:ascii="Times New Roman" w:hAnsi="Times New Roman" w:eastAsia="黑体" w:cs="Times New Roman"/>
          <w:color w:val="000000"/>
          <w:kern w:val="0"/>
          <w:sz w:val="32"/>
          <w:szCs w:val="32"/>
          <w:lang w:bidi="ar"/>
        </w:rPr>
      </w:pPr>
    </w:p>
    <w:p w14:paraId="338426EE">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支出决算表</w:t>
      </w:r>
    </w:p>
    <w:p w14:paraId="7E7D93C0">
      <w:pPr>
        <w:keepNext w:val="0"/>
        <w:keepLines w:val="0"/>
        <w:pageBreakBefore w:val="0"/>
        <w:widowControl/>
        <w:tabs>
          <w:tab w:val="left" w:pos="1236"/>
          <w:tab w:val="left" w:pos="1499"/>
          <w:tab w:val="left" w:pos="2980"/>
          <w:tab w:val="left" w:pos="4932"/>
          <w:tab w:val="left" w:pos="6923"/>
          <w:tab w:val="left" w:pos="8914"/>
          <w:tab w:val="left" w:pos="10905"/>
          <w:tab w:val="left" w:pos="12896"/>
        </w:tabs>
        <w:kinsoku/>
        <w:wordWrap/>
        <w:overflowPunct/>
        <w:topLinePunct w:val="0"/>
        <w:autoSpaceDE/>
        <w:autoSpaceDN/>
        <w:bidi w:val="0"/>
        <w:adjustRightInd/>
        <w:snapToGrid/>
        <w:spacing w:line="280" w:lineRule="exact"/>
        <w:jc w:val="right"/>
        <w:textAlignment w:val="auto"/>
        <w:rPr>
          <w:rFonts w:ascii="Times New Roman" w:hAnsi="Times New Roman" w:eastAsia="仿宋_GB2312" w:cs="Times New Roman"/>
          <w:color w:val="000000"/>
          <w:kern w:val="0"/>
          <w:sz w:val="20"/>
          <w:szCs w:val="20"/>
        </w:rPr>
      </w:pP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公开03表</w:t>
      </w:r>
    </w:p>
    <w:p w14:paraId="2ED8E2FF">
      <w:pPr>
        <w:keepNext w:val="0"/>
        <w:keepLines w:val="0"/>
        <w:pageBreakBefore w:val="0"/>
        <w:widowControl/>
        <w:tabs>
          <w:tab w:val="left" w:pos="1236"/>
          <w:tab w:val="left" w:pos="1499"/>
          <w:tab w:val="left" w:pos="2980"/>
          <w:tab w:val="left" w:pos="4932"/>
          <w:tab w:val="left" w:pos="6923"/>
          <w:tab w:val="left" w:pos="8914"/>
          <w:tab w:val="left" w:pos="10905"/>
          <w:tab w:val="left" w:pos="12896"/>
        </w:tabs>
        <w:kinsoku/>
        <w:wordWrap/>
        <w:overflowPunct/>
        <w:topLinePunct w:val="0"/>
        <w:autoSpaceDE/>
        <w:autoSpaceDN/>
        <w:bidi w:val="0"/>
        <w:adjustRightInd/>
        <w:snapToGrid/>
        <w:spacing w:line="280" w:lineRule="exact"/>
        <w:jc w:val="right"/>
        <w:textAlignment w:val="auto"/>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部门：</w:t>
      </w:r>
      <w:r>
        <w:rPr>
          <w:rFonts w:hint="eastAsia" w:ascii="Times New Roman" w:hAnsi="Times New Roman" w:eastAsia="仿宋_GB2312" w:cs="Times New Roman"/>
          <w:color w:val="000000"/>
          <w:kern w:val="0"/>
          <w:sz w:val="20"/>
          <w:szCs w:val="20"/>
          <w:lang w:bidi="ar"/>
        </w:rPr>
        <w:t>祁阳现代农业产业园区管理委员会</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单位：万元</w:t>
      </w:r>
    </w:p>
    <w:tbl>
      <w:tblPr>
        <w:tblStyle w:val="13"/>
        <w:tblW w:w="4969" w:type="pct"/>
        <w:jc w:val="center"/>
        <w:tblLayout w:type="fixed"/>
        <w:tblCellMar>
          <w:top w:w="0" w:type="dxa"/>
          <w:left w:w="108" w:type="dxa"/>
          <w:bottom w:w="0" w:type="dxa"/>
          <w:right w:w="108" w:type="dxa"/>
        </w:tblCellMar>
      </w:tblPr>
      <w:tblGrid>
        <w:gridCol w:w="1834"/>
        <w:gridCol w:w="2874"/>
        <w:gridCol w:w="2054"/>
        <w:gridCol w:w="1729"/>
        <w:gridCol w:w="1558"/>
        <w:gridCol w:w="1465"/>
        <w:gridCol w:w="1281"/>
        <w:gridCol w:w="1338"/>
      </w:tblGrid>
      <w:tr w14:paraId="1F3F3FB7">
        <w:tblPrEx>
          <w:tblCellMar>
            <w:top w:w="0" w:type="dxa"/>
            <w:left w:w="108" w:type="dxa"/>
            <w:bottom w:w="0" w:type="dxa"/>
            <w:right w:w="108" w:type="dxa"/>
          </w:tblCellMar>
        </w:tblPrEx>
        <w:trPr>
          <w:trHeight w:val="595" w:hRule="atLeast"/>
          <w:jc w:val="center"/>
        </w:trPr>
        <w:tc>
          <w:tcPr>
            <w:tcW w:w="1665" w:type="pct"/>
            <w:gridSpan w:val="2"/>
            <w:tcBorders>
              <w:top w:val="single" w:color="auto" w:sz="4" w:space="0"/>
              <w:left w:val="single" w:color="auto" w:sz="4" w:space="0"/>
              <w:bottom w:val="single" w:color="auto" w:sz="4" w:space="0"/>
              <w:right w:val="single" w:color="auto" w:sz="4" w:space="0"/>
            </w:tcBorders>
            <w:shd w:val="clear" w:color="000000" w:fill="FFFFFF"/>
            <w:vAlign w:val="center"/>
          </w:tcPr>
          <w:p w14:paraId="5114A451">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项    目</w:t>
            </w:r>
          </w:p>
        </w:tc>
        <w:tc>
          <w:tcPr>
            <w:tcW w:w="726"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4B9AAE4D">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本年支出合计</w:t>
            </w:r>
          </w:p>
        </w:tc>
        <w:tc>
          <w:tcPr>
            <w:tcW w:w="611"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7A952B49">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基本支出</w:t>
            </w:r>
          </w:p>
        </w:tc>
        <w:tc>
          <w:tcPr>
            <w:tcW w:w="551"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76F010FD">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项目支出</w:t>
            </w:r>
          </w:p>
        </w:tc>
        <w:tc>
          <w:tcPr>
            <w:tcW w:w="518"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16BDDCB2">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上缴上级支出</w:t>
            </w:r>
          </w:p>
        </w:tc>
        <w:tc>
          <w:tcPr>
            <w:tcW w:w="453"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3735664E">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经营支出</w:t>
            </w:r>
          </w:p>
        </w:tc>
        <w:tc>
          <w:tcPr>
            <w:tcW w:w="473"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31F4669D">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对附属单位补助支出</w:t>
            </w:r>
          </w:p>
        </w:tc>
      </w:tr>
      <w:tr w14:paraId="220244AA">
        <w:tblPrEx>
          <w:tblCellMar>
            <w:top w:w="0" w:type="dxa"/>
            <w:left w:w="108" w:type="dxa"/>
            <w:bottom w:w="0" w:type="dxa"/>
            <w:right w:w="108" w:type="dxa"/>
          </w:tblCellMar>
        </w:tblPrEx>
        <w:trPr>
          <w:trHeight w:val="312" w:hRule="exact"/>
          <w:jc w:val="center"/>
        </w:trPr>
        <w:tc>
          <w:tcPr>
            <w:tcW w:w="648"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058F81D3">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功能分类科目编码</w:t>
            </w:r>
          </w:p>
        </w:tc>
        <w:tc>
          <w:tcPr>
            <w:tcW w:w="1016" w:type="pct"/>
            <w:vMerge w:val="restart"/>
            <w:tcBorders>
              <w:top w:val="nil"/>
              <w:left w:val="single" w:color="auto" w:sz="4" w:space="0"/>
              <w:bottom w:val="single" w:color="auto" w:sz="4" w:space="0"/>
              <w:right w:val="single" w:color="auto" w:sz="4" w:space="0"/>
            </w:tcBorders>
            <w:shd w:val="clear" w:color="000000" w:fill="FFFFFF"/>
            <w:vAlign w:val="center"/>
          </w:tcPr>
          <w:p w14:paraId="7581935C">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科目名称</w:t>
            </w:r>
          </w:p>
        </w:tc>
        <w:tc>
          <w:tcPr>
            <w:tcW w:w="726" w:type="pct"/>
            <w:vMerge w:val="continue"/>
            <w:tcBorders>
              <w:top w:val="single" w:color="auto" w:sz="4" w:space="0"/>
              <w:left w:val="single" w:color="auto" w:sz="4" w:space="0"/>
              <w:bottom w:val="single" w:color="auto" w:sz="4" w:space="0"/>
              <w:right w:val="single" w:color="auto" w:sz="4" w:space="0"/>
            </w:tcBorders>
            <w:vAlign w:val="center"/>
          </w:tcPr>
          <w:p w14:paraId="4550E3A6">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ascii="Times New Roman" w:hAnsi="Times New Roman" w:eastAsia="仿宋_GB2312" w:cs="Times New Roman"/>
                <w:b/>
                <w:bCs/>
                <w:kern w:val="0"/>
                <w:sz w:val="24"/>
                <w:szCs w:val="24"/>
              </w:rPr>
            </w:pPr>
          </w:p>
        </w:tc>
        <w:tc>
          <w:tcPr>
            <w:tcW w:w="611" w:type="pct"/>
            <w:vMerge w:val="continue"/>
            <w:tcBorders>
              <w:top w:val="single" w:color="auto" w:sz="4" w:space="0"/>
              <w:left w:val="single" w:color="auto" w:sz="4" w:space="0"/>
              <w:bottom w:val="single" w:color="auto" w:sz="4" w:space="0"/>
              <w:right w:val="single" w:color="auto" w:sz="4" w:space="0"/>
            </w:tcBorders>
            <w:vAlign w:val="center"/>
          </w:tcPr>
          <w:p w14:paraId="1F85EB08">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ascii="Times New Roman" w:hAnsi="Times New Roman" w:eastAsia="仿宋_GB2312" w:cs="Times New Roman"/>
                <w:b/>
                <w:bCs/>
                <w:kern w:val="0"/>
                <w:sz w:val="24"/>
                <w:szCs w:val="24"/>
              </w:rPr>
            </w:pPr>
          </w:p>
        </w:tc>
        <w:tc>
          <w:tcPr>
            <w:tcW w:w="551" w:type="pct"/>
            <w:vMerge w:val="continue"/>
            <w:tcBorders>
              <w:top w:val="single" w:color="auto" w:sz="4" w:space="0"/>
              <w:left w:val="single" w:color="auto" w:sz="4" w:space="0"/>
              <w:bottom w:val="single" w:color="auto" w:sz="4" w:space="0"/>
              <w:right w:val="single" w:color="auto" w:sz="4" w:space="0"/>
            </w:tcBorders>
            <w:vAlign w:val="center"/>
          </w:tcPr>
          <w:p w14:paraId="73AEFD96">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ascii="Times New Roman" w:hAnsi="Times New Roman" w:eastAsia="仿宋_GB2312" w:cs="Times New Roman"/>
                <w:b/>
                <w:bCs/>
                <w:kern w:val="0"/>
                <w:sz w:val="24"/>
                <w:szCs w:val="24"/>
              </w:rPr>
            </w:pPr>
          </w:p>
        </w:tc>
        <w:tc>
          <w:tcPr>
            <w:tcW w:w="518" w:type="pct"/>
            <w:vMerge w:val="continue"/>
            <w:tcBorders>
              <w:top w:val="single" w:color="auto" w:sz="4" w:space="0"/>
              <w:left w:val="single" w:color="auto" w:sz="4" w:space="0"/>
              <w:bottom w:val="single" w:color="auto" w:sz="4" w:space="0"/>
              <w:right w:val="single" w:color="auto" w:sz="4" w:space="0"/>
            </w:tcBorders>
            <w:vAlign w:val="center"/>
          </w:tcPr>
          <w:p w14:paraId="0CF797C4">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ascii="Times New Roman" w:hAnsi="Times New Roman" w:eastAsia="仿宋_GB2312" w:cs="Times New Roman"/>
                <w:b/>
                <w:bCs/>
                <w:kern w:val="0"/>
                <w:sz w:val="24"/>
                <w:szCs w:val="24"/>
              </w:rPr>
            </w:pPr>
          </w:p>
        </w:tc>
        <w:tc>
          <w:tcPr>
            <w:tcW w:w="453" w:type="pct"/>
            <w:vMerge w:val="continue"/>
            <w:tcBorders>
              <w:top w:val="single" w:color="auto" w:sz="4" w:space="0"/>
              <w:left w:val="single" w:color="auto" w:sz="4" w:space="0"/>
              <w:bottom w:val="single" w:color="auto" w:sz="4" w:space="0"/>
              <w:right w:val="single" w:color="auto" w:sz="4" w:space="0"/>
            </w:tcBorders>
            <w:vAlign w:val="center"/>
          </w:tcPr>
          <w:p w14:paraId="4270EF98">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ascii="Times New Roman" w:hAnsi="Times New Roman" w:eastAsia="仿宋_GB2312" w:cs="Times New Roman"/>
                <w:b/>
                <w:bCs/>
                <w:kern w:val="0"/>
                <w:sz w:val="24"/>
                <w:szCs w:val="24"/>
              </w:rPr>
            </w:pPr>
          </w:p>
        </w:tc>
        <w:tc>
          <w:tcPr>
            <w:tcW w:w="473" w:type="pct"/>
            <w:vMerge w:val="continue"/>
            <w:tcBorders>
              <w:top w:val="single" w:color="auto" w:sz="4" w:space="0"/>
              <w:left w:val="single" w:color="auto" w:sz="4" w:space="0"/>
              <w:bottom w:val="single" w:color="auto" w:sz="4" w:space="0"/>
              <w:right w:val="single" w:color="auto" w:sz="4" w:space="0"/>
            </w:tcBorders>
            <w:vAlign w:val="center"/>
          </w:tcPr>
          <w:p w14:paraId="556923E5">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ascii="Times New Roman" w:hAnsi="Times New Roman" w:eastAsia="仿宋_GB2312" w:cs="Times New Roman"/>
                <w:b/>
                <w:bCs/>
                <w:kern w:val="0"/>
                <w:sz w:val="24"/>
                <w:szCs w:val="24"/>
              </w:rPr>
            </w:pPr>
          </w:p>
        </w:tc>
      </w:tr>
      <w:tr w14:paraId="2FDF01DD">
        <w:tblPrEx>
          <w:tblCellMar>
            <w:top w:w="0" w:type="dxa"/>
            <w:left w:w="108" w:type="dxa"/>
            <w:bottom w:w="0" w:type="dxa"/>
            <w:right w:w="108" w:type="dxa"/>
          </w:tblCellMar>
        </w:tblPrEx>
        <w:trPr>
          <w:trHeight w:val="595" w:hRule="atLeast"/>
          <w:jc w:val="center"/>
        </w:trPr>
        <w:tc>
          <w:tcPr>
            <w:tcW w:w="648" w:type="pct"/>
            <w:vMerge w:val="continue"/>
            <w:tcBorders>
              <w:top w:val="single" w:color="auto" w:sz="4" w:space="0"/>
              <w:left w:val="single" w:color="auto" w:sz="4" w:space="0"/>
              <w:bottom w:val="single" w:color="auto" w:sz="4" w:space="0"/>
              <w:right w:val="single" w:color="auto" w:sz="4" w:space="0"/>
            </w:tcBorders>
            <w:vAlign w:val="center"/>
          </w:tcPr>
          <w:p w14:paraId="0765AC5B">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ascii="Times New Roman" w:hAnsi="Times New Roman" w:eastAsia="仿宋_GB2312" w:cs="Times New Roman"/>
                <w:kern w:val="0"/>
                <w:sz w:val="24"/>
                <w:szCs w:val="24"/>
              </w:rPr>
            </w:pPr>
          </w:p>
        </w:tc>
        <w:tc>
          <w:tcPr>
            <w:tcW w:w="1016" w:type="pct"/>
            <w:vMerge w:val="continue"/>
            <w:tcBorders>
              <w:top w:val="nil"/>
              <w:left w:val="single" w:color="auto" w:sz="4" w:space="0"/>
              <w:bottom w:val="single" w:color="auto" w:sz="4" w:space="0"/>
              <w:right w:val="single" w:color="auto" w:sz="4" w:space="0"/>
            </w:tcBorders>
            <w:vAlign w:val="center"/>
          </w:tcPr>
          <w:p w14:paraId="6ACAC67D">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ascii="Times New Roman" w:hAnsi="Times New Roman" w:eastAsia="仿宋_GB2312" w:cs="Times New Roman"/>
                <w:kern w:val="0"/>
                <w:sz w:val="24"/>
                <w:szCs w:val="24"/>
              </w:rPr>
            </w:pPr>
          </w:p>
        </w:tc>
        <w:tc>
          <w:tcPr>
            <w:tcW w:w="726" w:type="pct"/>
            <w:vMerge w:val="continue"/>
            <w:tcBorders>
              <w:top w:val="single" w:color="auto" w:sz="4" w:space="0"/>
              <w:left w:val="single" w:color="auto" w:sz="4" w:space="0"/>
              <w:bottom w:val="single" w:color="auto" w:sz="4" w:space="0"/>
              <w:right w:val="single" w:color="auto" w:sz="4" w:space="0"/>
            </w:tcBorders>
            <w:vAlign w:val="center"/>
          </w:tcPr>
          <w:p w14:paraId="5E5758C9">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ascii="Times New Roman" w:hAnsi="Times New Roman" w:eastAsia="仿宋_GB2312" w:cs="Times New Roman"/>
                <w:kern w:val="0"/>
                <w:sz w:val="24"/>
                <w:szCs w:val="24"/>
              </w:rPr>
            </w:pPr>
          </w:p>
        </w:tc>
        <w:tc>
          <w:tcPr>
            <w:tcW w:w="611" w:type="pct"/>
            <w:vMerge w:val="continue"/>
            <w:tcBorders>
              <w:top w:val="single" w:color="auto" w:sz="4" w:space="0"/>
              <w:left w:val="single" w:color="auto" w:sz="4" w:space="0"/>
              <w:bottom w:val="single" w:color="auto" w:sz="4" w:space="0"/>
              <w:right w:val="single" w:color="auto" w:sz="4" w:space="0"/>
            </w:tcBorders>
            <w:vAlign w:val="center"/>
          </w:tcPr>
          <w:p w14:paraId="37CB15E2">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ascii="Times New Roman" w:hAnsi="Times New Roman" w:eastAsia="仿宋_GB2312" w:cs="Times New Roman"/>
                <w:kern w:val="0"/>
                <w:sz w:val="24"/>
                <w:szCs w:val="24"/>
              </w:rPr>
            </w:pPr>
          </w:p>
        </w:tc>
        <w:tc>
          <w:tcPr>
            <w:tcW w:w="551" w:type="pct"/>
            <w:vMerge w:val="continue"/>
            <w:tcBorders>
              <w:top w:val="single" w:color="auto" w:sz="4" w:space="0"/>
              <w:left w:val="single" w:color="auto" w:sz="4" w:space="0"/>
              <w:bottom w:val="single" w:color="auto" w:sz="4" w:space="0"/>
              <w:right w:val="single" w:color="auto" w:sz="4" w:space="0"/>
            </w:tcBorders>
            <w:vAlign w:val="center"/>
          </w:tcPr>
          <w:p w14:paraId="1A15AB82">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ascii="Times New Roman" w:hAnsi="Times New Roman" w:eastAsia="仿宋_GB2312" w:cs="Times New Roman"/>
                <w:kern w:val="0"/>
                <w:sz w:val="24"/>
                <w:szCs w:val="24"/>
              </w:rPr>
            </w:pPr>
          </w:p>
        </w:tc>
        <w:tc>
          <w:tcPr>
            <w:tcW w:w="518" w:type="pct"/>
            <w:vMerge w:val="continue"/>
            <w:tcBorders>
              <w:top w:val="single" w:color="auto" w:sz="4" w:space="0"/>
              <w:left w:val="single" w:color="auto" w:sz="4" w:space="0"/>
              <w:bottom w:val="single" w:color="auto" w:sz="4" w:space="0"/>
              <w:right w:val="single" w:color="auto" w:sz="4" w:space="0"/>
            </w:tcBorders>
            <w:vAlign w:val="center"/>
          </w:tcPr>
          <w:p w14:paraId="51CFD47F">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ascii="Times New Roman" w:hAnsi="Times New Roman" w:eastAsia="仿宋_GB2312" w:cs="Times New Roman"/>
                <w:kern w:val="0"/>
                <w:sz w:val="24"/>
                <w:szCs w:val="24"/>
              </w:rPr>
            </w:pPr>
          </w:p>
        </w:tc>
        <w:tc>
          <w:tcPr>
            <w:tcW w:w="453" w:type="pct"/>
            <w:vMerge w:val="continue"/>
            <w:tcBorders>
              <w:top w:val="single" w:color="auto" w:sz="4" w:space="0"/>
              <w:left w:val="single" w:color="auto" w:sz="4" w:space="0"/>
              <w:bottom w:val="single" w:color="auto" w:sz="4" w:space="0"/>
              <w:right w:val="single" w:color="auto" w:sz="4" w:space="0"/>
            </w:tcBorders>
            <w:vAlign w:val="center"/>
          </w:tcPr>
          <w:p w14:paraId="762BD98F">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ascii="Times New Roman" w:hAnsi="Times New Roman" w:eastAsia="仿宋_GB2312" w:cs="Times New Roman"/>
                <w:kern w:val="0"/>
                <w:sz w:val="24"/>
                <w:szCs w:val="24"/>
              </w:rPr>
            </w:pPr>
          </w:p>
        </w:tc>
        <w:tc>
          <w:tcPr>
            <w:tcW w:w="473" w:type="pct"/>
            <w:vMerge w:val="continue"/>
            <w:tcBorders>
              <w:top w:val="single" w:color="auto" w:sz="4" w:space="0"/>
              <w:left w:val="single" w:color="auto" w:sz="4" w:space="0"/>
              <w:bottom w:val="single" w:color="auto" w:sz="4" w:space="0"/>
              <w:right w:val="single" w:color="auto" w:sz="4" w:space="0"/>
            </w:tcBorders>
            <w:vAlign w:val="center"/>
          </w:tcPr>
          <w:p w14:paraId="4A329752">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ascii="Times New Roman" w:hAnsi="Times New Roman" w:eastAsia="仿宋_GB2312" w:cs="Times New Roman"/>
                <w:kern w:val="0"/>
                <w:sz w:val="24"/>
                <w:szCs w:val="24"/>
              </w:rPr>
            </w:pPr>
          </w:p>
        </w:tc>
      </w:tr>
      <w:tr w14:paraId="76EE3D80">
        <w:tblPrEx>
          <w:tblCellMar>
            <w:top w:w="0" w:type="dxa"/>
            <w:left w:w="108" w:type="dxa"/>
            <w:bottom w:w="0" w:type="dxa"/>
            <w:right w:w="108" w:type="dxa"/>
          </w:tblCellMar>
        </w:tblPrEx>
        <w:trPr>
          <w:trHeight w:val="595" w:hRule="atLeast"/>
          <w:jc w:val="center"/>
        </w:trPr>
        <w:tc>
          <w:tcPr>
            <w:tcW w:w="1665" w:type="pct"/>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62C626EC">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栏次</w:t>
            </w:r>
          </w:p>
        </w:tc>
        <w:tc>
          <w:tcPr>
            <w:tcW w:w="726" w:type="pct"/>
            <w:tcBorders>
              <w:top w:val="nil"/>
              <w:left w:val="nil"/>
              <w:bottom w:val="single" w:color="auto" w:sz="4" w:space="0"/>
              <w:right w:val="single" w:color="auto" w:sz="4" w:space="0"/>
            </w:tcBorders>
            <w:shd w:val="clear" w:color="000000" w:fill="FFFFFF"/>
            <w:noWrap/>
            <w:vAlign w:val="center"/>
          </w:tcPr>
          <w:p w14:paraId="60BB0B41">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1</w:t>
            </w:r>
          </w:p>
        </w:tc>
        <w:tc>
          <w:tcPr>
            <w:tcW w:w="611" w:type="pct"/>
            <w:tcBorders>
              <w:top w:val="nil"/>
              <w:left w:val="nil"/>
              <w:bottom w:val="single" w:color="auto" w:sz="4" w:space="0"/>
              <w:right w:val="single" w:color="auto" w:sz="4" w:space="0"/>
            </w:tcBorders>
            <w:shd w:val="clear" w:color="000000" w:fill="FFFFFF"/>
            <w:noWrap/>
            <w:vAlign w:val="center"/>
          </w:tcPr>
          <w:p w14:paraId="620334FF">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2</w:t>
            </w:r>
          </w:p>
        </w:tc>
        <w:tc>
          <w:tcPr>
            <w:tcW w:w="551" w:type="pct"/>
            <w:tcBorders>
              <w:top w:val="nil"/>
              <w:left w:val="nil"/>
              <w:bottom w:val="single" w:color="auto" w:sz="4" w:space="0"/>
              <w:right w:val="single" w:color="auto" w:sz="4" w:space="0"/>
            </w:tcBorders>
            <w:shd w:val="clear" w:color="000000" w:fill="FFFFFF"/>
            <w:noWrap/>
            <w:vAlign w:val="center"/>
          </w:tcPr>
          <w:p w14:paraId="54650742">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3</w:t>
            </w:r>
          </w:p>
        </w:tc>
        <w:tc>
          <w:tcPr>
            <w:tcW w:w="518" w:type="pct"/>
            <w:tcBorders>
              <w:top w:val="nil"/>
              <w:left w:val="nil"/>
              <w:bottom w:val="single" w:color="auto" w:sz="4" w:space="0"/>
              <w:right w:val="single" w:color="auto" w:sz="4" w:space="0"/>
            </w:tcBorders>
            <w:shd w:val="clear" w:color="000000" w:fill="FFFFFF"/>
            <w:noWrap/>
            <w:vAlign w:val="center"/>
          </w:tcPr>
          <w:p w14:paraId="4F2D694B">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4</w:t>
            </w:r>
          </w:p>
        </w:tc>
        <w:tc>
          <w:tcPr>
            <w:tcW w:w="453" w:type="pct"/>
            <w:tcBorders>
              <w:top w:val="nil"/>
              <w:left w:val="nil"/>
              <w:bottom w:val="single" w:color="auto" w:sz="4" w:space="0"/>
              <w:right w:val="single" w:color="auto" w:sz="4" w:space="0"/>
            </w:tcBorders>
            <w:shd w:val="clear" w:color="000000" w:fill="FFFFFF"/>
            <w:noWrap/>
            <w:vAlign w:val="center"/>
          </w:tcPr>
          <w:p w14:paraId="5D3DB34F">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5</w:t>
            </w:r>
          </w:p>
        </w:tc>
        <w:tc>
          <w:tcPr>
            <w:tcW w:w="473" w:type="pct"/>
            <w:tcBorders>
              <w:top w:val="nil"/>
              <w:left w:val="nil"/>
              <w:bottom w:val="single" w:color="auto" w:sz="4" w:space="0"/>
              <w:right w:val="single" w:color="auto" w:sz="4" w:space="0"/>
            </w:tcBorders>
            <w:shd w:val="clear" w:color="000000" w:fill="FFFFFF"/>
            <w:noWrap/>
            <w:vAlign w:val="center"/>
          </w:tcPr>
          <w:p w14:paraId="5912166A">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6</w:t>
            </w:r>
          </w:p>
        </w:tc>
      </w:tr>
      <w:tr w14:paraId="502ADECC">
        <w:tblPrEx>
          <w:tblCellMar>
            <w:top w:w="0" w:type="dxa"/>
            <w:left w:w="108" w:type="dxa"/>
            <w:bottom w:w="0" w:type="dxa"/>
            <w:right w:w="108" w:type="dxa"/>
          </w:tblCellMar>
        </w:tblPrEx>
        <w:trPr>
          <w:trHeight w:val="595" w:hRule="atLeast"/>
          <w:jc w:val="center"/>
        </w:trPr>
        <w:tc>
          <w:tcPr>
            <w:tcW w:w="1665" w:type="pct"/>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77DB5F11">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合计</w:t>
            </w:r>
          </w:p>
        </w:tc>
        <w:tc>
          <w:tcPr>
            <w:tcW w:w="726" w:type="pct"/>
            <w:tcBorders>
              <w:top w:val="nil"/>
              <w:left w:val="nil"/>
              <w:bottom w:val="single" w:color="auto" w:sz="4" w:space="0"/>
              <w:right w:val="single" w:color="auto" w:sz="4" w:space="0"/>
            </w:tcBorders>
            <w:shd w:val="clear" w:color="auto" w:fill="auto"/>
            <w:noWrap/>
            <w:vAlign w:val="center"/>
          </w:tcPr>
          <w:p w14:paraId="5D4F4DC4">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3540.73</w:t>
            </w:r>
          </w:p>
        </w:tc>
        <w:tc>
          <w:tcPr>
            <w:tcW w:w="611" w:type="pct"/>
            <w:tcBorders>
              <w:top w:val="nil"/>
              <w:left w:val="nil"/>
              <w:bottom w:val="single" w:color="auto" w:sz="4" w:space="0"/>
              <w:right w:val="single" w:color="auto" w:sz="4" w:space="0"/>
            </w:tcBorders>
            <w:shd w:val="clear" w:color="auto" w:fill="auto"/>
            <w:noWrap/>
            <w:vAlign w:val="center"/>
          </w:tcPr>
          <w:p w14:paraId="01F60474">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74.53</w:t>
            </w:r>
          </w:p>
        </w:tc>
        <w:tc>
          <w:tcPr>
            <w:tcW w:w="551" w:type="pct"/>
            <w:tcBorders>
              <w:top w:val="nil"/>
              <w:left w:val="nil"/>
              <w:bottom w:val="single" w:color="auto" w:sz="4" w:space="0"/>
              <w:right w:val="single" w:color="auto" w:sz="4" w:space="0"/>
            </w:tcBorders>
            <w:shd w:val="clear" w:color="auto" w:fill="auto"/>
            <w:noWrap/>
            <w:vAlign w:val="center"/>
          </w:tcPr>
          <w:p w14:paraId="2C53CA4B">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Times New Roman" w:hAnsi="Times New Roman" w:eastAsia="仿宋_GB2312" w:cs="Times New Roman"/>
                <w:kern w:val="0"/>
                <w:sz w:val="24"/>
                <w:szCs w:val="24"/>
                <w:lang w:val="en-US"/>
              </w:rPr>
            </w:pPr>
            <w:r>
              <w:rPr>
                <w:rFonts w:hint="eastAsia" w:ascii="Times New Roman" w:hAnsi="Times New Roman" w:eastAsia="仿宋_GB2312" w:cs="Times New Roman"/>
                <w:kern w:val="0"/>
                <w:sz w:val="24"/>
                <w:szCs w:val="24"/>
                <w:lang w:val="en-US" w:eastAsia="zh-CN"/>
              </w:rPr>
              <w:t>3466.20</w:t>
            </w:r>
          </w:p>
        </w:tc>
        <w:tc>
          <w:tcPr>
            <w:tcW w:w="518" w:type="pct"/>
            <w:tcBorders>
              <w:top w:val="nil"/>
              <w:left w:val="nil"/>
              <w:bottom w:val="single" w:color="auto" w:sz="4" w:space="0"/>
              <w:right w:val="single" w:color="auto" w:sz="4" w:space="0"/>
            </w:tcBorders>
            <w:shd w:val="clear" w:color="auto" w:fill="auto"/>
            <w:noWrap/>
            <w:vAlign w:val="center"/>
          </w:tcPr>
          <w:p w14:paraId="1670768F">
            <w:pPr>
              <w:keepNext w:val="0"/>
              <w:keepLines w:val="0"/>
              <w:pageBreakBefore w:val="0"/>
              <w:widowControl/>
              <w:kinsoku/>
              <w:wordWrap/>
              <w:overflowPunct/>
              <w:topLinePunct w:val="0"/>
              <w:autoSpaceDE/>
              <w:autoSpaceDN/>
              <w:bidi w:val="0"/>
              <w:adjustRightInd/>
              <w:snapToGrid/>
              <w:spacing w:line="280" w:lineRule="exact"/>
              <w:jc w:val="right"/>
              <w:textAlignment w:val="auto"/>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53" w:type="pct"/>
            <w:tcBorders>
              <w:top w:val="nil"/>
              <w:left w:val="nil"/>
              <w:bottom w:val="single" w:color="auto" w:sz="4" w:space="0"/>
              <w:right w:val="single" w:color="auto" w:sz="4" w:space="0"/>
            </w:tcBorders>
            <w:shd w:val="clear" w:color="auto" w:fill="auto"/>
            <w:noWrap/>
            <w:vAlign w:val="center"/>
          </w:tcPr>
          <w:p w14:paraId="1064EDE3">
            <w:pPr>
              <w:keepNext w:val="0"/>
              <w:keepLines w:val="0"/>
              <w:pageBreakBefore w:val="0"/>
              <w:widowControl/>
              <w:kinsoku/>
              <w:wordWrap/>
              <w:overflowPunct/>
              <w:topLinePunct w:val="0"/>
              <w:autoSpaceDE/>
              <w:autoSpaceDN/>
              <w:bidi w:val="0"/>
              <w:adjustRightInd/>
              <w:snapToGrid/>
              <w:spacing w:line="280" w:lineRule="exact"/>
              <w:jc w:val="right"/>
              <w:textAlignment w:val="auto"/>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73" w:type="pct"/>
            <w:tcBorders>
              <w:top w:val="nil"/>
              <w:left w:val="nil"/>
              <w:bottom w:val="single" w:color="auto" w:sz="4" w:space="0"/>
              <w:right w:val="single" w:color="auto" w:sz="4" w:space="0"/>
            </w:tcBorders>
            <w:shd w:val="clear" w:color="auto" w:fill="auto"/>
            <w:noWrap/>
            <w:vAlign w:val="center"/>
          </w:tcPr>
          <w:p w14:paraId="01EE0539">
            <w:pPr>
              <w:keepNext w:val="0"/>
              <w:keepLines w:val="0"/>
              <w:pageBreakBefore w:val="0"/>
              <w:widowControl/>
              <w:kinsoku/>
              <w:wordWrap/>
              <w:overflowPunct/>
              <w:topLinePunct w:val="0"/>
              <w:autoSpaceDE/>
              <w:autoSpaceDN/>
              <w:bidi w:val="0"/>
              <w:adjustRightInd/>
              <w:snapToGrid/>
              <w:spacing w:line="280" w:lineRule="exact"/>
              <w:jc w:val="right"/>
              <w:textAlignment w:val="auto"/>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590A0704">
        <w:tblPrEx>
          <w:tblCellMar>
            <w:top w:w="0" w:type="dxa"/>
            <w:left w:w="108" w:type="dxa"/>
            <w:bottom w:w="0" w:type="dxa"/>
            <w:right w:w="108" w:type="dxa"/>
          </w:tblCellMar>
        </w:tblPrEx>
        <w:trPr>
          <w:trHeight w:val="595" w:hRule="atLeast"/>
          <w:jc w:val="center"/>
        </w:trPr>
        <w:tc>
          <w:tcPr>
            <w:tcW w:w="648"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795012AD">
            <w:pPr>
              <w:keepNext w:val="0"/>
              <w:keepLines w:val="0"/>
              <w:pageBreakBefore w:val="0"/>
              <w:kinsoku/>
              <w:wordWrap/>
              <w:overflowPunct/>
              <w:topLinePunct w:val="0"/>
              <w:autoSpaceDE/>
              <w:autoSpaceDN/>
              <w:bidi w:val="0"/>
              <w:adjustRightInd/>
              <w:snapToGrid/>
              <w:spacing w:line="280" w:lineRule="exact"/>
              <w:jc w:val="left"/>
              <w:textAlignment w:val="auto"/>
              <w:rPr>
                <w:rFonts w:hint="eastAsia" w:ascii="仿宋_GB2312" w:hAnsi="仿宋_GB2312" w:eastAsia="仿宋_GB2312" w:cs="仿宋_GB2312"/>
                <w:kern w:val="2"/>
                <w:sz w:val="24"/>
                <w:szCs w:val="24"/>
                <w:lang w:val="en-US" w:eastAsia="zh-CN" w:bidi="ar-SA"/>
              </w:rPr>
            </w:pPr>
            <w:r>
              <w:rPr>
                <w:rFonts w:hint="eastAsia" w:ascii="仿宋_GB2312" w:hAnsi="仿宋_GB2312" w:eastAsia="仿宋_GB2312" w:cs="仿宋_GB2312"/>
              </w:rPr>
              <w:t>208</w:t>
            </w:r>
          </w:p>
        </w:tc>
        <w:tc>
          <w:tcPr>
            <w:tcW w:w="1016"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64E11F0D">
            <w:pPr>
              <w:keepNext w:val="0"/>
              <w:keepLines w:val="0"/>
              <w:pageBreakBefore w:val="0"/>
              <w:kinsoku/>
              <w:wordWrap/>
              <w:overflowPunct/>
              <w:topLinePunct w:val="0"/>
              <w:autoSpaceDE/>
              <w:autoSpaceDN/>
              <w:bidi w:val="0"/>
              <w:adjustRightInd/>
              <w:snapToGrid/>
              <w:spacing w:line="280" w:lineRule="exact"/>
              <w:textAlignment w:val="auto"/>
              <w:rPr>
                <w:rFonts w:hint="eastAsia" w:ascii="仿宋_GB2312" w:hAnsi="仿宋_GB2312" w:eastAsia="仿宋_GB2312" w:cs="仿宋_GB2312"/>
                <w:kern w:val="2"/>
                <w:sz w:val="24"/>
                <w:szCs w:val="24"/>
                <w:lang w:val="en-US" w:eastAsia="zh-CN" w:bidi="ar-SA"/>
              </w:rPr>
            </w:pPr>
            <w:r>
              <w:rPr>
                <w:rFonts w:hint="eastAsia" w:ascii="仿宋_GB2312" w:hAnsi="仿宋_GB2312" w:eastAsia="仿宋_GB2312" w:cs="仿宋_GB2312"/>
              </w:rPr>
              <w:t>社会保障和就业支出</w:t>
            </w:r>
          </w:p>
        </w:tc>
        <w:tc>
          <w:tcPr>
            <w:tcW w:w="726" w:type="pct"/>
            <w:tcBorders>
              <w:top w:val="nil"/>
              <w:left w:val="single" w:color="auto" w:sz="4" w:space="0"/>
              <w:bottom w:val="single" w:color="auto" w:sz="4" w:space="0"/>
              <w:right w:val="single" w:color="auto" w:sz="4" w:space="0"/>
            </w:tcBorders>
            <w:shd w:val="clear" w:color="auto" w:fill="auto"/>
            <w:noWrap/>
            <w:vAlign w:val="center"/>
          </w:tcPr>
          <w:p w14:paraId="3BBF7DCC">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6.54</w:t>
            </w:r>
          </w:p>
        </w:tc>
        <w:tc>
          <w:tcPr>
            <w:tcW w:w="611" w:type="pct"/>
            <w:tcBorders>
              <w:top w:val="nil"/>
              <w:left w:val="nil"/>
              <w:bottom w:val="single" w:color="auto" w:sz="4" w:space="0"/>
              <w:right w:val="single" w:color="auto" w:sz="4" w:space="0"/>
            </w:tcBorders>
            <w:shd w:val="clear" w:color="auto" w:fill="auto"/>
            <w:noWrap/>
            <w:vAlign w:val="center"/>
          </w:tcPr>
          <w:p w14:paraId="2E4F1A27">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6.54</w:t>
            </w:r>
          </w:p>
        </w:tc>
        <w:tc>
          <w:tcPr>
            <w:tcW w:w="551" w:type="pct"/>
            <w:tcBorders>
              <w:top w:val="nil"/>
              <w:left w:val="nil"/>
              <w:bottom w:val="single" w:color="auto" w:sz="4" w:space="0"/>
              <w:right w:val="single" w:color="auto" w:sz="4" w:space="0"/>
            </w:tcBorders>
            <w:shd w:val="clear" w:color="auto" w:fill="auto"/>
            <w:noWrap/>
            <w:vAlign w:val="center"/>
          </w:tcPr>
          <w:p w14:paraId="7685390C">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ascii="Times New Roman" w:hAnsi="Times New Roman" w:eastAsia="仿宋_GB2312" w:cs="Times New Roman"/>
                <w:kern w:val="0"/>
                <w:sz w:val="24"/>
                <w:szCs w:val="24"/>
              </w:rPr>
            </w:pPr>
          </w:p>
        </w:tc>
        <w:tc>
          <w:tcPr>
            <w:tcW w:w="518" w:type="pct"/>
            <w:tcBorders>
              <w:top w:val="nil"/>
              <w:left w:val="nil"/>
              <w:bottom w:val="single" w:color="auto" w:sz="4" w:space="0"/>
              <w:right w:val="single" w:color="auto" w:sz="4" w:space="0"/>
            </w:tcBorders>
            <w:shd w:val="clear" w:color="auto" w:fill="auto"/>
            <w:noWrap/>
            <w:vAlign w:val="center"/>
          </w:tcPr>
          <w:p w14:paraId="13765A83">
            <w:pPr>
              <w:keepNext w:val="0"/>
              <w:keepLines w:val="0"/>
              <w:pageBreakBefore w:val="0"/>
              <w:widowControl/>
              <w:kinsoku/>
              <w:wordWrap/>
              <w:overflowPunct/>
              <w:topLinePunct w:val="0"/>
              <w:autoSpaceDE/>
              <w:autoSpaceDN/>
              <w:bidi w:val="0"/>
              <w:adjustRightInd/>
              <w:snapToGrid/>
              <w:spacing w:line="280" w:lineRule="exact"/>
              <w:jc w:val="right"/>
              <w:textAlignment w:val="auto"/>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53" w:type="pct"/>
            <w:tcBorders>
              <w:top w:val="nil"/>
              <w:left w:val="nil"/>
              <w:bottom w:val="single" w:color="auto" w:sz="4" w:space="0"/>
              <w:right w:val="single" w:color="auto" w:sz="4" w:space="0"/>
            </w:tcBorders>
            <w:shd w:val="clear" w:color="auto" w:fill="auto"/>
            <w:noWrap/>
            <w:vAlign w:val="center"/>
          </w:tcPr>
          <w:p w14:paraId="0C124C49">
            <w:pPr>
              <w:keepNext w:val="0"/>
              <w:keepLines w:val="0"/>
              <w:pageBreakBefore w:val="0"/>
              <w:widowControl/>
              <w:kinsoku/>
              <w:wordWrap/>
              <w:overflowPunct/>
              <w:topLinePunct w:val="0"/>
              <w:autoSpaceDE/>
              <w:autoSpaceDN/>
              <w:bidi w:val="0"/>
              <w:adjustRightInd/>
              <w:snapToGrid/>
              <w:spacing w:line="280" w:lineRule="exact"/>
              <w:jc w:val="right"/>
              <w:textAlignment w:val="auto"/>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73" w:type="pct"/>
            <w:tcBorders>
              <w:top w:val="nil"/>
              <w:left w:val="nil"/>
              <w:bottom w:val="single" w:color="auto" w:sz="4" w:space="0"/>
              <w:right w:val="single" w:color="auto" w:sz="4" w:space="0"/>
            </w:tcBorders>
            <w:shd w:val="clear" w:color="auto" w:fill="auto"/>
            <w:noWrap/>
            <w:vAlign w:val="center"/>
          </w:tcPr>
          <w:p w14:paraId="653DE08A">
            <w:pPr>
              <w:keepNext w:val="0"/>
              <w:keepLines w:val="0"/>
              <w:pageBreakBefore w:val="0"/>
              <w:widowControl/>
              <w:kinsoku/>
              <w:wordWrap/>
              <w:overflowPunct/>
              <w:topLinePunct w:val="0"/>
              <w:autoSpaceDE/>
              <w:autoSpaceDN/>
              <w:bidi w:val="0"/>
              <w:adjustRightInd/>
              <w:snapToGrid/>
              <w:spacing w:line="280" w:lineRule="exact"/>
              <w:jc w:val="right"/>
              <w:textAlignment w:val="auto"/>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6CEB93C8">
        <w:tblPrEx>
          <w:tblCellMar>
            <w:top w:w="0" w:type="dxa"/>
            <w:left w:w="108" w:type="dxa"/>
            <w:bottom w:w="0" w:type="dxa"/>
            <w:right w:w="108" w:type="dxa"/>
          </w:tblCellMar>
        </w:tblPrEx>
        <w:trPr>
          <w:trHeight w:val="595" w:hRule="atLeast"/>
          <w:jc w:val="center"/>
        </w:trPr>
        <w:tc>
          <w:tcPr>
            <w:tcW w:w="648"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2FD2229B">
            <w:pPr>
              <w:keepNext w:val="0"/>
              <w:keepLines w:val="0"/>
              <w:pageBreakBefore w:val="0"/>
              <w:kinsoku/>
              <w:wordWrap/>
              <w:overflowPunct/>
              <w:topLinePunct w:val="0"/>
              <w:autoSpaceDE/>
              <w:autoSpaceDN/>
              <w:bidi w:val="0"/>
              <w:adjustRightInd/>
              <w:snapToGrid/>
              <w:spacing w:line="280" w:lineRule="exact"/>
              <w:jc w:val="left"/>
              <w:textAlignment w:val="auto"/>
              <w:rPr>
                <w:rFonts w:hint="eastAsia" w:ascii="仿宋_GB2312" w:hAnsi="仿宋_GB2312" w:eastAsia="仿宋_GB2312" w:cs="仿宋_GB2312"/>
                <w:kern w:val="2"/>
                <w:sz w:val="21"/>
                <w:szCs w:val="22"/>
                <w:lang w:val="en-US" w:eastAsia="zh-CN" w:bidi="ar-SA"/>
              </w:rPr>
            </w:pPr>
            <w:r>
              <w:rPr>
                <w:rFonts w:hint="eastAsia" w:ascii="仿宋_GB2312" w:hAnsi="仿宋_GB2312" w:eastAsia="仿宋_GB2312" w:cs="仿宋_GB2312"/>
              </w:rPr>
              <w:t>20805</w:t>
            </w:r>
          </w:p>
        </w:tc>
        <w:tc>
          <w:tcPr>
            <w:tcW w:w="1016"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0D72D0D8">
            <w:pPr>
              <w:keepNext w:val="0"/>
              <w:keepLines w:val="0"/>
              <w:pageBreakBefore w:val="0"/>
              <w:kinsoku/>
              <w:wordWrap/>
              <w:overflowPunct/>
              <w:topLinePunct w:val="0"/>
              <w:autoSpaceDE/>
              <w:autoSpaceDN/>
              <w:bidi w:val="0"/>
              <w:adjustRightInd/>
              <w:snapToGrid/>
              <w:spacing w:line="280" w:lineRule="exact"/>
              <w:textAlignment w:val="auto"/>
              <w:rPr>
                <w:rFonts w:hint="eastAsia" w:ascii="仿宋_GB2312" w:hAnsi="仿宋_GB2312" w:eastAsia="仿宋_GB2312" w:cs="仿宋_GB2312"/>
                <w:kern w:val="2"/>
                <w:sz w:val="21"/>
                <w:szCs w:val="22"/>
                <w:lang w:val="en-US" w:eastAsia="zh-CN" w:bidi="ar-SA"/>
              </w:rPr>
            </w:pPr>
            <w:r>
              <w:rPr>
                <w:rFonts w:hint="eastAsia" w:ascii="仿宋_GB2312" w:hAnsi="仿宋_GB2312" w:eastAsia="仿宋_GB2312" w:cs="仿宋_GB2312"/>
              </w:rPr>
              <w:t>行政事业单位养老支出</w:t>
            </w:r>
          </w:p>
        </w:tc>
        <w:tc>
          <w:tcPr>
            <w:tcW w:w="726" w:type="pct"/>
            <w:tcBorders>
              <w:top w:val="nil"/>
              <w:left w:val="single" w:color="auto" w:sz="4" w:space="0"/>
              <w:bottom w:val="single" w:color="auto" w:sz="4" w:space="0"/>
              <w:right w:val="single" w:color="auto" w:sz="4" w:space="0"/>
            </w:tcBorders>
            <w:shd w:val="clear" w:color="auto" w:fill="auto"/>
            <w:noWrap/>
            <w:vAlign w:val="center"/>
          </w:tcPr>
          <w:p w14:paraId="149A76AB">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6.54</w:t>
            </w:r>
          </w:p>
        </w:tc>
        <w:tc>
          <w:tcPr>
            <w:tcW w:w="611" w:type="pct"/>
            <w:tcBorders>
              <w:top w:val="nil"/>
              <w:left w:val="nil"/>
              <w:bottom w:val="single" w:color="auto" w:sz="4" w:space="0"/>
              <w:right w:val="single" w:color="auto" w:sz="4" w:space="0"/>
            </w:tcBorders>
            <w:shd w:val="clear" w:color="auto" w:fill="auto"/>
            <w:noWrap/>
            <w:vAlign w:val="center"/>
          </w:tcPr>
          <w:p w14:paraId="2D0202BC">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6.54</w:t>
            </w:r>
          </w:p>
        </w:tc>
        <w:tc>
          <w:tcPr>
            <w:tcW w:w="551" w:type="pct"/>
            <w:tcBorders>
              <w:top w:val="nil"/>
              <w:left w:val="nil"/>
              <w:bottom w:val="single" w:color="auto" w:sz="4" w:space="0"/>
              <w:right w:val="single" w:color="auto" w:sz="4" w:space="0"/>
            </w:tcBorders>
            <w:shd w:val="clear" w:color="auto" w:fill="auto"/>
            <w:noWrap/>
            <w:vAlign w:val="center"/>
          </w:tcPr>
          <w:p w14:paraId="5603B73F">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ascii="Times New Roman" w:hAnsi="Times New Roman" w:eastAsia="仿宋_GB2312" w:cs="Times New Roman"/>
                <w:kern w:val="0"/>
                <w:sz w:val="24"/>
                <w:szCs w:val="24"/>
              </w:rPr>
            </w:pPr>
          </w:p>
        </w:tc>
        <w:tc>
          <w:tcPr>
            <w:tcW w:w="518" w:type="pct"/>
            <w:tcBorders>
              <w:top w:val="nil"/>
              <w:left w:val="nil"/>
              <w:bottom w:val="single" w:color="auto" w:sz="4" w:space="0"/>
              <w:right w:val="single" w:color="auto" w:sz="4" w:space="0"/>
            </w:tcBorders>
            <w:shd w:val="clear" w:color="auto" w:fill="auto"/>
            <w:noWrap/>
            <w:vAlign w:val="center"/>
          </w:tcPr>
          <w:p w14:paraId="1CC8B0EB">
            <w:pPr>
              <w:keepNext w:val="0"/>
              <w:keepLines w:val="0"/>
              <w:pageBreakBefore w:val="0"/>
              <w:widowControl/>
              <w:kinsoku/>
              <w:wordWrap/>
              <w:overflowPunct/>
              <w:topLinePunct w:val="0"/>
              <w:autoSpaceDE/>
              <w:autoSpaceDN/>
              <w:bidi w:val="0"/>
              <w:adjustRightInd/>
              <w:snapToGrid/>
              <w:spacing w:line="280" w:lineRule="exact"/>
              <w:jc w:val="right"/>
              <w:textAlignment w:val="auto"/>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53" w:type="pct"/>
            <w:tcBorders>
              <w:top w:val="nil"/>
              <w:left w:val="nil"/>
              <w:bottom w:val="single" w:color="auto" w:sz="4" w:space="0"/>
              <w:right w:val="single" w:color="auto" w:sz="4" w:space="0"/>
            </w:tcBorders>
            <w:shd w:val="clear" w:color="auto" w:fill="auto"/>
            <w:noWrap/>
            <w:vAlign w:val="center"/>
          </w:tcPr>
          <w:p w14:paraId="6A823A91">
            <w:pPr>
              <w:keepNext w:val="0"/>
              <w:keepLines w:val="0"/>
              <w:pageBreakBefore w:val="0"/>
              <w:widowControl/>
              <w:kinsoku/>
              <w:wordWrap/>
              <w:overflowPunct/>
              <w:topLinePunct w:val="0"/>
              <w:autoSpaceDE/>
              <w:autoSpaceDN/>
              <w:bidi w:val="0"/>
              <w:adjustRightInd/>
              <w:snapToGrid/>
              <w:spacing w:line="280" w:lineRule="exact"/>
              <w:jc w:val="right"/>
              <w:textAlignment w:val="auto"/>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73" w:type="pct"/>
            <w:tcBorders>
              <w:top w:val="nil"/>
              <w:left w:val="nil"/>
              <w:bottom w:val="single" w:color="auto" w:sz="4" w:space="0"/>
              <w:right w:val="single" w:color="auto" w:sz="4" w:space="0"/>
            </w:tcBorders>
            <w:shd w:val="clear" w:color="auto" w:fill="auto"/>
            <w:noWrap/>
            <w:vAlign w:val="center"/>
          </w:tcPr>
          <w:p w14:paraId="012FF792">
            <w:pPr>
              <w:keepNext w:val="0"/>
              <w:keepLines w:val="0"/>
              <w:pageBreakBefore w:val="0"/>
              <w:widowControl/>
              <w:kinsoku/>
              <w:wordWrap/>
              <w:overflowPunct/>
              <w:topLinePunct w:val="0"/>
              <w:autoSpaceDE/>
              <w:autoSpaceDN/>
              <w:bidi w:val="0"/>
              <w:adjustRightInd/>
              <w:snapToGrid/>
              <w:spacing w:line="280" w:lineRule="exact"/>
              <w:jc w:val="right"/>
              <w:textAlignment w:val="auto"/>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1AFF5F72">
        <w:tblPrEx>
          <w:tblCellMar>
            <w:top w:w="0" w:type="dxa"/>
            <w:left w:w="108" w:type="dxa"/>
            <w:bottom w:w="0" w:type="dxa"/>
            <w:right w:w="108" w:type="dxa"/>
          </w:tblCellMar>
        </w:tblPrEx>
        <w:trPr>
          <w:trHeight w:val="595" w:hRule="atLeast"/>
          <w:jc w:val="center"/>
        </w:trPr>
        <w:tc>
          <w:tcPr>
            <w:tcW w:w="648"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51F0590F">
            <w:pPr>
              <w:keepNext w:val="0"/>
              <w:keepLines w:val="0"/>
              <w:pageBreakBefore w:val="0"/>
              <w:kinsoku/>
              <w:wordWrap/>
              <w:overflowPunct/>
              <w:topLinePunct w:val="0"/>
              <w:autoSpaceDE/>
              <w:autoSpaceDN/>
              <w:bidi w:val="0"/>
              <w:adjustRightInd/>
              <w:snapToGrid/>
              <w:spacing w:line="280" w:lineRule="exact"/>
              <w:jc w:val="left"/>
              <w:textAlignment w:val="auto"/>
              <w:rPr>
                <w:rFonts w:hint="eastAsia" w:ascii="仿宋_GB2312" w:hAnsi="仿宋_GB2312" w:eastAsia="仿宋_GB2312" w:cs="仿宋_GB2312"/>
                <w:kern w:val="2"/>
                <w:sz w:val="21"/>
                <w:szCs w:val="22"/>
                <w:lang w:val="en-US" w:eastAsia="zh-CN" w:bidi="ar-SA"/>
              </w:rPr>
            </w:pPr>
            <w:r>
              <w:rPr>
                <w:rFonts w:hint="eastAsia" w:ascii="仿宋_GB2312" w:hAnsi="仿宋_GB2312" w:eastAsia="仿宋_GB2312" w:cs="仿宋_GB2312"/>
              </w:rPr>
              <w:t>2080505</w:t>
            </w:r>
          </w:p>
        </w:tc>
        <w:tc>
          <w:tcPr>
            <w:tcW w:w="1016"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6E67D226">
            <w:pPr>
              <w:keepNext w:val="0"/>
              <w:keepLines w:val="0"/>
              <w:pageBreakBefore w:val="0"/>
              <w:kinsoku/>
              <w:wordWrap/>
              <w:overflowPunct/>
              <w:topLinePunct w:val="0"/>
              <w:autoSpaceDE/>
              <w:autoSpaceDN/>
              <w:bidi w:val="0"/>
              <w:adjustRightInd/>
              <w:snapToGrid/>
              <w:spacing w:line="280" w:lineRule="exact"/>
              <w:textAlignment w:val="auto"/>
              <w:rPr>
                <w:rFonts w:hint="eastAsia" w:ascii="仿宋_GB2312" w:hAnsi="仿宋_GB2312" w:eastAsia="仿宋_GB2312" w:cs="仿宋_GB2312"/>
                <w:kern w:val="2"/>
                <w:sz w:val="21"/>
                <w:szCs w:val="22"/>
                <w:lang w:val="en-US" w:eastAsia="zh-CN" w:bidi="ar-SA"/>
              </w:rPr>
            </w:pPr>
            <w:r>
              <w:rPr>
                <w:rFonts w:hint="eastAsia" w:ascii="仿宋_GB2312" w:hAnsi="仿宋_GB2312" w:eastAsia="仿宋_GB2312" w:cs="仿宋_GB2312"/>
              </w:rPr>
              <w:t>机关事业单位基本养老保险缴费支出</w:t>
            </w:r>
          </w:p>
        </w:tc>
        <w:tc>
          <w:tcPr>
            <w:tcW w:w="726" w:type="pct"/>
            <w:tcBorders>
              <w:top w:val="nil"/>
              <w:left w:val="single" w:color="auto" w:sz="4" w:space="0"/>
              <w:bottom w:val="single" w:color="auto" w:sz="4" w:space="0"/>
              <w:right w:val="single" w:color="auto" w:sz="4" w:space="0"/>
            </w:tcBorders>
            <w:shd w:val="clear" w:color="auto" w:fill="auto"/>
            <w:noWrap/>
            <w:vAlign w:val="center"/>
          </w:tcPr>
          <w:p w14:paraId="265ECA27">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6.54</w:t>
            </w:r>
          </w:p>
        </w:tc>
        <w:tc>
          <w:tcPr>
            <w:tcW w:w="611" w:type="pct"/>
            <w:tcBorders>
              <w:top w:val="nil"/>
              <w:left w:val="nil"/>
              <w:bottom w:val="single" w:color="auto" w:sz="4" w:space="0"/>
              <w:right w:val="single" w:color="auto" w:sz="4" w:space="0"/>
            </w:tcBorders>
            <w:shd w:val="clear" w:color="auto" w:fill="auto"/>
            <w:noWrap/>
            <w:vAlign w:val="center"/>
          </w:tcPr>
          <w:p w14:paraId="7075650B">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6.54</w:t>
            </w:r>
          </w:p>
        </w:tc>
        <w:tc>
          <w:tcPr>
            <w:tcW w:w="551" w:type="pct"/>
            <w:tcBorders>
              <w:top w:val="nil"/>
              <w:left w:val="nil"/>
              <w:bottom w:val="single" w:color="auto" w:sz="4" w:space="0"/>
              <w:right w:val="single" w:color="auto" w:sz="4" w:space="0"/>
            </w:tcBorders>
            <w:shd w:val="clear" w:color="auto" w:fill="auto"/>
            <w:noWrap/>
            <w:vAlign w:val="center"/>
          </w:tcPr>
          <w:p w14:paraId="387848AF">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ascii="Times New Roman" w:hAnsi="Times New Roman" w:eastAsia="仿宋_GB2312" w:cs="Times New Roman"/>
                <w:kern w:val="0"/>
                <w:sz w:val="24"/>
                <w:szCs w:val="24"/>
              </w:rPr>
            </w:pPr>
          </w:p>
        </w:tc>
        <w:tc>
          <w:tcPr>
            <w:tcW w:w="518" w:type="pct"/>
            <w:tcBorders>
              <w:top w:val="nil"/>
              <w:left w:val="nil"/>
              <w:bottom w:val="single" w:color="auto" w:sz="4" w:space="0"/>
              <w:right w:val="single" w:color="auto" w:sz="4" w:space="0"/>
            </w:tcBorders>
            <w:shd w:val="clear" w:color="auto" w:fill="auto"/>
            <w:noWrap/>
            <w:vAlign w:val="center"/>
          </w:tcPr>
          <w:p w14:paraId="2225F227">
            <w:pPr>
              <w:keepNext w:val="0"/>
              <w:keepLines w:val="0"/>
              <w:pageBreakBefore w:val="0"/>
              <w:widowControl/>
              <w:kinsoku/>
              <w:wordWrap/>
              <w:overflowPunct/>
              <w:topLinePunct w:val="0"/>
              <w:autoSpaceDE/>
              <w:autoSpaceDN/>
              <w:bidi w:val="0"/>
              <w:adjustRightInd/>
              <w:snapToGrid/>
              <w:spacing w:line="280" w:lineRule="exact"/>
              <w:jc w:val="right"/>
              <w:textAlignment w:val="auto"/>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53" w:type="pct"/>
            <w:tcBorders>
              <w:top w:val="nil"/>
              <w:left w:val="nil"/>
              <w:bottom w:val="single" w:color="auto" w:sz="4" w:space="0"/>
              <w:right w:val="single" w:color="auto" w:sz="4" w:space="0"/>
            </w:tcBorders>
            <w:shd w:val="clear" w:color="auto" w:fill="auto"/>
            <w:noWrap/>
            <w:vAlign w:val="center"/>
          </w:tcPr>
          <w:p w14:paraId="54841DB7">
            <w:pPr>
              <w:keepNext w:val="0"/>
              <w:keepLines w:val="0"/>
              <w:pageBreakBefore w:val="0"/>
              <w:widowControl/>
              <w:kinsoku/>
              <w:wordWrap/>
              <w:overflowPunct/>
              <w:topLinePunct w:val="0"/>
              <w:autoSpaceDE/>
              <w:autoSpaceDN/>
              <w:bidi w:val="0"/>
              <w:adjustRightInd/>
              <w:snapToGrid/>
              <w:spacing w:line="280" w:lineRule="exact"/>
              <w:jc w:val="right"/>
              <w:textAlignment w:val="auto"/>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73" w:type="pct"/>
            <w:tcBorders>
              <w:top w:val="nil"/>
              <w:left w:val="nil"/>
              <w:bottom w:val="single" w:color="auto" w:sz="4" w:space="0"/>
              <w:right w:val="single" w:color="auto" w:sz="4" w:space="0"/>
            </w:tcBorders>
            <w:shd w:val="clear" w:color="auto" w:fill="auto"/>
            <w:noWrap/>
            <w:vAlign w:val="center"/>
          </w:tcPr>
          <w:p w14:paraId="7C9F4AB4">
            <w:pPr>
              <w:keepNext w:val="0"/>
              <w:keepLines w:val="0"/>
              <w:pageBreakBefore w:val="0"/>
              <w:widowControl/>
              <w:kinsoku/>
              <w:wordWrap/>
              <w:overflowPunct/>
              <w:topLinePunct w:val="0"/>
              <w:autoSpaceDE/>
              <w:autoSpaceDN/>
              <w:bidi w:val="0"/>
              <w:adjustRightInd/>
              <w:snapToGrid/>
              <w:spacing w:line="280" w:lineRule="exact"/>
              <w:jc w:val="right"/>
              <w:textAlignment w:val="auto"/>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21BDC24F">
        <w:tblPrEx>
          <w:tblCellMar>
            <w:top w:w="0" w:type="dxa"/>
            <w:left w:w="108" w:type="dxa"/>
            <w:bottom w:w="0" w:type="dxa"/>
            <w:right w:w="108" w:type="dxa"/>
          </w:tblCellMar>
        </w:tblPrEx>
        <w:trPr>
          <w:trHeight w:val="595" w:hRule="atLeast"/>
          <w:jc w:val="center"/>
        </w:trPr>
        <w:tc>
          <w:tcPr>
            <w:tcW w:w="648"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5C0A0EBA">
            <w:pPr>
              <w:keepNext w:val="0"/>
              <w:keepLines w:val="0"/>
              <w:pageBreakBefore w:val="0"/>
              <w:kinsoku/>
              <w:wordWrap/>
              <w:overflowPunct/>
              <w:topLinePunct w:val="0"/>
              <w:autoSpaceDE/>
              <w:autoSpaceDN/>
              <w:bidi w:val="0"/>
              <w:adjustRightInd/>
              <w:snapToGrid/>
              <w:spacing w:line="280" w:lineRule="exact"/>
              <w:textAlignment w:val="auto"/>
              <w:rPr>
                <w:rFonts w:hint="eastAsia" w:ascii="仿宋_GB2312" w:hAnsi="仿宋_GB2312" w:eastAsia="仿宋_GB2312" w:cs="仿宋_GB2312"/>
                <w:kern w:val="2"/>
                <w:sz w:val="24"/>
                <w:szCs w:val="24"/>
                <w:lang w:val="en-US" w:eastAsia="zh-CN" w:bidi="ar-SA"/>
              </w:rPr>
            </w:pPr>
            <w:r>
              <w:rPr>
                <w:rFonts w:hint="eastAsia" w:ascii="仿宋_GB2312" w:hAnsi="仿宋_GB2312" w:eastAsia="仿宋_GB2312" w:cs="仿宋_GB2312"/>
              </w:rPr>
              <w:t>210</w:t>
            </w:r>
          </w:p>
        </w:tc>
        <w:tc>
          <w:tcPr>
            <w:tcW w:w="1016"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2A6B9937">
            <w:pPr>
              <w:keepNext w:val="0"/>
              <w:keepLines w:val="0"/>
              <w:pageBreakBefore w:val="0"/>
              <w:kinsoku/>
              <w:wordWrap/>
              <w:overflowPunct/>
              <w:topLinePunct w:val="0"/>
              <w:autoSpaceDE/>
              <w:autoSpaceDN/>
              <w:bidi w:val="0"/>
              <w:adjustRightInd/>
              <w:snapToGrid/>
              <w:spacing w:line="280" w:lineRule="exact"/>
              <w:textAlignment w:val="auto"/>
              <w:rPr>
                <w:rFonts w:hint="eastAsia" w:ascii="仿宋_GB2312" w:hAnsi="仿宋_GB2312" w:eastAsia="仿宋_GB2312" w:cs="仿宋_GB2312"/>
                <w:kern w:val="2"/>
                <w:sz w:val="24"/>
                <w:szCs w:val="24"/>
                <w:lang w:val="en-US" w:eastAsia="zh-CN" w:bidi="ar-SA"/>
              </w:rPr>
            </w:pPr>
            <w:r>
              <w:rPr>
                <w:rFonts w:hint="eastAsia" w:ascii="仿宋_GB2312" w:hAnsi="仿宋_GB2312" w:eastAsia="仿宋_GB2312" w:cs="仿宋_GB2312"/>
              </w:rPr>
              <w:t>卫生健康支出</w:t>
            </w:r>
          </w:p>
        </w:tc>
        <w:tc>
          <w:tcPr>
            <w:tcW w:w="726" w:type="pct"/>
            <w:tcBorders>
              <w:top w:val="nil"/>
              <w:left w:val="single" w:color="auto" w:sz="4" w:space="0"/>
              <w:bottom w:val="single" w:color="auto" w:sz="4" w:space="0"/>
              <w:right w:val="single" w:color="auto" w:sz="4" w:space="0"/>
            </w:tcBorders>
            <w:shd w:val="clear" w:color="auto" w:fill="auto"/>
            <w:noWrap/>
            <w:vAlign w:val="center"/>
          </w:tcPr>
          <w:p w14:paraId="2CF9B250">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2.74</w:t>
            </w:r>
          </w:p>
        </w:tc>
        <w:tc>
          <w:tcPr>
            <w:tcW w:w="611" w:type="pct"/>
            <w:tcBorders>
              <w:top w:val="nil"/>
              <w:left w:val="nil"/>
              <w:bottom w:val="single" w:color="auto" w:sz="4" w:space="0"/>
              <w:right w:val="single" w:color="auto" w:sz="4" w:space="0"/>
            </w:tcBorders>
            <w:shd w:val="clear" w:color="auto" w:fill="auto"/>
            <w:noWrap/>
            <w:vAlign w:val="center"/>
          </w:tcPr>
          <w:p w14:paraId="477E5885">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2.74</w:t>
            </w:r>
          </w:p>
        </w:tc>
        <w:tc>
          <w:tcPr>
            <w:tcW w:w="551" w:type="pct"/>
            <w:tcBorders>
              <w:top w:val="nil"/>
              <w:left w:val="nil"/>
              <w:bottom w:val="single" w:color="auto" w:sz="4" w:space="0"/>
              <w:right w:val="single" w:color="auto" w:sz="4" w:space="0"/>
            </w:tcBorders>
            <w:shd w:val="clear" w:color="auto" w:fill="auto"/>
            <w:noWrap/>
            <w:vAlign w:val="center"/>
          </w:tcPr>
          <w:p w14:paraId="76FAE70E">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ascii="Times New Roman" w:hAnsi="Times New Roman" w:eastAsia="仿宋_GB2312" w:cs="Times New Roman"/>
                <w:kern w:val="0"/>
                <w:sz w:val="24"/>
                <w:szCs w:val="24"/>
              </w:rPr>
            </w:pPr>
          </w:p>
        </w:tc>
        <w:tc>
          <w:tcPr>
            <w:tcW w:w="518" w:type="pct"/>
            <w:tcBorders>
              <w:top w:val="nil"/>
              <w:left w:val="nil"/>
              <w:bottom w:val="single" w:color="auto" w:sz="4" w:space="0"/>
              <w:right w:val="single" w:color="auto" w:sz="4" w:space="0"/>
            </w:tcBorders>
            <w:shd w:val="clear" w:color="auto" w:fill="auto"/>
            <w:noWrap/>
            <w:vAlign w:val="center"/>
          </w:tcPr>
          <w:p w14:paraId="2BE761C3">
            <w:pPr>
              <w:keepNext w:val="0"/>
              <w:keepLines w:val="0"/>
              <w:pageBreakBefore w:val="0"/>
              <w:widowControl/>
              <w:kinsoku/>
              <w:wordWrap/>
              <w:overflowPunct/>
              <w:topLinePunct w:val="0"/>
              <w:autoSpaceDE/>
              <w:autoSpaceDN/>
              <w:bidi w:val="0"/>
              <w:adjustRightInd/>
              <w:snapToGrid/>
              <w:spacing w:line="280" w:lineRule="exact"/>
              <w:jc w:val="right"/>
              <w:textAlignment w:val="auto"/>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53" w:type="pct"/>
            <w:tcBorders>
              <w:top w:val="nil"/>
              <w:left w:val="nil"/>
              <w:bottom w:val="single" w:color="auto" w:sz="4" w:space="0"/>
              <w:right w:val="single" w:color="auto" w:sz="4" w:space="0"/>
            </w:tcBorders>
            <w:shd w:val="clear" w:color="auto" w:fill="auto"/>
            <w:noWrap/>
            <w:vAlign w:val="center"/>
          </w:tcPr>
          <w:p w14:paraId="2F3DA446">
            <w:pPr>
              <w:keepNext w:val="0"/>
              <w:keepLines w:val="0"/>
              <w:pageBreakBefore w:val="0"/>
              <w:widowControl/>
              <w:kinsoku/>
              <w:wordWrap/>
              <w:overflowPunct/>
              <w:topLinePunct w:val="0"/>
              <w:autoSpaceDE/>
              <w:autoSpaceDN/>
              <w:bidi w:val="0"/>
              <w:adjustRightInd/>
              <w:snapToGrid/>
              <w:spacing w:line="280" w:lineRule="exact"/>
              <w:jc w:val="right"/>
              <w:textAlignment w:val="auto"/>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73" w:type="pct"/>
            <w:tcBorders>
              <w:top w:val="nil"/>
              <w:left w:val="nil"/>
              <w:bottom w:val="single" w:color="auto" w:sz="4" w:space="0"/>
              <w:right w:val="single" w:color="auto" w:sz="4" w:space="0"/>
            </w:tcBorders>
            <w:shd w:val="clear" w:color="auto" w:fill="auto"/>
            <w:noWrap/>
            <w:vAlign w:val="center"/>
          </w:tcPr>
          <w:p w14:paraId="671F334E">
            <w:pPr>
              <w:keepNext w:val="0"/>
              <w:keepLines w:val="0"/>
              <w:pageBreakBefore w:val="0"/>
              <w:widowControl/>
              <w:kinsoku/>
              <w:wordWrap/>
              <w:overflowPunct/>
              <w:topLinePunct w:val="0"/>
              <w:autoSpaceDE/>
              <w:autoSpaceDN/>
              <w:bidi w:val="0"/>
              <w:adjustRightInd/>
              <w:snapToGrid/>
              <w:spacing w:line="280" w:lineRule="exact"/>
              <w:jc w:val="right"/>
              <w:textAlignment w:val="auto"/>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7114CFA1">
        <w:tblPrEx>
          <w:tblCellMar>
            <w:top w:w="0" w:type="dxa"/>
            <w:left w:w="108" w:type="dxa"/>
            <w:bottom w:w="0" w:type="dxa"/>
            <w:right w:w="108" w:type="dxa"/>
          </w:tblCellMar>
        </w:tblPrEx>
        <w:trPr>
          <w:trHeight w:val="595" w:hRule="atLeast"/>
          <w:jc w:val="center"/>
        </w:trPr>
        <w:tc>
          <w:tcPr>
            <w:tcW w:w="648"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46E3635E">
            <w:pPr>
              <w:keepNext w:val="0"/>
              <w:keepLines w:val="0"/>
              <w:pageBreakBefore w:val="0"/>
              <w:kinsoku/>
              <w:wordWrap/>
              <w:overflowPunct/>
              <w:topLinePunct w:val="0"/>
              <w:autoSpaceDE/>
              <w:autoSpaceDN/>
              <w:bidi w:val="0"/>
              <w:adjustRightInd/>
              <w:snapToGrid/>
              <w:spacing w:line="280" w:lineRule="exact"/>
              <w:textAlignment w:val="auto"/>
              <w:rPr>
                <w:rFonts w:hint="eastAsia" w:ascii="仿宋_GB2312" w:hAnsi="仿宋_GB2312" w:eastAsia="仿宋_GB2312" w:cs="仿宋_GB2312"/>
                <w:kern w:val="2"/>
                <w:sz w:val="24"/>
                <w:szCs w:val="24"/>
                <w:lang w:val="en-US" w:eastAsia="zh-CN" w:bidi="ar-SA"/>
              </w:rPr>
            </w:pPr>
            <w:r>
              <w:rPr>
                <w:rFonts w:hint="eastAsia" w:ascii="仿宋_GB2312" w:hAnsi="仿宋_GB2312" w:eastAsia="仿宋_GB2312" w:cs="仿宋_GB2312"/>
              </w:rPr>
              <w:t>21011</w:t>
            </w:r>
          </w:p>
        </w:tc>
        <w:tc>
          <w:tcPr>
            <w:tcW w:w="1016"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69DC5181">
            <w:pPr>
              <w:keepNext w:val="0"/>
              <w:keepLines w:val="0"/>
              <w:pageBreakBefore w:val="0"/>
              <w:kinsoku/>
              <w:wordWrap/>
              <w:overflowPunct/>
              <w:topLinePunct w:val="0"/>
              <w:autoSpaceDE/>
              <w:autoSpaceDN/>
              <w:bidi w:val="0"/>
              <w:adjustRightInd/>
              <w:snapToGrid/>
              <w:spacing w:line="280" w:lineRule="exact"/>
              <w:jc w:val="left"/>
              <w:textAlignment w:val="auto"/>
              <w:rPr>
                <w:rFonts w:hint="eastAsia" w:ascii="仿宋_GB2312" w:hAnsi="仿宋_GB2312" w:eastAsia="仿宋_GB2312" w:cs="仿宋_GB2312"/>
                <w:kern w:val="2"/>
                <w:sz w:val="24"/>
                <w:szCs w:val="24"/>
                <w:lang w:val="en-US" w:eastAsia="zh-CN" w:bidi="ar-SA"/>
              </w:rPr>
            </w:pPr>
            <w:r>
              <w:rPr>
                <w:rFonts w:hint="eastAsia" w:ascii="仿宋_GB2312" w:hAnsi="仿宋_GB2312" w:eastAsia="仿宋_GB2312" w:cs="仿宋_GB2312"/>
              </w:rPr>
              <w:t>行政事业单位医疗</w:t>
            </w:r>
          </w:p>
        </w:tc>
        <w:tc>
          <w:tcPr>
            <w:tcW w:w="726" w:type="pct"/>
            <w:tcBorders>
              <w:top w:val="nil"/>
              <w:left w:val="single" w:color="auto" w:sz="4" w:space="0"/>
              <w:bottom w:val="single" w:color="auto" w:sz="4" w:space="0"/>
              <w:right w:val="single" w:color="auto" w:sz="4" w:space="0"/>
            </w:tcBorders>
            <w:shd w:val="clear" w:color="auto" w:fill="auto"/>
            <w:noWrap/>
            <w:vAlign w:val="center"/>
          </w:tcPr>
          <w:p w14:paraId="57748F90">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2.74</w:t>
            </w:r>
          </w:p>
        </w:tc>
        <w:tc>
          <w:tcPr>
            <w:tcW w:w="611" w:type="pct"/>
            <w:tcBorders>
              <w:top w:val="nil"/>
              <w:left w:val="nil"/>
              <w:bottom w:val="single" w:color="auto" w:sz="4" w:space="0"/>
              <w:right w:val="single" w:color="auto" w:sz="4" w:space="0"/>
            </w:tcBorders>
            <w:shd w:val="clear" w:color="auto" w:fill="auto"/>
            <w:noWrap/>
            <w:vAlign w:val="center"/>
          </w:tcPr>
          <w:p w14:paraId="0A2013C1">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2.74</w:t>
            </w:r>
          </w:p>
        </w:tc>
        <w:tc>
          <w:tcPr>
            <w:tcW w:w="551" w:type="pct"/>
            <w:tcBorders>
              <w:top w:val="nil"/>
              <w:left w:val="nil"/>
              <w:bottom w:val="single" w:color="auto" w:sz="4" w:space="0"/>
              <w:right w:val="single" w:color="auto" w:sz="4" w:space="0"/>
            </w:tcBorders>
            <w:shd w:val="clear" w:color="auto" w:fill="auto"/>
            <w:noWrap/>
            <w:vAlign w:val="center"/>
          </w:tcPr>
          <w:p w14:paraId="4BC794C2">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ascii="Times New Roman" w:hAnsi="Times New Roman" w:eastAsia="仿宋_GB2312" w:cs="Times New Roman"/>
                <w:kern w:val="0"/>
                <w:sz w:val="24"/>
                <w:szCs w:val="24"/>
              </w:rPr>
            </w:pPr>
          </w:p>
        </w:tc>
        <w:tc>
          <w:tcPr>
            <w:tcW w:w="518" w:type="pct"/>
            <w:tcBorders>
              <w:top w:val="nil"/>
              <w:left w:val="nil"/>
              <w:bottom w:val="single" w:color="auto" w:sz="4" w:space="0"/>
              <w:right w:val="single" w:color="auto" w:sz="4" w:space="0"/>
            </w:tcBorders>
            <w:shd w:val="clear" w:color="auto" w:fill="auto"/>
            <w:noWrap/>
            <w:vAlign w:val="center"/>
          </w:tcPr>
          <w:p w14:paraId="7114079E">
            <w:pPr>
              <w:keepNext w:val="0"/>
              <w:keepLines w:val="0"/>
              <w:pageBreakBefore w:val="0"/>
              <w:widowControl/>
              <w:kinsoku/>
              <w:wordWrap/>
              <w:overflowPunct/>
              <w:topLinePunct w:val="0"/>
              <w:autoSpaceDE/>
              <w:autoSpaceDN/>
              <w:bidi w:val="0"/>
              <w:adjustRightInd/>
              <w:snapToGrid/>
              <w:spacing w:line="280" w:lineRule="exact"/>
              <w:jc w:val="right"/>
              <w:textAlignment w:val="auto"/>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53" w:type="pct"/>
            <w:tcBorders>
              <w:top w:val="nil"/>
              <w:left w:val="nil"/>
              <w:bottom w:val="single" w:color="auto" w:sz="4" w:space="0"/>
              <w:right w:val="single" w:color="auto" w:sz="4" w:space="0"/>
            </w:tcBorders>
            <w:shd w:val="clear" w:color="auto" w:fill="auto"/>
            <w:noWrap/>
            <w:vAlign w:val="center"/>
          </w:tcPr>
          <w:p w14:paraId="2D54AC0F">
            <w:pPr>
              <w:keepNext w:val="0"/>
              <w:keepLines w:val="0"/>
              <w:pageBreakBefore w:val="0"/>
              <w:widowControl/>
              <w:kinsoku/>
              <w:wordWrap/>
              <w:overflowPunct/>
              <w:topLinePunct w:val="0"/>
              <w:autoSpaceDE/>
              <w:autoSpaceDN/>
              <w:bidi w:val="0"/>
              <w:adjustRightInd/>
              <w:snapToGrid/>
              <w:spacing w:line="280" w:lineRule="exact"/>
              <w:jc w:val="right"/>
              <w:textAlignment w:val="auto"/>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73" w:type="pct"/>
            <w:tcBorders>
              <w:top w:val="nil"/>
              <w:left w:val="nil"/>
              <w:bottom w:val="single" w:color="auto" w:sz="4" w:space="0"/>
              <w:right w:val="single" w:color="auto" w:sz="4" w:space="0"/>
            </w:tcBorders>
            <w:shd w:val="clear" w:color="auto" w:fill="auto"/>
            <w:noWrap/>
            <w:vAlign w:val="center"/>
          </w:tcPr>
          <w:p w14:paraId="18C55D8A">
            <w:pPr>
              <w:keepNext w:val="0"/>
              <w:keepLines w:val="0"/>
              <w:pageBreakBefore w:val="0"/>
              <w:widowControl/>
              <w:kinsoku/>
              <w:wordWrap/>
              <w:overflowPunct/>
              <w:topLinePunct w:val="0"/>
              <w:autoSpaceDE/>
              <w:autoSpaceDN/>
              <w:bidi w:val="0"/>
              <w:adjustRightInd/>
              <w:snapToGrid/>
              <w:spacing w:line="280" w:lineRule="exact"/>
              <w:jc w:val="right"/>
              <w:textAlignment w:val="auto"/>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20566F32">
        <w:tblPrEx>
          <w:tblCellMar>
            <w:top w:w="0" w:type="dxa"/>
            <w:left w:w="108" w:type="dxa"/>
            <w:bottom w:w="0" w:type="dxa"/>
            <w:right w:w="108" w:type="dxa"/>
          </w:tblCellMar>
        </w:tblPrEx>
        <w:trPr>
          <w:trHeight w:val="595" w:hRule="atLeast"/>
          <w:jc w:val="center"/>
        </w:trPr>
        <w:tc>
          <w:tcPr>
            <w:tcW w:w="648"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5D572E8B">
            <w:pPr>
              <w:keepNext w:val="0"/>
              <w:keepLines w:val="0"/>
              <w:pageBreakBefore w:val="0"/>
              <w:kinsoku/>
              <w:wordWrap/>
              <w:overflowPunct/>
              <w:topLinePunct w:val="0"/>
              <w:autoSpaceDE/>
              <w:autoSpaceDN/>
              <w:bidi w:val="0"/>
              <w:adjustRightInd/>
              <w:snapToGrid/>
              <w:spacing w:line="280" w:lineRule="exact"/>
              <w:textAlignment w:val="auto"/>
              <w:rPr>
                <w:rFonts w:hint="eastAsia" w:ascii="仿宋_GB2312" w:hAnsi="仿宋_GB2312" w:eastAsia="仿宋_GB2312" w:cs="仿宋_GB2312"/>
                <w:kern w:val="2"/>
                <w:sz w:val="24"/>
                <w:szCs w:val="24"/>
                <w:lang w:val="en-US" w:eastAsia="zh-CN" w:bidi="ar-SA"/>
              </w:rPr>
            </w:pPr>
            <w:r>
              <w:rPr>
                <w:rFonts w:hint="eastAsia" w:ascii="仿宋_GB2312" w:hAnsi="仿宋_GB2312" w:eastAsia="仿宋_GB2312" w:cs="仿宋_GB2312"/>
              </w:rPr>
              <w:t>2101102</w:t>
            </w:r>
          </w:p>
        </w:tc>
        <w:tc>
          <w:tcPr>
            <w:tcW w:w="1016"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5BE6F69F">
            <w:pPr>
              <w:keepNext w:val="0"/>
              <w:keepLines w:val="0"/>
              <w:pageBreakBefore w:val="0"/>
              <w:kinsoku/>
              <w:wordWrap/>
              <w:overflowPunct/>
              <w:topLinePunct w:val="0"/>
              <w:autoSpaceDE/>
              <w:autoSpaceDN/>
              <w:bidi w:val="0"/>
              <w:adjustRightInd/>
              <w:snapToGrid/>
              <w:spacing w:line="280" w:lineRule="exact"/>
              <w:jc w:val="left"/>
              <w:textAlignment w:val="auto"/>
              <w:rPr>
                <w:rFonts w:hint="eastAsia" w:ascii="仿宋_GB2312" w:hAnsi="仿宋_GB2312" w:eastAsia="仿宋_GB2312" w:cs="仿宋_GB2312"/>
                <w:kern w:val="2"/>
                <w:sz w:val="24"/>
                <w:szCs w:val="24"/>
                <w:lang w:val="en-US" w:eastAsia="zh-CN" w:bidi="ar-SA"/>
              </w:rPr>
            </w:pPr>
            <w:r>
              <w:rPr>
                <w:rFonts w:hint="eastAsia" w:ascii="仿宋_GB2312" w:hAnsi="仿宋_GB2312" w:eastAsia="仿宋_GB2312" w:cs="仿宋_GB2312"/>
              </w:rPr>
              <w:t>事业单位医疗</w:t>
            </w:r>
          </w:p>
        </w:tc>
        <w:tc>
          <w:tcPr>
            <w:tcW w:w="726" w:type="pct"/>
            <w:tcBorders>
              <w:top w:val="nil"/>
              <w:left w:val="single" w:color="auto" w:sz="4" w:space="0"/>
              <w:bottom w:val="single" w:color="auto" w:sz="4" w:space="0"/>
              <w:right w:val="single" w:color="auto" w:sz="4" w:space="0"/>
            </w:tcBorders>
            <w:shd w:val="clear" w:color="auto" w:fill="auto"/>
            <w:noWrap/>
            <w:vAlign w:val="center"/>
          </w:tcPr>
          <w:p w14:paraId="2B9DC80F">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2.74</w:t>
            </w:r>
          </w:p>
        </w:tc>
        <w:tc>
          <w:tcPr>
            <w:tcW w:w="611" w:type="pct"/>
            <w:tcBorders>
              <w:top w:val="nil"/>
              <w:left w:val="nil"/>
              <w:bottom w:val="single" w:color="auto" w:sz="4" w:space="0"/>
              <w:right w:val="single" w:color="auto" w:sz="4" w:space="0"/>
            </w:tcBorders>
            <w:shd w:val="clear" w:color="auto" w:fill="auto"/>
            <w:noWrap/>
            <w:vAlign w:val="center"/>
          </w:tcPr>
          <w:p w14:paraId="37F1BFFC">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2.74</w:t>
            </w:r>
          </w:p>
        </w:tc>
        <w:tc>
          <w:tcPr>
            <w:tcW w:w="551" w:type="pct"/>
            <w:tcBorders>
              <w:top w:val="nil"/>
              <w:left w:val="nil"/>
              <w:bottom w:val="single" w:color="auto" w:sz="4" w:space="0"/>
              <w:right w:val="single" w:color="auto" w:sz="4" w:space="0"/>
            </w:tcBorders>
            <w:shd w:val="clear" w:color="auto" w:fill="auto"/>
            <w:noWrap/>
            <w:vAlign w:val="center"/>
          </w:tcPr>
          <w:p w14:paraId="33F68688">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ascii="Times New Roman" w:hAnsi="Times New Roman" w:eastAsia="仿宋_GB2312" w:cs="Times New Roman"/>
                <w:kern w:val="0"/>
                <w:sz w:val="24"/>
                <w:szCs w:val="24"/>
              </w:rPr>
            </w:pPr>
          </w:p>
        </w:tc>
        <w:tc>
          <w:tcPr>
            <w:tcW w:w="518" w:type="pct"/>
            <w:tcBorders>
              <w:top w:val="nil"/>
              <w:left w:val="nil"/>
              <w:bottom w:val="single" w:color="auto" w:sz="4" w:space="0"/>
              <w:right w:val="single" w:color="auto" w:sz="4" w:space="0"/>
            </w:tcBorders>
            <w:shd w:val="clear" w:color="auto" w:fill="auto"/>
            <w:noWrap/>
            <w:vAlign w:val="center"/>
          </w:tcPr>
          <w:p w14:paraId="6376AE79">
            <w:pPr>
              <w:keepNext w:val="0"/>
              <w:keepLines w:val="0"/>
              <w:pageBreakBefore w:val="0"/>
              <w:widowControl/>
              <w:kinsoku/>
              <w:wordWrap/>
              <w:overflowPunct/>
              <w:topLinePunct w:val="0"/>
              <w:autoSpaceDE/>
              <w:autoSpaceDN/>
              <w:bidi w:val="0"/>
              <w:adjustRightInd/>
              <w:snapToGrid/>
              <w:spacing w:line="280" w:lineRule="exact"/>
              <w:jc w:val="right"/>
              <w:textAlignment w:val="auto"/>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53" w:type="pct"/>
            <w:tcBorders>
              <w:top w:val="nil"/>
              <w:left w:val="nil"/>
              <w:bottom w:val="single" w:color="auto" w:sz="4" w:space="0"/>
              <w:right w:val="single" w:color="auto" w:sz="4" w:space="0"/>
            </w:tcBorders>
            <w:shd w:val="clear" w:color="auto" w:fill="auto"/>
            <w:noWrap/>
            <w:vAlign w:val="center"/>
          </w:tcPr>
          <w:p w14:paraId="392E6B78">
            <w:pPr>
              <w:keepNext w:val="0"/>
              <w:keepLines w:val="0"/>
              <w:pageBreakBefore w:val="0"/>
              <w:widowControl/>
              <w:kinsoku/>
              <w:wordWrap/>
              <w:overflowPunct/>
              <w:topLinePunct w:val="0"/>
              <w:autoSpaceDE/>
              <w:autoSpaceDN/>
              <w:bidi w:val="0"/>
              <w:adjustRightInd/>
              <w:snapToGrid/>
              <w:spacing w:line="280" w:lineRule="exact"/>
              <w:jc w:val="right"/>
              <w:textAlignment w:val="auto"/>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73" w:type="pct"/>
            <w:tcBorders>
              <w:top w:val="nil"/>
              <w:left w:val="nil"/>
              <w:bottom w:val="single" w:color="auto" w:sz="4" w:space="0"/>
              <w:right w:val="single" w:color="auto" w:sz="4" w:space="0"/>
            </w:tcBorders>
            <w:shd w:val="clear" w:color="auto" w:fill="auto"/>
            <w:noWrap/>
            <w:vAlign w:val="center"/>
          </w:tcPr>
          <w:p w14:paraId="22E79FA3">
            <w:pPr>
              <w:keepNext w:val="0"/>
              <w:keepLines w:val="0"/>
              <w:pageBreakBefore w:val="0"/>
              <w:widowControl/>
              <w:kinsoku/>
              <w:wordWrap/>
              <w:overflowPunct/>
              <w:topLinePunct w:val="0"/>
              <w:autoSpaceDE/>
              <w:autoSpaceDN/>
              <w:bidi w:val="0"/>
              <w:adjustRightInd/>
              <w:snapToGrid/>
              <w:spacing w:line="280" w:lineRule="exact"/>
              <w:jc w:val="right"/>
              <w:textAlignment w:val="auto"/>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23DE20B5">
        <w:tblPrEx>
          <w:tblCellMar>
            <w:top w:w="0" w:type="dxa"/>
            <w:left w:w="108" w:type="dxa"/>
            <w:bottom w:w="0" w:type="dxa"/>
            <w:right w:w="108" w:type="dxa"/>
          </w:tblCellMar>
        </w:tblPrEx>
        <w:trPr>
          <w:trHeight w:val="595" w:hRule="atLeast"/>
          <w:jc w:val="center"/>
        </w:trPr>
        <w:tc>
          <w:tcPr>
            <w:tcW w:w="648" w:type="pct"/>
            <w:tcBorders>
              <w:top w:val="single" w:color="auto" w:sz="4" w:space="0"/>
              <w:left w:val="single" w:color="auto" w:sz="4" w:space="0"/>
              <w:bottom w:val="single" w:color="auto" w:sz="4" w:space="0"/>
              <w:right w:val="single" w:color="auto" w:sz="4" w:space="0"/>
            </w:tcBorders>
            <w:shd w:val="clear" w:color="000000" w:fill="FFFFFF"/>
            <w:vAlign w:val="center"/>
          </w:tcPr>
          <w:p w14:paraId="4A80284A">
            <w:pPr>
              <w:keepNext w:val="0"/>
              <w:keepLines w:val="0"/>
              <w:pageBreakBefore w:val="0"/>
              <w:kinsoku/>
              <w:wordWrap/>
              <w:overflowPunct/>
              <w:topLinePunct w:val="0"/>
              <w:autoSpaceDE/>
              <w:autoSpaceDN/>
              <w:bidi w:val="0"/>
              <w:adjustRightInd/>
              <w:snapToGrid/>
              <w:spacing w:line="280" w:lineRule="exact"/>
              <w:textAlignment w:val="auto"/>
              <w:rPr>
                <w:rFonts w:hint="eastAsia" w:ascii="仿宋_GB2312" w:hAnsi="仿宋_GB2312" w:eastAsia="仿宋_GB2312" w:cs="仿宋_GB2312"/>
                <w:kern w:val="2"/>
                <w:sz w:val="21"/>
                <w:szCs w:val="22"/>
                <w:lang w:val="en-US" w:eastAsia="zh-CN" w:bidi="ar-SA"/>
              </w:rPr>
            </w:pPr>
            <w:r>
              <w:rPr>
                <w:rFonts w:hint="eastAsia" w:ascii="仿宋_GB2312" w:hAnsi="仿宋_GB2312" w:eastAsia="仿宋_GB2312" w:cs="仿宋_GB2312"/>
              </w:rPr>
              <w:t>212</w:t>
            </w:r>
          </w:p>
        </w:tc>
        <w:tc>
          <w:tcPr>
            <w:tcW w:w="1016" w:type="pct"/>
            <w:tcBorders>
              <w:top w:val="single" w:color="auto" w:sz="4" w:space="0"/>
              <w:left w:val="single" w:color="auto" w:sz="4" w:space="0"/>
              <w:bottom w:val="single" w:color="auto" w:sz="4" w:space="0"/>
              <w:right w:val="single" w:color="auto" w:sz="4" w:space="0"/>
            </w:tcBorders>
            <w:shd w:val="clear" w:color="000000" w:fill="FFFFFF"/>
            <w:vAlign w:val="center"/>
          </w:tcPr>
          <w:p w14:paraId="33EFE0BE">
            <w:pPr>
              <w:keepNext w:val="0"/>
              <w:keepLines w:val="0"/>
              <w:pageBreakBefore w:val="0"/>
              <w:kinsoku/>
              <w:wordWrap/>
              <w:overflowPunct/>
              <w:topLinePunct w:val="0"/>
              <w:autoSpaceDE/>
              <w:autoSpaceDN/>
              <w:bidi w:val="0"/>
              <w:adjustRightInd/>
              <w:snapToGrid/>
              <w:spacing w:line="280" w:lineRule="exact"/>
              <w:jc w:val="left"/>
              <w:textAlignment w:val="auto"/>
              <w:rPr>
                <w:rFonts w:hint="eastAsia" w:ascii="仿宋_GB2312" w:hAnsi="仿宋_GB2312" w:eastAsia="仿宋_GB2312" w:cs="仿宋_GB2312"/>
                <w:kern w:val="2"/>
                <w:sz w:val="21"/>
                <w:szCs w:val="22"/>
                <w:lang w:val="en-US" w:eastAsia="zh-CN" w:bidi="ar-SA"/>
              </w:rPr>
            </w:pPr>
            <w:r>
              <w:rPr>
                <w:rFonts w:hint="eastAsia" w:ascii="仿宋_GB2312" w:hAnsi="仿宋_GB2312" w:eastAsia="仿宋_GB2312" w:cs="仿宋_GB2312"/>
              </w:rPr>
              <w:t>城乡社区支出</w:t>
            </w:r>
          </w:p>
        </w:tc>
        <w:tc>
          <w:tcPr>
            <w:tcW w:w="726" w:type="pct"/>
            <w:tcBorders>
              <w:top w:val="single" w:color="auto" w:sz="4" w:space="0"/>
              <w:left w:val="single" w:color="auto" w:sz="4" w:space="0"/>
              <w:bottom w:val="single" w:color="auto" w:sz="4" w:space="0"/>
              <w:right w:val="single" w:color="auto" w:sz="4" w:space="0"/>
            </w:tcBorders>
          </w:tcPr>
          <w:p w14:paraId="2C69369A">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2935.47</w:t>
            </w:r>
          </w:p>
        </w:tc>
        <w:tc>
          <w:tcPr>
            <w:tcW w:w="611" w:type="pct"/>
            <w:tcBorders>
              <w:top w:val="single" w:color="auto" w:sz="4" w:space="0"/>
              <w:left w:val="single" w:color="auto" w:sz="4" w:space="0"/>
              <w:bottom w:val="single" w:color="auto" w:sz="4" w:space="0"/>
              <w:right w:val="single" w:color="auto" w:sz="4" w:space="0"/>
            </w:tcBorders>
          </w:tcPr>
          <w:p w14:paraId="722B4A7A">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ascii="Times New Roman" w:hAnsi="Times New Roman" w:eastAsia="仿宋_GB2312" w:cs="Times New Roman"/>
                <w:kern w:val="0"/>
                <w:sz w:val="24"/>
                <w:szCs w:val="24"/>
              </w:rPr>
            </w:pPr>
          </w:p>
        </w:tc>
        <w:tc>
          <w:tcPr>
            <w:tcW w:w="551" w:type="pct"/>
            <w:tcBorders>
              <w:top w:val="single" w:color="auto" w:sz="4" w:space="0"/>
              <w:left w:val="single" w:color="auto" w:sz="4" w:space="0"/>
              <w:bottom w:val="single" w:color="auto" w:sz="4" w:space="0"/>
              <w:right w:val="single" w:color="auto" w:sz="4" w:space="0"/>
            </w:tcBorders>
          </w:tcPr>
          <w:p w14:paraId="3CB07C0E">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2935.47</w:t>
            </w:r>
          </w:p>
        </w:tc>
        <w:tc>
          <w:tcPr>
            <w:tcW w:w="518" w:type="pct"/>
            <w:tcBorders>
              <w:top w:val="single" w:color="auto" w:sz="4" w:space="0"/>
              <w:left w:val="single" w:color="auto" w:sz="4" w:space="0"/>
              <w:bottom w:val="single" w:color="auto" w:sz="4" w:space="0"/>
              <w:right w:val="single" w:color="auto" w:sz="4" w:space="0"/>
            </w:tcBorders>
          </w:tcPr>
          <w:p w14:paraId="58990971">
            <w:pPr>
              <w:keepNext w:val="0"/>
              <w:keepLines w:val="0"/>
              <w:pageBreakBefore w:val="0"/>
              <w:widowControl/>
              <w:kinsoku/>
              <w:wordWrap/>
              <w:overflowPunct/>
              <w:topLinePunct w:val="0"/>
              <w:autoSpaceDE/>
              <w:autoSpaceDN/>
              <w:bidi w:val="0"/>
              <w:adjustRightInd/>
              <w:snapToGrid/>
              <w:spacing w:line="280" w:lineRule="exact"/>
              <w:jc w:val="right"/>
              <w:textAlignment w:val="auto"/>
              <w:rPr>
                <w:rFonts w:ascii="Times New Roman" w:hAnsi="Times New Roman" w:eastAsia="仿宋_GB2312" w:cs="Times New Roman"/>
                <w:kern w:val="0"/>
                <w:sz w:val="24"/>
                <w:szCs w:val="24"/>
              </w:rPr>
            </w:pPr>
          </w:p>
        </w:tc>
        <w:tc>
          <w:tcPr>
            <w:tcW w:w="453" w:type="pct"/>
            <w:tcBorders>
              <w:top w:val="single" w:color="auto" w:sz="4" w:space="0"/>
              <w:left w:val="single" w:color="auto" w:sz="4" w:space="0"/>
              <w:bottom w:val="single" w:color="auto" w:sz="4" w:space="0"/>
              <w:right w:val="single" w:color="auto" w:sz="4" w:space="0"/>
            </w:tcBorders>
          </w:tcPr>
          <w:p w14:paraId="0BB10139">
            <w:pPr>
              <w:keepNext w:val="0"/>
              <w:keepLines w:val="0"/>
              <w:pageBreakBefore w:val="0"/>
              <w:widowControl/>
              <w:kinsoku/>
              <w:wordWrap/>
              <w:overflowPunct/>
              <w:topLinePunct w:val="0"/>
              <w:autoSpaceDE/>
              <w:autoSpaceDN/>
              <w:bidi w:val="0"/>
              <w:adjustRightInd/>
              <w:snapToGrid/>
              <w:spacing w:line="280" w:lineRule="exact"/>
              <w:jc w:val="right"/>
              <w:textAlignment w:val="auto"/>
              <w:rPr>
                <w:rFonts w:ascii="Times New Roman" w:hAnsi="Times New Roman" w:eastAsia="仿宋_GB2312" w:cs="Times New Roman"/>
                <w:kern w:val="0"/>
                <w:sz w:val="24"/>
                <w:szCs w:val="24"/>
              </w:rPr>
            </w:pPr>
          </w:p>
        </w:tc>
        <w:tc>
          <w:tcPr>
            <w:tcW w:w="473" w:type="pct"/>
            <w:tcBorders>
              <w:top w:val="single" w:color="auto" w:sz="4" w:space="0"/>
              <w:left w:val="single" w:color="auto" w:sz="4" w:space="0"/>
              <w:bottom w:val="single" w:color="auto" w:sz="4" w:space="0"/>
              <w:right w:val="single" w:color="auto" w:sz="4" w:space="0"/>
            </w:tcBorders>
          </w:tcPr>
          <w:p w14:paraId="3E1B9C15">
            <w:pPr>
              <w:keepNext w:val="0"/>
              <w:keepLines w:val="0"/>
              <w:pageBreakBefore w:val="0"/>
              <w:widowControl/>
              <w:kinsoku/>
              <w:wordWrap/>
              <w:overflowPunct/>
              <w:topLinePunct w:val="0"/>
              <w:autoSpaceDE/>
              <w:autoSpaceDN/>
              <w:bidi w:val="0"/>
              <w:adjustRightInd/>
              <w:snapToGrid/>
              <w:spacing w:line="280" w:lineRule="exact"/>
              <w:jc w:val="right"/>
              <w:textAlignment w:val="auto"/>
              <w:rPr>
                <w:rFonts w:ascii="Times New Roman" w:hAnsi="Times New Roman" w:eastAsia="仿宋_GB2312" w:cs="Times New Roman"/>
                <w:kern w:val="0"/>
                <w:sz w:val="24"/>
                <w:szCs w:val="24"/>
              </w:rPr>
            </w:pPr>
          </w:p>
        </w:tc>
      </w:tr>
      <w:tr w14:paraId="77B89A39">
        <w:tblPrEx>
          <w:tblCellMar>
            <w:top w:w="0" w:type="dxa"/>
            <w:left w:w="108" w:type="dxa"/>
            <w:bottom w:w="0" w:type="dxa"/>
            <w:right w:w="108" w:type="dxa"/>
          </w:tblCellMar>
        </w:tblPrEx>
        <w:trPr>
          <w:trHeight w:val="595" w:hRule="atLeast"/>
          <w:jc w:val="center"/>
        </w:trPr>
        <w:tc>
          <w:tcPr>
            <w:tcW w:w="648" w:type="pct"/>
            <w:tcBorders>
              <w:top w:val="single" w:color="auto" w:sz="4" w:space="0"/>
              <w:left w:val="single" w:color="auto" w:sz="4" w:space="0"/>
              <w:bottom w:val="single" w:color="auto" w:sz="4" w:space="0"/>
              <w:right w:val="single" w:color="auto" w:sz="4" w:space="0"/>
            </w:tcBorders>
            <w:shd w:val="clear" w:color="000000" w:fill="FFFFFF"/>
            <w:vAlign w:val="center"/>
          </w:tcPr>
          <w:p w14:paraId="1C0D2A2A">
            <w:pPr>
              <w:keepNext w:val="0"/>
              <w:keepLines w:val="0"/>
              <w:pageBreakBefore w:val="0"/>
              <w:kinsoku/>
              <w:wordWrap/>
              <w:overflowPunct/>
              <w:topLinePunct w:val="0"/>
              <w:autoSpaceDE/>
              <w:autoSpaceDN/>
              <w:bidi w:val="0"/>
              <w:adjustRightInd/>
              <w:snapToGrid/>
              <w:spacing w:line="280" w:lineRule="exact"/>
              <w:textAlignment w:val="auto"/>
              <w:rPr>
                <w:rFonts w:hint="eastAsia" w:ascii="仿宋_GB2312" w:hAnsi="仿宋_GB2312" w:eastAsia="仿宋_GB2312" w:cs="仿宋_GB2312"/>
                <w:kern w:val="2"/>
                <w:sz w:val="21"/>
                <w:szCs w:val="22"/>
                <w:lang w:val="en-US" w:eastAsia="zh-CN" w:bidi="ar-SA"/>
              </w:rPr>
            </w:pPr>
            <w:r>
              <w:rPr>
                <w:rFonts w:hint="eastAsia" w:ascii="仿宋_GB2312" w:hAnsi="仿宋_GB2312" w:eastAsia="仿宋_GB2312" w:cs="仿宋_GB2312"/>
              </w:rPr>
              <w:t>21208</w:t>
            </w:r>
          </w:p>
        </w:tc>
        <w:tc>
          <w:tcPr>
            <w:tcW w:w="1016" w:type="pct"/>
            <w:tcBorders>
              <w:top w:val="single" w:color="auto" w:sz="4" w:space="0"/>
              <w:left w:val="single" w:color="auto" w:sz="4" w:space="0"/>
              <w:bottom w:val="single" w:color="auto" w:sz="4" w:space="0"/>
              <w:right w:val="single" w:color="auto" w:sz="4" w:space="0"/>
            </w:tcBorders>
            <w:shd w:val="clear" w:color="000000" w:fill="FFFFFF"/>
            <w:vAlign w:val="center"/>
          </w:tcPr>
          <w:p w14:paraId="69F66E2B">
            <w:pPr>
              <w:keepNext w:val="0"/>
              <w:keepLines w:val="0"/>
              <w:pageBreakBefore w:val="0"/>
              <w:kinsoku/>
              <w:wordWrap/>
              <w:overflowPunct/>
              <w:topLinePunct w:val="0"/>
              <w:autoSpaceDE/>
              <w:autoSpaceDN/>
              <w:bidi w:val="0"/>
              <w:adjustRightInd/>
              <w:snapToGrid/>
              <w:spacing w:line="280" w:lineRule="exact"/>
              <w:jc w:val="left"/>
              <w:textAlignment w:val="auto"/>
              <w:rPr>
                <w:rFonts w:hint="eastAsia" w:ascii="仿宋_GB2312" w:hAnsi="仿宋_GB2312" w:eastAsia="仿宋_GB2312" w:cs="仿宋_GB2312"/>
                <w:kern w:val="2"/>
                <w:sz w:val="21"/>
                <w:szCs w:val="22"/>
                <w:lang w:val="en-US" w:eastAsia="zh-CN" w:bidi="ar-SA"/>
              </w:rPr>
            </w:pPr>
            <w:r>
              <w:rPr>
                <w:rFonts w:hint="eastAsia" w:ascii="仿宋_GB2312" w:hAnsi="仿宋_GB2312" w:eastAsia="仿宋_GB2312" w:cs="仿宋_GB2312"/>
              </w:rPr>
              <w:t>国有土地使用权出让收入安排的支出</w:t>
            </w:r>
          </w:p>
        </w:tc>
        <w:tc>
          <w:tcPr>
            <w:tcW w:w="726" w:type="pct"/>
            <w:tcBorders>
              <w:top w:val="single" w:color="auto" w:sz="4" w:space="0"/>
              <w:left w:val="single" w:color="auto" w:sz="4" w:space="0"/>
              <w:bottom w:val="single" w:color="auto" w:sz="4" w:space="0"/>
              <w:right w:val="single" w:color="auto" w:sz="4" w:space="0"/>
            </w:tcBorders>
          </w:tcPr>
          <w:p w14:paraId="08CF3288">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2935.47</w:t>
            </w:r>
          </w:p>
        </w:tc>
        <w:tc>
          <w:tcPr>
            <w:tcW w:w="611" w:type="pct"/>
            <w:tcBorders>
              <w:top w:val="single" w:color="auto" w:sz="4" w:space="0"/>
              <w:left w:val="single" w:color="auto" w:sz="4" w:space="0"/>
              <w:bottom w:val="single" w:color="auto" w:sz="4" w:space="0"/>
              <w:right w:val="single" w:color="auto" w:sz="4" w:space="0"/>
            </w:tcBorders>
          </w:tcPr>
          <w:p w14:paraId="5DE697E4">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ascii="Times New Roman" w:hAnsi="Times New Roman" w:eastAsia="仿宋_GB2312" w:cs="Times New Roman"/>
                <w:kern w:val="0"/>
                <w:sz w:val="24"/>
                <w:szCs w:val="24"/>
              </w:rPr>
            </w:pPr>
          </w:p>
        </w:tc>
        <w:tc>
          <w:tcPr>
            <w:tcW w:w="551" w:type="pct"/>
            <w:tcBorders>
              <w:top w:val="single" w:color="auto" w:sz="4" w:space="0"/>
              <w:left w:val="single" w:color="auto" w:sz="4" w:space="0"/>
              <w:bottom w:val="single" w:color="auto" w:sz="4" w:space="0"/>
              <w:right w:val="single" w:color="auto" w:sz="4" w:space="0"/>
            </w:tcBorders>
          </w:tcPr>
          <w:p w14:paraId="5831406A">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2935.47</w:t>
            </w:r>
          </w:p>
        </w:tc>
        <w:tc>
          <w:tcPr>
            <w:tcW w:w="518" w:type="pct"/>
            <w:tcBorders>
              <w:top w:val="single" w:color="auto" w:sz="4" w:space="0"/>
              <w:left w:val="single" w:color="auto" w:sz="4" w:space="0"/>
              <w:bottom w:val="single" w:color="auto" w:sz="4" w:space="0"/>
              <w:right w:val="single" w:color="auto" w:sz="4" w:space="0"/>
            </w:tcBorders>
          </w:tcPr>
          <w:p w14:paraId="511F2C4C">
            <w:pPr>
              <w:keepNext w:val="0"/>
              <w:keepLines w:val="0"/>
              <w:pageBreakBefore w:val="0"/>
              <w:widowControl/>
              <w:kinsoku/>
              <w:wordWrap/>
              <w:overflowPunct/>
              <w:topLinePunct w:val="0"/>
              <w:autoSpaceDE/>
              <w:autoSpaceDN/>
              <w:bidi w:val="0"/>
              <w:adjustRightInd/>
              <w:snapToGrid/>
              <w:spacing w:line="280" w:lineRule="exact"/>
              <w:jc w:val="right"/>
              <w:textAlignment w:val="auto"/>
              <w:rPr>
                <w:rFonts w:ascii="Times New Roman" w:hAnsi="Times New Roman" w:eastAsia="仿宋_GB2312" w:cs="Times New Roman"/>
                <w:kern w:val="0"/>
                <w:sz w:val="24"/>
                <w:szCs w:val="24"/>
              </w:rPr>
            </w:pPr>
          </w:p>
        </w:tc>
        <w:tc>
          <w:tcPr>
            <w:tcW w:w="453" w:type="pct"/>
            <w:tcBorders>
              <w:top w:val="single" w:color="auto" w:sz="4" w:space="0"/>
              <w:left w:val="single" w:color="auto" w:sz="4" w:space="0"/>
              <w:bottom w:val="single" w:color="auto" w:sz="4" w:space="0"/>
              <w:right w:val="single" w:color="auto" w:sz="4" w:space="0"/>
            </w:tcBorders>
          </w:tcPr>
          <w:p w14:paraId="6A00C342">
            <w:pPr>
              <w:keepNext w:val="0"/>
              <w:keepLines w:val="0"/>
              <w:pageBreakBefore w:val="0"/>
              <w:widowControl/>
              <w:kinsoku/>
              <w:wordWrap/>
              <w:overflowPunct/>
              <w:topLinePunct w:val="0"/>
              <w:autoSpaceDE/>
              <w:autoSpaceDN/>
              <w:bidi w:val="0"/>
              <w:adjustRightInd/>
              <w:snapToGrid/>
              <w:spacing w:line="280" w:lineRule="exact"/>
              <w:jc w:val="right"/>
              <w:textAlignment w:val="auto"/>
              <w:rPr>
                <w:rFonts w:ascii="Times New Roman" w:hAnsi="Times New Roman" w:eastAsia="仿宋_GB2312" w:cs="Times New Roman"/>
                <w:kern w:val="0"/>
                <w:sz w:val="24"/>
                <w:szCs w:val="24"/>
              </w:rPr>
            </w:pPr>
          </w:p>
        </w:tc>
        <w:tc>
          <w:tcPr>
            <w:tcW w:w="473" w:type="pct"/>
            <w:tcBorders>
              <w:top w:val="single" w:color="auto" w:sz="4" w:space="0"/>
              <w:left w:val="single" w:color="auto" w:sz="4" w:space="0"/>
              <w:bottom w:val="single" w:color="auto" w:sz="4" w:space="0"/>
              <w:right w:val="single" w:color="auto" w:sz="4" w:space="0"/>
            </w:tcBorders>
          </w:tcPr>
          <w:p w14:paraId="3FBA3092">
            <w:pPr>
              <w:keepNext w:val="0"/>
              <w:keepLines w:val="0"/>
              <w:pageBreakBefore w:val="0"/>
              <w:widowControl/>
              <w:kinsoku/>
              <w:wordWrap/>
              <w:overflowPunct/>
              <w:topLinePunct w:val="0"/>
              <w:autoSpaceDE/>
              <w:autoSpaceDN/>
              <w:bidi w:val="0"/>
              <w:adjustRightInd/>
              <w:snapToGrid/>
              <w:spacing w:line="280" w:lineRule="exact"/>
              <w:jc w:val="right"/>
              <w:textAlignment w:val="auto"/>
              <w:rPr>
                <w:rFonts w:ascii="Times New Roman" w:hAnsi="Times New Roman" w:eastAsia="仿宋_GB2312" w:cs="Times New Roman"/>
                <w:kern w:val="0"/>
                <w:sz w:val="24"/>
                <w:szCs w:val="24"/>
              </w:rPr>
            </w:pPr>
          </w:p>
        </w:tc>
      </w:tr>
      <w:tr w14:paraId="75C93D1E">
        <w:tblPrEx>
          <w:tblCellMar>
            <w:top w:w="0" w:type="dxa"/>
            <w:left w:w="108" w:type="dxa"/>
            <w:bottom w:w="0" w:type="dxa"/>
            <w:right w:w="108" w:type="dxa"/>
          </w:tblCellMar>
        </w:tblPrEx>
        <w:trPr>
          <w:trHeight w:val="595" w:hRule="atLeast"/>
          <w:jc w:val="center"/>
        </w:trPr>
        <w:tc>
          <w:tcPr>
            <w:tcW w:w="648" w:type="pct"/>
            <w:tcBorders>
              <w:top w:val="single" w:color="auto" w:sz="4" w:space="0"/>
              <w:left w:val="single" w:color="auto" w:sz="4" w:space="0"/>
              <w:bottom w:val="single" w:color="auto" w:sz="4" w:space="0"/>
              <w:right w:val="single" w:color="auto" w:sz="4" w:space="0"/>
            </w:tcBorders>
            <w:shd w:val="clear" w:color="000000" w:fill="FFFFFF"/>
            <w:vAlign w:val="center"/>
          </w:tcPr>
          <w:p w14:paraId="069D8052">
            <w:pPr>
              <w:keepNext w:val="0"/>
              <w:keepLines w:val="0"/>
              <w:pageBreakBefore w:val="0"/>
              <w:kinsoku/>
              <w:wordWrap/>
              <w:overflowPunct/>
              <w:topLinePunct w:val="0"/>
              <w:autoSpaceDE/>
              <w:autoSpaceDN/>
              <w:bidi w:val="0"/>
              <w:adjustRightInd/>
              <w:snapToGrid/>
              <w:spacing w:line="280" w:lineRule="exact"/>
              <w:textAlignment w:val="auto"/>
              <w:rPr>
                <w:rFonts w:hint="default" w:ascii="仿宋_GB2312" w:hAnsi="仿宋_GB2312" w:eastAsia="仿宋_GB2312" w:cs="仿宋_GB2312"/>
                <w:kern w:val="2"/>
                <w:sz w:val="21"/>
                <w:szCs w:val="22"/>
                <w:lang w:val="en-US" w:eastAsia="zh-CN" w:bidi="ar-SA"/>
              </w:rPr>
            </w:pPr>
            <w:r>
              <w:rPr>
                <w:rFonts w:hint="eastAsia" w:ascii="仿宋_GB2312" w:hAnsi="仿宋_GB2312" w:eastAsia="仿宋_GB2312" w:cs="仿宋_GB2312"/>
              </w:rPr>
              <w:t>21208</w:t>
            </w:r>
            <w:r>
              <w:rPr>
                <w:rFonts w:hint="eastAsia" w:ascii="仿宋_GB2312" w:hAnsi="仿宋_GB2312" w:eastAsia="仿宋_GB2312" w:cs="仿宋_GB2312"/>
                <w:lang w:val="en-US" w:eastAsia="zh-CN"/>
              </w:rPr>
              <w:t>14</w:t>
            </w:r>
          </w:p>
        </w:tc>
        <w:tc>
          <w:tcPr>
            <w:tcW w:w="1016" w:type="pct"/>
            <w:tcBorders>
              <w:top w:val="single" w:color="auto" w:sz="4" w:space="0"/>
              <w:left w:val="single" w:color="auto" w:sz="4" w:space="0"/>
              <w:bottom w:val="single" w:color="auto" w:sz="4" w:space="0"/>
              <w:right w:val="single" w:color="auto" w:sz="4" w:space="0"/>
            </w:tcBorders>
            <w:shd w:val="clear" w:color="000000" w:fill="FFFFFF"/>
            <w:vAlign w:val="center"/>
          </w:tcPr>
          <w:p w14:paraId="64A78BE9">
            <w:pPr>
              <w:keepNext w:val="0"/>
              <w:keepLines w:val="0"/>
              <w:pageBreakBefore w:val="0"/>
              <w:kinsoku/>
              <w:wordWrap/>
              <w:overflowPunct/>
              <w:topLinePunct w:val="0"/>
              <w:autoSpaceDE/>
              <w:autoSpaceDN/>
              <w:bidi w:val="0"/>
              <w:adjustRightInd/>
              <w:snapToGrid/>
              <w:spacing w:line="280" w:lineRule="exact"/>
              <w:textAlignment w:val="auto"/>
              <w:rPr>
                <w:rFonts w:hint="eastAsia" w:ascii="仿宋_GB2312" w:hAnsi="仿宋_GB2312" w:eastAsia="仿宋_GB2312" w:cs="仿宋_GB2312"/>
                <w:kern w:val="2"/>
                <w:sz w:val="21"/>
                <w:szCs w:val="22"/>
                <w:lang w:val="en-US" w:eastAsia="zh-CN" w:bidi="ar-SA"/>
              </w:rPr>
            </w:pPr>
            <w:r>
              <w:rPr>
                <w:rFonts w:hint="eastAsia" w:ascii="仿宋_GB2312" w:hAnsi="仿宋_GB2312" w:eastAsia="仿宋_GB2312" w:cs="仿宋_GB2312"/>
              </w:rPr>
              <w:t>农业生产发展支出</w:t>
            </w:r>
          </w:p>
        </w:tc>
        <w:tc>
          <w:tcPr>
            <w:tcW w:w="726" w:type="pct"/>
            <w:tcBorders>
              <w:top w:val="single" w:color="auto" w:sz="4" w:space="0"/>
              <w:left w:val="single" w:color="auto" w:sz="4" w:space="0"/>
              <w:bottom w:val="single" w:color="auto" w:sz="4" w:space="0"/>
              <w:right w:val="single" w:color="auto" w:sz="4" w:space="0"/>
            </w:tcBorders>
          </w:tcPr>
          <w:p w14:paraId="676D4AAB">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2449.98</w:t>
            </w:r>
          </w:p>
        </w:tc>
        <w:tc>
          <w:tcPr>
            <w:tcW w:w="611" w:type="pct"/>
            <w:tcBorders>
              <w:top w:val="single" w:color="auto" w:sz="4" w:space="0"/>
              <w:left w:val="single" w:color="auto" w:sz="4" w:space="0"/>
              <w:bottom w:val="single" w:color="auto" w:sz="4" w:space="0"/>
              <w:right w:val="single" w:color="auto" w:sz="4" w:space="0"/>
            </w:tcBorders>
          </w:tcPr>
          <w:p w14:paraId="1859CEF1">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ascii="Times New Roman" w:hAnsi="Times New Roman" w:eastAsia="仿宋_GB2312" w:cs="Times New Roman"/>
                <w:kern w:val="0"/>
                <w:sz w:val="24"/>
                <w:szCs w:val="24"/>
              </w:rPr>
            </w:pPr>
          </w:p>
        </w:tc>
        <w:tc>
          <w:tcPr>
            <w:tcW w:w="551" w:type="pct"/>
            <w:tcBorders>
              <w:top w:val="single" w:color="auto" w:sz="4" w:space="0"/>
              <w:left w:val="single" w:color="auto" w:sz="4" w:space="0"/>
              <w:bottom w:val="single" w:color="auto" w:sz="4" w:space="0"/>
              <w:right w:val="single" w:color="auto" w:sz="4" w:space="0"/>
            </w:tcBorders>
          </w:tcPr>
          <w:p w14:paraId="6170AB36">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2449.98</w:t>
            </w:r>
          </w:p>
        </w:tc>
        <w:tc>
          <w:tcPr>
            <w:tcW w:w="518" w:type="pct"/>
            <w:tcBorders>
              <w:top w:val="single" w:color="auto" w:sz="4" w:space="0"/>
              <w:left w:val="single" w:color="auto" w:sz="4" w:space="0"/>
              <w:bottom w:val="single" w:color="auto" w:sz="4" w:space="0"/>
              <w:right w:val="single" w:color="auto" w:sz="4" w:space="0"/>
            </w:tcBorders>
          </w:tcPr>
          <w:p w14:paraId="4AC07950">
            <w:pPr>
              <w:keepNext w:val="0"/>
              <w:keepLines w:val="0"/>
              <w:pageBreakBefore w:val="0"/>
              <w:widowControl/>
              <w:kinsoku/>
              <w:wordWrap/>
              <w:overflowPunct/>
              <w:topLinePunct w:val="0"/>
              <w:autoSpaceDE/>
              <w:autoSpaceDN/>
              <w:bidi w:val="0"/>
              <w:adjustRightInd/>
              <w:snapToGrid/>
              <w:spacing w:line="280" w:lineRule="exact"/>
              <w:jc w:val="right"/>
              <w:textAlignment w:val="auto"/>
              <w:rPr>
                <w:rFonts w:ascii="Times New Roman" w:hAnsi="Times New Roman" w:eastAsia="仿宋_GB2312" w:cs="Times New Roman"/>
                <w:kern w:val="0"/>
                <w:sz w:val="24"/>
                <w:szCs w:val="24"/>
              </w:rPr>
            </w:pPr>
          </w:p>
        </w:tc>
        <w:tc>
          <w:tcPr>
            <w:tcW w:w="453" w:type="pct"/>
            <w:tcBorders>
              <w:top w:val="single" w:color="auto" w:sz="4" w:space="0"/>
              <w:left w:val="single" w:color="auto" w:sz="4" w:space="0"/>
              <w:bottom w:val="single" w:color="auto" w:sz="4" w:space="0"/>
              <w:right w:val="single" w:color="auto" w:sz="4" w:space="0"/>
            </w:tcBorders>
          </w:tcPr>
          <w:p w14:paraId="779FF1AE">
            <w:pPr>
              <w:keepNext w:val="0"/>
              <w:keepLines w:val="0"/>
              <w:pageBreakBefore w:val="0"/>
              <w:widowControl/>
              <w:kinsoku/>
              <w:wordWrap/>
              <w:overflowPunct/>
              <w:topLinePunct w:val="0"/>
              <w:autoSpaceDE/>
              <w:autoSpaceDN/>
              <w:bidi w:val="0"/>
              <w:adjustRightInd/>
              <w:snapToGrid/>
              <w:spacing w:line="280" w:lineRule="exact"/>
              <w:jc w:val="right"/>
              <w:textAlignment w:val="auto"/>
              <w:rPr>
                <w:rFonts w:ascii="Times New Roman" w:hAnsi="Times New Roman" w:eastAsia="仿宋_GB2312" w:cs="Times New Roman"/>
                <w:kern w:val="0"/>
                <w:sz w:val="24"/>
                <w:szCs w:val="24"/>
              </w:rPr>
            </w:pPr>
          </w:p>
        </w:tc>
        <w:tc>
          <w:tcPr>
            <w:tcW w:w="473" w:type="pct"/>
            <w:tcBorders>
              <w:top w:val="single" w:color="auto" w:sz="4" w:space="0"/>
              <w:left w:val="single" w:color="auto" w:sz="4" w:space="0"/>
              <w:bottom w:val="single" w:color="auto" w:sz="4" w:space="0"/>
              <w:right w:val="single" w:color="auto" w:sz="4" w:space="0"/>
            </w:tcBorders>
          </w:tcPr>
          <w:p w14:paraId="57CA0134">
            <w:pPr>
              <w:keepNext w:val="0"/>
              <w:keepLines w:val="0"/>
              <w:pageBreakBefore w:val="0"/>
              <w:widowControl/>
              <w:kinsoku/>
              <w:wordWrap/>
              <w:overflowPunct/>
              <w:topLinePunct w:val="0"/>
              <w:autoSpaceDE/>
              <w:autoSpaceDN/>
              <w:bidi w:val="0"/>
              <w:adjustRightInd/>
              <w:snapToGrid/>
              <w:spacing w:line="280" w:lineRule="exact"/>
              <w:jc w:val="right"/>
              <w:textAlignment w:val="auto"/>
              <w:rPr>
                <w:rFonts w:ascii="Times New Roman" w:hAnsi="Times New Roman" w:eastAsia="仿宋_GB2312" w:cs="Times New Roman"/>
                <w:kern w:val="0"/>
                <w:sz w:val="24"/>
                <w:szCs w:val="24"/>
              </w:rPr>
            </w:pPr>
          </w:p>
        </w:tc>
      </w:tr>
      <w:tr w14:paraId="332A8C86">
        <w:tblPrEx>
          <w:tblCellMar>
            <w:top w:w="0" w:type="dxa"/>
            <w:left w:w="108" w:type="dxa"/>
            <w:bottom w:w="0" w:type="dxa"/>
            <w:right w:w="108" w:type="dxa"/>
          </w:tblCellMar>
        </w:tblPrEx>
        <w:trPr>
          <w:trHeight w:val="595" w:hRule="atLeast"/>
          <w:jc w:val="center"/>
        </w:trPr>
        <w:tc>
          <w:tcPr>
            <w:tcW w:w="648" w:type="pct"/>
            <w:tcBorders>
              <w:top w:val="single" w:color="auto" w:sz="4" w:space="0"/>
              <w:left w:val="single" w:color="auto" w:sz="4" w:space="0"/>
              <w:bottom w:val="single" w:color="auto" w:sz="4" w:space="0"/>
              <w:right w:val="single" w:color="auto" w:sz="4" w:space="0"/>
            </w:tcBorders>
            <w:shd w:val="clear" w:color="000000" w:fill="FFFFFF"/>
            <w:vAlign w:val="center"/>
          </w:tcPr>
          <w:p w14:paraId="50483B65">
            <w:pPr>
              <w:keepNext w:val="0"/>
              <w:keepLines w:val="0"/>
              <w:pageBreakBefore w:val="0"/>
              <w:kinsoku/>
              <w:wordWrap/>
              <w:overflowPunct/>
              <w:topLinePunct w:val="0"/>
              <w:autoSpaceDE/>
              <w:autoSpaceDN/>
              <w:bidi w:val="0"/>
              <w:adjustRightInd/>
              <w:snapToGrid/>
              <w:spacing w:line="280" w:lineRule="exact"/>
              <w:textAlignment w:val="auto"/>
              <w:rPr>
                <w:rFonts w:hint="default" w:ascii="仿宋_GB2312" w:hAnsi="仿宋_GB2312" w:eastAsia="仿宋_GB2312" w:cs="仿宋_GB2312"/>
                <w:kern w:val="2"/>
                <w:sz w:val="21"/>
                <w:szCs w:val="22"/>
                <w:lang w:val="en-US" w:eastAsia="zh-CN" w:bidi="ar-SA"/>
              </w:rPr>
            </w:pPr>
            <w:r>
              <w:rPr>
                <w:rFonts w:hint="eastAsia" w:ascii="仿宋_GB2312" w:hAnsi="仿宋_GB2312" w:eastAsia="仿宋_GB2312" w:cs="仿宋_GB2312"/>
              </w:rPr>
              <w:t>212</w:t>
            </w:r>
            <w:r>
              <w:rPr>
                <w:rFonts w:hint="eastAsia" w:ascii="仿宋_GB2312" w:hAnsi="仿宋_GB2312" w:eastAsia="仿宋_GB2312" w:cs="仿宋_GB2312"/>
                <w:lang w:val="en-US" w:eastAsia="zh-CN"/>
              </w:rPr>
              <w:t>0899</w:t>
            </w:r>
          </w:p>
        </w:tc>
        <w:tc>
          <w:tcPr>
            <w:tcW w:w="1016" w:type="pct"/>
            <w:tcBorders>
              <w:top w:val="single" w:color="auto" w:sz="4" w:space="0"/>
              <w:left w:val="single" w:color="auto" w:sz="4" w:space="0"/>
              <w:bottom w:val="single" w:color="auto" w:sz="4" w:space="0"/>
              <w:right w:val="single" w:color="auto" w:sz="4" w:space="0"/>
            </w:tcBorders>
            <w:shd w:val="clear" w:color="000000" w:fill="FFFFFF"/>
            <w:vAlign w:val="center"/>
          </w:tcPr>
          <w:p w14:paraId="70FFED1A">
            <w:pPr>
              <w:keepNext w:val="0"/>
              <w:keepLines w:val="0"/>
              <w:pageBreakBefore w:val="0"/>
              <w:kinsoku/>
              <w:wordWrap/>
              <w:overflowPunct/>
              <w:topLinePunct w:val="0"/>
              <w:autoSpaceDE/>
              <w:autoSpaceDN/>
              <w:bidi w:val="0"/>
              <w:adjustRightInd/>
              <w:snapToGrid/>
              <w:spacing w:line="280" w:lineRule="exact"/>
              <w:textAlignment w:val="auto"/>
              <w:rPr>
                <w:rFonts w:hint="eastAsia" w:ascii="仿宋_GB2312" w:hAnsi="仿宋_GB2312" w:eastAsia="仿宋_GB2312" w:cs="仿宋_GB2312"/>
                <w:kern w:val="2"/>
                <w:sz w:val="21"/>
                <w:szCs w:val="22"/>
                <w:lang w:val="en-US" w:eastAsia="zh-CN" w:bidi="ar-SA"/>
              </w:rPr>
            </w:pPr>
            <w:r>
              <w:rPr>
                <w:rFonts w:hint="eastAsia" w:ascii="仿宋_GB2312" w:hAnsi="仿宋_GB2312" w:eastAsia="仿宋_GB2312" w:cs="仿宋_GB2312"/>
                <w:lang w:eastAsia="zh-CN"/>
              </w:rPr>
              <w:t>其他国有土地使用权出让收入安排的</w:t>
            </w:r>
            <w:r>
              <w:rPr>
                <w:rFonts w:hint="eastAsia" w:ascii="仿宋_GB2312" w:hAnsi="仿宋_GB2312" w:eastAsia="仿宋_GB2312" w:cs="仿宋_GB2312"/>
              </w:rPr>
              <w:t>支出</w:t>
            </w:r>
          </w:p>
        </w:tc>
        <w:tc>
          <w:tcPr>
            <w:tcW w:w="726" w:type="pct"/>
            <w:tcBorders>
              <w:top w:val="single" w:color="auto" w:sz="4" w:space="0"/>
              <w:left w:val="single" w:color="auto" w:sz="4" w:space="0"/>
              <w:bottom w:val="single" w:color="auto" w:sz="4" w:space="0"/>
              <w:right w:val="single" w:color="auto" w:sz="4" w:space="0"/>
            </w:tcBorders>
          </w:tcPr>
          <w:p w14:paraId="0A792E72">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485.49</w:t>
            </w:r>
          </w:p>
        </w:tc>
        <w:tc>
          <w:tcPr>
            <w:tcW w:w="611" w:type="pct"/>
            <w:tcBorders>
              <w:top w:val="single" w:color="auto" w:sz="4" w:space="0"/>
              <w:left w:val="single" w:color="auto" w:sz="4" w:space="0"/>
              <w:bottom w:val="single" w:color="auto" w:sz="4" w:space="0"/>
              <w:right w:val="single" w:color="auto" w:sz="4" w:space="0"/>
            </w:tcBorders>
          </w:tcPr>
          <w:p w14:paraId="614A742E">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ascii="Times New Roman" w:hAnsi="Times New Roman" w:eastAsia="仿宋_GB2312" w:cs="Times New Roman"/>
                <w:kern w:val="0"/>
                <w:sz w:val="24"/>
                <w:szCs w:val="24"/>
              </w:rPr>
            </w:pPr>
          </w:p>
        </w:tc>
        <w:tc>
          <w:tcPr>
            <w:tcW w:w="551" w:type="pct"/>
            <w:tcBorders>
              <w:top w:val="single" w:color="auto" w:sz="4" w:space="0"/>
              <w:left w:val="single" w:color="auto" w:sz="4" w:space="0"/>
              <w:bottom w:val="single" w:color="auto" w:sz="4" w:space="0"/>
              <w:right w:val="single" w:color="auto" w:sz="4" w:space="0"/>
            </w:tcBorders>
          </w:tcPr>
          <w:p w14:paraId="4E373741">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485.49</w:t>
            </w:r>
          </w:p>
        </w:tc>
        <w:tc>
          <w:tcPr>
            <w:tcW w:w="518" w:type="pct"/>
            <w:tcBorders>
              <w:top w:val="single" w:color="auto" w:sz="4" w:space="0"/>
              <w:left w:val="single" w:color="auto" w:sz="4" w:space="0"/>
              <w:bottom w:val="single" w:color="auto" w:sz="4" w:space="0"/>
              <w:right w:val="single" w:color="auto" w:sz="4" w:space="0"/>
            </w:tcBorders>
          </w:tcPr>
          <w:p w14:paraId="258F6E78">
            <w:pPr>
              <w:keepNext w:val="0"/>
              <w:keepLines w:val="0"/>
              <w:pageBreakBefore w:val="0"/>
              <w:widowControl/>
              <w:kinsoku/>
              <w:wordWrap/>
              <w:overflowPunct/>
              <w:topLinePunct w:val="0"/>
              <w:autoSpaceDE/>
              <w:autoSpaceDN/>
              <w:bidi w:val="0"/>
              <w:adjustRightInd/>
              <w:snapToGrid/>
              <w:spacing w:line="280" w:lineRule="exact"/>
              <w:jc w:val="right"/>
              <w:textAlignment w:val="auto"/>
              <w:rPr>
                <w:rFonts w:ascii="Times New Roman" w:hAnsi="Times New Roman" w:eastAsia="仿宋_GB2312" w:cs="Times New Roman"/>
                <w:kern w:val="0"/>
                <w:sz w:val="24"/>
                <w:szCs w:val="24"/>
              </w:rPr>
            </w:pPr>
          </w:p>
        </w:tc>
        <w:tc>
          <w:tcPr>
            <w:tcW w:w="453" w:type="pct"/>
            <w:tcBorders>
              <w:top w:val="single" w:color="auto" w:sz="4" w:space="0"/>
              <w:left w:val="single" w:color="auto" w:sz="4" w:space="0"/>
              <w:bottom w:val="single" w:color="auto" w:sz="4" w:space="0"/>
              <w:right w:val="single" w:color="auto" w:sz="4" w:space="0"/>
            </w:tcBorders>
          </w:tcPr>
          <w:p w14:paraId="6759D143">
            <w:pPr>
              <w:keepNext w:val="0"/>
              <w:keepLines w:val="0"/>
              <w:pageBreakBefore w:val="0"/>
              <w:widowControl/>
              <w:kinsoku/>
              <w:wordWrap/>
              <w:overflowPunct/>
              <w:topLinePunct w:val="0"/>
              <w:autoSpaceDE/>
              <w:autoSpaceDN/>
              <w:bidi w:val="0"/>
              <w:adjustRightInd/>
              <w:snapToGrid/>
              <w:spacing w:line="280" w:lineRule="exact"/>
              <w:jc w:val="right"/>
              <w:textAlignment w:val="auto"/>
              <w:rPr>
                <w:rFonts w:ascii="Times New Roman" w:hAnsi="Times New Roman" w:eastAsia="仿宋_GB2312" w:cs="Times New Roman"/>
                <w:kern w:val="0"/>
                <w:sz w:val="24"/>
                <w:szCs w:val="24"/>
              </w:rPr>
            </w:pPr>
          </w:p>
        </w:tc>
        <w:tc>
          <w:tcPr>
            <w:tcW w:w="473" w:type="pct"/>
            <w:tcBorders>
              <w:top w:val="single" w:color="auto" w:sz="4" w:space="0"/>
              <w:left w:val="single" w:color="auto" w:sz="4" w:space="0"/>
              <w:bottom w:val="single" w:color="auto" w:sz="4" w:space="0"/>
              <w:right w:val="single" w:color="auto" w:sz="4" w:space="0"/>
            </w:tcBorders>
          </w:tcPr>
          <w:p w14:paraId="1A66F171">
            <w:pPr>
              <w:keepNext w:val="0"/>
              <w:keepLines w:val="0"/>
              <w:pageBreakBefore w:val="0"/>
              <w:widowControl/>
              <w:kinsoku/>
              <w:wordWrap/>
              <w:overflowPunct/>
              <w:topLinePunct w:val="0"/>
              <w:autoSpaceDE/>
              <w:autoSpaceDN/>
              <w:bidi w:val="0"/>
              <w:adjustRightInd/>
              <w:snapToGrid/>
              <w:spacing w:line="280" w:lineRule="exact"/>
              <w:jc w:val="right"/>
              <w:textAlignment w:val="auto"/>
              <w:rPr>
                <w:rFonts w:ascii="Times New Roman" w:hAnsi="Times New Roman" w:eastAsia="仿宋_GB2312" w:cs="Times New Roman"/>
                <w:kern w:val="0"/>
                <w:sz w:val="24"/>
                <w:szCs w:val="24"/>
              </w:rPr>
            </w:pPr>
          </w:p>
        </w:tc>
      </w:tr>
      <w:tr w14:paraId="068DAE49">
        <w:tblPrEx>
          <w:tblCellMar>
            <w:top w:w="0" w:type="dxa"/>
            <w:left w:w="108" w:type="dxa"/>
            <w:bottom w:w="0" w:type="dxa"/>
            <w:right w:w="108" w:type="dxa"/>
          </w:tblCellMar>
        </w:tblPrEx>
        <w:trPr>
          <w:trHeight w:val="595" w:hRule="atLeast"/>
          <w:jc w:val="center"/>
        </w:trPr>
        <w:tc>
          <w:tcPr>
            <w:tcW w:w="648" w:type="pct"/>
            <w:tcBorders>
              <w:top w:val="single" w:color="auto" w:sz="4" w:space="0"/>
              <w:left w:val="single" w:color="auto" w:sz="4" w:space="0"/>
              <w:bottom w:val="single" w:color="auto" w:sz="4" w:space="0"/>
              <w:right w:val="single" w:color="auto" w:sz="4" w:space="0"/>
            </w:tcBorders>
            <w:shd w:val="clear" w:color="000000" w:fill="FFFFFF"/>
            <w:vAlign w:val="center"/>
          </w:tcPr>
          <w:p w14:paraId="0D592457">
            <w:pPr>
              <w:keepNext w:val="0"/>
              <w:keepLines w:val="0"/>
              <w:pageBreakBefore w:val="0"/>
              <w:kinsoku/>
              <w:wordWrap/>
              <w:overflowPunct/>
              <w:topLinePunct w:val="0"/>
              <w:autoSpaceDE/>
              <w:autoSpaceDN/>
              <w:bidi w:val="0"/>
              <w:adjustRightInd/>
              <w:snapToGrid/>
              <w:spacing w:line="280" w:lineRule="exact"/>
              <w:textAlignment w:val="auto"/>
              <w:rPr>
                <w:rFonts w:hint="eastAsia" w:ascii="仿宋_GB2312" w:hAnsi="仿宋_GB2312" w:eastAsia="仿宋_GB2312" w:cs="仿宋_GB2312"/>
                <w:kern w:val="2"/>
                <w:sz w:val="21"/>
                <w:szCs w:val="22"/>
                <w:lang w:val="en-US" w:eastAsia="zh-CN" w:bidi="ar-SA"/>
              </w:rPr>
            </w:pPr>
            <w:r>
              <w:rPr>
                <w:rFonts w:hint="eastAsia" w:ascii="仿宋_GB2312" w:hAnsi="仿宋_GB2312" w:eastAsia="仿宋_GB2312" w:cs="仿宋_GB2312"/>
              </w:rPr>
              <w:t>213</w:t>
            </w:r>
          </w:p>
        </w:tc>
        <w:tc>
          <w:tcPr>
            <w:tcW w:w="1016" w:type="pct"/>
            <w:tcBorders>
              <w:top w:val="single" w:color="auto" w:sz="4" w:space="0"/>
              <w:left w:val="single" w:color="auto" w:sz="4" w:space="0"/>
              <w:bottom w:val="single" w:color="auto" w:sz="4" w:space="0"/>
              <w:right w:val="single" w:color="auto" w:sz="4" w:space="0"/>
            </w:tcBorders>
            <w:shd w:val="clear" w:color="000000" w:fill="FFFFFF"/>
            <w:vAlign w:val="center"/>
          </w:tcPr>
          <w:p w14:paraId="1BACB723">
            <w:pPr>
              <w:keepNext w:val="0"/>
              <w:keepLines w:val="0"/>
              <w:pageBreakBefore w:val="0"/>
              <w:kinsoku/>
              <w:wordWrap/>
              <w:overflowPunct/>
              <w:topLinePunct w:val="0"/>
              <w:autoSpaceDE/>
              <w:autoSpaceDN/>
              <w:bidi w:val="0"/>
              <w:adjustRightInd/>
              <w:snapToGrid/>
              <w:spacing w:line="280" w:lineRule="exact"/>
              <w:textAlignment w:val="auto"/>
              <w:rPr>
                <w:rFonts w:hint="eastAsia" w:ascii="仿宋_GB2312" w:hAnsi="仿宋_GB2312" w:eastAsia="仿宋_GB2312" w:cs="仿宋_GB2312"/>
                <w:kern w:val="2"/>
                <w:sz w:val="21"/>
                <w:szCs w:val="22"/>
                <w:lang w:val="en-US" w:eastAsia="zh-CN" w:bidi="ar-SA"/>
              </w:rPr>
            </w:pPr>
            <w:r>
              <w:rPr>
                <w:rFonts w:hint="eastAsia" w:ascii="仿宋_GB2312" w:hAnsi="仿宋_GB2312" w:eastAsia="仿宋_GB2312" w:cs="仿宋_GB2312"/>
              </w:rPr>
              <w:t>农林水支出</w:t>
            </w:r>
          </w:p>
        </w:tc>
        <w:tc>
          <w:tcPr>
            <w:tcW w:w="726" w:type="pct"/>
            <w:tcBorders>
              <w:top w:val="single" w:color="auto" w:sz="4" w:space="0"/>
              <w:left w:val="single" w:color="auto" w:sz="4" w:space="0"/>
              <w:bottom w:val="single" w:color="auto" w:sz="4" w:space="0"/>
              <w:right w:val="single" w:color="auto" w:sz="4" w:space="0"/>
            </w:tcBorders>
          </w:tcPr>
          <w:p w14:paraId="5116BA0F">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505.83</w:t>
            </w:r>
          </w:p>
        </w:tc>
        <w:tc>
          <w:tcPr>
            <w:tcW w:w="611" w:type="pct"/>
            <w:tcBorders>
              <w:top w:val="single" w:color="auto" w:sz="4" w:space="0"/>
              <w:left w:val="single" w:color="auto" w:sz="4" w:space="0"/>
              <w:bottom w:val="single" w:color="auto" w:sz="4" w:space="0"/>
              <w:right w:val="single" w:color="auto" w:sz="4" w:space="0"/>
            </w:tcBorders>
          </w:tcPr>
          <w:p w14:paraId="5D1B00C1">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60.36</w:t>
            </w:r>
          </w:p>
        </w:tc>
        <w:tc>
          <w:tcPr>
            <w:tcW w:w="551" w:type="pct"/>
            <w:tcBorders>
              <w:top w:val="single" w:color="auto" w:sz="4" w:space="0"/>
              <w:left w:val="single" w:color="auto" w:sz="4" w:space="0"/>
              <w:bottom w:val="single" w:color="auto" w:sz="4" w:space="0"/>
              <w:right w:val="single" w:color="auto" w:sz="4" w:space="0"/>
            </w:tcBorders>
          </w:tcPr>
          <w:p w14:paraId="15F3D51B">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445.47</w:t>
            </w:r>
          </w:p>
        </w:tc>
        <w:tc>
          <w:tcPr>
            <w:tcW w:w="518" w:type="pct"/>
            <w:tcBorders>
              <w:top w:val="single" w:color="auto" w:sz="4" w:space="0"/>
              <w:left w:val="single" w:color="auto" w:sz="4" w:space="0"/>
              <w:bottom w:val="single" w:color="auto" w:sz="4" w:space="0"/>
              <w:right w:val="single" w:color="auto" w:sz="4" w:space="0"/>
            </w:tcBorders>
          </w:tcPr>
          <w:p w14:paraId="294EFC6C">
            <w:pPr>
              <w:keepNext w:val="0"/>
              <w:keepLines w:val="0"/>
              <w:pageBreakBefore w:val="0"/>
              <w:widowControl/>
              <w:kinsoku/>
              <w:wordWrap/>
              <w:overflowPunct/>
              <w:topLinePunct w:val="0"/>
              <w:autoSpaceDE/>
              <w:autoSpaceDN/>
              <w:bidi w:val="0"/>
              <w:adjustRightInd/>
              <w:snapToGrid/>
              <w:spacing w:line="280" w:lineRule="exact"/>
              <w:jc w:val="right"/>
              <w:textAlignment w:val="auto"/>
              <w:rPr>
                <w:rFonts w:ascii="Times New Roman" w:hAnsi="Times New Roman" w:eastAsia="仿宋_GB2312" w:cs="Times New Roman"/>
                <w:kern w:val="0"/>
                <w:sz w:val="24"/>
                <w:szCs w:val="24"/>
              </w:rPr>
            </w:pPr>
          </w:p>
        </w:tc>
        <w:tc>
          <w:tcPr>
            <w:tcW w:w="453" w:type="pct"/>
            <w:tcBorders>
              <w:top w:val="single" w:color="auto" w:sz="4" w:space="0"/>
              <w:left w:val="single" w:color="auto" w:sz="4" w:space="0"/>
              <w:bottom w:val="single" w:color="auto" w:sz="4" w:space="0"/>
              <w:right w:val="single" w:color="auto" w:sz="4" w:space="0"/>
            </w:tcBorders>
          </w:tcPr>
          <w:p w14:paraId="4A0D6527">
            <w:pPr>
              <w:keepNext w:val="0"/>
              <w:keepLines w:val="0"/>
              <w:pageBreakBefore w:val="0"/>
              <w:widowControl/>
              <w:kinsoku/>
              <w:wordWrap/>
              <w:overflowPunct/>
              <w:topLinePunct w:val="0"/>
              <w:autoSpaceDE/>
              <w:autoSpaceDN/>
              <w:bidi w:val="0"/>
              <w:adjustRightInd/>
              <w:snapToGrid/>
              <w:spacing w:line="280" w:lineRule="exact"/>
              <w:jc w:val="right"/>
              <w:textAlignment w:val="auto"/>
              <w:rPr>
                <w:rFonts w:ascii="Times New Roman" w:hAnsi="Times New Roman" w:eastAsia="仿宋_GB2312" w:cs="Times New Roman"/>
                <w:kern w:val="0"/>
                <w:sz w:val="24"/>
                <w:szCs w:val="24"/>
              </w:rPr>
            </w:pPr>
          </w:p>
        </w:tc>
        <w:tc>
          <w:tcPr>
            <w:tcW w:w="473" w:type="pct"/>
            <w:tcBorders>
              <w:top w:val="single" w:color="auto" w:sz="4" w:space="0"/>
              <w:left w:val="single" w:color="auto" w:sz="4" w:space="0"/>
              <w:bottom w:val="single" w:color="auto" w:sz="4" w:space="0"/>
              <w:right w:val="single" w:color="auto" w:sz="4" w:space="0"/>
            </w:tcBorders>
          </w:tcPr>
          <w:p w14:paraId="3337F06E">
            <w:pPr>
              <w:keepNext w:val="0"/>
              <w:keepLines w:val="0"/>
              <w:pageBreakBefore w:val="0"/>
              <w:widowControl/>
              <w:kinsoku/>
              <w:wordWrap/>
              <w:overflowPunct/>
              <w:topLinePunct w:val="0"/>
              <w:autoSpaceDE/>
              <w:autoSpaceDN/>
              <w:bidi w:val="0"/>
              <w:adjustRightInd/>
              <w:snapToGrid/>
              <w:spacing w:line="280" w:lineRule="exact"/>
              <w:jc w:val="right"/>
              <w:textAlignment w:val="auto"/>
              <w:rPr>
                <w:rFonts w:ascii="Times New Roman" w:hAnsi="Times New Roman" w:eastAsia="仿宋_GB2312" w:cs="Times New Roman"/>
                <w:kern w:val="0"/>
                <w:sz w:val="24"/>
                <w:szCs w:val="24"/>
              </w:rPr>
            </w:pPr>
          </w:p>
        </w:tc>
      </w:tr>
      <w:tr w14:paraId="115A6879">
        <w:tblPrEx>
          <w:tblCellMar>
            <w:top w:w="0" w:type="dxa"/>
            <w:left w:w="108" w:type="dxa"/>
            <w:bottom w:w="0" w:type="dxa"/>
            <w:right w:w="108" w:type="dxa"/>
          </w:tblCellMar>
        </w:tblPrEx>
        <w:trPr>
          <w:trHeight w:val="595" w:hRule="atLeast"/>
          <w:jc w:val="center"/>
        </w:trPr>
        <w:tc>
          <w:tcPr>
            <w:tcW w:w="648" w:type="pct"/>
            <w:tcBorders>
              <w:top w:val="single" w:color="auto" w:sz="4" w:space="0"/>
              <w:left w:val="single" w:color="auto" w:sz="4" w:space="0"/>
              <w:bottom w:val="single" w:color="auto" w:sz="4" w:space="0"/>
              <w:right w:val="single" w:color="auto" w:sz="4" w:space="0"/>
            </w:tcBorders>
            <w:shd w:val="clear" w:color="000000" w:fill="FFFFFF"/>
            <w:vAlign w:val="center"/>
          </w:tcPr>
          <w:p w14:paraId="664F53B7">
            <w:pPr>
              <w:keepNext w:val="0"/>
              <w:keepLines w:val="0"/>
              <w:pageBreakBefore w:val="0"/>
              <w:kinsoku/>
              <w:wordWrap/>
              <w:overflowPunct/>
              <w:topLinePunct w:val="0"/>
              <w:autoSpaceDE/>
              <w:autoSpaceDN/>
              <w:bidi w:val="0"/>
              <w:adjustRightInd/>
              <w:snapToGrid/>
              <w:spacing w:line="280" w:lineRule="exact"/>
              <w:textAlignment w:val="auto"/>
              <w:rPr>
                <w:rFonts w:hint="eastAsia" w:ascii="仿宋_GB2312" w:hAnsi="仿宋_GB2312" w:eastAsia="仿宋_GB2312" w:cs="仿宋_GB2312"/>
                <w:kern w:val="2"/>
                <w:sz w:val="21"/>
                <w:szCs w:val="22"/>
                <w:lang w:val="en-US" w:eastAsia="zh-CN" w:bidi="ar-SA"/>
              </w:rPr>
            </w:pPr>
            <w:r>
              <w:rPr>
                <w:rFonts w:hint="eastAsia" w:ascii="仿宋_GB2312" w:hAnsi="仿宋_GB2312" w:eastAsia="仿宋_GB2312" w:cs="仿宋_GB2312"/>
              </w:rPr>
              <w:t>21301</w:t>
            </w:r>
          </w:p>
        </w:tc>
        <w:tc>
          <w:tcPr>
            <w:tcW w:w="1016" w:type="pct"/>
            <w:tcBorders>
              <w:top w:val="single" w:color="auto" w:sz="4" w:space="0"/>
              <w:left w:val="single" w:color="auto" w:sz="4" w:space="0"/>
              <w:bottom w:val="single" w:color="auto" w:sz="4" w:space="0"/>
              <w:right w:val="single" w:color="auto" w:sz="4" w:space="0"/>
            </w:tcBorders>
            <w:shd w:val="clear" w:color="000000" w:fill="FFFFFF"/>
            <w:vAlign w:val="center"/>
          </w:tcPr>
          <w:p w14:paraId="4FCEB66F">
            <w:pPr>
              <w:keepNext w:val="0"/>
              <w:keepLines w:val="0"/>
              <w:pageBreakBefore w:val="0"/>
              <w:kinsoku/>
              <w:wordWrap/>
              <w:overflowPunct/>
              <w:topLinePunct w:val="0"/>
              <w:autoSpaceDE/>
              <w:autoSpaceDN/>
              <w:bidi w:val="0"/>
              <w:adjustRightInd/>
              <w:snapToGrid/>
              <w:spacing w:line="280" w:lineRule="exact"/>
              <w:textAlignment w:val="auto"/>
              <w:rPr>
                <w:rFonts w:hint="eastAsia" w:ascii="仿宋_GB2312" w:hAnsi="仿宋_GB2312" w:eastAsia="仿宋_GB2312" w:cs="仿宋_GB2312"/>
                <w:kern w:val="2"/>
                <w:sz w:val="21"/>
                <w:szCs w:val="22"/>
                <w:lang w:val="en-US" w:eastAsia="zh-CN" w:bidi="ar-SA"/>
              </w:rPr>
            </w:pPr>
            <w:r>
              <w:rPr>
                <w:rFonts w:hint="eastAsia" w:ascii="仿宋_GB2312" w:hAnsi="仿宋_GB2312" w:eastAsia="仿宋_GB2312" w:cs="仿宋_GB2312"/>
              </w:rPr>
              <w:t>农业农村</w:t>
            </w:r>
          </w:p>
        </w:tc>
        <w:tc>
          <w:tcPr>
            <w:tcW w:w="726" w:type="pct"/>
            <w:tcBorders>
              <w:top w:val="single" w:color="auto" w:sz="4" w:space="0"/>
              <w:left w:val="single" w:color="auto" w:sz="4" w:space="0"/>
              <w:bottom w:val="single" w:color="auto" w:sz="4" w:space="0"/>
              <w:right w:val="single" w:color="auto" w:sz="4" w:space="0"/>
            </w:tcBorders>
          </w:tcPr>
          <w:p w14:paraId="0EF08932">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346.89</w:t>
            </w:r>
          </w:p>
        </w:tc>
        <w:tc>
          <w:tcPr>
            <w:tcW w:w="611" w:type="pct"/>
            <w:tcBorders>
              <w:top w:val="single" w:color="auto" w:sz="4" w:space="0"/>
              <w:left w:val="single" w:color="auto" w:sz="4" w:space="0"/>
              <w:bottom w:val="single" w:color="auto" w:sz="4" w:space="0"/>
              <w:right w:val="single" w:color="auto" w:sz="4" w:space="0"/>
            </w:tcBorders>
          </w:tcPr>
          <w:p w14:paraId="49BD2C64">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60.36</w:t>
            </w:r>
          </w:p>
        </w:tc>
        <w:tc>
          <w:tcPr>
            <w:tcW w:w="551" w:type="pct"/>
            <w:tcBorders>
              <w:top w:val="single" w:color="auto" w:sz="4" w:space="0"/>
              <w:left w:val="single" w:color="auto" w:sz="4" w:space="0"/>
              <w:bottom w:val="single" w:color="auto" w:sz="4" w:space="0"/>
              <w:right w:val="single" w:color="auto" w:sz="4" w:space="0"/>
            </w:tcBorders>
          </w:tcPr>
          <w:p w14:paraId="7D12F93C">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286.53</w:t>
            </w:r>
          </w:p>
        </w:tc>
        <w:tc>
          <w:tcPr>
            <w:tcW w:w="518" w:type="pct"/>
            <w:tcBorders>
              <w:top w:val="single" w:color="auto" w:sz="4" w:space="0"/>
              <w:left w:val="single" w:color="auto" w:sz="4" w:space="0"/>
              <w:bottom w:val="single" w:color="auto" w:sz="4" w:space="0"/>
              <w:right w:val="single" w:color="auto" w:sz="4" w:space="0"/>
            </w:tcBorders>
          </w:tcPr>
          <w:p w14:paraId="6048C0A1">
            <w:pPr>
              <w:keepNext w:val="0"/>
              <w:keepLines w:val="0"/>
              <w:pageBreakBefore w:val="0"/>
              <w:widowControl/>
              <w:kinsoku/>
              <w:wordWrap/>
              <w:overflowPunct/>
              <w:topLinePunct w:val="0"/>
              <w:autoSpaceDE/>
              <w:autoSpaceDN/>
              <w:bidi w:val="0"/>
              <w:adjustRightInd/>
              <w:snapToGrid/>
              <w:spacing w:line="280" w:lineRule="exact"/>
              <w:jc w:val="right"/>
              <w:textAlignment w:val="auto"/>
              <w:rPr>
                <w:rFonts w:ascii="Times New Roman" w:hAnsi="Times New Roman" w:eastAsia="仿宋_GB2312" w:cs="Times New Roman"/>
                <w:kern w:val="0"/>
                <w:sz w:val="24"/>
                <w:szCs w:val="24"/>
              </w:rPr>
            </w:pPr>
          </w:p>
        </w:tc>
        <w:tc>
          <w:tcPr>
            <w:tcW w:w="453" w:type="pct"/>
            <w:tcBorders>
              <w:top w:val="single" w:color="auto" w:sz="4" w:space="0"/>
              <w:left w:val="single" w:color="auto" w:sz="4" w:space="0"/>
              <w:bottom w:val="single" w:color="auto" w:sz="4" w:space="0"/>
              <w:right w:val="single" w:color="auto" w:sz="4" w:space="0"/>
            </w:tcBorders>
          </w:tcPr>
          <w:p w14:paraId="1242138A">
            <w:pPr>
              <w:keepNext w:val="0"/>
              <w:keepLines w:val="0"/>
              <w:pageBreakBefore w:val="0"/>
              <w:widowControl/>
              <w:kinsoku/>
              <w:wordWrap/>
              <w:overflowPunct/>
              <w:topLinePunct w:val="0"/>
              <w:autoSpaceDE/>
              <w:autoSpaceDN/>
              <w:bidi w:val="0"/>
              <w:adjustRightInd/>
              <w:snapToGrid/>
              <w:spacing w:line="280" w:lineRule="exact"/>
              <w:jc w:val="right"/>
              <w:textAlignment w:val="auto"/>
              <w:rPr>
                <w:rFonts w:ascii="Times New Roman" w:hAnsi="Times New Roman" w:eastAsia="仿宋_GB2312" w:cs="Times New Roman"/>
                <w:kern w:val="0"/>
                <w:sz w:val="24"/>
                <w:szCs w:val="24"/>
              </w:rPr>
            </w:pPr>
          </w:p>
        </w:tc>
        <w:tc>
          <w:tcPr>
            <w:tcW w:w="473" w:type="pct"/>
            <w:tcBorders>
              <w:top w:val="single" w:color="auto" w:sz="4" w:space="0"/>
              <w:left w:val="single" w:color="auto" w:sz="4" w:space="0"/>
              <w:bottom w:val="single" w:color="auto" w:sz="4" w:space="0"/>
              <w:right w:val="single" w:color="auto" w:sz="4" w:space="0"/>
            </w:tcBorders>
          </w:tcPr>
          <w:p w14:paraId="6D7840AD">
            <w:pPr>
              <w:keepNext w:val="0"/>
              <w:keepLines w:val="0"/>
              <w:pageBreakBefore w:val="0"/>
              <w:widowControl/>
              <w:kinsoku/>
              <w:wordWrap/>
              <w:overflowPunct/>
              <w:topLinePunct w:val="0"/>
              <w:autoSpaceDE/>
              <w:autoSpaceDN/>
              <w:bidi w:val="0"/>
              <w:adjustRightInd/>
              <w:snapToGrid/>
              <w:spacing w:line="280" w:lineRule="exact"/>
              <w:jc w:val="right"/>
              <w:textAlignment w:val="auto"/>
              <w:rPr>
                <w:rFonts w:ascii="Times New Roman" w:hAnsi="Times New Roman" w:eastAsia="仿宋_GB2312" w:cs="Times New Roman"/>
                <w:kern w:val="0"/>
                <w:sz w:val="24"/>
                <w:szCs w:val="24"/>
              </w:rPr>
            </w:pPr>
          </w:p>
        </w:tc>
      </w:tr>
      <w:tr w14:paraId="6FF9085A">
        <w:tblPrEx>
          <w:tblCellMar>
            <w:top w:w="0" w:type="dxa"/>
            <w:left w:w="108" w:type="dxa"/>
            <w:bottom w:w="0" w:type="dxa"/>
            <w:right w:w="108" w:type="dxa"/>
          </w:tblCellMar>
        </w:tblPrEx>
        <w:trPr>
          <w:trHeight w:val="595" w:hRule="atLeast"/>
          <w:jc w:val="center"/>
        </w:trPr>
        <w:tc>
          <w:tcPr>
            <w:tcW w:w="648" w:type="pct"/>
            <w:tcBorders>
              <w:top w:val="single" w:color="auto" w:sz="4" w:space="0"/>
              <w:left w:val="single" w:color="auto" w:sz="4" w:space="0"/>
              <w:bottom w:val="single" w:color="auto" w:sz="4" w:space="0"/>
              <w:right w:val="single" w:color="auto" w:sz="4" w:space="0"/>
            </w:tcBorders>
            <w:shd w:val="clear" w:color="000000" w:fill="FFFFFF"/>
            <w:vAlign w:val="center"/>
          </w:tcPr>
          <w:p w14:paraId="62ABE14A">
            <w:pPr>
              <w:keepNext w:val="0"/>
              <w:keepLines w:val="0"/>
              <w:pageBreakBefore w:val="0"/>
              <w:kinsoku/>
              <w:wordWrap/>
              <w:overflowPunct/>
              <w:topLinePunct w:val="0"/>
              <w:autoSpaceDE/>
              <w:autoSpaceDN/>
              <w:bidi w:val="0"/>
              <w:adjustRightInd/>
              <w:snapToGrid/>
              <w:spacing w:line="280" w:lineRule="exact"/>
              <w:textAlignment w:val="auto"/>
              <w:rPr>
                <w:rFonts w:hint="eastAsia" w:ascii="仿宋_GB2312" w:hAnsi="仿宋_GB2312" w:eastAsia="仿宋_GB2312" w:cs="仿宋_GB2312"/>
                <w:kern w:val="2"/>
                <w:sz w:val="21"/>
                <w:szCs w:val="22"/>
                <w:lang w:val="en-US" w:eastAsia="zh-CN" w:bidi="ar-SA"/>
              </w:rPr>
            </w:pPr>
            <w:r>
              <w:rPr>
                <w:rFonts w:hint="eastAsia" w:ascii="仿宋_GB2312" w:hAnsi="仿宋_GB2312" w:eastAsia="仿宋_GB2312" w:cs="仿宋_GB2312"/>
              </w:rPr>
              <w:t>2130101</w:t>
            </w:r>
          </w:p>
        </w:tc>
        <w:tc>
          <w:tcPr>
            <w:tcW w:w="1016" w:type="pct"/>
            <w:tcBorders>
              <w:top w:val="single" w:color="auto" w:sz="4" w:space="0"/>
              <w:left w:val="single" w:color="auto" w:sz="4" w:space="0"/>
              <w:bottom w:val="single" w:color="auto" w:sz="4" w:space="0"/>
              <w:right w:val="single" w:color="auto" w:sz="4" w:space="0"/>
            </w:tcBorders>
            <w:shd w:val="clear" w:color="000000" w:fill="FFFFFF"/>
            <w:vAlign w:val="center"/>
          </w:tcPr>
          <w:p w14:paraId="6C21F98E">
            <w:pPr>
              <w:keepNext w:val="0"/>
              <w:keepLines w:val="0"/>
              <w:pageBreakBefore w:val="0"/>
              <w:kinsoku/>
              <w:wordWrap/>
              <w:overflowPunct/>
              <w:topLinePunct w:val="0"/>
              <w:autoSpaceDE/>
              <w:autoSpaceDN/>
              <w:bidi w:val="0"/>
              <w:adjustRightInd/>
              <w:snapToGrid/>
              <w:spacing w:line="280" w:lineRule="exact"/>
              <w:textAlignment w:val="auto"/>
              <w:rPr>
                <w:rFonts w:hint="eastAsia" w:ascii="仿宋_GB2312" w:hAnsi="仿宋_GB2312" w:eastAsia="仿宋_GB2312" w:cs="仿宋_GB2312"/>
                <w:kern w:val="2"/>
                <w:sz w:val="21"/>
                <w:szCs w:val="22"/>
                <w:lang w:val="en-US" w:eastAsia="zh-CN" w:bidi="ar-SA"/>
              </w:rPr>
            </w:pPr>
            <w:r>
              <w:rPr>
                <w:rFonts w:hint="eastAsia" w:ascii="仿宋_GB2312" w:hAnsi="仿宋_GB2312" w:eastAsia="仿宋_GB2312" w:cs="仿宋_GB2312"/>
              </w:rPr>
              <w:t>行政运行</w:t>
            </w:r>
          </w:p>
        </w:tc>
        <w:tc>
          <w:tcPr>
            <w:tcW w:w="726" w:type="pct"/>
            <w:tcBorders>
              <w:top w:val="single" w:color="auto" w:sz="4" w:space="0"/>
              <w:left w:val="single" w:color="auto" w:sz="4" w:space="0"/>
              <w:bottom w:val="single" w:color="auto" w:sz="4" w:space="0"/>
              <w:right w:val="single" w:color="auto" w:sz="4" w:space="0"/>
            </w:tcBorders>
          </w:tcPr>
          <w:p w14:paraId="2C2A7FE0">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55.89</w:t>
            </w:r>
          </w:p>
        </w:tc>
        <w:tc>
          <w:tcPr>
            <w:tcW w:w="611" w:type="pct"/>
            <w:tcBorders>
              <w:top w:val="single" w:color="auto" w:sz="4" w:space="0"/>
              <w:left w:val="single" w:color="auto" w:sz="4" w:space="0"/>
              <w:bottom w:val="single" w:color="auto" w:sz="4" w:space="0"/>
              <w:right w:val="single" w:color="auto" w:sz="4" w:space="0"/>
            </w:tcBorders>
          </w:tcPr>
          <w:p w14:paraId="748A48A4">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55.89</w:t>
            </w:r>
          </w:p>
        </w:tc>
        <w:tc>
          <w:tcPr>
            <w:tcW w:w="551" w:type="pct"/>
            <w:tcBorders>
              <w:top w:val="single" w:color="auto" w:sz="4" w:space="0"/>
              <w:left w:val="single" w:color="auto" w:sz="4" w:space="0"/>
              <w:bottom w:val="single" w:color="auto" w:sz="4" w:space="0"/>
              <w:right w:val="single" w:color="auto" w:sz="4" w:space="0"/>
            </w:tcBorders>
          </w:tcPr>
          <w:p w14:paraId="33D9C8CB">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ascii="Times New Roman" w:hAnsi="Times New Roman" w:eastAsia="仿宋_GB2312" w:cs="Times New Roman"/>
                <w:kern w:val="0"/>
                <w:sz w:val="24"/>
                <w:szCs w:val="24"/>
              </w:rPr>
            </w:pPr>
          </w:p>
        </w:tc>
        <w:tc>
          <w:tcPr>
            <w:tcW w:w="518" w:type="pct"/>
            <w:tcBorders>
              <w:top w:val="single" w:color="auto" w:sz="4" w:space="0"/>
              <w:left w:val="single" w:color="auto" w:sz="4" w:space="0"/>
              <w:bottom w:val="single" w:color="auto" w:sz="4" w:space="0"/>
              <w:right w:val="single" w:color="auto" w:sz="4" w:space="0"/>
            </w:tcBorders>
          </w:tcPr>
          <w:p w14:paraId="63521E87">
            <w:pPr>
              <w:keepNext w:val="0"/>
              <w:keepLines w:val="0"/>
              <w:pageBreakBefore w:val="0"/>
              <w:widowControl/>
              <w:kinsoku/>
              <w:wordWrap/>
              <w:overflowPunct/>
              <w:topLinePunct w:val="0"/>
              <w:autoSpaceDE/>
              <w:autoSpaceDN/>
              <w:bidi w:val="0"/>
              <w:adjustRightInd/>
              <w:snapToGrid/>
              <w:spacing w:line="280" w:lineRule="exact"/>
              <w:jc w:val="right"/>
              <w:textAlignment w:val="auto"/>
              <w:rPr>
                <w:rFonts w:ascii="Times New Roman" w:hAnsi="Times New Roman" w:eastAsia="仿宋_GB2312" w:cs="Times New Roman"/>
                <w:kern w:val="0"/>
                <w:sz w:val="24"/>
                <w:szCs w:val="24"/>
              </w:rPr>
            </w:pPr>
          </w:p>
        </w:tc>
        <w:tc>
          <w:tcPr>
            <w:tcW w:w="453" w:type="pct"/>
            <w:tcBorders>
              <w:top w:val="single" w:color="auto" w:sz="4" w:space="0"/>
              <w:left w:val="single" w:color="auto" w:sz="4" w:space="0"/>
              <w:bottom w:val="single" w:color="auto" w:sz="4" w:space="0"/>
              <w:right w:val="single" w:color="auto" w:sz="4" w:space="0"/>
            </w:tcBorders>
          </w:tcPr>
          <w:p w14:paraId="1BD4E409">
            <w:pPr>
              <w:keepNext w:val="0"/>
              <w:keepLines w:val="0"/>
              <w:pageBreakBefore w:val="0"/>
              <w:widowControl/>
              <w:kinsoku/>
              <w:wordWrap/>
              <w:overflowPunct/>
              <w:topLinePunct w:val="0"/>
              <w:autoSpaceDE/>
              <w:autoSpaceDN/>
              <w:bidi w:val="0"/>
              <w:adjustRightInd/>
              <w:snapToGrid/>
              <w:spacing w:line="280" w:lineRule="exact"/>
              <w:jc w:val="right"/>
              <w:textAlignment w:val="auto"/>
              <w:rPr>
                <w:rFonts w:ascii="Times New Roman" w:hAnsi="Times New Roman" w:eastAsia="仿宋_GB2312" w:cs="Times New Roman"/>
                <w:kern w:val="0"/>
                <w:sz w:val="24"/>
                <w:szCs w:val="24"/>
              </w:rPr>
            </w:pPr>
          </w:p>
        </w:tc>
        <w:tc>
          <w:tcPr>
            <w:tcW w:w="473" w:type="pct"/>
            <w:tcBorders>
              <w:top w:val="single" w:color="auto" w:sz="4" w:space="0"/>
              <w:left w:val="single" w:color="auto" w:sz="4" w:space="0"/>
              <w:bottom w:val="single" w:color="auto" w:sz="4" w:space="0"/>
              <w:right w:val="single" w:color="auto" w:sz="4" w:space="0"/>
            </w:tcBorders>
          </w:tcPr>
          <w:p w14:paraId="0F0AD36E">
            <w:pPr>
              <w:keepNext w:val="0"/>
              <w:keepLines w:val="0"/>
              <w:pageBreakBefore w:val="0"/>
              <w:widowControl/>
              <w:kinsoku/>
              <w:wordWrap/>
              <w:overflowPunct/>
              <w:topLinePunct w:val="0"/>
              <w:autoSpaceDE/>
              <w:autoSpaceDN/>
              <w:bidi w:val="0"/>
              <w:adjustRightInd/>
              <w:snapToGrid/>
              <w:spacing w:line="280" w:lineRule="exact"/>
              <w:jc w:val="right"/>
              <w:textAlignment w:val="auto"/>
              <w:rPr>
                <w:rFonts w:ascii="Times New Roman" w:hAnsi="Times New Roman" w:eastAsia="仿宋_GB2312" w:cs="Times New Roman"/>
                <w:kern w:val="0"/>
                <w:sz w:val="24"/>
                <w:szCs w:val="24"/>
              </w:rPr>
            </w:pPr>
          </w:p>
        </w:tc>
      </w:tr>
      <w:tr w14:paraId="51E844A0">
        <w:tblPrEx>
          <w:tblCellMar>
            <w:top w:w="0" w:type="dxa"/>
            <w:left w:w="108" w:type="dxa"/>
            <w:bottom w:w="0" w:type="dxa"/>
            <w:right w:w="108" w:type="dxa"/>
          </w:tblCellMar>
        </w:tblPrEx>
        <w:trPr>
          <w:trHeight w:val="595" w:hRule="atLeast"/>
          <w:jc w:val="center"/>
        </w:trPr>
        <w:tc>
          <w:tcPr>
            <w:tcW w:w="648" w:type="pct"/>
            <w:tcBorders>
              <w:top w:val="single" w:color="auto" w:sz="4" w:space="0"/>
              <w:left w:val="single" w:color="auto" w:sz="4" w:space="0"/>
              <w:bottom w:val="single" w:color="auto" w:sz="4" w:space="0"/>
              <w:right w:val="single" w:color="auto" w:sz="4" w:space="0"/>
            </w:tcBorders>
            <w:shd w:val="clear" w:color="000000" w:fill="FFFFFF"/>
            <w:vAlign w:val="center"/>
          </w:tcPr>
          <w:p w14:paraId="502324B1">
            <w:pPr>
              <w:keepNext w:val="0"/>
              <w:keepLines w:val="0"/>
              <w:pageBreakBefore w:val="0"/>
              <w:kinsoku/>
              <w:wordWrap/>
              <w:overflowPunct/>
              <w:topLinePunct w:val="0"/>
              <w:autoSpaceDE/>
              <w:autoSpaceDN/>
              <w:bidi w:val="0"/>
              <w:adjustRightInd/>
              <w:snapToGrid/>
              <w:spacing w:line="280" w:lineRule="exact"/>
              <w:textAlignment w:val="auto"/>
              <w:rPr>
                <w:rFonts w:hint="eastAsia" w:ascii="仿宋_GB2312" w:hAnsi="仿宋_GB2312" w:eastAsia="仿宋_GB2312" w:cs="仿宋_GB2312"/>
                <w:kern w:val="2"/>
                <w:sz w:val="21"/>
                <w:szCs w:val="22"/>
                <w:lang w:val="en-US" w:eastAsia="zh-CN" w:bidi="ar-SA"/>
              </w:rPr>
            </w:pPr>
            <w:r>
              <w:rPr>
                <w:rFonts w:hint="eastAsia" w:ascii="仿宋_GB2312" w:hAnsi="仿宋_GB2312" w:eastAsia="仿宋_GB2312" w:cs="仿宋_GB2312"/>
              </w:rPr>
              <w:t>2130104</w:t>
            </w:r>
          </w:p>
        </w:tc>
        <w:tc>
          <w:tcPr>
            <w:tcW w:w="1016" w:type="pct"/>
            <w:tcBorders>
              <w:top w:val="single" w:color="auto" w:sz="4" w:space="0"/>
              <w:left w:val="single" w:color="auto" w:sz="4" w:space="0"/>
              <w:bottom w:val="single" w:color="auto" w:sz="4" w:space="0"/>
              <w:right w:val="single" w:color="auto" w:sz="4" w:space="0"/>
            </w:tcBorders>
            <w:shd w:val="clear" w:color="auto" w:fill="auto"/>
            <w:vAlign w:val="center"/>
          </w:tcPr>
          <w:p w14:paraId="2994C625">
            <w:pPr>
              <w:keepNext w:val="0"/>
              <w:keepLines w:val="0"/>
              <w:pageBreakBefore w:val="0"/>
              <w:kinsoku/>
              <w:wordWrap/>
              <w:overflowPunct/>
              <w:topLinePunct w:val="0"/>
              <w:autoSpaceDE/>
              <w:autoSpaceDN/>
              <w:bidi w:val="0"/>
              <w:adjustRightInd/>
              <w:snapToGrid/>
              <w:spacing w:line="280" w:lineRule="exact"/>
              <w:textAlignment w:val="auto"/>
              <w:rPr>
                <w:rFonts w:hint="eastAsia" w:ascii="仿宋_GB2312" w:hAnsi="仿宋_GB2312" w:eastAsia="仿宋_GB2312" w:cs="仿宋_GB2312"/>
                <w:kern w:val="2"/>
                <w:sz w:val="21"/>
                <w:szCs w:val="22"/>
                <w:lang w:val="en-US" w:eastAsia="zh-CN" w:bidi="ar-SA"/>
              </w:rPr>
            </w:pPr>
            <w:r>
              <w:rPr>
                <w:rFonts w:hint="eastAsia" w:ascii="仿宋_GB2312" w:hAnsi="仿宋_GB2312" w:eastAsia="仿宋_GB2312" w:cs="仿宋_GB2312"/>
              </w:rPr>
              <w:t>事业运行</w:t>
            </w:r>
          </w:p>
        </w:tc>
        <w:tc>
          <w:tcPr>
            <w:tcW w:w="726" w:type="pct"/>
            <w:tcBorders>
              <w:top w:val="single" w:color="auto" w:sz="4" w:space="0"/>
              <w:left w:val="single" w:color="auto" w:sz="4" w:space="0"/>
              <w:bottom w:val="single" w:color="auto" w:sz="4" w:space="0"/>
              <w:right w:val="single" w:color="auto" w:sz="4" w:space="0"/>
            </w:tcBorders>
          </w:tcPr>
          <w:p w14:paraId="31AAEC57">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4.47</w:t>
            </w:r>
          </w:p>
        </w:tc>
        <w:tc>
          <w:tcPr>
            <w:tcW w:w="611" w:type="pct"/>
            <w:tcBorders>
              <w:top w:val="single" w:color="auto" w:sz="4" w:space="0"/>
              <w:left w:val="single" w:color="auto" w:sz="4" w:space="0"/>
              <w:bottom w:val="single" w:color="auto" w:sz="4" w:space="0"/>
              <w:right w:val="single" w:color="auto" w:sz="4" w:space="0"/>
            </w:tcBorders>
          </w:tcPr>
          <w:p w14:paraId="6B068ED1">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4.47</w:t>
            </w:r>
          </w:p>
        </w:tc>
        <w:tc>
          <w:tcPr>
            <w:tcW w:w="551" w:type="pct"/>
            <w:tcBorders>
              <w:top w:val="single" w:color="auto" w:sz="4" w:space="0"/>
              <w:left w:val="single" w:color="auto" w:sz="4" w:space="0"/>
              <w:bottom w:val="single" w:color="auto" w:sz="4" w:space="0"/>
              <w:right w:val="single" w:color="auto" w:sz="4" w:space="0"/>
            </w:tcBorders>
          </w:tcPr>
          <w:p w14:paraId="353B8C75">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ascii="Times New Roman" w:hAnsi="Times New Roman" w:eastAsia="仿宋_GB2312" w:cs="Times New Roman"/>
                <w:kern w:val="0"/>
                <w:sz w:val="24"/>
                <w:szCs w:val="24"/>
              </w:rPr>
            </w:pPr>
          </w:p>
        </w:tc>
        <w:tc>
          <w:tcPr>
            <w:tcW w:w="518" w:type="pct"/>
            <w:tcBorders>
              <w:top w:val="single" w:color="auto" w:sz="4" w:space="0"/>
              <w:left w:val="single" w:color="auto" w:sz="4" w:space="0"/>
              <w:bottom w:val="single" w:color="auto" w:sz="4" w:space="0"/>
              <w:right w:val="single" w:color="auto" w:sz="4" w:space="0"/>
            </w:tcBorders>
          </w:tcPr>
          <w:p w14:paraId="6D9B1401">
            <w:pPr>
              <w:keepNext w:val="0"/>
              <w:keepLines w:val="0"/>
              <w:pageBreakBefore w:val="0"/>
              <w:widowControl/>
              <w:kinsoku/>
              <w:wordWrap/>
              <w:overflowPunct/>
              <w:topLinePunct w:val="0"/>
              <w:autoSpaceDE/>
              <w:autoSpaceDN/>
              <w:bidi w:val="0"/>
              <w:adjustRightInd/>
              <w:snapToGrid/>
              <w:spacing w:line="280" w:lineRule="exact"/>
              <w:jc w:val="right"/>
              <w:textAlignment w:val="auto"/>
              <w:rPr>
                <w:rFonts w:ascii="Times New Roman" w:hAnsi="Times New Roman" w:eastAsia="仿宋_GB2312" w:cs="Times New Roman"/>
                <w:kern w:val="0"/>
                <w:sz w:val="24"/>
                <w:szCs w:val="24"/>
              </w:rPr>
            </w:pPr>
          </w:p>
        </w:tc>
        <w:tc>
          <w:tcPr>
            <w:tcW w:w="453" w:type="pct"/>
            <w:tcBorders>
              <w:top w:val="single" w:color="auto" w:sz="4" w:space="0"/>
              <w:left w:val="single" w:color="auto" w:sz="4" w:space="0"/>
              <w:bottom w:val="single" w:color="auto" w:sz="4" w:space="0"/>
              <w:right w:val="single" w:color="auto" w:sz="4" w:space="0"/>
            </w:tcBorders>
          </w:tcPr>
          <w:p w14:paraId="3A82C95D">
            <w:pPr>
              <w:keepNext w:val="0"/>
              <w:keepLines w:val="0"/>
              <w:pageBreakBefore w:val="0"/>
              <w:widowControl/>
              <w:kinsoku/>
              <w:wordWrap/>
              <w:overflowPunct/>
              <w:topLinePunct w:val="0"/>
              <w:autoSpaceDE/>
              <w:autoSpaceDN/>
              <w:bidi w:val="0"/>
              <w:adjustRightInd/>
              <w:snapToGrid/>
              <w:spacing w:line="280" w:lineRule="exact"/>
              <w:jc w:val="right"/>
              <w:textAlignment w:val="auto"/>
              <w:rPr>
                <w:rFonts w:ascii="Times New Roman" w:hAnsi="Times New Roman" w:eastAsia="仿宋_GB2312" w:cs="Times New Roman"/>
                <w:kern w:val="0"/>
                <w:sz w:val="24"/>
                <w:szCs w:val="24"/>
              </w:rPr>
            </w:pPr>
          </w:p>
        </w:tc>
        <w:tc>
          <w:tcPr>
            <w:tcW w:w="473" w:type="pct"/>
            <w:tcBorders>
              <w:top w:val="single" w:color="auto" w:sz="4" w:space="0"/>
              <w:left w:val="single" w:color="auto" w:sz="4" w:space="0"/>
              <w:bottom w:val="single" w:color="auto" w:sz="4" w:space="0"/>
              <w:right w:val="single" w:color="auto" w:sz="4" w:space="0"/>
            </w:tcBorders>
          </w:tcPr>
          <w:p w14:paraId="23D0BB6E">
            <w:pPr>
              <w:keepNext w:val="0"/>
              <w:keepLines w:val="0"/>
              <w:pageBreakBefore w:val="0"/>
              <w:widowControl/>
              <w:kinsoku/>
              <w:wordWrap/>
              <w:overflowPunct/>
              <w:topLinePunct w:val="0"/>
              <w:autoSpaceDE/>
              <w:autoSpaceDN/>
              <w:bidi w:val="0"/>
              <w:adjustRightInd/>
              <w:snapToGrid/>
              <w:spacing w:line="280" w:lineRule="exact"/>
              <w:jc w:val="right"/>
              <w:textAlignment w:val="auto"/>
              <w:rPr>
                <w:rFonts w:ascii="Times New Roman" w:hAnsi="Times New Roman" w:eastAsia="仿宋_GB2312" w:cs="Times New Roman"/>
                <w:kern w:val="0"/>
                <w:sz w:val="24"/>
                <w:szCs w:val="24"/>
              </w:rPr>
            </w:pPr>
          </w:p>
        </w:tc>
      </w:tr>
      <w:tr w14:paraId="49757FD6">
        <w:tblPrEx>
          <w:tblCellMar>
            <w:top w:w="0" w:type="dxa"/>
            <w:left w:w="108" w:type="dxa"/>
            <w:bottom w:w="0" w:type="dxa"/>
            <w:right w:w="108" w:type="dxa"/>
          </w:tblCellMar>
        </w:tblPrEx>
        <w:trPr>
          <w:trHeight w:val="595" w:hRule="atLeast"/>
          <w:jc w:val="center"/>
        </w:trPr>
        <w:tc>
          <w:tcPr>
            <w:tcW w:w="648" w:type="pct"/>
            <w:tcBorders>
              <w:top w:val="single" w:color="auto" w:sz="4" w:space="0"/>
              <w:left w:val="single" w:color="auto" w:sz="4" w:space="0"/>
              <w:bottom w:val="single" w:color="auto" w:sz="4" w:space="0"/>
              <w:right w:val="single" w:color="auto" w:sz="4" w:space="0"/>
            </w:tcBorders>
            <w:shd w:val="clear" w:color="000000" w:fill="FFFFFF"/>
            <w:vAlign w:val="center"/>
          </w:tcPr>
          <w:p w14:paraId="1524C501">
            <w:pPr>
              <w:keepNext w:val="0"/>
              <w:keepLines w:val="0"/>
              <w:pageBreakBefore w:val="0"/>
              <w:kinsoku/>
              <w:wordWrap/>
              <w:overflowPunct/>
              <w:topLinePunct w:val="0"/>
              <w:autoSpaceDE/>
              <w:autoSpaceDN/>
              <w:bidi w:val="0"/>
              <w:adjustRightInd/>
              <w:snapToGrid/>
              <w:spacing w:line="280" w:lineRule="exact"/>
              <w:textAlignment w:val="auto"/>
              <w:rPr>
                <w:rFonts w:hint="eastAsia" w:ascii="仿宋_GB2312" w:hAnsi="仿宋_GB2312" w:eastAsia="仿宋_GB2312" w:cs="仿宋_GB2312"/>
                <w:kern w:val="2"/>
                <w:sz w:val="21"/>
                <w:szCs w:val="22"/>
                <w:lang w:val="en-US" w:eastAsia="zh-CN" w:bidi="ar-SA"/>
              </w:rPr>
            </w:pPr>
            <w:r>
              <w:rPr>
                <w:rFonts w:hint="eastAsia" w:ascii="仿宋_GB2312" w:hAnsi="仿宋_GB2312" w:eastAsia="仿宋_GB2312" w:cs="仿宋_GB2312"/>
              </w:rPr>
              <w:t>2130122</w:t>
            </w:r>
          </w:p>
        </w:tc>
        <w:tc>
          <w:tcPr>
            <w:tcW w:w="1016" w:type="pct"/>
            <w:tcBorders>
              <w:top w:val="single" w:color="auto" w:sz="4" w:space="0"/>
              <w:left w:val="single" w:color="auto" w:sz="4" w:space="0"/>
              <w:bottom w:val="single" w:color="auto" w:sz="4" w:space="0"/>
              <w:right w:val="single" w:color="auto" w:sz="4" w:space="0"/>
            </w:tcBorders>
            <w:shd w:val="clear" w:color="000000" w:fill="FFFFFF"/>
            <w:vAlign w:val="center"/>
          </w:tcPr>
          <w:p w14:paraId="7298F8F0">
            <w:pPr>
              <w:keepNext w:val="0"/>
              <w:keepLines w:val="0"/>
              <w:pageBreakBefore w:val="0"/>
              <w:kinsoku/>
              <w:wordWrap/>
              <w:overflowPunct/>
              <w:topLinePunct w:val="0"/>
              <w:autoSpaceDE/>
              <w:autoSpaceDN/>
              <w:bidi w:val="0"/>
              <w:adjustRightInd/>
              <w:snapToGrid/>
              <w:spacing w:line="280" w:lineRule="exact"/>
              <w:textAlignment w:val="auto"/>
              <w:rPr>
                <w:rFonts w:hint="eastAsia" w:ascii="仿宋_GB2312" w:hAnsi="仿宋_GB2312" w:eastAsia="仿宋_GB2312" w:cs="仿宋_GB2312"/>
                <w:kern w:val="2"/>
                <w:sz w:val="21"/>
                <w:szCs w:val="22"/>
                <w:lang w:val="en-US" w:eastAsia="zh-CN" w:bidi="ar-SA"/>
              </w:rPr>
            </w:pPr>
            <w:r>
              <w:rPr>
                <w:rFonts w:hint="eastAsia" w:ascii="仿宋_GB2312" w:hAnsi="仿宋_GB2312" w:eastAsia="仿宋_GB2312" w:cs="仿宋_GB2312"/>
              </w:rPr>
              <w:t>农业生产发展</w:t>
            </w:r>
          </w:p>
        </w:tc>
        <w:tc>
          <w:tcPr>
            <w:tcW w:w="726" w:type="pct"/>
            <w:tcBorders>
              <w:top w:val="single" w:color="auto" w:sz="4" w:space="0"/>
              <w:left w:val="single" w:color="auto" w:sz="4" w:space="0"/>
              <w:bottom w:val="single" w:color="auto" w:sz="4" w:space="0"/>
              <w:right w:val="single" w:color="auto" w:sz="4" w:space="0"/>
            </w:tcBorders>
          </w:tcPr>
          <w:p w14:paraId="02D4C13C">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286.53</w:t>
            </w:r>
          </w:p>
        </w:tc>
        <w:tc>
          <w:tcPr>
            <w:tcW w:w="611" w:type="pct"/>
            <w:tcBorders>
              <w:top w:val="single" w:color="auto" w:sz="4" w:space="0"/>
              <w:left w:val="single" w:color="auto" w:sz="4" w:space="0"/>
              <w:bottom w:val="single" w:color="auto" w:sz="4" w:space="0"/>
              <w:right w:val="single" w:color="auto" w:sz="4" w:space="0"/>
            </w:tcBorders>
          </w:tcPr>
          <w:p w14:paraId="150C8964">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ascii="Times New Roman" w:hAnsi="Times New Roman" w:eastAsia="仿宋_GB2312" w:cs="Times New Roman"/>
                <w:kern w:val="0"/>
                <w:sz w:val="24"/>
                <w:szCs w:val="24"/>
              </w:rPr>
            </w:pPr>
          </w:p>
        </w:tc>
        <w:tc>
          <w:tcPr>
            <w:tcW w:w="551" w:type="pct"/>
            <w:tcBorders>
              <w:top w:val="single" w:color="auto" w:sz="4" w:space="0"/>
              <w:left w:val="single" w:color="auto" w:sz="4" w:space="0"/>
              <w:bottom w:val="single" w:color="auto" w:sz="4" w:space="0"/>
              <w:right w:val="single" w:color="auto" w:sz="4" w:space="0"/>
            </w:tcBorders>
          </w:tcPr>
          <w:p w14:paraId="53BBE33D">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286.53</w:t>
            </w:r>
          </w:p>
        </w:tc>
        <w:tc>
          <w:tcPr>
            <w:tcW w:w="518" w:type="pct"/>
            <w:tcBorders>
              <w:top w:val="single" w:color="auto" w:sz="4" w:space="0"/>
              <w:left w:val="single" w:color="auto" w:sz="4" w:space="0"/>
              <w:bottom w:val="single" w:color="auto" w:sz="4" w:space="0"/>
              <w:right w:val="single" w:color="auto" w:sz="4" w:space="0"/>
            </w:tcBorders>
          </w:tcPr>
          <w:p w14:paraId="7ABD9202">
            <w:pPr>
              <w:keepNext w:val="0"/>
              <w:keepLines w:val="0"/>
              <w:pageBreakBefore w:val="0"/>
              <w:widowControl/>
              <w:kinsoku/>
              <w:wordWrap/>
              <w:overflowPunct/>
              <w:topLinePunct w:val="0"/>
              <w:autoSpaceDE/>
              <w:autoSpaceDN/>
              <w:bidi w:val="0"/>
              <w:adjustRightInd/>
              <w:snapToGrid/>
              <w:spacing w:line="280" w:lineRule="exact"/>
              <w:jc w:val="right"/>
              <w:textAlignment w:val="auto"/>
              <w:rPr>
                <w:rFonts w:ascii="Times New Roman" w:hAnsi="Times New Roman" w:eastAsia="仿宋_GB2312" w:cs="Times New Roman"/>
                <w:kern w:val="0"/>
                <w:sz w:val="24"/>
                <w:szCs w:val="24"/>
              </w:rPr>
            </w:pPr>
          </w:p>
        </w:tc>
        <w:tc>
          <w:tcPr>
            <w:tcW w:w="453" w:type="pct"/>
            <w:tcBorders>
              <w:top w:val="single" w:color="auto" w:sz="4" w:space="0"/>
              <w:left w:val="single" w:color="auto" w:sz="4" w:space="0"/>
              <w:bottom w:val="single" w:color="auto" w:sz="4" w:space="0"/>
              <w:right w:val="single" w:color="auto" w:sz="4" w:space="0"/>
            </w:tcBorders>
          </w:tcPr>
          <w:p w14:paraId="426297CE">
            <w:pPr>
              <w:keepNext w:val="0"/>
              <w:keepLines w:val="0"/>
              <w:pageBreakBefore w:val="0"/>
              <w:widowControl/>
              <w:kinsoku/>
              <w:wordWrap/>
              <w:overflowPunct/>
              <w:topLinePunct w:val="0"/>
              <w:autoSpaceDE/>
              <w:autoSpaceDN/>
              <w:bidi w:val="0"/>
              <w:adjustRightInd/>
              <w:snapToGrid/>
              <w:spacing w:line="280" w:lineRule="exact"/>
              <w:jc w:val="right"/>
              <w:textAlignment w:val="auto"/>
              <w:rPr>
                <w:rFonts w:ascii="Times New Roman" w:hAnsi="Times New Roman" w:eastAsia="仿宋_GB2312" w:cs="Times New Roman"/>
                <w:kern w:val="0"/>
                <w:sz w:val="24"/>
                <w:szCs w:val="24"/>
              </w:rPr>
            </w:pPr>
          </w:p>
        </w:tc>
        <w:tc>
          <w:tcPr>
            <w:tcW w:w="473" w:type="pct"/>
            <w:tcBorders>
              <w:top w:val="single" w:color="auto" w:sz="4" w:space="0"/>
              <w:left w:val="single" w:color="auto" w:sz="4" w:space="0"/>
              <w:bottom w:val="single" w:color="auto" w:sz="4" w:space="0"/>
              <w:right w:val="single" w:color="auto" w:sz="4" w:space="0"/>
            </w:tcBorders>
          </w:tcPr>
          <w:p w14:paraId="2CB0F16F">
            <w:pPr>
              <w:keepNext w:val="0"/>
              <w:keepLines w:val="0"/>
              <w:pageBreakBefore w:val="0"/>
              <w:widowControl/>
              <w:kinsoku/>
              <w:wordWrap/>
              <w:overflowPunct/>
              <w:topLinePunct w:val="0"/>
              <w:autoSpaceDE/>
              <w:autoSpaceDN/>
              <w:bidi w:val="0"/>
              <w:adjustRightInd/>
              <w:snapToGrid/>
              <w:spacing w:line="280" w:lineRule="exact"/>
              <w:jc w:val="right"/>
              <w:textAlignment w:val="auto"/>
              <w:rPr>
                <w:rFonts w:ascii="Times New Roman" w:hAnsi="Times New Roman" w:eastAsia="仿宋_GB2312" w:cs="Times New Roman"/>
                <w:kern w:val="0"/>
                <w:sz w:val="24"/>
                <w:szCs w:val="24"/>
              </w:rPr>
            </w:pPr>
          </w:p>
        </w:tc>
      </w:tr>
      <w:tr w14:paraId="48F7ABC5">
        <w:tblPrEx>
          <w:tblCellMar>
            <w:top w:w="0" w:type="dxa"/>
            <w:left w:w="108" w:type="dxa"/>
            <w:bottom w:w="0" w:type="dxa"/>
            <w:right w:w="108" w:type="dxa"/>
          </w:tblCellMar>
        </w:tblPrEx>
        <w:trPr>
          <w:trHeight w:val="595" w:hRule="atLeast"/>
          <w:jc w:val="center"/>
        </w:trPr>
        <w:tc>
          <w:tcPr>
            <w:tcW w:w="648" w:type="pct"/>
            <w:tcBorders>
              <w:top w:val="single" w:color="auto" w:sz="4" w:space="0"/>
              <w:left w:val="single" w:color="auto" w:sz="4" w:space="0"/>
              <w:bottom w:val="single" w:color="auto" w:sz="4" w:space="0"/>
              <w:right w:val="single" w:color="auto" w:sz="4" w:space="0"/>
            </w:tcBorders>
            <w:shd w:val="clear" w:color="000000" w:fill="FFFFFF"/>
            <w:vAlign w:val="center"/>
          </w:tcPr>
          <w:p w14:paraId="68E0D940">
            <w:pPr>
              <w:keepNext w:val="0"/>
              <w:keepLines w:val="0"/>
              <w:pageBreakBefore w:val="0"/>
              <w:kinsoku/>
              <w:wordWrap/>
              <w:overflowPunct/>
              <w:topLinePunct w:val="0"/>
              <w:autoSpaceDE/>
              <w:autoSpaceDN/>
              <w:bidi w:val="0"/>
              <w:adjustRightInd/>
              <w:snapToGrid/>
              <w:spacing w:line="280" w:lineRule="exact"/>
              <w:textAlignment w:val="auto"/>
              <w:rPr>
                <w:rFonts w:hint="eastAsia" w:ascii="仿宋_GB2312" w:hAnsi="仿宋_GB2312" w:eastAsia="仿宋_GB2312" w:cs="仿宋_GB2312"/>
                <w:kern w:val="2"/>
                <w:sz w:val="21"/>
                <w:szCs w:val="22"/>
                <w:lang w:val="en-US" w:eastAsia="zh-CN" w:bidi="ar-SA"/>
              </w:rPr>
            </w:pPr>
            <w:r>
              <w:rPr>
                <w:rFonts w:hint="eastAsia" w:ascii="仿宋_GB2312" w:hAnsi="仿宋_GB2312" w:eastAsia="仿宋_GB2312" w:cs="仿宋_GB2312"/>
              </w:rPr>
              <w:t>21307</w:t>
            </w:r>
          </w:p>
        </w:tc>
        <w:tc>
          <w:tcPr>
            <w:tcW w:w="1016" w:type="pct"/>
            <w:tcBorders>
              <w:top w:val="single" w:color="auto" w:sz="4" w:space="0"/>
              <w:left w:val="single" w:color="auto" w:sz="4" w:space="0"/>
              <w:bottom w:val="single" w:color="auto" w:sz="4" w:space="0"/>
              <w:right w:val="single" w:color="auto" w:sz="4" w:space="0"/>
            </w:tcBorders>
            <w:shd w:val="clear" w:color="000000" w:fill="FFFFFF"/>
            <w:vAlign w:val="center"/>
          </w:tcPr>
          <w:p w14:paraId="368A6220">
            <w:pPr>
              <w:keepNext w:val="0"/>
              <w:keepLines w:val="0"/>
              <w:pageBreakBefore w:val="0"/>
              <w:kinsoku/>
              <w:wordWrap/>
              <w:overflowPunct/>
              <w:topLinePunct w:val="0"/>
              <w:autoSpaceDE/>
              <w:autoSpaceDN/>
              <w:bidi w:val="0"/>
              <w:adjustRightInd/>
              <w:snapToGrid/>
              <w:spacing w:line="280" w:lineRule="exact"/>
              <w:textAlignment w:val="auto"/>
              <w:rPr>
                <w:rFonts w:hint="eastAsia" w:ascii="仿宋_GB2312" w:hAnsi="仿宋_GB2312" w:eastAsia="仿宋_GB2312" w:cs="仿宋_GB2312"/>
                <w:kern w:val="2"/>
                <w:sz w:val="21"/>
                <w:szCs w:val="22"/>
                <w:lang w:val="en-US" w:eastAsia="zh-CN" w:bidi="ar-SA"/>
              </w:rPr>
            </w:pPr>
            <w:r>
              <w:rPr>
                <w:rFonts w:hint="eastAsia" w:ascii="仿宋_GB2312" w:hAnsi="仿宋_GB2312" w:eastAsia="仿宋_GB2312" w:cs="仿宋_GB2312"/>
              </w:rPr>
              <w:t>农村综合改革</w:t>
            </w:r>
          </w:p>
        </w:tc>
        <w:tc>
          <w:tcPr>
            <w:tcW w:w="726" w:type="pct"/>
            <w:tcBorders>
              <w:top w:val="single" w:color="auto" w:sz="4" w:space="0"/>
              <w:left w:val="single" w:color="auto" w:sz="4" w:space="0"/>
              <w:bottom w:val="single" w:color="auto" w:sz="4" w:space="0"/>
              <w:right w:val="single" w:color="auto" w:sz="4" w:space="0"/>
            </w:tcBorders>
          </w:tcPr>
          <w:p w14:paraId="5266C1B3">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158.94</w:t>
            </w:r>
          </w:p>
        </w:tc>
        <w:tc>
          <w:tcPr>
            <w:tcW w:w="611" w:type="pct"/>
            <w:tcBorders>
              <w:top w:val="single" w:color="auto" w:sz="4" w:space="0"/>
              <w:left w:val="single" w:color="auto" w:sz="4" w:space="0"/>
              <w:bottom w:val="single" w:color="auto" w:sz="4" w:space="0"/>
              <w:right w:val="single" w:color="auto" w:sz="4" w:space="0"/>
            </w:tcBorders>
          </w:tcPr>
          <w:p w14:paraId="1F3F0E56">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ascii="Times New Roman" w:hAnsi="Times New Roman" w:eastAsia="仿宋_GB2312" w:cs="Times New Roman"/>
                <w:kern w:val="0"/>
                <w:sz w:val="24"/>
                <w:szCs w:val="24"/>
              </w:rPr>
            </w:pPr>
          </w:p>
        </w:tc>
        <w:tc>
          <w:tcPr>
            <w:tcW w:w="551" w:type="pct"/>
            <w:tcBorders>
              <w:top w:val="single" w:color="auto" w:sz="4" w:space="0"/>
              <w:left w:val="single" w:color="auto" w:sz="4" w:space="0"/>
              <w:bottom w:val="single" w:color="auto" w:sz="4" w:space="0"/>
              <w:right w:val="single" w:color="auto" w:sz="4" w:space="0"/>
            </w:tcBorders>
          </w:tcPr>
          <w:p w14:paraId="7A6A9654">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158.94</w:t>
            </w:r>
          </w:p>
        </w:tc>
        <w:tc>
          <w:tcPr>
            <w:tcW w:w="518" w:type="pct"/>
            <w:tcBorders>
              <w:top w:val="single" w:color="auto" w:sz="4" w:space="0"/>
              <w:left w:val="single" w:color="auto" w:sz="4" w:space="0"/>
              <w:bottom w:val="single" w:color="auto" w:sz="4" w:space="0"/>
              <w:right w:val="single" w:color="auto" w:sz="4" w:space="0"/>
            </w:tcBorders>
          </w:tcPr>
          <w:p w14:paraId="05E51E7D">
            <w:pPr>
              <w:keepNext w:val="0"/>
              <w:keepLines w:val="0"/>
              <w:pageBreakBefore w:val="0"/>
              <w:widowControl/>
              <w:kinsoku/>
              <w:wordWrap/>
              <w:overflowPunct/>
              <w:topLinePunct w:val="0"/>
              <w:autoSpaceDE/>
              <w:autoSpaceDN/>
              <w:bidi w:val="0"/>
              <w:adjustRightInd/>
              <w:snapToGrid/>
              <w:spacing w:line="280" w:lineRule="exact"/>
              <w:jc w:val="right"/>
              <w:textAlignment w:val="auto"/>
              <w:rPr>
                <w:rFonts w:ascii="Times New Roman" w:hAnsi="Times New Roman" w:eastAsia="仿宋_GB2312" w:cs="Times New Roman"/>
                <w:kern w:val="0"/>
                <w:sz w:val="24"/>
                <w:szCs w:val="24"/>
              </w:rPr>
            </w:pPr>
          </w:p>
        </w:tc>
        <w:tc>
          <w:tcPr>
            <w:tcW w:w="453" w:type="pct"/>
            <w:tcBorders>
              <w:top w:val="single" w:color="auto" w:sz="4" w:space="0"/>
              <w:left w:val="single" w:color="auto" w:sz="4" w:space="0"/>
              <w:bottom w:val="single" w:color="auto" w:sz="4" w:space="0"/>
              <w:right w:val="single" w:color="auto" w:sz="4" w:space="0"/>
            </w:tcBorders>
          </w:tcPr>
          <w:p w14:paraId="1FD0EAA8">
            <w:pPr>
              <w:keepNext w:val="0"/>
              <w:keepLines w:val="0"/>
              <w:pageBreakBefore w:val="0"/>
              <w:widowControl/>
              <w:kinsoku/>
              <w:wordWrap/>
              <w:overflowPunct/>
              <w:topLinePunct w:val="0"/>
              <w:autoSpaceDE/>
              <w:autoSpaceDN/>
              <w:bidi w:val="0"/>
              <w:adjustRightInd/>
              <w:snapToGrid/>
              <w:spacing w:line="280" w:lineRule="exact"/>
              <w:jc w:val="right"/>
              <w:textAlignment w:val="auto"/>
              <w:rPr>
                <w:rFonts w:ascii="Times New Roman" w:hAnsi="Times New Roman" w:eastAsia="仿宋_GB2312" w:cs="Times New Roman"/>
                <w:kern w:val="0"/>
                <w:sz w:val="24"/>
                <w:szCs w:val="24"/>
              </w:rPr>
            </w:pPr>
          </w:p>
        </w:tc>
        <w:tc>
          <w:tcPr>
            <w:tcW w:w="473" w:type="pct"/>
            <w:tcBorders>
              <w:top w:val="single" w:color="auto" w:sz="4" w:space="0"/>
              <w:left w:val="single" w:color="auto" w:sz="4" w:space="0"/>
              <w:bottom w:val="single" w:color="auto" w:sz="4" w:space="0"/>
              <w:right w:val="single" w:color="auto" w:sz="4" w:space="0"/>
            </w:tcBorders>
          </w:tcPr>
          <w:p w14:paraId="1A2D9A59">
            <w:pPr>
              <w:keepNext w:val="0"/>
              <w:keepLines w:val="0"/>
              <w:pageBreakBefore w:val="0"/>
              <w:widowControl/>
              <w:kinsoku/>
              <w:wordWrap/>
              <w:overflowPunct/>
              <w:topLinePunct w:val="0"/>
              <w:autoSpaceDE/>
              <w:autoSpaceDN/>
              <w:bidi w:val="0"/>
              <w:adjustRightInd/>
              <w:snapToGrid/>
              <w:spacing w:line="280" w:lineRule="exact"/>
              <w:jc w:val="right"/>
              <w:textAlignment w:val="auto"/>
              <w:rPr>
                <w:rFonts w:ascii="Times New Roman" w:hAnsi="Times New Roman" w:eastAsia="仿宋_GB2312" w:cs="Times New Roman"/>
                <w:kern w:val="0"/>
                <w:sz w:val="24"/>
                <w:szCs w:val="24"/>
              </w:rPr>
            </w:pPr>
          </w:p>
        </w:tc>
      </w:tr>
      <w:tr w14:paraId="204637CC">
        <w:tblPrEx>
          <w:tblCellMar>
            <w:top w:w="0" w:type="dxa"/>
            <w:left w:w="108" w:type="dxa"/>
            <w:bottom w:w="0" w:type="dxa"/>
            <w:right w:w="108" w:type="dxa"/>
          </w:tblCellMar>
        </w:tblPrEx>
        <w:trPr>
          <w:trHeight w:val="595" w:hRule="atLeast"/>
          <w:jc w:val="center"/>
        </w:trPr>
        <w:tc>
          <w:tcPr>
            <w:tcW w:w="648" w:type="pct"/>
            <w:tcBorders>
              <w:top w:val="single" w:color="auto" w:sz="4" w:space="0"/>
              <w:left w:val="single" w:color="auto" w:sz="4" w:space="0"/>
              <w:bottom w:val="single" w:color="auto" w:sz="4" w:space="0"/>
              <w:right w:val="single" w:color="auto" w:sz="4" w:space="0"/>
            </w:tcBorders>
            <w:shd w:val="clear" w:color="000000" w:fill="FFFFFF"/>
            <w:vAlign w:val="center"/>
          </w:tcPr>
          <w:p w14:paraId="06C6BB4F">
            <w:pPr>
              <w:keepNext w:val="0"/>
              <w:keepLines w:val="0"/>
              <w:pageBreakBefore w:val="0"/>
              <w:kinsoku/>
              <w:wordWrap/>
              <w:overflowPunct/>
              <w:topLinePunct w:val="0"/>
              <w:autoSpaceDE/>
              <w:autoSpaceDN/>
              <w:bidi w:val="0"/>
              <w:adjustRightInd/>
              <w:snapToGrid/>
              <w:spacing w:line="280" w:lineRule="exact"/>
              <w:textAlignment w:val="auto"/>
              <w:rPr>
                <w:rFonts w:hint="eastAsia" w:ascii="仿宋_GB2312" w:hAnsi="仿宋_GB2312" w:eastAsia="仿宋_GB2312" w:cs="仿宋_GB2312"/>
                <w:kern w:val="2"/>
                <w:sz w:val="21"/>
                <w:szCs w:val="22"/>
                <w:lang w:val="en-US" w:eastAsia="zh-CN" w:bidi="ar-SA"/>
              </w:rPr>
            </w:pPr>
            <w:r>
              <w:rPr>
                <w:rFonts w:hint="eastAsia" w:ascii="仿宋_GB2312" w:hAnsi="仿宋_GB2312" w:eastAsia="仿宋_GB2312" w:cs="仿宋_GB2312"/>
              </w:rPr>
              <w:t>2130701</w:t>
            </w:r>
          </w:p>
        </w:tc>
        <w:tc>
          <w:tcPr>
            <w:tcW w:w="1016" w:type="pct"/>
            <w:tcBorders>
              <w:top w:val="single" w:color="auto" w:sz="4" w:space="0"/>
              <w:left w:val="single" w:color="auto" w:sz="4" w:space="0"/>
              <w:bottom w:val="single" w:color="auto" w:sz="4" w:space="0"/>
              <w:right w:val="single" w:color="auto" w:sz="4" w:space="0"/>
            </w:tcBorders>
            <w:shd w:val="clear" w:color="000000" w:fill="FFFFFF"/>
            <w:vAlign w:val="center"/>
          </w:tcPr>
          <w:p w14:paraId="52EFF812">
            <w:pPr>
              <w:keepNext w:val="0"/>
              <w:keepLines w:val="0"/>
              <w:pageBreakBefore w:val="0"/>
              <w:kinsoku/>
              <w:wordWrap/>
              <w:overflowPunct/>
              <w:topLinePunct w:val="0"/>
              <w:autoSpaceDE/>
              <w:autoSpaceDN/>
              <w:bidi w:val="0"/>
              <w:adjustRightInd/>
              <w:snapToGrid/>
              <w:spacing w:line="280" w:lineRule="exact"/>
              <w:textAlignment w:val="auto"/>
              <w:rPr>
                <w:rFonts w:hint="eastAsia" w:ascii="仿宋_GB2312" w:hAnsi="仿宋_GB2312" w:eastAsia="仿宋_GB2312" w:cs="仿宋_GB2312"/>
                <w:kern w:val="2"/>
                <w:sz w:val="21"/>
                <w:szCs w:val="22"/>
                <w:lang w:val="en-US" w:eastAsia="zh-CN" w:bidi="ar-SA"/>
              </w:rPr>
            </w:pPr>
            <w:r>
              <w:rPr>
                <w:rFonts w:hint="eastAsia" w:ascii="仿宋_GB2312" w:hAnsi="仿宋_GB2312" w:eastAsia="仿宋_GB2312" w:cs="仿宋_GB2312"/>
              </w:rPr>
              <w:t>对村级公益事业建设的补助</w:t>
            </w:r>
          </w:p>
        </w:tc>
        <w:tc>
          <w:tcPr>
            <w:tcW w:w="726" w:type="pct"/>
            <w:tcBorders>
              <w:top w:val="single" w:color="auto" w:sz="4" w:space="0"/>
              <w:left w:val="single" w:color="auto" w:sz="4" w:space="0"/>
              <w:bottom w:val="single" w:color="auto" w:sz="4" w:space="0"/>
              <w:right w:val="single" w:color="auto" w:sz="4" w:space="0"/>
            </w:tcBorders>
          </w:tcPr>
          <w:p w14:paraId="14184F26">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158.94</w:t>
            </w:r>
          </w:p>
        </w:tc>
        <w:tc>
          <w:tcPr>
            <w:tcW w:w="611" w:type="pct"/>
            <w:tcBorders>
              <w:top w:val="single" w:color="auto" w:sz="4" w:space="0"/>
              <w:left w:val="single" w:color="auto" w:sz="4" w:space="0"/>
              <w:bottom w:val="single" w:color="auto" w:sz="4" w:space="0"/>
              <w:right w:val="single" w:color="auto" w:sz="4" w:space="0"/>
            </w:tcBorders>
          </w:tcPr>
          <w:p w14:paraId="5A00C968">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ascii="Times New Roman" w:hAnsi="Times New Roman" w:eastAsia="仿宋_GB2312" w:cs="Times New Roman"/>
                <w:kern w:val="0"/>
                <w:sz w:val="24"/>
                <w:szCs w:val="24"/>
              </w:rPr>
            </w:pPr>
          </w:p>
        </w:tc>
        <w:tc>
          <w:tcPr>
            <w:tcW w:w="551" w:type="pct"/>
            <w:tcBorders>
              <w:top w:val="single" w:color="auto" w:sz="4" w:space="0"/>
              <w:left w:val="single" w:color="auto" w:sz="4" w:space="0"/>
              <w:bottom w:val="single" w:color="auto" w:sz="4" w:space="0"/>
              <w:right w:val="single" w:color="auto" w:sz="4" w:space="0"/>
            </w:tcBorders>
          </w:tcPr>
          <w:p w14:paraId="0E47D8E9">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158.94</w:t>
            </w:r>
          </w:p>
        </w:tc>
        <w:tc>
          <w:tcPr>
            <w:tcW w:w="518" w:type="pct"/>
            <w:tcBorders>
              <w:top w:val="single" w:color="auto" w:sz="4" w:space="0"/>
              <w:left w:val="single" w:color="auto" w:sz="4" w:space="0"/>
              <w:bottom w:val="single" w:color="auto" w:sz="4" w:space="0"/>
              <w:right w:val="single" w:color="auto" w:sz="4" w:space="0"/>
            </w:tcBorders>
          </w:tcPr>
          <w:p w14:paraId="142B326B">
            <w:pPr>
              <w:keepNext w:val="0"/>
              <w:keepLines w:val="0"/>
              <w:pageBreakBefore w:val="0"/>
              <w:widowControl/>
              <w:kinsoku/>
              <w:wordWrap/>
              <w:overflowPunct/>
              <w:topLinePunct w:val="0"/>
              <w:autoSpaceDE/>
              <w:autoSpaceDN/>
              <w:bidi w:val="0"/>
              <w:adjustRightInd/>
              <w:snapToGrid/>
              <w:spacing w:line="280" w:lineRule="exact"/>
              <w:jc w:val="right"/>
              <w:textAlignment w:val="auto"/>
              <w:rPr>
                <w:rFonts w:ascii="Times New Roman" w:hAnsi="Times New Roman" w:eastAsia="仿宋_GB2312" w:cs="Times New Roman"/>
                <w:kern w:val="0"/>
                <w:sz w:val="24"/>
                <w:szCs w:val="24"/>
              </w:rPr>
            </w:pPr>
          </w:p>
        </w:tc>
        <w:tc>
          <w:tcPr>
            <w:tcW w:w="453" w:type="pct"/>
            <w:tcBorders>
              <w:top w:val="single" w:color="auto" w:sz="4" w:space="0"/>
              <w:left w:val="single" w:color="auto" w:sz="4" w:space="0"/>
              <w:bottom w:val="single" w:color="auto" w:sz="4" w:space="0"/>
              <w:right w:val="single" w:color="auto" w:sz="4" w:space="0"/>
            </w:tcBorders>
          </w:tcPr>
          <w:p w14:paraId="591EA528">
            <w:pPr>
              <w:keepNext w:val="0"/>
              <w:keepLines w:val="0"/>
              <w:pageBreakBefore w:val="0"/>
              <w:widowControl/>
              <w:kinsoku/>
              <w:wordWrap/>
              <w:overflowPunct/>
              <w:topLinePunct w:val="0"/>
              <w:autoSpaceDE/>
              <w:autoSpaceDN/>
              <w:bidi w:val="0"/>
              <w:adjustRightInd/>
              <w:snapToGrid/>
              <w:spacing w:line="280" w:lineRule="exact"/>
              <w:jc w:val="right"/>
              <w:textAlignment w:val="auto"/>
              <w:rPr>
                <w:rFonts w:ascii="Times New Roman" w:hAnsi="Times New Roman" w:eastAsia="仿宋_GB2312" w:cs="Times New Roman"/>
                <w:kern w:val="0"/>
                <w:sz w:val="24"/>
                <w:szCs w:val="24"/>
              </w:rPr>
            </w:pPr>
          </w:p>
        </w:tc>
        <w:tc>
          <w:tcPr>
            <w:tcW w:w="473" w:type="pct"/>
            <w:tcBorders>
              <w:top w:val="single" w:color="auto" w:sz="4" w:space="0"/>
              <w:left w:val="single" w:color="auto" w:sz="4" w:space="0"/>
              <w:bottom w:val="single" w:color="auto" w:sz="4" w:space="0"/>
              <w:right w:val="single" w:color="auto" w:sz="4" w:space="0"/>
            </w:tcBorders>
          </w:tcPr>
          <w:p w14:paraId="4F7D9DC9">
            <w:pPr>
              <w:keepNext w:val="0"/>
              <w:keepLines w:val="0"/>
              <w:pageBreakBefore w:val="0"/>
              <w:widowControl/>
              <w:kinsoku/>
              <w:wordWrap/>
              <w:overflowPunct/>
              <w:topLinePunct w:val="0"/>
              <w:autoSpaceDE/>
              <w:autoSpaceDN/>
              <w:bidi w:val="0"/>
              <w:adjustRightInd/>
              <w:snapToGrid/>
              <w:spacing w:line="280" w:lineRule="exact"/>
              <w:jc w:val="right"/>
              <w:textAlignment w:val="auto"/>
              <w:rPr>
                <w:rFonts w:ascii="Times New Roman" w:hAnsi="Times New Roman" w:eastAsia="仿宋_GB2312" w:cs="Times New Roman"/>
                <w:kern w:val="0"/>
                <w:sz w:val="24"/>
                <w:szCs w:val="24"/>
              </w:rPr>
            </w:pPr>
          </w:p>
        </w:tc>
      </w:tr>
      <w:tr w14:paraId="2C2326F5">
        <w:tblPrEx>
          <w:tblCellMar>
            <w:top w:w="0" w:type="dxa"/>
            <w:left w:w="108" w:type="dxa"/>
            <w:bottom w:w="0" w:type="dxa"/>
            <w:right w:w="108" w:type="dxa"/>
          </w:tblCellMar>
        </w:tblPrEx>
        <w:trPr>
          <w:trHeight w:val="639" w:hRule="atLeast"/>
          <w:jc w:val="center"/>
        </w:trPr>
        <w:tc>
          <w:tcPr>
            <w:tcW w:w="648" w:type="pct"/>
            <w:tcBorders>
              <w:top w:val="single" w:color="auto" w:sz="4" w:space="0"/>
              <w:left w:val="single" w:color="auto" w:sz="4" w:space="0"/>
              <w:bottom w:val="single" w:color="auto" w:sz="4" w:space="0"/>
              <w:right w:val="single" w:color="auto" w:sz="4" w:space="0"/>
            </w:tcBorders>
            <w:shd w:val="clear" w:color="000000" w:fill="FFFFFF"/>
            <w:vAlign w:val="center"/>
          </w:tcPr>
          <w:p w14:paraId="4CE7CCB6">
            <w:pPr>
              <w:keepNext w:val="0"/>
              <w:keepLines w:val="0"/>
              <w:pageBreakBefore w:val="0"/>
              <w:kinsoku/>
              <w:wordWrap/>
              <w:overflowPunct/>
              <w:topLinePunct w:val="0"/>
              <w:autoSpaceDE/>
              <w:autoSpaceDN/>
              <w:bidi w:val="0"/>
              <w:adjustRightInd/>
              <w:snapToGrid/>
              <w:spacing w:line="280" w:lineRule="exact"/>
              <w:textAlignment w:val="auto"/>
              <w:rPr>
                <w:rFonts w:hint="eastAsia" w:ascii="仿宋_GB2312" w:hAnsi="仿宋_GB2312" w:eastAsia="仿宋_GB2312" w:cs="仿宋_GB2312"/>
                <w:kern w:val="2"/>
                <w:sz w:val="21"/>
                <w:szCs w:val="22"/>
                <w:lang w:val="en-US" w:eastAsia="zh-CN" w:bidi="ar-SA"/>
              </w:rPr>
            </w:pPr>
            <w:r>
              <w:rPr>
                <w:rFonts w:hint="eastAsia" w:ascii="仿宋_GB2312" w:hAnsi="仿宋_GB2312" w:eastAsia="仿宋_GB2312" w:cs="仿宋_GB2312"/>
              </w:rPr>
              <w:t>221</w:t>
            </w:r>
          </w:p>
        </w:tc>
        <w:tc>
          <w:tcPr>
            <w:tcW w:w="1016" w:type="pct"/>
            <w:tcBorders>
              <w:top w:val="single" w:color="auto" w:sz="4" w:space="0"/>
              <w:left w:val="single" w:color="auto" w:sz="4" w:space="0"/>
              <w:bottom w:val="single" w:color="auto" w:sz="4" w:space="0"/>
              <w:right w:val="single" w:color="auto" w:sz="4" w:space="0"/>
            </w:tcBorders>
            <w:shd w:val="clear" w:color="000000" w:fill="FFFFFF"/>
            <w:vAlign w:val="center"/>
          </w:tcPr>
          <w:p w14:paraId="5FD946CF">
            <w:pPr>
              <w:keepNext w:val="0"/>
              <w:keepLines w:val="0"/>
              <w:pageBreakBefore w:val="0"/>
              <w:kinsoku/>
              <w:wordWrap/>
              <w:overflowPunct/>
              <w:topLinePunct w:val="0"/>
              <w:autoSpaceDE/>
              <w:autoSpaceDN/>
              <w:bidi w:val="0"/>
              <w:adjustRightInd/>
              <w:snapToGrid/>
              <w:spacing w:line="280" w:lineRule="exact"/>
              <w:textAlignment w:val="auto"/>
              <w:rPr>
                <w:rFonts w:hint="eastAsia" w:ascii="仿宋_GB2312" w:hAnsi="仿宋_GB2312" w:eastAsia="仿宋_GB2312" w:cs="仿宋_GB2312"/>
                <w:kern w:val="2"/>
                <w:sz w:val="21"/>
                <w:szCs w:val="22"/>
                <w:lang w:val="en-US" w:eastAsia="zh-CN" w:bidi="ar-SA"/>
              </w:rPr>
            </w:pPr>
            <w:r>
              <w:rPr>
                <w:rFonts w:hint="eastAsia" w:ascii="仿宋_GB2312" w:hAnsi="仿宋_GB2312" w:eastAsia="仿宋_GB2312" w:cs="仿宋_GB2312"/>
              </w:rPr>
              <w:t>住房保障支出</w:t>
            </w:r>
          </w:p>
        </w:tc>
        <w:tc>
          <w:tcPr>
            <w:tcW w:w="726" w:type="pct"/>
            <w:tcBorders>
              <w:top w:val="single" w:color="auto" w:sz="4" w:space="0"/>
              <w:left w:val="single" w:color="auto" w:sz="4" w:space="0"/>
              <w:bottom w:val="single" w:color="auto" w:sz="4" w:space="0"/>
              <w:right w:val="single" w:color="auto" w:sz="4" w:space="0"/>
            </w:tcBorders>
          </w:tcPr>
          <w:p w14:paraId="1E814CD3">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4.90</w:t>
            </w:r>
          </w:p>
        </w:tc>
        <w:tc>
          <w:tcPr>
            <w:tcW w:w="611" w:type="pct"/>
            <w:tcBorders>
              <w:top w:val="single" w:color="auto" w:sz="4" w:space="0"/>
              <w:left w:val="single" w:color="auto" w:sz="4" w:space="0"/>
              <w:bottom w:val="single" w:color="auto" w:sz="4" w:space="0"/>
              <w:right w:val="single" w:color="auto" w:sz="4" w:space="0"/>
            </w:tcBorders>
          </w:tcPr>
          <w:p w14:paraId="47E3D0B5">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4.90</w:t>
            </w:r>
          </w:p>
        </w:tc>
        <w:tc>
          <w:tcPr>
            <w:tcW w:w="551" w:type="pct"/>
            <w:tcBorders>
              <w:top w:val="single" w:color="auto" w:sz="4" w:space="0"/>
              <w:left w:val="single" w:color="auto" w:sz="4" w:space="0"/>
              <w:bottom w:val="single" w:color="auto" w:sz="4" w:space="0"/>
              <w:right w:val="single" w:color="auto" w:sz="4" w:space="0"/>
            </w:tcBorders>
          </w:tcPr>
          <w:p w14:paraId="2A9F2ADE">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ascii="Times New Roman" w:hAnsi="Times New Roman" w:eastAsia="仿宋_GB2312" w:cs="Times New Roman"/>
                <w:kern w:val="0"/>
                <w:sz w:val="24"/>
                <w:szCs w:val="24"/>
              </w:rPr>
            </w:pPr>
          </w:p>
        </w:tc>
        <w:tc>
          <w:tcPr>
            <w:tcW w:w="518" w:type="pct"/>
            <w:tcBorders>
              <w:top w:val="single" w:color="auto" w:sz="4" w:space="0"/>
              <w:left w:val="single" w:color="auto" w:sz="4" w:space="0"/>
              <w:bottom w:val="single" w:color="auto" w:sz="4" w:space="0"/>
              <w:right w:val="single" w:color="auto" w:sz="4" w:space="0"/>
            </w:tcBorders>
          </w:tcPr>
          <w:p w14:paraId="74CEBFBF">
            <w:pPr>
              <w:keepNext w:val="0"/>
              <w:keepLines w:val="0"/>
              <w:pageBreakBefore w:val="0"/>
              <w:widowControl/>
              <w:kinsoku/>
              <w:wordWrap/>
              <w:overflowPunct/>
              <w:topLinePunct w:val="0"/>
              <w:autoSpaceDE/>
              <w:autoSpaceDN/>
              <w:bidi w:val="0"/>
              <w:adjustRightInd/>
              <w:snapToGrid/>
              <w:spacing w:line="280" w:lineRule="exact"/>
              <w:jc w:val="right"/>
              <w:textAlignment w:val="auto"/>
              <w:rPr>
                <w:rFonts w:ascii="Times New Roman" w:hAnsi="Times New Roman" w:eastAsia="仿宋_GB2312" w:cs="Times New Roman"/>
                <w:kern w:val="0"/>
                <w:sz w:val="24"/>
                <w:szCs w:val="24"/>
              </w:rPr>
            </w:pPr>
          </w:p>
        </w:tc>
        <w:tc>
          <w:tcPr>
            <w:tcW w:w="453" w:type="pct"/>
            <w:tcBorders>
              <w:top w:val="single" w:color="auto" w:sz="4" w:space="0"/>
              <w:left w:val="single" w:color="auto" w:sz="4" w:space="0"/>
              <w:bottom w:val="single" w:color="auto" w:sz="4" w:space="0"/>
              <w:right w:val="single" w:color="auto" w:sz="4" w:space="0"/>
            </w:tcBorders>
          </w:tcPr>
          <w:p w14:paraId="014FF8E6">
            <w:pPr>
              <w:keepNext w:val="0"/>
              <w:keepLines w:val="0"/>
              <w:pageBreakBefore w:val="0"/>
              <w:widowControl/>
              <w:kinsoku/>
              <w:wordWrap/>
              <w:overflowPunct/>
              <w:topLinePunct w:val="0"/>
              <w:autoSpaceDE/>
              <w:autoSpaceDN/>
              <w:bidi w:val="0"/>
              <w:adjustRightInd/>
              <w:snapToGrid/>
              <w:spacing w:line="280" w:lineRule="exact"/>
              <w:jc w:val="right"/>
              <w:textAlignment w:val="auto"/>
              <w:rPr>
                <w:rFonts w:ascii="Times New Roman" w:hAnsi="Times New Roman" w:eastAsia="仿宋_GB2312" w:cs="Times New Roman"/>
                <w:kern w:val="0"/>
                <w:sz w:val="24"/>
                <w:szCs w:val="24"/>
              </w:rPr>
            </w:pPr>
          </w:p>
        </w:tc>
        <w:tc>
          <w:tcPr>
            <w:tcW w:w="473" w:type="pct"/>
            <w:tcBorders>
              <w:top w:val="single" w:color="auto" w:sz="4" w:space="0"/>
              <w:left w:val="single" w:color="auto" w:sz="4" w:space="0"/>
              <w:bottom w:val="single" w:color="auto" w:sz="4" w:space="0"/>
              <w:right w:val="single" w:color="auto" w:sz="4" w:space="0"/>
            </w:tcBorders>
          </w:tcPr>
          <w:p w14:paraId="5E88D34A">
            <w:pPr>
              <w:keepNext w:val="0"/>
              <w:keepLines w:val="0"/>
              <w:pageBreakBefore w:val="0"/>
              <w:widowControl/>
              <w:kinsoku/>
              <w:wordWrap/>
              <w:overflowPunct/>
              <w:topLinePunct w:val="0"/>
              <w:autoSpaceDE/>
              <w:autoSpaceDN/>
              <w:bidi w:val="0"/>
              <w:adjustRightInd/>
              <w:snapToGrid/>
              <w:spacing w:line="280" w:lineRule="exact"/>
              <w:jc w:val="right"/>
              <w:textAlignment w:val="auto"/>
              <w:rPr>
                <w:rFonts w:ascii="Times New Roman" w:hAnsi="Times New Roman" w:eastAsia="仿宋_GB2312" w:cs="Times New Roman"/>
                <w:kern w:val="0"/>
                <w:sz w:val="24"/>
                <w:szCs w:val="24"/>
              </w:rPr>
            </w:pPr>
          </w:p>
        </w:tc>
      </w:tr>
      <w:tr w14:paraId="2DAB25FB">
        <w:tblPrEx>
          <w:tblCellMar>
            <w:top w:w="0" w:type="dxa"/>
            <w:left w:w="108" w:type="dxa"/>
            <w:bottom w:w="0" w:type="dxa"/>
            <w:right w:w="108" w:type="dxa"/>
          </w:tblCellMar>
        </w:tblPrEx>
        <w:trPr>
          <w:trHeight w:val="595" w:hRule="atLeast"/>
          <w:jc w:val="center"/>
        </w:trPr>
        <w:tc>
          <w:tcPr>
            <w:tcW w:w="648" w:type="pct"/>
            <w:tcBorders>
              <w:top w:val="single" w:color="auto" w:sz="4" w:space="0"/>
              <w:left w:val="single" w:color="auto" w:sz="4" w:space="0"/>
              <w:bottom w:val="single" w:color="auto" w:sz="4" w:space="0"/>
              <w:right w:val="single" w:color="auto" w:sz="4" w:space="0"/>
            </w:tcBorders>
            <w:shd w:val="clear" w:color="000000" w:fill="FFFFFF"/>
            <w:vAlign w:val="center"/>
          </w:tcPr>
          <w:p w14:paraId="4A89D4FD">
            <w:pPr>
              <w:keepNext w:val="0"/>
              <w:keepLines w:val="0"/>
              <w:pageBreakBefore w:val="0"/>
              <w:kinsoku/>
              <w:wordWrap/>
              <w:overflowPunct/>
              <w:topLinePunct w:val="0"/>
              <w:autoSpaceDE/>
              <w:autoSpaceDN/>
              <w:bidi w:val="0"/>
              <w:adjustRightInd/>
              <w:snapToGrid/>
              <w:spacing w:line="280" w:lineRule="exact"/>
              <w:textAlignment w:val="auto"/>
              <w:rPr>
                <w:rFonts w:hint="eastAsia" w:ascii="仿宋_GB2312" w:hAnsi="仿宋_GB2312" w:eastAsia="仿宋_GB2312" w:cs="仿宋_GB2312"/>
                <w:kern w:val="2"/>
                <w:sz w:val="21"/>
                <w:szCs w:val="22"/>
                <w:lang w:val="en-US" w:eastAsia="zh-CN" w:bidi="ar-SA"/>
              </w:rPr>
            </w:pPr>
            <w:r>
              <w:rPr>
                <w:rFonts w:hint="eastAsia" w:ascii="仿宋_GB2312" w:hAnsi="仿宋_GB2312" w:eastAsia="仿宋_GB2312" w:cs="仿宋_GB2312"/>
              </w:rPr>
              <w:t>22102</w:t>
            </w:r>
          </w:p>
        </w:tc>
        <w:tc>
          <w:tcPr>
            <w:tcW w:w="1016" w:type="pct"/>
            <w:tcBorders>
              <w:top w:val="single" w:color="auto" w:sz="4" w:space="0"/>
              <w:left w:val="single" w:color="auto" w:sz="4" w:space="0"/>
              <w:bottom w:val="single" w:color="auto" w:sz="4" w:space="0"/>
              <w:right w:val="single" w:color="auto" w:sz="4" w:space="0"/>
            </w:tcBorders>
            <w:shd w:val="clear" w:color="000000" w:fill="FFFFFF"/>
            <w:vAlign w:val="center"/>
          </w:tcPr>
          <w:p w14:paraId="0F4F6996">
            <w:pPr>
              <w:keepNext w:val="0"/>
              <w:keepLines w:val="0"/>
              <w:pageBreakBefore w:val="0"/>
              <w:kinsoku/>
              <w:wordWrap/>
              <w:overflowPunct/>
              <w:topLinePunct w:val="0"/>
              <w:autoSpaceDE/>
              <w:autoSpaceDN/>
              <w:bidi w:val="0"/>
              <w:adjustRightInd/>
              <w:snapToGrid/>
              <w:spacing w:line="280" w:lineRule="exact"/>
              <w:textAlignment w:val="auto"/>
              <w:rPr>
                <w:rFonts w:hint="eastAsia" w:ascii="仿宋_GB2312" w:hAnsi="仿宋_GB2312" w:eastAsia="仿宋_GB2312" w:cs="仿宋_GB2312"/>
                <w:kern w:val="2"/>
                <w:sz w:val="21"/>
                <w:szCs w:val="22"/>
                <w:lang w:val="en-US" w:eastAsia="zh-CN" w:bidi="ar-SA"/>
              </w:rPr>
            </w:pPr>
            <w:r>
              <w:rPr>
                <w:rFonts w:hint="eastAsia" w:ascii="仿宋_GB2312" w:hAnsi="仿宋_GB2312" w:eastAsia="仿宋_GB2312" w:cs="仿宋_GB2312"/>
              </w:rPr>
              <w:t>住房改革支出</w:t>
            </w:r>
          </w:p>
        </w:tc>
        <w:tc>
          <w:tcPr>
            <w:tcW w:w="726" w:type="pct"/>
            <w:tcBorders>
              <w:top w:val="single" w:color="auto" w:sz="4" w:space="0"/>
              <w:left w:val="single" w:color="auto" w:sz="4" w:space="0"/>
              <w:bottom w:val="single" w:color="auto" w:sz="4" w:space="0"/>
              <w:right w:val="single" w:color="auto" w:sz="4" w:space="0"/>
            </w:tcBorders>
          </w:tcPr>
          <w:p w14:paraId="119AFBEE">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4.90</w:t>
            </w:r>
          </w:p>
        </w:tc>
        <w:tc>
          <w:tcPr>
            <w:tcW w:w="611" w:type="pct"/>
            <w:tcBorders>
              <w:top w:val="single" w:color="auto" w:sz="4" w:space="0"/>
              <w:left w:val="single" w:color="auto" w:sz="4" w:space="0"/>
              <w:bottom w:val="single" w:color="auto" w:sz="4" w:space="0"/>
              <w:right w:val="single" w:color="auto" w:sz="4" w:space="0"/>
            </w:tcBorders>
          </w:tcPr>
          <w:p w14:paraId="2BD5CB8A">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4.90</w:t>
            </w:r>
          </w:p>
        </w:tc>
        <w:tc>
          <w:tcPr>
            <w:tcW w:w="551" w:type="pct"/>
            <w:tcBorders>
              <w:top w:val="single" w:color="auto" w:sz="4" w:space="0"/>
              <w:left w:val="single" w:color="auto" w:sz="4" w:space="0"/>
              <w:bottom w:val="single" w:color="auto" w:sz="4" w:space="0"/>
              <w:right w:val="single" w:color="auto" w:sz="4" w:space="0"/>
            </w:tcBorders>
          </w:tcPr>
          <w:p w14:paraId="584486C4">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ascii="Times New Roman" w:hAnsi="Times New Roman" w:eastAsia="仿宋_GB2312" w:cs="Times New Roman"/>
                <w:kern w:val="0"/>
                <w:sz w:val="24"/>
                <w:szCs w:val="24"/>
              </w:rPr>
            </w:pPr>
          </w:p>
        </w:tc>
        <w:tc>
          <w:tcPr>
            <w:tcW w:w="518" w:type="pct"/>
            <w:tcBorders>
              <w:top w:val="single" w:color="auto" w:sz="4" w:space="0"/>
              <w:left w:val="single" w:color="auto" w:sz="4" w:space="0"/>
              <w:bottom w:val="single" w:color="auto" w:sz="4" w:space="0"/>
              <w:right w:val="single" w:color="auto" w:sz="4" w:space="0"/>
            </w:tcBorders>
          </w:tcPr>
          <w:p w14:paraId="67A6E38E">
            <w:pPr>
              <w:keepNext w:val="0"/>
              <w:keepLines w:val="0"/>
              <w:pageBreakBefore w:val="0"/>
              <w:widowControl/>
              <w:kinsoku/>
              <w:wordWrap/>
              <w:overflowPunct/>
              <w:topLinePunct w:val="0"/>
              <w:autoSpaceDE/>
              <w:autoSpaceDN/>
              <w:bidi w:val="0"/>
              <w:adjustRightInd/>
              <w:snapToGrid/>
              <w:spacing w:line="280" w:lineRule="exact"/>
              <w:jc w:val="right"/>
              <w:textAlignment w:val="auto"/>
              <w:rPr>
                <w:rFonts w:ascii="Times New Roman" w:hAnsi="Times New Roman" w:eastAsia="仿宋_GB2312" w:cs="Times New Roman"/>
                <w:kern w:val="0"/>
                <w:sz w:val="24"/>
                <w:szCs w:val="24"/>
              </w:rPr>
            </w:pPr>
          </w:p>
        </w:tc>
        <w:tc>
          <w:tcPr>
            <w:tcW w:w="453" w:type="pct"/>
            <w:tcBorders>
              <w:top w:val="single" w:color="auto" w:sz="4" w:space="0"/>
              <w:left w:val="single" w:color="auto" w:sz="4" w:space="0"/>
              <w:bottom w:val="single" w:color="auto" w:sz="4" w:space="0"/>
              <w:right w:val="single" w:color="auto" w:sz="4" w:space="0"/>
            </w:tcBorders>
          </w:tcPr>
          <w:p w14:paraId="2B654D07">
            <w:pPr>
              <w:keepNext w:val="0"/>
              <w:keepLines w:val="0"/>
              <w:pageBreakBefore w:val="0"/>
              <w:widowControl/>
              <w:kinsoku/>
              <w:wordWrap/>
              <w:overflowPunct/>
              <w:topLinePunct w:val="0"/>
              <w:autoSpaceDE/>
              <w:autoSpaceDN/>
              <w:bidi w:val="0"/>
              <w:adjustRightInd/>
              <w:snapToGrid/>
              <w:spacing w:line="280" w:lineRule="exact"/>
              <w:jc w:val="right"/>
              <w:textAlignment w:val="auto"/>
              <w:rPr>
                <w:rFonts w:ascii="Times New Roman" w:hAnsi="Times New Roman" w:eastAsia="仿宋_GB2312" w:cs="Times New Roman"/>
                <w:kern w:val="0"/>
                <w:sz w:val="24"/>
                <w:szCs w:val="24"/>
              </w:rPr>
            </w:pPr>
          </w:p>
        </w:tc>
        <w:tc>
          <w:tcPr>
            <w:tcW w:w="473" w:type="pct"/>
            <w:tcBorders>
              <w:top w:val="single" w:color="auto" w:sz="4" w:space="0"/>
              <w:left w:val="single" w:color="auto" w:sz="4" w:space="0"/>
              <w:bottom w:val="single" w:color="auto" w:sz="4" w:space="0"/>
              <w:right w:val="single" w:color="auto" w:sz="4" w:space="0"/>
            </w:tcBorders>
          </w:tcPr>
          <w:p w14:paraId="3146AF7C">
            <w:pPr>
              <w:keepNext w:val="0"/>
              <w:keepLines w:val="0"/>
              <w:pageBreakBefore w:val="0"/>
              <w:widowControl/>
              <w:kinsoku/>
              <w:wordWrap/>
              <w:overflowPunct/>
              <w:topLinePunct w:val="0"/>
              <w:autoSpaceDE/>
              <w:autoSpaceDN/>
              <w:bidi w:val="0"/>
              <w:adjustRightInd/>
              <w:snapToGrid/>
              <w:spacing w:line="280" w:lineRule="exact"/>
              <w:jc w:val="right"/>
              <w:textAlignment w:val="auto"/>
              <w:rPr>
                <w:rFonts w:ascii="Times New Roman" w:hAnsi="Times New Roman" w:eastAsia="仿宋_GB2312" w:cs="Times New Roman"/>
                <w:kern w:val="0"/>
                <w:sz w:val="24"/>
                <w:szCs w:val="24"/>
              </w:rPr>
            </w:pPr>
          </w:p>
        </w:tc>
      </w:tr>
      <w:tr w14:paraId="03B8BC9B">
        <w:tblPrEx>
          <w:tblCellMar>
            <w:top w:w="0" w:type="dxa"/>
            <w:left w:w="108" w:type="dxa"/>
            <w:bottom w:w="0" w:type="dxa"/>
            <w:right w:w="108" w:type="dxa"/>
          </w:tblCellMar>
        </w:tblPrEx>
        <w:trPr>
          <w:trHeight w:val="595" w:hRule="atLeast"/>
          <w:jc w:val="center"/>
        </w:trPr>
        <w:tc>
          <w:tcPr>
            <w:tcW w:w="648" w:type="pct"/>
            <w:tcBorders>
              <w:top w:val="single" w:color="auto" w:sz="4" w:space="0"/>
              <w:left w:val="single" w:color="auto" w:sz="4" w:space="0"/>
              <w:bottom w:val="single" w:color="auto" w:sz="4" w:space="0"/>
              <w:right w:val="single" w:color="auto" w:sz="4" w:space="0"/>
            </w:tcBorders>
            <w:shd w:val="clear" w:color="000000" w:fill="FFFFFF"/>
            <w:vAlign w:val="center"/>
          </w:tcPr>
          <w:p w14:paraId="6F8D9AC2">
            <w:pPr>
              <w:keepNext w:val="0"/>
              <w:keepLines w:val="0"/>
              <w:pageBreakBefore w:val="0"/>
              <w:kinsoku/>
              <w:wordWrap/>
              <w:overflowPunct/>
              <w:topLinePunct w:val="0"/>
              <w:autoSpaceDE/>
              <w:autoSpaceDN/>
              <w:bidi w:val="0"/>
              <w:adjustRightInd/>
              <w:snapToGrid/>
              <w:spacing w:line="280" w:lineRule="exact"/>
              <w:textAlignment w:val="auto"/>
              <w:rPr>
                <w:rFonts w:hint="eastAsia" w:ascii="仿宋_GB2312" w:hAnsi="仿宋_GB2312" w:eastAsia="仿宋_GB2312" w:cs="仿宋_GB2312"/>
                <w:kern w:val="2"/>
                <w:sz w:val="21"/>
                <w:szCs w:val="22"/>
                <w:lang w:val="en-US" w:eastAsia="zh-CN" w:bidi="ar-SA"/>
              </w:rPr>
            </w:pPr>
            <w:r>
              <w:rPr>
                <w:rFonts w:hint="eastAsia" w:ascii="仿宋_GB2312" w:hAnsi="仿宋_GB2312" w:eastAsia="仿宋_GB2312" w:cs="仿宋_GB2312"/>
              </w:rPr>
              <w:t>2210201</w:t>
            </w:r>
          </w:p>
        </w:tc>
        <w:tc>
          <w:tcPr>
            <w:tcW w:w="1016" w:type="pct"/>
            <w:tcBorders>
              <w:top w:val="single" w:color="auto" w:sz="4" w:space="0"/>
              <w:left w:val="single" w:color="auto" w:sz="4" w:space="0"/>
              <w:bottom w:val="single" w:color="auto" w:sz="4" w:space="0"/>
              <w:right w:val="single" w:color="auto" w:sz="4" w:space="0"/>
            </w:tcBorders>
            <w:shd w:val="clear" w:color="auto" w:fill="auto"/>
            <w:vAlign w:val="center"/>
          </w:tcPr>
          <w:p w14:paraId="54C750BF">
            <w:pPr>
              <w:keepNext w:val="0"/>
              <w:keepLines w:val="0"/>
              <w:pageBreakBefore w:val="0"/>
              <w:kinsoku/>
              <w:wordWrap/>
              <w:overflowPunct/>
              <w:topLinePunct w:val="0"/>
              <w:autoSpaceDE/>
              <w:autoSpaceDN/>
              <w:bidi w:val="0"/>
              <w:adjustRightInd/>
              <w:snapToGrid/>
              <w:spacing w:line="280" w:lineRule="exact"/>
              <w:textAlignment w:val="auto"/>
              <w:rPr>
                <w:rFonts w:hint="eastAsia" w:ascii="仿宋_GB2312" w:hAnsi="仿宋_GB2312" w:eastAsia="仿宋_GB2312" w:cs="仿宋_GB2312"/>
                <w:kern w:val="2"/>
                <w:sz w:val="21"/>
                <w:szCs w:val="22"/>
                <w:lang w:val="en-US" w:eastAsia="zh-CN" w:bidi="ar-SA"/>
              </w:rPr>
            </w:pPr>
            <w:r>
              <w:rPr>
                <w:rFonts w:hint="eastAsia" w:ascii="仿宋_GB2312" w:hAnsi="仿宋_GB2312" w:eastAsia="仿宋_GB2312" w:cs="仿宋_GB2312"/>
              </w:rPr>
              <w:t>住房公积金</w:t>
            </w:r>
          </w:p>
        </w:tc>
        <w:tc>
          <w:tcPr>
            <w:tcW w:w="726" w:type="pct"/>
            <w:tcBorders>
              <w:top w:val="single" w:color="auto" w:sz="4" w:space="0"/>
              <w:left w:val="single" w:color="auto" w:sz="4" w:space="0"/>
              <w:bottom w:val="single" w:color="auto" w:sz="4" w:space="0"/>
              <w:right w:val="single" w:color="auto" w:sz="4" w:space="0"/>
            </w:tcBorders>
          </w:tcPr>
          <w:p w14:paraId="7C2053E3">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4.90</w:t>
            </w:r>
          </w:p>
        </w:tc>
        <w:tc>
          <w:tcPr>
            <w:tcW w:w="611" w:type="pct"/>
            <w:tcBorders>
              <w:top w:val="single" w:color="auto" w:sz="4" w:space="0"/>
              <w:left w:val="single" w:color="auto" w:sz="4" w:space="0"/>
              <w:bottom w:val="single" w:color="auto" w:sz="4" w:space="0"/>
              <w:right w:val="single" w:color="auto" w:sz="4" w:space="0"/>
            </w:tcBorders>
          </w:tcPr>
          <w:p w14:paraId="56BE9E48">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4.90</w:t>
            </w:r>
          </w:p>
        </w:tc>
        <w:tc>
          <w:tcPr>
            <w:tcW w:w="551" w:type="pct"/>
            <w:tcBorders>
              <w:top w:val="single" w:color="auto" w:sz="4" w:space="0"/>
              <w:left w:val="single" w:color="auto" w:sz="4" w:space="0"/>
              <w:bottom w:val="single" w:color="auto" w:sz="4" w:space="0"/>
              <w:right w:val="single" w:color="auto" w:sz="4" w:space="0"/>
            </w:tcBorders>
          </w:tcPr>
          <w:p w14:paraId="2EFF7209">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ascii="Times New Roman" w:hAnsi="Times New Roman" w:eastAsia="仿宋_GB2312" w:cs="Times New Roman"/>
                <w:kern w:val="0"/>
                <w:sz w:val="24"/>
                <w:szCs w:val="24"/>
              </w:rPr>
            </w:pPr>
          </w:p>
        </w:tc>
        <w:tc>
          <w:tcPr>
            <w:tcW w:w="518" w:type="pct"/>
            <w:tcBorders>
              <w:top w:val="single" w:color="auto" w:sz="4" w:space="0"/>
              <w:left w:val="single" w:color="auto" w:sz="4" w:space="0"/>
              <w:bottom w:val="single" w:color="auto" w:sz="4" w:space="0"/>
              <w:right w:val="single" w:color="auto" w:sz="4" w:space="0"/>
            </w:tcBorders>
          </w:tcPr>
          <w:p w14:paraId="377DFA77">
            <w:pPr>
              <w:keepNext w:val="0"/>
              <w:keepLines w:val="0"/>
              <w:pageBreakBefore w:val="0"/>
              <w:widowControl/>
              <w:kinsoku/>
              <w:wordWrap/>
              <w:overflowPunct/>
              <w:topLinePunct w:val="0"/>
              <w:autoSpaceDE/>
              <w:autoSpaceDN/>
              <w:bidi w:val="0"/>
              <w:adjustRightInd/>
              <w:snapToGrid/>
              <w:spacing w:line="280" w:lineRule="exact"/>
              <w:jc w:val="right"/>
              <w:textAlignment w:val="auto"/>
              <w:rPr>
                <w:rFonts w:ascii="Times New Roman" w:hAnsi="Times New Roman" w:eastAsia="仿宋_GB2312" w:cs="Times New Roman"/>
                <w:kern w:val="0"/>
                <w:sz w:val="24"/>
                <w:szCs w:val="24"/>
              </w:rPr>
            </w:pPr>
          </w:p>
        </w:tc>
        <w:tc>
          <w:tcPr>
            <w:tcW w:w="453" w:type="pct"/>
            <w:tcBorders>
              <w:top w:val="single" w:color="auto" w:sz="4" w:space="0"/>
              <w:left w:val="single" w:color="auto" w:sz="4" w:space="0"/>
              <w:bottom w:val="single" w:color="auto" w:sz="4" w:space="0"/>
              <w:right w:val="single" w:color="auto" w:sz="4" w:space="0"/>
            </w:tcBorders>
          </w:tcPr>
          <w:p w14:paraId="551B8628">
            <w:pPr>
              <w:keepNext w:val="0"/>
              <w:keepLines w:val="0"/>
              <w:pageBreakBefore w:val="0"/>
              <w:widowControl/>
              <w:kinsoku/>
              <w:wordWrap/>
              <w:overflowPunct/>
              <w:topLinePunct w:val="0"/>
              <w:autoSpaceDE/>
              <w:autoSpaceDN/>
              <w:bidi w:val="0"/>
              <w:adjustRightInd/>
              <w:snapToGrid/>
              <w:spacing w:line="280" w:lineRule="exact"/>
              <w:jc w:val="right"/>
              <w:textAlignment w:val="auto"/>
              <w:rPr>
                <w:rFonts w:ascii="Times New Roman" w:hAnsi="Times New Roman" w:eastAsia="仿宋_GB2312" w:cs="Times New Roman"/>
                <w:kern w:val="0"/>
                <w:sz w:val="24"/>
                <w:szCs w:val="24"/>
              </w:rPr>
            </w:pPr>
          </w:p>
        </w:tc>
        <w:tc>
          <w:tcPr>
            <w:tcW w:w="473" w:type="pct"/>
            <w:tcBorders>
              <w:top w:val="single" w:color="auto" w:sz="4" w:space="0"/>
              <w:left w:val="single" w:color="auto" w:sz="4" w:space="0"/>
              <w:bottom w:val="single" w:color="auto" w:sz="4" w:space="0"/>
              <w:right w:val="single" w:color="auto" w:sz="4" w:space="0"/>
            </w:tcBorders>
          </w:tcPr>
          <w:p w14:paraId="3765D404">
            <w:pPr>
              <w:keepNext w:val="0"/>
              <w:keepLines w:val="0"/>
              <w:pageBreakBefore w:val="0"/>
              <w:widowControl/>
              <w:kinsoku/>
              <w:wordWrap/>
              <w:overflowPunct/>
              <w:topLinePunct w:val="0"/>
              <w:autoSpaceDE/>
              <w:autoSpaceDN/>
              <w:bidi w:val="0"/>
              <w:adjustRightInd/>
              <w:snapToGrid/>
              <w:spacing w:line="280" w:lineRule="exact"/>
              <w:jc w:val="right"/>
              <w:textAlignment w:val="auto"/>
              <w:rPr>
                <w:rFonts w:ascii="Times New Roman" w:hAnsi="Times New Roman" w:eastAsia="仿宋_GB2312" w:cs="Times New Roman"/>
                <w:kern w:val="0"/>
                <w:sz w:val="24"/>
                <w:szCs w:val="24"/>
              </w:rPr>
            </w:pPr>
          </w:p>
        </w:tc>
      </w:tr>
      <w:tr w14:paraId="2E09C87A">
        <w:tblPrEx>
          <w:tblCellMar>
            <w:top w:w="0" w:type="dxa"/>
            <w:left w:w="108" w:type="dxa"/>
            <w:bottom w:w="0" w:type="dxa"/>
            <w:right w:w="108" w:type="dxa"/>
          </w:tblCellMar>
        </w:tblPrEx>
        <w:trPr>
          <w:trHeight w:val="595" w:hRule="atLeast"/>
          <w:jc w:val="center"/>
        </w:trPr>
        <w:tc>
          <w:tcPr>
            <w:tcW w:w="648" w:type="pct"/>
            <w:tcBorders>
              <w:top w:val="single" w:color="auto" w:sz="4" w:space="0"/>
              <w:left w:val="single" w:color="auto" w:sz="4" w:space="0"/>
              <w:bottom w:val="single" w:color="auto" w:sz="4" w:space="0"/>
              <w:right w:val="single" w:color="auto" w:sz="4" w:space="0"/>
            </w:tcBorders>
            <w:shd w:val="clear" w:color="000000" w:fill="FFFFFF"/>
            <w:vAlign w:val="center"/>
          </w:tcPr>
          <w:p w14:paraId="1573D96B">
            <w:pPr>
              <w:keepNext w:val="0"/>
              <w:keepLines w:val="0"/>
              <w:pageBreakBefore w:val="0"/>
              <w:kinsoku/>
              <w:wordWrap/>
              <w:overflowPunct/>
              <w:topLinePunct w:val="0"/>
              <w:autoSpaceDE/>
              <w:autoSpaceDN/>
              <w:bidi w:val="0"/>
              <w:adjustRightInd/>
              <w:snapToGrid/>
              <w:spacing w:line="280" w:lineRule="exact"/>
              <w:textAlignment w:val="auto"/>
              <w:rPr>
                <w:rFonts w:hint="default" w:ascii="仿宋_GB2312" w:hAnsi="仿宋_GB2312" w:eastAsia="仿宋_GB2312" w:cs="仿宋_GB2312"/>
                <w:kern w:val="2"/>
                <w:sz w:val="21"/>
                <w:szCs w:val="22"/>
                <w:lang w:val="en-US" w:eastAsia="zh-CN" w:bidi="ar-SA"/>
              </w:rPr>
            </w:pPr>
            <w:r>
              <w:rPr>
                <w:rFonts w:hint="eastAsia" w:ascii="仿宋_GB2312" w:hAnsi="仿宋_GB2312" w:eastAsia="仿宋_GB2312" w:cs="仿宋_GB2312"/>
                <w:lang w:val="en-US" w:eastAsia="zh-CN"/>
              </w:rPr>
              <w:t>229</w:t>
            </w:r>
          </w:p>
        </w:tc>
        <w:tc>
          <w:tcPr>
            <w:tcW w:w="1016" w:type="pct"/>
            <w:tcBorders>
              <w:top w:val="single" w:color="auto" w:sz="4" w:space="0"/>
              <w:left w:val="single" w:color="auto" w:sz="4" w:space="0"/>
              <w:bottom w:val="single" w:color="auto" w:sz="4" w:space="0"/>
              <w:right w:val="single" w:color="auto" w:sz="4" w:space="0"/>
            </w:tcBorders>
            <w:shd w:val="clear" w:color="auto" w:fill="auto"/>
            <w:vAlign w:val="center"/>
          </w:tcPr>
          <w:p w14:paraId="2EFAF1F5">
            <w:pPr>
              <w:keepNext w:val="0"/>
              <w:keepLines w:val="0"/>
              <w:pageBreakBefore w:val="0"/>
              <w:kinsoku/>
              <w:wordWrap/>
              <w:overflowPunct/>
              <w:topLinePunct w:val="0"/>
              <w:autoSpaceDE/>
              <w:autoSpaceDN/>
              <w:bidi w:val="0"/>
              <w:adjustRightInd/>
              <w:snapToGrid/>
              <w:spacing w:line="280" w:lineRule="exact"/>
              <w:textAlignment w:val="auto"/>
              <w:rPr>
                <w:rFonts w:hint="eastAsia" w:ascii="仿宋_GB2312" w:hAnsi="仿宋_GB2312" w:eastAsia="仿宋_GB2312" w:cs="仿宋_GB2312"/>
                <w:kern w:val="2"/>
                <w:sz w:val="21"/>
                <w:szCs w:val="22"/>
                <w:lang w:val="en-US" w:eastAsia="zh-CN" w:bidi="ar-SA"/>
              </w:rPr>
            </w:pPr>
            <w:r>
              <w:rPr>
                <w:rFonts w:hint="eastAsia" w:ascii="仿宋_GB2312" w:hAnsi="仿宋_GB2312" w:eastAsia="仿宋_GB2312" w:cs="仿宋_GB2312"/>
                <w:lang w:eastAsia="zh-CN"/>
              </w:rPr>
              <w:t>其他支出</w:t>
            </w:r>
          </w:p>
        </w:tc>
        <w:tc>
          <w:tcPr>
            <w:tcW w:w="726" w:type="pct"/>
            <w:tcBorders>
              <w:top w:val="single" w:color="auto" w:sz="4" w:space="0"/>
              <w:left w:val="single" w:color="auto" w:sz="4" w:space="0"/>
              <w:bottom w:val="single" w:color="auto" w:sz="4" w:space="0"/>
              <w:right w:val="single" w:color="auto" w:sz="4" w:space="0"/>
            </w:tcBorders>
          </w:tcPr>
          <w:p w14:paraId="1E7F2406">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85.25</w:t>
            </w:r>
          </w:p>
        </w:tc>
        <w:tc>
          <w:tcPr>
            <w:tcW w:w="611" w:type="pct"/>
            <w:tcBorders>
              <w:top w:val="single" w:color="auto" w:sz="4" w:space="0"/>
              <w:left w:val="single" w:color="auto" w:sz="4" w:space="0"/>
              <w:bottom w:val="single" w:color="auto" w:sz="4" w:space="0"/>
              <w:right w:val="single" w:color="auto" w:sz="4" w:space="0"/>
            </w:tcBorders>
          </w:tcPr>
          <w:p w14:paraId="604D6BD0">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ascii="Times New Roman" w:hAnsi="Times New Roman" w:eastAsia="仿宋_GB2312" w:cs="Times New Roman"/>
                <w:kern w:val="0"/>
                <w:sz w:val="24"/>
                <w:szCs w:val="24"/>
              </w:rPr>
            </w:pPr>
          </w:p>
        </w:tc>
        <w:tc>
          <w:tcPr>
            <w:tcW w:w="551" w:type="pct"/>
            <w:tcBorders>
              <w:top w:val="single" w:color="auto" w:sz="4" w:space="0"/>
              <w:left w:val="single" w:color="auto" w:sz="4" w:space="0"/>
              <w:bottom w:val="single" w:color="auto" w:sz="4" w:space="0"/>
              <w:right w:val="single" w:color="auto" w:sz="4" w:space="0"/>
            </w:tcBorders>
          </w:tcPr>
          <w:p w14:paraId="58FD621D">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85.25</w:t>
            </w:r>
          </w:p>
        </w:tc>
        <w:tc>
          <w:tcPr>
            <w:tcW w:w="518" w:type="pct"/>
            <w:tcBorders>
              <w:top w:val="single" w:color="auto" w:sz="4" w:space="0"/>
              <w:left w:val="single" w:color="auto" w:sz="4" w:space="0"/>
              <w:bottom w:val="single" w:color="auto" w:sz="4" w:space="0"/>
              <w:right w:val="single" w:color="auto" w:sz="4" w:space="0"/>
            </w:tcBorders>
          </w:tcPr>
          <w:p w14:paraId="1D666C34">
            <w:pPr>
              <w:keepNext w:val="0"/>
              <w:keepLines w:val="0"/>
              <w:pageBreakBefore w:val="0"/>
              <w:widowControl/>
              <w:kinsoku/>
              <w:wordWrap/>
              <w:overflowPunct/>
              <w:topLinePunct w:val="0"/>
              <w:autoSpaceDE/>
              <w:autoSpaceDN/>
              <w:bidi w:val="0"/>
              <w:adjustRightInd/>
              <w:snapToGrid/>
              <w:spacing w:line="280" w:lineRule="exact"/>
              <w:jc w:val="right"/>
              <w:textAlignment w:val="auto"/>
              <w:rPr>
                <w:rFonts w:ascii="Times New Roman" w:hAnsi="Times New Roman" w:eastAsia="仿宋_GB2312" w:cs="Times New Roman"/>
                <w:kern w:val="0"/>
                <w:sz w:val="24"/>
                <w:szCs w:val="24"/>
              </w:rPr>
            </w:pPr>
          </w:p>
        </w:tc>
        <w:tc>
          <w:tcPr>
            <w:tcW w:w="453" w:type="pct"/>
            <w:tcBorders>
              <w:top w:val="single" w:color="auto" w:sz="4" w:space="0"/>
              <w:left w:val="single" w:color="auto" w:sz="4" w:space="0"/>
              <w:bottom w:val="single" w:color="auto" w:sz="4" w:space="0"/>
              <w:right w:val="single" w:color="auto" w:sz="4" w:space="0"/>
            </w:tcBorders>
          </w:tcPr>
          <w:p w14:paraId="59D59C98">
            <w:pPr>
              <w:keepNext w:val="0"/>
              <w:keepLines w:val="0"/>
              <w:pageBreakBefore w:val="0"/>
              <w:widowControl/>
              <w:kinsoku/>
              <w:wordWrap/>
              <w:overflowPunct/>
              <w:topLinePunct w:val="0"/>
              <w:autoSpaceDE/>
              <w:autoSpaceDN/>
              <w:bidi w:val="0"/>
              <w:adjustRightInd/>
              <w:snapToGrid/>
              <w:spacing w:line="280" w:lineRule="exact"/>
              <w:jc w:val="right"/>
              <w:textAlignment w:val="auto"/>
              <w:rPr>
                <w:rFonts w:ascii="Times New Roman" w:hAnsi="Times New Roman" w:eastAsia="仿宋_GB2312" w:cs="Times New Roman"/>
                <w:kern w:val="0"/>
                <w:sz w:val="24"/>
                <w:szCs w:val="24"/>
              </w:rPr>
            </w:pPr>
          </w:p>
        </w:tc>
        <w:tc>
          <w:tcPr>
            <w:tcW w:w="473" w:type="pct"/>
            <w:tcBorders>
              <w:top w:val="single" w:color="auto" w:sz="4" w:space="0"/>
              <w:left w:val="single" w:color="auto" w:sz="4" w:space="0"/>
              <w:bottom w:val="single" w:color="auto" w:sz="4" w:space="0"/>
              <w:right w:val="single" w:color="auto" w:sz="4" w:space="0"/>
            </w:tcBorders>
          </w:tcPr>
          <w:p w14:paraId="20C7371F">
            <w:pPr>
              <w:keepNext w:val="0"/>
              <w:keepLines w:val="0"/>
              <w:pageBreakBefore w:val="0"/>
              <w:widowControl/>
              <w:kinsoku/>
              <w:wordWrap/>
              <w:overflowPunct/>
              <w:topLinePunct w:val="0"/>
              <w:autoSpaceDE/>
              <w:autoSpaceDN/>
              <w:bidi w:val="0"/>
              <w:adjustRightInd/>
              <w:snapToGrid/>
              <w:spacing w:line="280" w:lineRule="exact"/>
              <w:jc w:val="right"/>
              <w:textAlignment w:val="auto"/>
              <w:rPr>
                <w:rFonts w:ascii="Times New Roman" w:hAnsi="Times New Roman" w:eastAsia="仿宋_GB2312" w:cs="Times New Roman"/>
                <w:kern w:val="0"/>
                <w:sz w:val="24"/>
                <w:szCs w:val="24"/>
              </w:rPr>
            </w:pPr>
          </w:p>
        </w:tc>
      </w:tr>
      <w:tr w14:paraId="1A21EED7">
        <w:tblPrEx>
          <w:tblCellMar>
            <w:top w:w="0" w:type="dxa"/>
            <w:left w:w="108" w:type="dxa"/>
            <w:bottom w:w="0" w:type="dxa"/>
            <w:right w:w="108" w:type="dxa"/>
          </w:tblCellMar>
        </w:tblPrEx>
        <w:trPr>
          <w:trHeight w:val="595" w:hRule="atLeast"/>
          <w:jc w:val="center"/>
        </w:trPr>
        <w:tc>
          <w:tcPr>
            <w:tcW w:w="648" w:type="pct"/>
            <w:tcBorders>
              <w:top w:val="single" w:color="auto" w:sz="4" w:space="0"/>
              <w:left w:val="single" w:color="auto" w:sz="4" w:space="0"/>
              <w:bottom w:val="single" w:color="auto" w:sz="4" w:space="0"/>
              <w:right w:val="single" w:color="auto" w:sz="4" w:space="0"/>
            </w:tcBorders>
            <w:shd w:val="clear" w:color="000000" w:fill="FFFFFF"/>
            <w:vAlign w:val="center"/>
          </w:tcPr>
          <w:p w14:paraId="2D618262">
            <w:pPr>
              <w:keepNext w:val="0"/>
              <w:keepLines w:val="0"/>
              <w:pageBreakBefore w:val="0"/>
              <w:kinsoku/>
              <w:wordWrap/>
              <w:overflowPunct/>
              <w:topLinePunct w:val="0"/>
              <w:autoSpaceDE/>
              <w:autoSpaceDN/>
              <w:bidi w:val="0"/>
              <w:adjustRightInd/>
              <w:snapToGrid/>
              <w:spacing w:line="280" w:lineRule="exact"/>
              <w:textAlignment w:val="auto"/>
              <w:rPr>
                <w:rFonts w:hint="default" w:ascii="仿宋_GB2312" w:hAnsi="仿宋_GB2312" w:eastAsia="仿宋_GB2312" w:cs="仿宋_GB2312"/>
                <w:kern w:val="2"/>
                <w:sz w:val="21"/>
                <w:szCs w:val="22"/>
                <w:lang w:val="en-US" w:eastAsia="zh-CN" w:bidi="ar-SA"/>
              </w:rPr>
            </w:pPr>
            <w:r>
              <w:rPr>
                <w:rFonts w:hint="eastAsia" w:ascii="仿宋_GB2312" w:hAnsi="仿宋_GB2312" w:eastAsia="仿宋_GB2312" w:cs="仿宋_GB2312"/>
                <w:lang w:val="en-US" w:eastAsia="zh-CN"/>
              </w:rPr>
              <w:t>22904</w:t>
            </w:r>
          </w:p>
        </w:tc>
        <w:tc>
          <w:tcPr>
            <w:tcW w:w="1016" w:type="pct"/>
            <w:tcBorders>
              <w:top w:val="single" w:color="auto" w:sz="4" w:space="0"/>
              <w:left w:val="single" w:color="auto" w:sz="4" w:space="0"/>
              <w:bottom w:val="single" w:color="auto" w:sz="4" w:space="0"/>
              <w:right w:val="single" w:color="auto" w:sz="4" w:space="0"/>
            </w:tcBorders>
            <w:shd w:val="clear" w:color="auto" w:fill="auto"/>
            <w:vAlign w:val="center"/>
          </w:tcPr>
          <w:p w14:paraId="7C0FBCFC">
            <w:pPr>
              <w:keepNext w:val="0"/>
              <w:keepLines w:val="0"/>
              <w:pageBreakBefore w:val="0"/>
              <w:kinsoku/>
              <w:wordWrap/>
              <w:overflowPunct/>
              <w:topLinePunct w:val="0"/>
              <w:autoSpaceDE/>
              <w:autoSpaceDN/>
              <w:bidi w:val="0"/>
              <w:adjustRightInd/>
              <w:snapToGrid/>
              <w:spacing w:line="280" w:lineRule="exact"/>
              <w:textAlignment w:val="auto"/>
              <w:rPr>
                <w:rFonts w:hint="eastAsia" w:ascii="仿宋_GB2312" w:hAnsi="仿宋_GB2312" w:eastAsia="仿宋_GB2312" w:cs="仿宋_GB2312"/>
                <w:kern w:val="2"/>
                <w:sz w:val="21"/>
                <w:szCs w:val="22"/>
                <w:lang w:val="en-US" w:eastAsia="zh-CN" w:bidi="ar-SA"/>
              </w:rPr>
            </w:pPr>
            <w:r>
              <w:rPr>
                <w:rFonts w:hint="eastAsia" w:ascii="仿宋_GB2312" w:hAnsi="仿宋_GB2312" w:eastAsia="仿宋_GB2312" w:cs="仿宋_GB2312"/>
                <w:lang w:eastAsia="zh-CN"/>
              </w:rPr>
              <w:t>其他政府性基金及对应专债收入安排的支出</w:t>
            </w:r>
          </w:p>
        </w:tc>
        <w:tc>
          <w:tcPr>
            <w:tcW w:w="726" w:type="pct"/>
            <w:tcBorders>
              <w:top w:val="single" w:color="auto" w:sz="4" w:space="0"/>
              <w:left w:val="single" w:color="auto" w:sz="4" w:space="0"/>
              <w:bottom w:val="single" w:color="auto" w:sz="4" w:space="0"/>
              <w:right w:val="single" w:color="auto" w:sz="4" w:space="0"/>
            </w:tcBorders>
          </w:tcPr>
          <w:p w14:paraId="52B1EA42">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85.25</w:t>
            </w:r>
          </w:p>
        </w:tc>
        <w:tc>
          <w:tcPr>
            <w:tcW w:w="611" w:type="pct"/>
            <w:tcBorders>
              <w:top w:val="single" w:color="auto" w:sz="4" w:space="0"/>
              <w:left w:val="single" w:color="auto" w:sz="4" w:space="0"/>
              <w:bottom w:val="single" w:color="auto" w:sz="4" w:space="0"/>
              <w:right w:val="single" w:color="auto" w:sz="4" w:space="0"/>
            </w:tcBorders>
          </w:tcPr>
          <w:p w14:paraId="657411CF">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ascii="Times New Roman" w:hAnsi="Times New Roman" w:eastAsia="仿宋_GB2312" w:cs="Times New Roman"/>
                <w:kern w:val="0"/>
                <w:sz w:val="24"/>
                <w:szCs w:val="24"/>
              </w:rPr>
            </w:pPr>
          </w:p>
        </w:tc>
        <w:tc>
          <w:tcPr>
            <w:tcW w:w="551" w:type="pct"/>
            <w:tcBorders>
              <w:top w:val="single" w:color="auto" w:sz="4" w:space="0"/>
              <w:left w:val="single" w:color="auto" w:sz="4" w:space="0"/>
              <w:bottom w:val="single" w:color="auto" w:sz="4" w:space="0"/>
              <w:right w:val="single" w:color="auto" w:sz="4" w:space="0"/>
            </w:tcBorders>
          </w:tcPr>
          <w:p w14:paraId="5A73B44E">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85.25</w:t>
            </w:r>
          </w:p>
        </w:tc>
        <w:tc>
          <w:tcPr>
            <w:tcW w:w="518" w:type="pct"/>
            <w:tcBorders>
              <w:top w:val="single" w:color="auto" w:sz="4" w:space="0"/>
              <w:left w:val="single" w:color="auto" w:sz="4" w:space="0"/>
              <w:bottom w:val="single" w:color="auto" w:sz="4" w:space="0"/>
              <w:right w:val="single" w:color="auto" w:sz="4" w:space="0"/>
            </w:tcBorders>
          </w:tcPr>
          <w:p w14:paraId="2F66FA90">
            <w:pPr>
              <w:keepNext w:val="0"/>
              <w:keepLines w:val="0"/>
              <w:pageBreakBefore w:val="0"/>
              <w:widowControl/>
              <w:kinsoku/>
              <w:wordWrap/>
              <w:overflowPunct/>
              <w:topLinePunct w:val="0"/>
              <w:autoSpaceDE/>
              <w:autoSpaceDN/>
              <w:bidi w:val="0"/>
              <w:adjustRightInd/>
              <w:snapToGrid/>
              <w:spacing w:line="280" w:lineRule="exact"/>
              <w:jc w:val="right"/>
              <w:textAlignment w:val="auto"/>
              <w:rPr>
                <w:rFonts w:ascii="Times New Roman" w:hAnsi="Times New Roman" w:eastAsia="仿宋_GB2312" w:cs="Times New Roman"/>
                <w:kern w:val="0"/>
                <w:sz w:val="24"/>
                <w:szCs w:val="24"/>
              </w:rPr>
            </w:pPr>
          </w:p>
        </w:tc>
        <w:tc>
          <w:tcPr>
            <w:tcW w:w="453" w:type="pct"/>
            <w:tcBorders>
              <w:top w:val="single" w:color="auto" w:sz="4" w:space="0"/>
              <w:left w:val="single" w:color="auto" w:sz="4" w:space="0"/>
              <w:bottom w:val="single" w:color="auto" w:sz="4" w:space="0"/>
              <w:right w:val="single" w:color="auto" w:sz="4" w:space="0"/>
            </w:tcBorders>
          </w:tcPr>
          <w:p w14:paraId="6F380112">
            <w:pPr>
              <w:keepNext w:val="0"/>
              <w:keepLines w:val="0"/>
              <w:pageBreakBefore w:val="0"/>
              <w:widowControl/>
              <w:kinsoku/>
              <w:wordWrap/>
              <w:overflowPunct/>
              <w:topLinePunct w:val="0"/>
              <w:autoSpaceDE/>
              <w:autoSpaceDN/>
              <w:bidi w:val="0"/>
              <w:adjustRightInd/>
              <w:snapToGrid/>
              <w:spacing w:line="280" w:lineRule="exact"/>
              <w:jc w:val="right"/>
              <w:textAlignment w:val="auto"/>
              <w:rPr>
                <w:rFonts w:ascii="Times New Roman" w:hAnsi="Times New Roman" w:eastAsia="仿宋_GB2312" w:cs="Times New Roman"/>
                <w:kern w:val="0"/>
                <w:sz w:val="24"/>
                <w:szCs w:val="24"/>
              </w:rPr>
            </w:pPr>
          </w:p>
        </w:tc>
        <w:tc>
          <w:tcPr>
            <w:tcW w:w="473" w:type="pct"/>
            <w:tcBorders>
              <w:top w:val="single" w:color="auto" w:sz="4" w:space="0"/>
              <w:left w:val="single" w:color="auto" w:sz="4" w:space="0"/>
              <w:bottom w:val="single" w:color="auto" w:sz="4" w:space="0"/>
              <w:right w:val="single" w:color="auto" w:sz="4" w:space="0"/>
            </w:tcBorders>
          </w:tcPr>
          <w:p w14:paraId="64E8B350">
            <w:pPr>
              <w:keepNext w:val="0"/>
              <w:keepLines w:val="0"/>
              <w:pageBreakBefore w:val="0"/>
              <w:widowControl/>
              <w:kinsoku/>
              <w:wordWrap/>
              <w:overflowPunct/>
              <w:topLinePunct w:val="0"/>
              <w:autoSpaceDE/>
              <w:autoSpaceDN/>
              <w:bidi w:val="0"/>
              <w:adjustRightInd/>
              <w:snapToGrid/>
              <w:spacing w:line="280" w:lineRule="exact"/>
              <w:jc w:val="right"/>
              <w:textAlignment w:val="auto"/>
              <w:rPr>
                <w:rFonts w:ascii="Times New Roman" w:hAnsi="Times New Roman" w:eastAsia="仿宋_GB2312" w:cs="Times New Roman"/>
                <w:kern w:val="0"/>
                <w:sz w:val="24"/>
                <w:szCs w:val="24"/>
              </w:rPr>
            </w:pPr>
          </w:p>
        </w:tc>
      </w:tr>
      <w:tr w14:paraId="302EE79E">
        <w:tblPrEx>
          <w:tblCellMar>
            <w:top w:w="0" w:type="dxa"/>
            <w:left w:w="108" w:type="dxa"/>
            <w:bottom w:w="0" w:type="dxa"/>
            <w:right w:w="108" w:type="dxa"/>
          </w:tblCellMar>
        </w:tblPrEx>
        <w:trPr>
          <w:trHeight w:val="595" w:hRule="atLeast"/>
          <w:jc w:val="center"/>
        </w:trPr>
        <w:tc>
          <w:tcPr>
            <w:tcW w:w="648" w:type="pct"/>
            <w:tcBorders>
              <w:top w:val="single" w:color="auto" w:sz="4" w:space="0"/>
              <w:left w:val="single" w:color="auto" w:sz="4" w:space="0"/>
              <w:bottom w:val="single" w:color="auto" w:sz="4" w:space="0"/>
              <w:right w:val="single" w:color="auto" w:sz="4" w:space="0"/>
            </w:tcBorders>
            <w:shd w:val="clear" w:color="000000" w:fill="FFFFFF"/>
            <w:vAlign w:val="center"/>
          </w:tcPr>
          <w:p w14:paraId="27103AB8">
            <w:pPr>
              <w:keepNext w:val="0"/>
              <w:keepLines w:val="0"/>
              <w:pageBreakBefore w:val="0"/>
              <w:kinsoku/>
              <w:wordWrap/>
              <w:overflowPunct/>
              <w:topLinePunct w:val="0"/>
              <w:autoSpaceDE/>
              <w:autoSpaceDN/>
              <w:bidi w:val="0"/>
              <w:adjustRightInd/>
              <w:snapToGrid/>
              <w:spacing w:line="280" w:lineRule="exact"/>
              <w:textAlignment w:val="auto"/>
              <w:rPr>
                <w:rFonts w:hint="default" w:ascii="仿宋_GB2312" w:hAnsi="仿宋_GB2312" w:eastAsia="仿宋_GB2312" w:cs="仿宋_GB2312"/>
                <w:kern w:val="2"/>
                <w:sz w:val="21"/>
                <w:szCs w:val="22"/>
                <w:lang w:val="en-US" w:eastAsia="zh-CN" w:bidi="ar-SA"/>
              </w:rPr>
            </w:pPr>
            <w:r>
              <w:rPr>
                <w:rFonts w:hint="eastAsia" w:ascii="仿宋_GB2312" w:hAnsi="仿宋_GB2312" w:eastAsia="仿宋_GB2312" w:cs="仿宋_GB2312"/>
                <w:lang w:val="en-US" w:eastAsia="zh-CN"/>
              </w:rPr>
              <w:t>2290403</w:t>
            </w:r>
          </w:p>
        </w:tc>
        <w:tc>
          <w:tcPr>
            <w:tcW w:w="1016" w:type="pct"/>
            <w:tcBorders>
              <w:top w:val="single" w:color="auto" w:sz="4" w:space="0"/>
              <w:left w:val="single" w:color="auto" w:sz="4" w:space="0"/>
              <w:bottom w:val="single" w:color="auto" w:sz="4" w:space="0"/>
              <w:right w:val="single" w:color="auto" w:sz="4" w:space="0"/>
            </w:tcBorders>
            <w:shd w:val="clear" w:color="auto" w:fill="auto"/>
            <w:vAlign w:val="center"/>
          </w:tcPr>
          <w:p w14:paraId="0A0AB681">
            <w:pPr>
              <w:keepNext w:val="0"/>
              <w:keepLines w:val="0"/>
              <w:pageBreakBefore w:val="0"/>
              <w:kinsoku/>
              <w:wordWrap/>
              <w:overflowPunct/>
              <w:topLinePunct w:val="0"/>
              <w:autoSpaceDE/>
              <w:autoSpaceDN/>
              <w:bidi w:val="0"/>
              <w:adjustRightInd/>
              <w:snapToGrid/>
              <w:spacing w:line="280" w:lineRule="exact"/>
              <w:textAlignment w:val="auto"/>
              <w:rPr>
                <w:rFonts w:hint="eastAsia" w:ascii="仿宋_GB2312" w:hAnsi="仿宋_GB2312" w:eastAsia="仿宋_GB2312" w:cs="仿宋_GB2312"/>
                <w:kern w:val="2"/>
                <w:sz w:val="21"/>
                <w:szCs w:val="22"/>
                <w:lang w:val="en-US" w:eastAsia="zh-CN" w:bidi="ar-SA"/>
              </w:rPr>
            </w:pPr>
            <w:r>
              <w:rPr>
                <w:rFonts w:hint="eastAsia" w:ascii="仿宋_GB2312" w:hAnsi="仿宋_GB2312" w:eastAsia="仿宋_GB2312" w:cs="仿宋_GB2312"/>
                <w:lang w:eastAsia="zh-CN"/>
              </w:rPr>
              <w:t>其他政府性基金债务收入安排的支出</w:t>
            </w:r>
          </w:p>
        </w:tc>
        <w:tc>
          <w:tcPr>
            <w:tcW w:w="726" w:type="pct"/>
            <w:tcBorders>
              <w:top w:val="single" w:color="auto" w:sz="4" w:space="0"/>
              <w:left w:val="single" w:color="auto" w:sz="4" w:space="0"/>
              <w:bottom w:val="single" w:color="auto" w:sz="4" w:space="0"/>
              <w:right w:val="single" w:color="auto" w:sz="4" w:space="0"/>
            </w:tcBorders>
          </w:tcPr>
          <w:p w14:paraId="13914EA7">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85.25</w:t>
            </w:r>
          </w:p>
        </w:tc>
        <w:tc>
          <w:tcPr>
            <w:tcW w:w="611" w:type="pct"/>
            <w:tcBorders>
              <w:top w:val="single" w:color="auto" w:sz="4" w:space="0"/>
              <w:left w:val="single" w:color="auto" w:sz="4" w:space="0"/>
              <w:bottom w:val="single" w:color="auto" w:sz="4" w:space="0"/>
              <w:right w:val="single" w:color="auto" w:sz="4" w:space="0"/>
            </w:tcBorders>
          </w:tcPr>
          <w:p w14:paraId="5F1A2492">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ascii="Times New Roman" w:hAnsi="Times New Roman" w:eastAsia="仿宋_GB2312" w:cs="Times New Roman"/>
                <w:kern w:val="0"/>
                <w:sz w:val="24"/>
                <w:szCs w:val="24"/>
              </w:rPr>
            </w:pPr>
          </w:p>
        </w:tc>
        <w:tc>
          <w:tcPr>
            <w:tcW w:w="551" w:type="pct"/>
            <w:tcBorders>
              <w:top w:val="single" w:color="auto" w:sz="4" w:space="0"/>
              <w:left w:val="single" w:color="auto" w:sz="4" w:space="0"/>
              <w:bottom w:val="single" w:color="auto" w:sz="4" w:space="0"/>
              <w:right w:val="single" w:color="auto" w:sz="4" w:space="0"/>
            </w:tcBorders>
          </w:tcPr>
          <w:p w14:paraId="7530DEB5">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85.25</w:t>
            </w:r>
          </w:p>
        </w:tc>
        <w:tc>
          <w:tcPr>
            <w:tcW w:w="518" w:type="pct"/>
            <w:tcBorders>
              <w:top w:val="single" w:color="auto" w:sz="4" w:space="0"/>
              <w:left w:val="single" w:color="auto" w:sz="4" w:space="0"/>
              <w:bottom w:val="single" w:color="auto" w:sz="4" w:space="0"/>
              <w:right w:val="single" w:color="auto" w:sz="4" w:space="0"/>
            </w:tcBorders>
          </w:tcPr>
          <w:p w14:paraId="3841A71D">
            <w:pPr>
              <w:keepNext w:val="0"/>
              <w:keepLines w:val="0"/>
              <w:pageBreakBefore w:val="0"/>
              <w:widowControl/>
              <w:kinsoku/>
              <w:wordWrap/>
              <w:overflowPunct/>
              <w:topLinePunct w:val="0"/>
              <w:autoSpaceDE/>
              <w:autoSpaceDN/>
              <w:bidi w:val="0"/>
              <w:adjustRightInd/>
              <w:snapToGrid/>
              <w:spacing w:line="280" w:lineRule="exact"/>
              <w:jc w:val="right"/>
              <w:textAlignment w:val="auto"/>
              <w:rPr>
                <w:rFonts w:ascii="Times New Roman" w:hAnsi="Times New Roman" w:eastAsia="仿宋_GB2312" w:cs="Times New Roman"/>
                <w:kern w:val="0"/>
                <w:sz w:val="24"/>
                <w:szCs w:val="24"/>
              </w:rPr>
            </w:pPr>
          </w:p>
        </w:tc>
        <w:tc>
          <w:tcPr>
            <w:tcW w:w="453" w:type="pct"/>
            <w:tcBorders>
              <w:top w:val="single" w:color="auto" w:sz="4" w:space="0"/>
              <w:left w:val="single" w:color="auto" w:sz="4" w:space="0"/>
              <w:bottom w:val="single" w:color="auto" w:sz="4" w:space="0"/>
              <w:right w:val="single" w:color="auto" w:sz="4" w:space="0"/>
            </w:tcBorders>
          </w:tcPr>
          <w:p w14:paraId="1D40A652">
            <w:pPr>
              <w:keepNext w:val="0"/>
              <w:keepLines w:val="0"/>
              <w:pageBreakBefore w:val="0"/>
              <w:widowControl/>
              <w:kinsoku/>
              <w:wordWrap/>
              <w:overflowPunct/>
              <w:topLinePunct w:val="0"/>
              <w:autoSpaceDE/>
              <w:autoSpaceDN/>
              <w:bidi w:val="0"/>
              <w:adjustRightInd/>
              <w:snapToGrid/>
              <w:spacing w:line="280" w:lineRule="exact"/>
              <w:jc w:val="right"/>
              <w:textAlignment w:val="auto"/>
              <w:rPr>
                <w:rFonts w:ascii="Times New Roman" w:hAnsi="Times New Roman" w:eastAsia="仿宋_GB2312" w:cs="Times New Roman"/>
                <w:kern w:val="0"/>
                <w:sz w:val="24"/>
                <w:szCs w:val="24"/>
              </w:rPr>
            </w:pPr>
          </w:p>
        </w:tc>
        <w:tc>
          <w:tcPr>
            <w:tcW w:w="473" w:type="pct"/>
            <w:tcBorders>
              <w:top w:val="single" w:color="auto" w:sz="4" w:space="0"/>
              <w:left w:val="single" w:color="auto" w:sz="4" w:space="0"/>
              <w:bottom w:val="single" w:color="auto" w:sz="4" w:space="0"/>
              <w:right w:val="single" w:color="auto" w:sz="4" w:space="0"/>
            </w:tcBorders>
          </w:tcPr>
          <w:p w14:paraId="3365CD77">
            <w:pPr>
              <w:keepNext w:val="0"/>
              <w:keepLines w:val="0"/>
              <w:pageBreakBefore w:val="0"/>
              <w:widowControl/>
              <w:kinsoku/>
              <w:wordWrap/>
              <w:overflowPunct/>
              <w:topLinePunct w:val="0"/>
              <w:autoSpaceDE/>
              <w:autoSpaceDN/>
              <w:bidi w:val="0"/>
              <w:adjustRightInd/>
              <w:snapToGrid/>
              <w:spacing w:line="280" w:lineRule="exact"/>
              <w:jc w:val="right"/>
              <w:textAlignment w:val="auto"/>
              <w:rPr>
                <w:rFonts w:ascii="Times New Roman" w:hAnsi="Times New Roman" w:eastAsia="仿宋_GB2312" w:cs="Times New Roman"/>
                <w:kern w:val="0"/>
                <w:sz w:val="24"/>
                <w:szCs w:val="24"/>
              </w:rPr>
            </w:pPr>
          </w:p>
        </w:tc>
      </w:tr>
    </w:tbl>
    <w:p w14:paraId="4B8876A8">
      <w:pPr>
        <w:keepNext w:val="0"/>
        <w:keepLines w:val="0"/>
        <w:pageBreakBefore w:val="0"/>
        <w:widowControl/>
        <w:kinsoku/>
        <w:wordWrap/>
        <w:overflowPunct/>
        <w:topLinePunct w:val="0"/>
        <w:autoSpaceDE/>
        <w:autoSpaceDN/>
        <w:bidi w:val="0"/>
        <w:adjustRightInd/>
        <w:snapToGrid/>
        <w:spacing w:before="120" w:line="280" w:lineRule="exact"/>
        <w:jc w:val="left"/>
        <w:textAlignment w:val="auto"/>
        <w:rPr>
          <w:rFonts w:ascii="Times New Roman" w:hAnsi="Times New Roman" w:eastAsia="方正小标宋_GBK" w:cs="Times New Roman"/>
          <w:color w:val="000000"/>
          <w:kern w:val="0"/>
          <w:sz w:val="36"/>
          <w:szCs w:val="21"/>
        </w:rPr>
      </w:pPr>
      <w:r>
        <w:rPr>
          <w:rFonts w:ascii="Times New Roman" w:hAnsi="Times New Roman" w:eastAsia="仿宋_GB2312" w:cs="Times New Roman"/>
          <w:kern w:val="0"/>
          <w:sz w:val="24"/>
          <w:szCs w:val="24"/>
        </w:rPr>
        <w:t>注：本表反映部门本年度各项支出情况。</w:t>
      </w:r>
    </w:p>
    <w:p w14:paraId="079D2D2D">
      <w:pPr>
        <w:keepNext w:val="0"/>
        <w:keepLines w:val="0"/>
        <w:pageBreakBefore w:val="0"/>
        <w:widowControl/>
        <w:tabs>
          <w:tab w:val="left" w:pos="3595"/>
          <w:tab w:val="left" w:pos="4031"/>
          <w:tab w:val="left" w:pos="5605"/>
          <w:tab w:val="left" w:pos="9152"/>
          <w:tab w:val="left" w:pos="9587"/>
          <w:tab w:val="left" w:pos="11160"/>
          <w:tab w:val="left" w:pos="12554"/>
          <w:tab w:val="left" w:pos="13948"/>
        </w:tabs>
        <w:kinsoku/>
        <w:wordWrap/>
        <w:overflowPunct/>
        <w:topLinePunct w:val="0"/>
        <w:autoSpaceDE/>
        <w:autoSpaceDN/>
        <w:bidi w:val="0"/>
        <w:adjustRightInd/>
        <w:snapToGrid/>
        <w:spacing w:line="280" w:lineRule="exact"/>
        <w:jc w:val="right"/>
        <w:textAlignment w:val="auto"/>
        <w:rPr>
          <w:rFonts w:ascii="Times New Roman" w:hAnsi="Times New Roman" w:eastAsia="宋体" w:cs="Times New Roman"/>
          <w:kern w:val="0"/>
          <w:sz w:val="24"/>
          <w:szCs w:val="24"/>
        </w:rPr>
      </w:pPr>
      <w:bookmarkStart w:id="0" w:name="RANGE!A1:I22"/>
      <w:bookmarkEnd w:id="0"/>
      <w:bookmarkStart w:id="1" w:name="RANGE!A1:F16"/>
      <w:r>
        <w:rPr>
          <w:rFonts w:ascii="Times New Roman" w:hAnsi="Times New Roman" w:eastAsia="黑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p>
    <w:p w14:paraId="13804185">
      <w:pPr>
        <w:widowControl/>
        <w:spacing w:line="400" w:lineRule="exact"/>
        <w:jc w:val="center"/>
        <w:textAlignment w:val="center"/>
        <w:rPr>
          <w:rFonts w:ascii="Times New Roman" w:hAnsi="Times New Roman" w:eastAsia="黑体" w:cs="Times New Roman"/>
          <w:color w:val="000000"/>
          <w:kern w:val="0"/>
          <w:sz w:val="32"/>
          <w:szCs w:val="32"/>
          <w:lang w:bidi="ar"/>
        </w:rPr>
      </w:pPr>
    </w:p>
    <w:p w14:paraId="710FCE8D">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财政拨款收入支出决算总表</w:t>
      </w:r>
    </w:p>
    <w:p w14:paraId="7C70EEFE">
      <w:pPr>
        <w:widowControl/>
        <w:tabs>
          <w:tab w:val="left" w:pos="3595"/>
          <w:tab w:val="left" w:pos="4031"/>
          <w:tab w:val="left" w:pos="5109"/>
          <w:tab w:val="left" w:pos="9152"/>
          <w:tab w:val="left" w:pos="9587"/>
          <w:tab w:val="left" w:pos="11160"/>
          <w:tab w:val="left" w:pos="12554"/>
          <w:tab w:val="left" w:pos="13948"/>
        </w:tabs>
        <w:jc w:val="center"/>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 xml:space="preserve">                                                                                                                  </w:t>
      </w:r>
      <w:r>
        <w:rPr>
          <w:rFonts w:hint="eastAsia" w:ascii="Times New Roman" w:hAnsi="Times New Roman" w:eastAsia="仿宋_GB2312" w:cs="Times New Roman"/>
          <w:color w:val="000000"/>
          <w:kern w:val="0"/>
          <w:sz w:val="20"/>
          <w:szCs w:val="20"/>
          <w:lang w:val="en-US" w:eastAsia="zh-CN"/>
        </w:rPr>
        <w:t xml:space="preserve">            </w:t>
      </w:r>
      <w:r>
        <w:rPr>
          <w:rFonts w:ascii="Times New Roman" w:hAnsi="Times New Roman" w:eastAsia="仿宋_GB2312" w:cs="Times New Roman"/>
          <w:color w:val="000000"/>
          <w:kern w:val="0"/>
          <w:sz w:val="20"/>
          <w:szCs w:val="20"/>
        </w:rPr>
        <w:t>公开04表</w:t>
      </w:r>
    </w:p>
    <w:p w14:paraId="4B873962">
      <w:pPr>
        <w:widowControl/>
        <w:tabs>
          <w:tab w:val="left" w:pos="3595"/>
          <w:tab w:val="left" w:pos="4031"/>
          <w:tab w:val="left" w:pos="5109"/>
          <w:tab w:val="left" w:pos="9152"/>
          <w:tab w:val="left" w:pos="9587"/>
          <w:tab w:val="left" w:pos="11160"/>
          <w:tab w:val="left" w:pos="12554"/>
          <w:tab w:val="left" w:pos="13948"/>
        </w:tabs>
        <w:jc w:val="both"/>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部门：</w:t>
      </w:r>
      <w:r>
        <w:rPr>
          <w:rFonts w:hint="eastAsia" w:ascii="Times New Roman" w:hAnsi="Times New Roman" w:eastAsia="仿宋_GB2312" w:cs="Times New Roman"/>
          <w:color w:val="000000"/>
          <w:kern w:val="0"/>
          <w:sz w:val="20"/>
          <w:szCs w:val="20"/>
          <w:lang w:bidi="ar"/>
        </w:rPr>
        <w:t>祁阳现代农业产业园区管理委员会</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color w:val="000000"/>
          <w:kern w:val="0"/>
          <w:sz w:val="20"/>
          <w:szCs w:val="20"/>
        </w:rPr>
        <w:t>单位：万元</w:t>
      </w:r>
    </w:p>
    <w:tbl>
      <w:tblPr>
        <w:tblStyle w:val="13"/>
        <w:tblW w:w="0" w:type="auto"/>
        <w:jc w:val="center"/>
        <w:tblLayout w:type="fixed"/>
        <w:tblCellMar>
          <w:top w:w="0" w:type="dxa"/>
          <w:left w:w="108" w:type="dxa"/>
          <w:bottom w:w="0" w:type="dxa"/>
          <w:right w:w="108" w:type="dxa"/>
        </w:tblCellMar>
      </w:tblPr>
      <w:tblGrid>
        <w:gridCol w:w="3516"/>
        <w:gridCol w:w="616"/>
        <w:gridCol w:w="931"/>
        <w:gridCol w:w="3516"/>
        <w:gridCol w:w="616"/>
        <w:gridCol w:w="1336"/>
        <w:gridCol w:w="1335"/>
        <w:gridCol w:w="1119"/>
        <w:gridCol w:w="1235"/>
      </w:tblGrid>
      <w:tr w14:paraId="4356D18F">
        <w:tblPrEx>
          <w:tblCellMar>
            <w:top w:w="0" w:type="dxa"/>
            <w:left w:w="108" w:type="dxa"/>
            <w:bottom w:w="0" w:type="dxa"/>
            <w:right w:w="108" w:type="dxa"/>
          </w:tblCellMar>
        </w:tblPrEx>
        <w:trPr>
          <w:trHeight w:val="402" w:hRule="atLeast"/>
          <w:jc w:val="center"/>
        </w:trPr>
        <w:tc>
          <w:tcPr>
            <w:tcW w:w="5063" w:type="dxa"/>
            <w:gridSpan w:val="3"/>
            <w:tcBorders>
              <w:top w:val="single" w:color="auto" w:sz="4" w:space="0"/>
              <w:left w:val="single" w:color="auto" w:sz="4" w:space="0"/>
              <w:bottom w:val="single" w:color="auto" w:sz="4" w:space="0"/>
              <w:right w:val="single" w:color="auto" w:sz="4" w:space="0"/>
            </w:tcBorders>
            <w:shd w:val="clear" w:color="000000" w:fill="FFFFFF"/>
            <w:noWrap/>
            <w:vAlign w:val="center"/>
          </w:tcPr>
          <w:p w14:paraId="49D5CA6C">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收入</w:t>
            </w:r>
          </w:p>
        </w:tc>
        <w:tc>
          <w:tcPr>
            <w:tcW w:w="9157" w:type="dxa"/>
            <w:gridSpan w:val="6"/>
            <w:tcBorders>
              <w:top w:val="single" w:color="auto" w:sz="4" w:space="0"/>
              <w:left w:val="nil"/>
              <w:bottom w:val="single" w:color="auto" w:sz="4" w:space="0"/>
              <w:right w:val="single" w:color="auto" w:sz="4" w:space="0"/>
            </w:tcBorders>
            <w:shd w:val="clear" w:color="000000" w:fill="FFFFFF"/>
            <w:noWrap/>
            <w:vAlign w:val="center"/>
          </w:tcPr>
          <w:p w14:paraId="18C69F2D">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支出</w:t>
            </w:r>
          </w:p>
        </w:tc>
      </w:tr>
      <w:tr w14:paraId="211CB13D">
        <w:tblPrEx>
          <w:tblCellMar>
            <w:top w:w="0" w:type="dxa"/>
            <w:left w:w="108" w:type="dxa"/>
            <w:bottom w:w="0" w:type="dxa"/>
            <w:right w:w="108" w:type="dxa"/>
          </w:tblCellMar>
        </w:tblPrEx>
        <w:trPr>
          <w:trHeight w:val="630" w:hRule="atLeast"/>
          <w:jc w:val="center"/>
        </w:trPr>
        <w:tc>
          <w:tcPr>
            <w:tcW w:w="3516" w:type="dxa"/>
            <w:tcBorders>
              <w:top w:val="nil"/>
              <w:left w:val="single" w:color="auto" w:sz="4" w:space="0"/>
              <w:bottom w:val="single" w:color="auto" w:sz="4" w:space="0"/>
              <w:right w:val="single" w:color="auto" w:sz="4" w:space="0"/>
            </w:tcBorders>
            <w:shd w:val="clear" w:color="auto" w:fill="auto"/>
            <w:noWrap/>
            <w:vAlign w:val="center"/>
          </w:tcPr>
          <w:p w14:paraId="11A633F6">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项    目</w:t>
            </w:r>
          </w:p>
        </w:tc>
        <w:tc>
          <w:tcPr>
            <w:tcW w:w="616" w:type="dxa"/>
            <w:tcBorders>
              <w:top w:val="nil"/>
              <w:left w:val="nil"/>
              <w:bottom w:val="single" w:color="auto" w:sz="4" w:space="0"/>
              <w:right w:val="single" w:color="auto" w:sz="4" w:space="0"/>
            </w:tcBorders>
            <w:shd w:val="clear" w:color="auto" w:fill="auto"/>
            <w:noWrap/>
            <w:vAlign w:val="center"/>
          </w:tcPr>
          <w:p w14:paraId="3E29088B">
            <w:pPr>
              <w:widowControl/>
              <w:jc w:val="center"/>
              <w:rPr>
                <w:rFonts w:ascii="Times New Roman" w:hAnsi="Times New Roman" w:eastAsia="仿宋_GB2312" w:cs="Times New Roman"/>
                <w:kern w:val="0"/>
                <w:sz w:val="20"/>
                <w:szCs w:val="20"/>
              </w:rPr>
            </w:pPr>
            <w:r>
              <w:rPr>
                <w:rFonts w:ascii="Times New Roman" w:hAnsi="Times New Roman" w:eastAsia="仿宋_GB2312" w:cs="Times New Roman"/>
                <w:kern w:val="0"/>
                <w:sz w:val="20"/>
                <w:szCs w:val="20"/>
              </w:rPr>
              <w:t>行次</w:t>
            </w:r>
          </w:p>
        </w:tc>
        <w:tc>
          <w:tcPr>
            <w:tcW w:w="931" w:type="dxa"/>
            <w:tcBorders>
              <w:top w:val="nil"/>
              <w:left w:val="nil"/>
              <w:bottom w:val="single" w:color="auto" w:sz="4" w:space="0"/>
              <w:right w:val="single" w:color="auto" w:sz="4" w:space="0"/>
            </w:tcBorders>
            <w:shd w:val="clear" w:color="auto" w:fill="auto"/>
            <w:noWrap/>
            <w:vAlign w:val="center"/>
          </w:tcPr>
          <w:p w14:paraId="3A5AA6E3">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金额</w:t>
            </w:r>
          </w:p>
        </w:tc>
        <w:tc>
          <w:tcPr>
            <w:tcW w:w="3516" w:type="dxa"/>
            <w:tcBorders>
              <w:top w:val="nil"/>
              <w:left w:val="nil"/>
              <w:bottom w:val="single" w:color="auto" w:sz="4" w:space="0"/>
              <w:right w:val="single" w:color="auto" w:sz="4" w:space="0"/>
            </w:tcBorders>
            <w:shd w:val="clear" w:color="auto" w:fill="auto"/>
            <w:noWrap/>
            <w:vAlign w:val="center"/>
          </w:tcPr>
          <w:p w14:paraId="63D44D9E">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项    目</w:t>
            </w:r>
          </w:p>
        </w:tc>
        <w:tc>
          <w:tcPr>
            <w:tcW w:w="616" w:type="dxa"/>
            <w:tcBorders>
              <w:top w:val="nil"/>
              <w:left w:val="nil"/>
              <w:bottom w:val="single" w:color="auto" w:sz="4" w:space="0"/>
              <w:right w:val="single" w:color="auto" w:sz="4" w:space="0"/>
            </w:tcBorders>
            <w:shd w:val="clear" w:color="auto" w:fill="auto"/>
            <w:noWrap/>
            <w:vAlign w:val="center"/>
          </w:tcPr>
          <w:p w14:paraId="2A99070E">
            <w:pPr>
              <w:widowControl/>
              <w:jc w:val="center"/>
              <w:rPr>
                <w:rFonts w:ascii="Times New Roman" w:hAnsi="Times New Roman" w:eastAsia="仿宋_GB2312" w:cs="Times New Roman"/>
                <w:kern w:val="0"/>
                <w:sz w:val="20"/>
                <w:szCs w:val="20"/>
              </w:rPr>
            </w:pPr>
            <w:r>
              <w:rPr>
                <w:rFonts w:ascii="Times New Roman" w:hAnsi="Times New Roman" w:eastAsia="仿宋_GB2312" w:cs="Times New Roman"/>
                <w:kern w:val="0"/>
                <w:sz w:val="20"/>
                <w:szCs w:val="20"/>
              </w:rPr>
              <w:t>行次</w:t>
            </w:r>
          </w:p>
        </w:tc>
        <w:tc>
          <w:tcPr>
            <w:tcW w:w="1336" w:type="dxa"/>
            <w:tcBorders>
              <w:top w:val="nil"/>
              <w:left w:val="nil"/>
              <w:bottom w:val="single" w:color="auto" w:sz="4" w:space="0"/>
              <w:right w:val="single" w:color="auto" w:sz="4" w:space="0"/>
            </w:tcBorders>
            <w:shd w:val="clear" w:color="auto" w:fill="auto"/>
            <w:noWrap/>
            <w:vAlign w:val="center"/>
          </w:tcPr>
          <w:p w14:paraId="0400EE63">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合计</w:t>
            </w:r>
          </w:p>
        </w:tc>
        <w:tc>
          <w:tcPr>
            <w:tcW w:w="1335" w:type="dxa"/>
            <w:tcBorders>
              <w:top w:val="nil"/>
              <w:left w:val="nil"/>
              <w:bottom w:val="single" w:color="auto" w:sz="4" w:space="0"/>
              <w:right w:val="single" w:color="auto" w:sz="4" w:space="0"/>
            </w:tcBorders>
            <w:shd w:val="clear" w:color="auto" w:fill="auto"/>
            <w:vAlign w:val="center"/>
          </w:tcPr>
          <w:p w14:paraId="035970C8">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一般公共预算财政拨款</w:t>
            </w:r>
          </w:p>
        </w:tc>
        <w:tc>
          <w:tcPr>
            <w:tcW w:w="1119" w:type="dxa"/>
            <w:tcBorders>
              <w:top w:val="nil"/>
              <w:left w:val="nil"/>
              <w:bottom w:val="single" w:color="auto" w:sz="4" w:space="0"/>
              <w:right w:val="single" w:color="auto" w:sz="4" w:space="0"/>
            </w:tcBorders>
            <w:shd w:val="clear" w:color="auto" w:fill="auto"/>
            <w:vAlign w:val="center"/>
          </w:tcPr>
          <w:p w14:paraId="45E79582">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政府性基金预算财政拨款</w:t>
            </w:r>
          </w:p>
        </w:tc>
        <w:tc>
          <w:tcPr>
            <w:tcW w:w="1235" w:type="dxa"/>
            <w:tcBorders>
              <w:top w:val="nil"/>
              <w:left w:val="nil"/>
              <w:bottom w:val="single" w:color="auto" w:sz="4" w:space="0"/>
              <w:right w:val="single" w:color="auto" w:sz="4" w:space="0"/>
            </w:tcBorders>
            <w:shd w:val="clear" w:color="auto" w:fill="auto"/>
            <w:vAlign w:val="center"/>
          </w:tcPr>
          <w:p w14:paraId="16584181">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国有资本经营预算财政拨款</w:t>
            </w:r>
          </w:p>
        </w:tc>
      </w:tr>
      <w:tr w14:paraId="79BB7C61">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noWrap/>
            <w:vAlign w:val="center"/>
          </w:tcPr>
          <w:p w14:paraId="4EBE2974">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    次</w:t>
            </w:r>
          </w:p>
        </w:tc>
        <w:tc>
          <w:tcPr>
            <w:tcW w:w="616" w:type="dxa"/>
            <w:tcBorders>
              <w:top w:val="nil"/>
              <w:left w:val="nil"/>
              <w:bottom w:val="single" w:color="auto" w:sz="4" w:space="0"/>
              <w:right w:val="single" w:color="auto" w:sz="4" w:space="0"/>
            </w:tcBorders>
            <w:shd w:val="clear" w:color="auto" w:fill="auto"/>
            <w:noWrap/>
            <w:vAlign w:val="center"/>
          </w:tcPr>
          <w:p w14:paraId="7BC750F7">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931" w:type="dxa"/>
            <w:tcBorders>
              <w:top w:val="nil"/>
              <w:left w:val="nil"/>
              <w:bottom w:val="single" w:color="auto" w:sz="4" w:space="0"/>
              <w:right w:val="single" w:color="auto" w:sz="4" w:space="0"/>
            </w:tcBorders>
            <w:shd w:val="clear" w:color="auto" w:fill="auto"/>
            <w:noWrap/>
            <w:vAlign w:val="center"/>
          </w:tcPr>
          <w:p w14:paraId="7F2B3AD3">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1</w:t>
            </w:r>
          </w:p>
        </w:tc>
        <w:tc>
          <w:tcPr>
            <w:tcW w:w="3516" w:type="dxa"/>
            <w:tcBorders>
              <w:top w:val="nil"/>
              <w:left w:val="nil"/>
              <w:bottom w:val="single" w:color="auto" w:sz="4" w:space="0"/>
              <w:right w:val="single" w:color="auto" w:sz="4" w:space="0"/>
            </w:tcBorders>
            <w:shd w:val="clear" w:color="auto" w:fill="auto"/>
            <w:noWrap/>
            <w:vAlign w:val="center"/>
          </w:tcPr>
          <w:p w14:paraId="5C4A9DF4">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    次</w:t>
            </w:r>
          </w:p>
        </w:tc>
        <w:tc>
          <w:tcPr>
            <w:tcW w:w="616" w:type="dxa"/>
            <w:tcBorders>
              <w:top w:val="nil"/>
              <w:left w:val="nil"/>
              <w:bottom w:val="single" w:color="auto" w:sz="4" w:space="0"/>
              <w:right w:val="single" w:color="auto" w:sz="4" w:space="0"/>
            </w:tcBorders>
            <w:shd w:val="clear" w:color="auto" w:fill="auto"/>
            <w:noWrap/>
            <w:vAlign w:val="center"/>
          </w:tcPr>
          <w:p w14:paraId="3B0AA4EB">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1336" w:type="dxa"/>
            <w:tcBorders>
              <w:top w:val="nil"/>
              <w:left w:val="nil"/>
              <w:bottom w:val="single" w:color="auto" w:sz="4" w:space="0"/>
              <w:right w:val="single" w:color="auto" w:sz="4" w:space="0"/>
            </w:tcBorders>
            <w:shd w:val="clear" w:color="auto" w:fill="auto"/>
            <w:noWrap/>
            <w:vAlign w:val="center"/>
          </w:tcPr>
          <w:p w14:paraId="0D1876AE">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2</w:t>
            </w:r>
          </w:p>
        </w:tc>
        <w:tc>
          <w:tcPr>
            <w:tcW w:w="1335" w:type="dxa"/>
            <w:tcBorders>
              <w:top w:val="nil"/>
              <w:left w:val="nil"/>
              <w:bottom w:val="single" w:color="auto" w:sz="4" w:space="0"/>
              <w:right w:val="single" w:color="auto" w:sz="4" w:space="0"/>
            </w:tcBorders>
            <w:shd w:val="clear" w:color="auto" w:fill="auto"/>
            <w:noWrap/>
            <w:vAlign w:val="center"/>
          </w:tcPr>
          <w:p w14:paraId="076D6111">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3</w:t>
            </w:r>
          </w:p>
        </w:tc>
        <w:tc>
          <w:tcPr>
            <w:tcW w:w="1119" w:type="dxa"/>
            <w:tcBorders>
              <w:top w:val="nil"/>
              <w:left w:val="nil"/>
              <w:bottom w:val="single" w:color="auto" w:sz="4" w:space="0"/>
              <w:right w:val="single" w:color="auto" w:sz="4" w:space="0"/>
            </w:tcBorders>
            <w:shd w:val="clear" w:color="auto" w:fill="auto"/>
            <w:noWrap/>
            <w:vAlign w:val="center"/>
          </w:tcPr>
          <w:p w14:paraId="04C86E2B">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4</w:t>
            </w:r>
          </w:p>
        </w:tc>
        <w:tc>
          <w:tcPr>
            <w:tcW w:w="1235" w:type="dxa"/>
            <w:tcBorders>
              <w:top w:val="nil"/>
              <w:left w:val="nil"/>
              <w:bottom w:val="single" w:color="auto" w:sz="4" w:space="0"/>
              <w:right w:val="single" w:color="auto" w:sz="4" w:space="0"/>
            </w:tcBorders>
            <w:shd w:val="clear" w:color="auto" w:fill="auto"/>
            <w:noWrap/>
            <w:vAlign w:val="center"/>
          </w:tcPr>
          <w:p w14:paraId="424FEC9B">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5</w:t>
            </w:r>
          </w:p>
        </w:tc>
      </w:tr>
      <w:tr w14:paraId="7C664A92">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noWrap/>
            <w:vAlign w:val="center"/>
          </w:tcPr>
          <w:p w14:paraId="2A2B2E51">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一、一般公共预算财政拨款</w:t>
            </w:r>
          </w:p>
        </w:tc>
        <w:tc>
          <w:tcPr>
            <w:tcW w:w="616" w:type="dxa"/>
            <w:tcBorders>
              <w:top w:val="nil"/>
              <w:left w:val="nil"/>
              <w:bottom w:val="single" w:color="auto" w:sz="4" w:space="0"/>
              <w:right w:val="single" w:color="auto" w:sz="4" w:space="0"/>
            </w:tcBorders>
            <w:shd w:val="clear" w:color="auto" w:fill="auto"/>
            <w:noWrap/>
            <w:vAlign w:val="center"/>
          </w:tcPr>
          <w:p w14:paraId="58F26147">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w:t>
            </w:r>
          </w:p>
        </w:tc>
        <w:tc>
          <w:tcPr>
            <w:tcW w:w="931" w:type="dxa"/>
            <w:tcBorders>
              <w:top w:val="nil"/>
              <w:left w:val="nil"/>
              <w:bottom w:val="single" w:color="auto" w:sz="4" w:space="0"/>
              <w:right w:val="single" w:color="auto" w:sz="4" w:space="0"/>
            </w:tcBorders>
            <w:shd w:val="clear" w:color="auto" w:fill="auto"/>
            <w:noWrap/>
            <w:vAlign w:val="center"/>
          </w:tcPr>
          <w:p w14:paraId="739E80E5">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520.00</w:t>
            </w:r>
            <w:r>
              <w:rPr>
                <w:rFonts w:ascii="Times New Roman" w:hAnsi="Times New Roman" w:eastAsia="仿宋_GB2312" w:cs="Times New Roman"/>
                <w:kern w:val="0"/>
                <w:sz w:val="22"/>
              </w:rPr>
              <w:t>　</w:t>
            </w:r>
          </w:p>
        </w:tc>
        <w:tc>
          <w:tcPr>
            <w:tcW w:w="3516" w:type="dxa"/>
            <w:tcBorders>
              <w:top w:val="nil"/>
              <w:left w:val="nil"/>
              <w:bottom w:val="single" w:color="auto" w:sz="4" w:space="0"/>
              <w:right w:val="single" w:color="auto" w:sz="4" w:space="0"/>
            </w:tcBorders>
            <w:shd w:val="clear" w:color="auto" w:fill="auto"/>
            <w:noWrap/>
            <w:vAlign w:val="center"/>
          </w:tcPr>
          <w:p w14:paraId="6AE53D68">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一、一般公共服务支出</w:t>
            </w:r>
          </w:p>
        </w:tc>
        <w:tc>
          <w:tcPr>
            <w:tcW w:w="616" w:type="dxa"/>
            <w:tcBorders>
              <w:top w:val="nil"/>
              <w:left w:val="nil"/>
              <w:bottom w:val="single" w:color="auto" w:sz="4" w:space="0"/>
              <w:right w:val="single" w:color="auto" w:sz="4" w:space="0"/>
            </w:tcBorders>
            <w:shd w:val="clear" w:color="auto" w:fill="FFFFFF"/>
            <w:noWrap/>
            <w:vAlign w:val="center"/>
          </w:tcPr>
          <w:p w14:paraId="04D8E978">
            <w:pPr>
              <w:widowControl/>
              <w:jc w:val="center"/>
              <w:textAlignment w:val="center"/>
              <w:rPr>
                <w:rFonts w:hint="default" w:ascii="Times New Roman" w:hAnsi="Times New Roman" w:eastAsia="仿宋_GB2312" w:cs="Times New Roman"/>
                <w:color w:val="000000"/>
                <w:kern w:val="2"/>
                <w:sz w:val="22"/>
                <w:szCs w:val="22"/>
                <w:lang w:val="en-US" w:eastAsia="zh-CN" w:bidi="ar-SA"/>
              </w:rPr>
            </w:pPr>
            <w:r>
              <w:rPr>
                <w:rFonts w:hint="eastAsia" w:ascii="Times New Roman" w:hAnsi="Times New Roman" w:eastAsia="仿宋_GB2312" w:cs="Times New Roman"/>
                <w:color w:val="000000"/>
                <w:sz w:val="22"/>
                <w:lang w:val="en-US" w:eastAsia="zh-CN"/>
              </w:rPr>
              <w:t>33</w:t>
            </w:r>
          </w:p>
        </w:tc>
        <w:tc>
          <w:tcPr>
            <w:tcW w:w="1336" w:type="dxa"/>
            <w:tcBorders>
              <w:top w:val="nil"/>
              <w:left w:val="nil"/>
              <w:bottom w:val="single" w:color="auto" w:sz="4" w:space="0"/>
              <w:right w:val="single" w:color="auto" w:sz="4" w:space="0"/>
            </w:tcBorders>
            <w:shd w:val="clear" w:color="auto" w:fill="auto"/>
            <w:noWrap/>
            <w:vAlign w:val="center"/>
          </w:tcPr>
          <w:p w14:paraId="3B8336DE">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335" w:type="dxa"/>
            <w:tcBorders>
              <w:top w:val="nil"/>
              <w:left w:val="nil"/>
              <w:bottom w:val="single" w:color="auto" w:sz="4" w:space="0"/>
              <w:right w:val="single" w:color="auto" w:sz="4" w:space="0"/>
            </w:tcBorders>
            <w:shd w:val="clear" w:color="auto" w:fill="auto"/>
            <w:noWrap/>
            <w:vAlign w:val="center"/>
          </w:tcPr>
          <w:p w14:paraId="1BDEBA36">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119" w:type="dxa"/>
            <w:tcBorders>
              <w:top w:val="nil"/>
              <w:left w:val="nil"/>
              <w:bottom w:val="single" w:color="auto" w:sz="4" w:space="0"/>
              <w:right w:val="single" w:color="auto" w:sz="4" w:space="0"/>
            </w:tcBorders>
            <w:shd w:val="clear" w:color="auto" w:fill="auto"/>
            <w:noWrap/>
            <w:vAlign w:val="center"/>
          </w:tcPr>
          <w:p w14:paraId="1E7A5D64">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235" w:type="dxa"/>
            <w:tcBorders>
              <w:top w:val="nil"/>
              <w:left w:val="nil"/>
              <w:bottom w:val="single" w:color="auto" w:sz="4" w:space="0"/>
              <w:right w:val="single" w:color="auto" w:sz="4" w:space="0"/>
            </w:tcBorders>
            <w:shd w:val="clear" w:color="auto" w:fill="auto"/>
            <w:noWrap/>
            <w:vAlign w:val="center"/>
          </w:tcPr>
          <w:p w14:paraId="5BFEA5DC">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19D3AFA8">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noWrap/>
            <w:vAlign w:val="center"/>
          </w:tcPr>
          <w:p w14:paraId="330DDA64">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二、政府性基金预算财政拨款</w:t>
            </w:r>
          </w:p>
        </w:tc>
        <w:tc>
          <w:tcPr>
            <w:tcW w:w="616" w:type="dxa"/>
            <w:tcBorders>
              <w:top w:val="nil"/>
              <w:left w:val="nil"/>
              <w:bottom w:val="single" w:color="auto" w:sz="4" w:space="0"/>
              <w:right w:val="single" w:color="auto" w:sz="4" w:space="0"/>
            </w:tcBorders>
            <w:shd w:val="clear" w:color="auto" w:fill="auto"/>
            <w:noWrap/>
            <w:vAlign w:val="center"/>
          </w:tcPr>
          <w:p w14:paraId="410E58D5">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w:t>
            </w:r>
          </w:p>
        </w:tc>
        <w:tc>
          <w:tcPr>
            <w:tcW w:w="931" w:type="dxa"/>
            <w:tcBorders>
              <w:top w:val="nil"/>
              <w:left w:val="nil"/>
              <w:bottom w:val="single" w:color="auto" w:sz="4" w:space="0"/>
              <w:right w:val="single" w:color="auto" w:sz="4" w:space="0"/>
            </w:tcBorders>
            <w:shd w:val="clear" w:color="auto" w:fill="auto"/>
            <w:noWrap/>
            <w:vAlign w:val="center"/>
          </w:tcPr>
          <w:p w14:paraId="3738AEA9">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3020.73</w:t>
            </w:r>
            <w:r>
              <w:rPr>
                <w:rFonts w:ascii="Times New Roman" w:hAnsi="Times New Roman" w:eastAsia="仿宋_GB2312" w:cs="Times New Roman"/>
                <w:kern w:val="0"/>
                <w:sz w:val="22"/>
              </w:rPr>
              <w:t>　</w:t>
            </w:r>
          </w:p>
        </w:tc>
        <w:tc>
          <w:tcPr>
            <w:tcW w:w="3516" w:type="dxa"/>
            <w:tcBorders>
              <w:top w:val="nil"/>
              <w:left w:val="nil"/>
              <w:bottom w:val="single" w:color="auto" w:sz="4" w:space="0"/>
              <w:right w:val="single" w:color="auto" w:sz="4" w:space="0"/>
            </w:tcBorders>
            <w:shd w:val="clear" w:color="auto" w:fill="auto"/>
            <w:noWrap/>
            <w:vAlign w:val="center"/>
          </w:tcPr>
          <w:p w14:paraId="11D55FDB">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二、外交支出</w:t>
            </w:r>
          </w:p>
        </w:tc>
        <w:tc>
          <w:tcPr>
            <w:tcW w:w="616" w:type="dxa"/>
            <w:tcBorders>
              <w:top w:val="nil"/>
              <w:left w:val="nil"/>
              <w:bottom w:val="single" w:color="auto" w:sz="4" w:space="0"/>
              <w:right w:val="single" w:color="auto" w:sz="4" w:space="0"/>
            </w:tcBorders>
            <w:shd w:val="clear" w:color="auto" w:fill="FFFFFF"/>
            <w:noWrap/>
            <w:vAlign w:val="center"/>
          </w:tcPr>
          <w:p w14:paraId="6C9AC6AF">
            <w:pPr>
              <w:widowControl/>
              <w:jc w:val="center"/>
              <w:textAlignment w:val="center"/>
              <w:rPr>
                <w:rFonts w:hint="default" w:ascii="Times New Roman" w:hAnsi="Times New Roman" w:eastAsia="仿宋_GB2312" w:cs="Times New Roman"/>
                <w:color w:val="000000"/>
                <w:kern w:val="2"/>
                <w:sz w:val="22"/>
                <w:szCs w:val="22"/>
                <w:lang w:val="en-US" w:eastAsia="zh-CN" w:bidi="ar-SA"/>
              </w:rPr>
            </w:pPr>
            <w:r>
              <w:rPr>
                <w:rFonts w:hint="eastAsia" w:ascii="Times New Roman" w:hAnsi="Times New Roman" w:eastAsia="仿宋_GB2312" w:cs="Times New Roman"/>
                <w:color w:val="000000"/>
                <w:sz w:val="22"/>
                <w:lang w:val="en-US" w:eastAsia="zh-CN"/>
              </w:rPr>
              <w:t>34</w:t>
            </w:r>
          </w:p>
        </w:tc>
        <w:tc>
          <w:tcPr>
            <w:tcW w:w="1336" w:type="dxa"/>
            <w:tcBorders>
              <w:top w:val="nil"/>
              <w:left w:val="nil"/>
              <w:bottom w:val="single" w:color="auto" w:sz="4" w:space="0"/>
              <w:right w:val="single" w:color="auto" w:sz="4" w:space="0"/>
            </w:tcBorders>
            <w:shd w:val="clear" w:color="auto" w:fill="auto"/>
            <w:noWrap/>
            <w:vAlign w:val="center"/>
          </w:tcPr>
          <w:p w14:paraId="6C157E7E">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335" w:type="dxa"/>
            <w:tcBorders>
              <w:top w:val="nil"/>
              <w:left w:val="nil"/>
              <w:bottom w:val="single" w:color="auto" w:sz="4" w:space="0"/>
              <w:right w:val="single" w:color="auto" w:sz="4" w:space="0"/>
            </w:tcBorders>
            <w:shd w:val="clear" w:color="auto" w:fill="auto"/>
            <w:noWrap/>
            <w:vAlign w:val="center"/>
          </w:tcPr>
          <w:p w14:paraId="7C38D276">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119" w:type="dxa"/>
            <w:tcBorders>
              <w:top w:val="nil"/>
              <w:left w:val="nil"/>
              <w:bottom w:val="single" w:color="auto" w:sz="4" w:space="0"/>
              <w:right w:val="single" w:color="auto" w:sz="4" w:space="0"/>
            </w:tcBorders>
            <w:shd w:val="clear" w:color="auto" w:fill="auto"/>
            <w:noWrap/>
            <w:vAlign w:val="center"/>
          </w:tcPr>
          <w:p w14:paraId="77EDDDF0">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235" w:type="dxa"/>
            <w:tcBorders>
              <w:top w:val="nil"/>
              <w:left w:val="nil"/>
              <w:bottom w:val="single" w:color="auto" w:sz="4" w:space="0"/>
              <w:right w:val="single" w:color="auto" w:sz="4" w:space="0"/>
            </w:tcBorders>
            <w:shd w:val="clear" w:color="auto" w:fill="auto"/>
            <w:noWrap/>
            <w:vAlign w:val="center"/>
          </w:tcPr>
          <w:p w14:paraId="2403D9A9">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0BCDB089">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noWrap/>
            <w:vAlign w:val="center"/>
          </w:tcPr>
          <w:p w14:paraId="440028D2">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三、国有资本经营预算财政拨款</w:t>
            </w:r>
          </w:p>
        </w:tc>
        <w:tc>
          <w:tcPr>
            <w:tcW w:w="616" w:type="dxa"/>
            <w:tcBorders>
              <w:top w:val="nil"/>
              <w:left w:val="nil"/>
              <w:bottom w:val="single" w:color="auto" w:sz="4" w:space="0"/>
              <w:right w:val="single" w:color="auto" w:sz="4" w:space="0"/>
            </w:tcBorders>
            <w:shd w:val="clear" w:color="auto" w:fill="auto"/>
            <w:noWrap/>
            <w:vAlign w:val="center"/>
          </w:tcPr>
          <w:p w14:paraId="40146B5B">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3</w:t>
            </w:r>
          </w:p>
        </w:tc>
        <w:tc>
          <w:tcPr>
            <w:tcW w:w="931" w:type="dxa"/>
            <w:tcBorders>
              <w:top w:val="nil"/>
              <w:left w:val="nil"/>
              <w:bottom w:val="single" w:color="auto" w:sz="4" w:space="0"/>
              <w:right w:val="single" w:color="auto" w:sz="4" w:space="0"/>
            </w:tcBorders>
            <w:shd w:val="clear" w:color="auto" w:fill="auto"/>
            <w:noWrap/>
            <w:vAlign w:val="center"/>
          </w:tcPr>
          <w:p w14:paraId="5DB366E1">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3516" w:type="dxa"/>
            <w:tcBorders>
              <w:top w:val="nil"/>
              <w:left w:val="nil"/>
              <w:bottom w:val="single" w:color="auto" w:sz="4" w:space="0"/>
              <w:right w:val="single" w:color="auto" w:sz="4" w:space="0"/>
            </w:tcBorders>
            <w:shd w:val="clear" w:color="auto" w:fill="auto"/>
            <w:noWrap/>
            <w:vAlign w:val="center"/>
          </w:tcPr>
          <w:p w14:paraId="612C2898">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三、国防支出</w:t>
            </w:r>
          </w:p>
        </w:tc>
        <w:tc>
          <w:tcPr>
            <w:tcW w:w="616" w:type="dxa"/>
            <w:tcBorders>
              <w:top w:val="nil"/>
              <w:left w:val="nil"/>
              <w:bottom w:val="single" w:color="auto" w:sz="4" w:space="0"/>
              <w:right w:val="single" w:color="auto" w:sz="4" w:space="0"/>
            </w:tcBorders>
            <w:shd w:val="clear" w:color="auto" w:fill="FFFFFF"/>
            <w:noWrap/>
            <w:vAlign w:val="center"/>
          </w:tcPr>
          <w:p w14:paraId="2FC29FC9">
            <w:pPr>
              <w:widowControl/>
              <w:jc w:val="center"/>
              <w:textAlignment w:val="center"/>
              <w:rPr>
                <w:rFonts w:hint="default" w:ascii="Times New Roman" w:hAnsi="Times New Roman" w:eastAsia="仿宋_GB2312" w:cs="Times New Roman"/>
                <w:color w:val="000000"/>
                <w:kern w:val="2"/>
                <w:sz w:val="22"/>
                <w:szCs w:val="22"/>
                <w:lang w:val="en-US" w:eastAsia="zh-CN" w:bidi="ar-SA"/>
              </w:rPr>
            </w:pPr>
            <w:r>
              <w:rPr>
                <w:rFonts w:hint="eastAsia" w:ascii="Times New Roman" w:hAnsi="Times New Roman" w:eastAsia="仿宋_GB2312" w:cs="Times New Roman"/>
                <w:color w:val="000000"/>
                <w:sz w:val="22"/>
                <w:lang w:val="en-US" w:eastAsia="zh-CN"/>
              </w:rPr>
              <w:t>35</w:t>
            </w:r>
          </w:p>
        </w:tc>
        <w:tc>
          <w:tcPr>
            <w:tcW w:w="1336" w:type="dxa"/>
            <w:tcBorders>
              <w:top w:val="nil"/>
              <w:left w:val="nil"/>
              <w:bottom w:val="single" w:color="auto" w:sz="4" w:space="0"/>
              <w:right w:val="single" w:color="auto" w:sz="4" w:space="0"/>
            </w:tcBorders>
            <w:shd w:val="clear" w:color="auto" w:fill="auto"/>
            <w:noWrap/>
            <w:vAlign w:val="center"/>
          </w:tcPr>
          <w:p w14:paraId="1A2BB206">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335" w:type="dxa"/>
            <w:tcBorders>
              <w:top w:val="nil"/>
              <w:left w:val="nil"/>
              <w:bottom w:val="single" w:color="auto" w:sz="4" w:space="0"/>
              <w:right w:val="single" w:color="auto" w:sz="4" w:space="0"/>
            </w:tcBorders>
            <w:shd w:val="clear" w:color="auto" w:fill="auto"/>
            <w:noWrap/>
            <w:vAlign w:val="center"/>
          </w:tcPr>
          <w:p w14:paraId="4BA1162C">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119" w:type="dxa"/>
            <w:tcBorders>
              <w:top w:val="nil"/>
              <w:left w:val="nil"/>
              <w:bottom w:val="single" w:color="auto" w:sz="4" w:space="0"/>
              <w:right w:val="single" w:color="auto" w:sz="4" w:space="0"/>
            </w:tcBorders>
            <w:shd w:val="clear" w:color="auto" w:fill="auto"/>
            <w:noWrap/>
            <w:vAlign w:val="center"/>
          </w:tcPr>
          <w:p w14:paraId="4BD6DD18">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235" w:type="dxa"/>
            <w:tcBorders>
              <w:top w:val="nil"/>
              <w:left w:val="nil"/>
              <w:bottom w:val="single" w:color="auto" w:sz="4" w:space="0"/>
              <w:right w:val="single" w:color="auto" w:sz="4" w:space="0"/>
            </w:tcBorders>
            <w:shd w:val="clear" w:color="auto" w:fill="auto"/>
            <w:noWrap/>
            <w:vAlign w:val="center"/>
          </w:tcPr>
          <w:p w14:paraId="697D288A">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2B99B230">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noWrap/>
            <w:vAlign w:val="center"/>
          </w:tcPr>
          <w:p w14:paraId="2CBBCC9D">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616" w:type="dxa"/>
            <w:tcBorders>
              <w:top w:val="nil"/>
              <w:left w:val="nil"/>
              <w:bottom w:val="single" w:color="auto" w:sz="4" w:space="0"/>
              <w:right w:val="single" w:color="auto" w:sz="4" w:space="0"/>
            </w:tcBorders>
            <w:shd w:val="clear" w:color="auto" w:fill="auto"/>
            <w:noWrap/>
            <w:vAlign w:val="center"/>
          </w:tcPr>
          <w:p w14:paraId="72F6A080">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4</w:t>
            </w:r>
          </w:p>
        </w:tc>
        <w:tc>
          <w:tcPr>
            <w:tcW w:w="931" w:type="dxa"/>
            <w:tcBorders>
              <w:top w:val="nil"/>
              <w:left w:val="nil"/>
              <w:bottom w:val="single" w:color="auto" w:sz="4" w:space="0"/>
              <w:right w:val="single" w:color="auto" w:sz="4" w:space="0"/>
            </w:tcBorders>
            <w:shd w:val="clear" w:color="auto" w:fill="auto"/>
            <w:noWrap/>
            <w:vAlign w:val="center"/>
          </w:tcPr>
          <w:p w14:paraId="6D97AE22">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3516" w:type="dxa"/>
            <w:tcBorders>
              <w:top w:val="nil"/>
              <w:left w:val="nil"/>
              <w:bottom w:val="single" w:color="auto" w:sz="4" w:space="0"/>
              <w:right w:val="single" w:color="auto" w:sz="4" w:space="0"/>
            </w:tcBorders>
            <w:shd w:val="clear" w:color="auto" w:fill="auto"/>
            <w:noWrap/>
            <w:vAlign w:val="center"/>
          </w:tcPr>
          <w:p w14:paraId="3122D70A">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四、公共安全支出</w:t>
            </w:r>
          </w:p>
        </w:tc>
        <w:tc>
          <w:tcPr>
            <w:tcW w:w="616" w:type="dxa"/>
            <w:tcBorders>
              <w:top w:val="nil"/>
              <w:left w:val="nil"/>
              <w:bottom w:val="single" w:color="auto" w:sz="4" w:space="0"/>
              <w:right w:val="single" w:color="auto" w:sz="4" w:space="0"/>
            </w:tcBorders>
            <w:shd w:val="clear" w:color="auto" w:fill="FFFFFF"/>
            <w:noWrap/>
            <w:vAlign w:val="center"/>
          </w:tcPr>
          <w:p w14:paraId="00B24305">
            <w:pPr>
              <w:widowControl/>
              <w:jc w:val="center"/>
              <w:textAlignment w:val="center"/>
              <w:rPr>
                <w:rFonts w:hint="default" w:ascii="Times New Roman" w:hAnsi="Times New Roman" w:eastAsia="仿宋_GB2312" w:cs="Times New Roman"/>
                <w:color w:val="000000"/>
                <w:kern w:val="2"/>
                <w:sz w:val="22"/>
                <w:szCs w:val="22"/>
                <w:lang w:val="en-US" w:eastAsia="zh-CN" w:bidi="ar-SA"/>
              </w:rPr>
            </w:pPr>
            <w:r>
              <w:rPr>
                <w:rFonts w:hint="eastAsia" w:ascii="Times New Roman" w:hAnsi="Times New Roman" w:eastAsia="仿宋_GB2312" w:cs="Times New Roman"/>
                <w:color w:val="000000"/>
                <w:sz w:val="22"/>
                <w:lang w:val="en-US" w:eastAsia="zh-CN"/>
              </w:rPr>
              <w:t>36</w:t>
            </w:r>
          </w:p>
        </w:tc>
        <w:tc>
          <w:tcPr>
            <w:tcW w:w="1336" w:type="dxa"/>
            <w:tcBorders>
              <w:top w:val="nil"/>
              <w:left w:val="nil"/>
              <w:bottom w:val="single" w:color="auto" w:sz="4" w:space="0"/>
              <w:right w:val="single" w:color="auto" w:sz="4" w:space="0"/>
            </w:tcBorders>
            <w:shd w:val="clear" w:color="auto" w:fill="auto"/>
            <w:noWrap/>
            <w:vAlign w:val="center"/>
          </w:tcPr>
          <w:p w14:paraId="431BE933">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335" w:type="dxa"/>
            <w:tcBorders>
              <w:top w:val="nil"/>
              <w:left w:val="nil"/>
              <w:bottom w:val="single" w:color="auto" w:sz="4" w:space="0"/>
              <w:right w:val="single" w:color="auto" w:sz="4" w:space="0"/>
            </w:tcBorders>
            <w:shd w:val="clear" w:color="auto" w:fill="auto"/>
            <w:noWrap/>
            <w:vAlign w:val="center"/>
          </w:tcPr>
          <w:p w14:paraId="1E90FCCB">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119" w:type="dxa"/>
            <w:tcBorders>
              <w:top w:val="nil"/>
              <w:left w:val="nil"/>
              <w:bottom w:val="single" w:color="auto" w:sz="4" w:space="0"/>
              <w:right w:val="single" w:color="auto" w:sz="4" w:space="0"/>
            </w:tcBorders>
            <w:shd w:val="clear" w:color="auto" w:fill="auto"/>
            <w:noWrap/>
            <w:vAlign w:val="center"/>
          </w:tcPr>
          <w:p w14:paraId="07B9AB5B">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235" w:type="dxa"/>
            <w:tcBorders>
              <w:top w:val="nil"/>
              <w:left w:val="nil"/>
              <w:bottom w:val="single" w:color="auto" w:sz="4" w:space="0"/>
              <w:right w:val="single" w:color="auto" w:sz="4" w:space="0"/>
            </w:tcBorders>
            <w:shd w:val="clear" w:color="auto" w:fill="auto"/>
            <w:noWrap/>
            <w:vAlign w:val="center"/>
          </w:tcPr>
          <w:p w14:paraId="70C5CB96">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3C969826">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noWrap/>
            <w:vAlign w:val="center"/>
          </w:tcPr>
          <w:p w14:paraId="0F73462F">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616" w:type="dxa"/>
            <w:tcBorders>
              <w:top w:val="nil"/>
              <w:left w:val="nil"/>
              <w:bottom w:val="single" w:color="auto" w:sz="4" w:space="0"/>
              <w:right w:val="single" w:color="auto" w:sz="4" w:space="0"/>
            </w:tcBorders>
            <w:shd w:val="clear" w:color="auto" w:fill="auto"/>
            <w:noWrap/>
            <w:vAlign w:val="center"/>
          </w:tcPr>
          <w:p w14:paraId="6BA112FC">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5</w:t>
            </w:r>
          </w:p>
        </w:tc>
        <w:tc>
          <w:tcPr>
            <w:tcW w:w="931" w:type="dxa"/>
            <w:tcBorders>
              <w:top w:val="nil"/>
              <w:left w:val="nil"/>
              <w:bottom w:val="single" w:color="auto" w:sz="4" w:space="0"/>
              <w:right w:val="single" w:color="auto" w:sz="4" w:space="0"/>
            </w:tcBorders>
            <w:shd w:val="clear" w:color="auto" w:fill="auto"/>
            <w:noWrap/>
            <w:vAlign w:val="center"/>
          </w:tcPr>
          <w:p w14:paraId="6B891B85">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3516" w:type="dxa"/>
            <w:tcBorders>
              <w:top w:val="nil"/>
              <w:left w:val="nil"/>
              <w:bottom w:val="single" w:color="auto" w:sz="4" w:space="0"/>
              <w:right w:val="single" w:color="auto" w:sz="4" w:space="0"/>
            </w:tcBorders>
            <w:shd w:val="clear" w:color="auto" w:fill="auto"/>
            <w:noWrap/>
            <w:vAlign w:val="center"/>
          </w:tcPr>
          <w:p w14:paraId="41F2BFAD">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五、教育支出</w:t>
            </w:r>
          </w:p>
        </w:tc>
        <w:tc>
          <w:tcPr>
            <w:tcW w:w="616" w:type="dxa"/>
            <w:tcBorders>
              <w:top w:val="nil"/>
              <w:left w:val="nil"/>
              <w:bottom w:val="single" w:color="auto" w:sz="4" w:space="0"/>
              <w:right w:val="single" w:color="auto" w:sz="4" w:space="0"/>
            </w:tcBorders>
            <w:shd w:val="clear" w:color="auto" w:fill="FFFFFF"/>
            <w:noWrap/>
            <w:vAlign w:val="center"/>
          </w:tcPr>
          <w:p w14:paraId="022121C2">
            <w:pPr>
              <w:widowControl/>
              <w:jc w:val="center"/>
              <w:textAlignment w:val="center"/>
              <w:rPr>
                <w:rFonts w:hint="default" w:ascii="Times New Roman" w:hAnsi="Times New Roman" w:eastAsia="仿宋_GB2312" w:cs="Times New Roman"/>
                <w:color w:val="000000"/>
                <w:kern w:val="2"/>
                <w:sz w:val="22"/>
                <w:szCs w:val="22"/>
                <w:lang w:val="en-US" w:eastAsia="zh-CN" w:bidi="ar-SA"/>
              </w:rPr>
            </w:pPr>
            <w:r>
              <w:rPr>
                <w:rFonts w:hint="eastAsia" w:ascii="Times New Roman" w:hAnsi="Times New Roman" w:eastAsia="仿宋_GB2312" w:cs="Times New Roman"/>
                <w:color w:val="000000"/>
                <w:sz w:val="22"/>
                <w:lang w:val="en-US" w:eastAsia="zh-CN"/>
              </w:rPr>
              <w:t>37</w:t>
            </w:r>
          </w:p>
        </w:tc>
        <w:tc>
          <w:tcPr>
            <w:tcW w:w="1336" w:type="dxa"/>
            <w:tcBorders>
              <w:top w:val="nil"/>
              <w:left w:val="nil"/>
              <w:bottom w:val="single" w:color="auto" w:sz="4" w:space="0"/>
              <w:right w:val="single" w:color="auto" w:sz="4" w:space="0"/>
            </w:tcBorders>
            <w:shd w:val="clear" w:color="auto" w:fill="auto"/>
            <w:noWrap/>
            <w:vAlign w:val="center"/>
          </w:tcPr>
          <w:p w14:paraId="4898688C">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335" w:type="dxa"/>
            <w:tcBorders>
              <w:top w:val="nil"/>
              <w:left w:val="nil"/>
              <w:bottom w:val="single" w:color="auto" w:sz="4" w:space="0"/>
              <w:right w:val="single" w:color="auto" w:sz="4" w:space="0"/>
            </w:tcBorders>
            <w:shd w:val="clear" w:color="auto" w:fill="auto"/>
            <w:noWrap/>
            <w:vAlign w:val="center"/>
          </w:tcPr>
          <w:p w14:paraId="1BD57B1E">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119" w:type="dxa"/>
            <w:tcBorders>
              <w:top w:val="nil"/>
              <w:left w:val="nil"/>
              <w:bottom w:val="single" w:color="auto" w:sz="4" w:space="0"/>
              <w:right w:val="single" w:color="auto" w:sz="4" w:space="0"/>
            </w:tcBorders>
            <w:shd w:val="clear" w:color="auto" w:fill="auto"/>
            <w:noWrap/>
            <w:vAlign w:val="center"/>
          </w:tcPr>
          <w:p w14:paraId="7972F7A2">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235" w:type="dxa"/>
            <w:tcBorders>
              <w:top w:val="nil"/>
              <w:left w:val="nil"/>
              <w:bottom w:val="single" w:color="auto" w:sz="4" w:space="0"/>
              <w:right w:val="single" w:color="auto" w:sz="4" w:space="0"/>
            </w:tcBorders>
            <w:shd w:val="clear" w:color="auto" w:fill="auto"/>
            <w:noWrap/>
            <w:vAlign w:val="center"/>
          </w:tcPr>
          <w:p w14:paraId="38F611F8">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2FD51FA7">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noWrap/>
            <w:vAlign w:val="center"/>
          </w:tcPr>
          <w:p w14:paraId="3F2A29A6">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616" w:type="dxa"/>
            <w:tcBorders>
              <w:top w:val="nil"/>
              <w:left w:val="nil"/>
              <w:bottom w:val="single" w:color="auto" w:sz="4" w:space="0"/>
              <w:right w:val="single" w:color="auto" w:sz="4" w:space="0"/>
            </w:tcBorders>
            <w:shd w:val="clear" w:color="auto" w:fill="auto"/>
            <w:noWrap/>
            <w:vAlign w:val="center"/>
          </w:tcPr>
          <w:p w14:paraId="152F2834">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6</w:t>
            </w:r>
          </w:p>
        </w:tc>
        <w:tc>
          <w:tcPr>
            <w:tcW w:w="931" w:type="dxa"/>
            <w:tcBorders>
              <w:top w:val="nil"/>
              <w:left w:val="nil"/>
              <w:bottom w:val="single" w:color="auto" w:sz="4" w:space="0"/>
              <w:right w:val="single" w:color="auto" w:sz="4" w:space="0"/>
            </w:tcBorders>
            <w:shd w:val="clear" w:color="auto" w:fill="auto"/>
            <w:noWrap/>
            <w:vAlign w:val="center"/>
          </w:tcPr>
          <w:p w14:paraId="33A79198">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3516" w:type="dxa"/>
            <w:tcBorders>
              <w:top w:val="nil"/>
              <w:left w:val="nil"/>
              <w:bottom w:val="single" w:color="auto" w:sz="4" w:space="0"/>
              <w:right w:val="single" w:color="auto" w:sz="4" w:space="0"/>
            </w:tcBorders>
            <w:shd w:val="clear" w:color="auto" w:fill="auto"/>
            <w:noWrap/>
            <w:vAlign w:val="center"/>
          </w:tcPr>
          <w:p w14:paraId="5F63C3E7">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六、科学技术支出</w:t>
            </w:r>
          </w:p>
        </w:tc>
        <w:tc>
          <w:tcPr>
            <w:tcW w:w="616" w:type="dxa"/>
            <w:tcBorders>
              <w:top w:val="nil"/>
              <w:left w:val="nil"/>
              <w:bottom w:val="single" w:color="auto" w:sz="4" w:space="0"/>
              <w:right w:val="single" w:color="auto" w:sz="4" w:space="0"/>
            </w:tcBorders>
            <w:shd w:val="clear" w:color="auto" w:fill="FFFFFF"/>
            <w:noWrap/>
            <w:vAlign w:val="center"/>
          </w:tcPr>
          <w:p w14:paraId="47EB4F2A">
            <w:pPr>
              <w:widowControl/>
              <w:jc w:val="center"/>
              <w:textAlignment w:val="center"/>
              <w:rPr>
                <w:rFonts w:hint="default" w:ascii="Times New Roman" w:hAnsi="Times New Roman" w:eastAsia="仿宋_GB2312" w:cs="Times New Roman"/>
                <w:color w:val="000000"/>
                <w:kern w:val="2"/>
                <w:sz w:val="22"/>
                <w:szCs w:val="22"/>
                <w:lang w:val="en-US" w:eastAsia="zh-CN" w:bidi="ar-SA"/>
              </w:rPr>
            </w:pPr>
            <w:r>
              <w:rPr>
                <w:rFonts w:hint="eastAsia" w:ascii="Times New Roman" w:hAnsi="Times New Roman" w:eastAsia="仿宋_GB2312" w:cs="Times New Roman"/>
                <w:color w:val="000000"/>
                <w:sz w:val="22"/>
                <w:lang w:val="en-US" w:eastAsia="zh-CN"/>
              </w:rPr>
              <w:t>38</w:t>
            </w:r>
          </w:p>
        </w:tc>
        <w:tc>
          <w:tcPr>
            <w:tcW w:w="1336" w:type="dxa"/>
            <w:tcBorders>
              <w:top w:val="nil"/>
              <w:left w:val="nil"/>
              <w:bottom w:val="single" w:color="auto" w:sz="4" w:space="0"/>
              <w:right w:val="single" w:color="auto" w:sz="4" w:space="0"/>
            </w:tcBorders>
            <w:shd w:val="clear" w:color="auto" w:fill="auto"/>
            <w:noWrap/>
            <w:vAlign w:val="center"/>
          </w:tcPr>
          <w:p w14:paraId="18B6C870">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335" w:type="dxa"/>
            <w:tcBorders>
              <w:top w:val="nil"/>
              <w:left w:val="nil"/>
              <w:bottom w:val="single" w:color="auto" w:sz="4" w:space="0"/>
              <w:right w:val="single" w:color="auto" w:sz="4" w:space="0"/>
            </w:tcBorders>
            <w:shd w:val="clear" w:color="auto" w:fill="auto"/>
            <w:noWrap/>
            <w:vAlign w:val="center"/>
          </w:tcPr>
          <w:p w14:paraId="0EBACBCA">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119" w:type="dxa"/>
            <w:tcBorders>
              <w:top w:val="nil"/>
              <w:left w:val="nil"/>
              <w:bottom w:val="single" w:color="auto" w:sz="4" w:space="0"/>
              <w:right w:val="single" w:color="auto" w:sz="4" w:space="0"/>
            </w:tcBorders>
            <w:shd w:val="clear" w:color="auto" w:fill="auto"/>
            <w:noWrap/>
            <w:vAlign w:val="center"/>
          </w:tcPr>
          <w:p w14:paraId="76B6AD87">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235" w:type="dxa"/>
            <w:tcBorders>
              <w:top w:val="nil"/>
              <w:left w:val="nil"/>
              <w:bottom w:val="single" w:color="auto" w:sz="4" w:space="0"/>
              <w:right w:val="single" w:color="auto" w:sz="4" w:space="0"/>
            </w:tcBorders>
            <w:shd w:val="clear" w:color="auto" w:fill="auto"/>
            <w:noWrap/>
            <w:vAlign w:val="center"/>
          </w:tcPr>
          <w:p w14:paraId="469E6CE2">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3AD5EA78">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noWrap/>
            <w:vAlign w:val="center"/>
          </w:tcPr>
          <w:p w14:paraId="2F640129">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616" w:type="dxa"/>
            <w:tcBorders>
              <w:top w:val="nil"/>
              <w:left w:val="nil"/>
              <w:bottom w:val="single" w:color="auto" w:sz="4" w:space="0"/>
              <w:right w:val="single" w:color="auto" w:sz="4" w:space="0"/>
            </w:tcBorders>
            <w:shd w:val="clear" w:color="auto" w:fill="auto"/>
            <w:noWrap/>
            <w:vAlign w:val="center"/>
          </w:tcPr>
          <w:p w14:paraId="180B6EBB">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7</w:t>
            </w:r>
          </w:p>
        </w:tc>
        <w:tc>
          <w:tcPr>
            <w:tcW w:w="931" w:type="dxa"/>
            <w:tcBorders>
              <w:top w:val="nil"/>
              <w:left w:val="nil"/>
              <w:bottom w:val="single" w:color="auto" w:sz="4" w:space="0"/>
              <w:right w:val="single" w:color="auto" w:sz="4" w:space="0"/>
            </w:tcBorders>
            <w:shd w:val="clear" w:color="auto" w:fill="auto"/>
            <w:noWrap/>
            <w:vAlign w:val="center"/>
          </w:tcPr>
          <w:p w14:paraId="522FFCD1">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3516" w:type="dxa"/>
            <w:tcBorders>
              <w:top w:val="nil"/>
              <w:left w:val="nil"/>
              <w:bottom w:val="single" w:color="auto" w:sz="4" w:space="0"/>
              <w:right w:val="single" w:color="auto" w:sz="4" w:space="0"/>
            </w:tcBorders>
            <w:shd w:val="clear" w:color="auto" w:fill="auto"/>
            <w:noWrap/>
            <w:vAlign w:val="center"/>
          </w:tcPr>
          <w:p w14:paraId="58F25414">
            <w:pPr>
              <w:widowControl/>
              <w:jc w:val="left"/>
              <w:textAlignment w:val="center"/>
              <w:rPr>
                <w:rFonts w:ascii="Times New Roman" w:hAnsi="Times New Roman" w:eastAsia="仿宋_GB2312" w:cs="Times New Roman"/>
                <w:color w:val="000000"/>
                <w:kern w:val="2"/>
                <w:sz w:val="24"/>
                <w:szCs w:val="24"/>
                <w:lang w:val="en-US" w:eastAsia="zh-CN" w:bidi="ar-SA"/>
              </w:rPr>
            </w:pPr>
            <w:r>
              <w:rPr>
                <w:rFonts w:hint="eastAsia" w:ascii="Times New Roman" w:hAnsi="Times New Roman" w:eastAsia="仿宋_GB2312" w:cs="Times New Roman"/>
                <w:color w:val="000000"/>
                <w:sz w:val="24"/>
                <w:szCs w:val="24"/>
              </w:rPr>
              <w:t>七、</w:t>
            </w:r>
            <w:r>
              <w:rPr>
                <w:rFonts w:hint="eastAsia" w:ascii="Times New Roman" w:hAnsi="Times New Roman" w:eastAsia="仿宋_GB2312" w:cs="Times New Roman"/>
                <w:color w:val="000000"/>
                <w:kern w:val="0"/>
                <w:sz w:val="22"/>
                <w:lang w:bidi="ar"/>
              </w:rPr>
              <w:t>文化旅游体育与传媒支出</w:t>
            </w:r>
          </w:p>
        </w:tc>
        <w:tc>
          <w:tcPr>
            <w:tcW w:w="616" w:type="dxa"/>
            <w:tcBorders>
              <w:top w:val="nil"/>
              <w:left w:val="nil"/>
              <w:bottom w:val="single" w:color="auto" w:sz="4" w:space="0"/>
              <w:right w:val="single" w:color="auto" w:sz="4" w:space="0"/>
            </w:tcBorders>
            <w:shd w:val="clear" w:color="auto" w:fill="FFFFFF"/>
            <w:noWrap/>
            <w:vAlign w:val="center"/>
          </w:tcPr>
          <w:p w14:paraId="2EF93607">
            <w:pPr>
              <w:widowControl/>
              <w:jc w:val="center"/>
              <w:textAlignment w:val="center"/>
              <w:rPr>
                <w:rFonts w:hint="default" w:ascii="Times New Roman" w:hAnsi="Times New Roman" w:eastAsia="仿宋_GB2312" w:cs="Times New Roman"/>
                <w:color w:val="000000"/>
                <w:kern w:val="2"/>
                <w:sz w:val="22"/>
                <w:szCs w:val="22"/>
                <w:lang w:val="en-US" w:eastAsia="zh-CN" w:bidi="ar-SA"/>
              </w:rPr>
            </w:pPr>
            <w:r>
              <w:rPr>
                <w:rFonts w:hint="eastAsia" w:ascii="Times New Roman" w:hAnsi="Times New Roman" w:eastAsia="仿宋_GB2312" w:cs="Times New Roman"/>
                <w:color w:val="000000"/>
                <w:sz w:val="22"/>
                <w:lang w:val="en-US" w:eastAsia="zh-CN"/>
              </w:rPr>
              <w:t>39</w:t>
            </w:r>
          </w:p>
        </w:tc>
        <w:tc>
          <w:tcPr>
            <w:tcW w:w="1336" w:type="dxa"/>
            <w:tcBorders>
              <w:top w:val="nil"/>
              <w:left w:val="nil"/>
              <w:bottom w:val="single" w:color="auto" w:sz="4" w:space="0"/>
              <w:right w:val="single" w:color="auto" w:sz="4" w:space="0"/>
            </w:tcBorders>
            <w:shd w:val="clear" w:color="auto" w:fill="auto"/>
            <w:noWrap/>
            <w:vAlign w:val="center"/>
          </w:tcPr>
          <w:p w14:paraId="4E4B0584">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335" w:type="dxa"/>
            <w:tcBorders>
              <w:top w:val="nil"/>
              <w:left w:val="nil"/>
              <w:bottom w:val="single" w:color="auto" w:sz="4" w:space="0"/>
              <w:right w:val="single" w:color="auto" w:sz="4" w:space="0"/>
            </w:tcBorders>
            <w:shd w:val="clear" w:color="auto" w:fill="auto"/>
            <w:noWrap/>
            <w:vAlign w:val="center"/>
          </w:tcPr>
          <w:p w14:paraId="19430CCA">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119" w:type="dxa"/>
            <w:tcBorders>
              <w:top w:val="nil"/>
              <w:left w:val="nil"/>
              <w:bottom w:val="single" w:color="auto" w:sz="4" w:space="0"/>
              <w:right w:val="single" w:color="auto" w:sz="4" w:space="0"/>
            </w:tcBorders>
            <w:shd w:val="clear" w:color="auto" w:fill="auto"/>
            <w:noWrap/>
            <w:vAlign w:val="center"/>
          </w:tcPr>
          <w:p w14:paraId="7BA31F4C">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235" w:type="dxa"/>
            <w:tcBorders>
              <w:top w:val="nil"/>
              <w:left w:val="nil"/>
              <w:bottom w:val="single" w:color="auto" w:sz="4" w:space="0"/>
              <w:right w:val="single" w:color="auto" w:sz="4" w:space="0"/>
            </w:tcBorders>
            <w:shd w:val="clear" w:color="auto" w:fill="auto"/>
            <w:noWrap/>
            <w:vAlign w:val="center"/>
          </w:tcPr>
          <w:p w14:paraId="12694528">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3D10A84D">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noWrap/>
            <w:vAlign w:val="center"/>
          </w:tcPr>
          <w:p w14:paraId="599CC6FF">
            <w:pPr>
              <w:widowControl/>
              <w:jc w:val="left"/>
              <w:rPr>
                <w:rFonts w:ascii="Times New Roman" w:hAnsi="Times New Roman" w:eastAsia="仿宋_GB2312" w:cs="Times New Roman"/>
                <w:kern w:val="0"/>
                <w:sz w:val="22"/>
              </w:rPr>
            </w:pPr>
          </w:p>
        </w:tc>
        <w:tc>
          <w:tcPr>
            <w:tcW w:w="616" w:type="dxa"/>
            <w:tcBorders>
              <w:top w:val="nil"/>
              <w:left w:val="nil"/>
              <w:bottom w:val="single" w:color="auto" w:sz="4" w:space="0"/>
              <w:right w:val="single" w:color="auto" w:sz="4" w:space="0"/>
            </w:tcBorders>
            <w:shd w:val="clear" w:color="auto" w:fill="auto"/>
            <w:noWrap/>
            <w:vAlign w:val="center"/>
          </w:tcPr>
          <w:p w14:paraId="7ACAE1CD">
            <w:pPr>
              <w:widowControl/>
              <w:jc w:val="center"/>
              <w:rPr>
                <w:rFonts w:hint="eastAsia"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8</w:t>
            </w:r>
          </w:p>
        </w:tc>
        <w:tc>
          <w:tcPr>
            <w:tcW w:w="931" w:type="dxa"/>
            <w:tcBorders>
              <w:top w:val="nil"/>
              <w:left w:val="nil"/>
              <w:bottom w:val="single" w:color="auto" w:sz="4" w:space="0"/>
              <w:right w:val="single" w:color="auto" w:sz="4" w:space="0"/>
            </w:tcBorders>
            <w:shd w:val="clear" w:color="auto" w:fill="auto"/>
            <w:noWrap/>
            <w:vAlign w:val="center"/>
          </w:tcPr>
          <w:p w14:paraId="52E93B01">
            <w:pPr>
              <w:widowControl/>
              <w:jc w:val="left"/>
              <w:rPr>
                <w:rFonts w:ascii="Times New Roman" w:hAnsi="Times New Roman" w:eastAsia="仿宋_GB2312" w:cs="Times New Roman"/>
                <w:kern w:val="0"/>
                <w:sz w:val="22"/>
              </w:rPr>
            </w:pPr>
          </w:p>
        </w:tc>
        <w:tc>
          <w:tcPr>
            <w:tcW w:w="3516" w:type="dxa"/>
            <w:tcBorders>
              <w:top w:val="nil"/>
              <w:left w:val="nil"/>
              <w:bottom w:val="single" w:color="auto" w:sz="4" w:space="0"/>
              <w:right w:val="single" w:color="auto" w:sz="4" w:space="0"/>
            </w:tcBorders>
            <w:shd w:val="clear" w:color="auto" w:fill="auto"/>
            <w:noWrap/>
            <w:vAlign w:val="center"/>
          </w:tcPr>
          <w:p w14:paraId="61328F0F">
            <w:pPr>
              <w:jc w:val="left"/>
              <w:rPr>
                <w:rFonts w:ascii="Times New Roman" w:hAnsi="Times New Roman" w:eastAsia="仿宋_GB2312" w:cs="Times New Roman"/>
                <w:color w:val="000000"/>
                <w:kern w:val="2"/>
                <w:sz w:val="22"/>
                <w:szCs w:val="22"/>
                <w:lang w:val="en-US" w:eastAsia="zh-CN" w:bidi="ar-SA"/>
              </w:rPr>
            </w:pPr>
            <w:r>
              <w:rPr>
                <w:rFonts w:hint="eastAsia" w:ascii="Times New Roman" w:hAnsi="Times New Roman" w:eastAsia="仿宋_GB2312" w:cs="Times New Roman"/>
                <w:color w:val="000000"/>
                <w:sz w:val="22"/>
              </w:rPr>
              <w:t>八、社会保障和就业支出</w:t>
            </w:r>
          </w:p>
        </w:tc>
        <w:tc>
          <w:tcPr>
            <w:tcW w:w="616" w:type="dxa"/>
            <w:tcBorders>
              <w:top w:val="nil"/>
              <w:left w:val="nil"/>
              <w:bottom w:val="single" w:color="auto" w:sz="4" w:space="0"/>
              <w:right w:val="single" w:color="auto" w:sz="4" w:space="0"/>
            </w:tcBorders>
            <w:shd w:val="clear" w:color="auto" w:fill="FFFFFF"/>
            <w:noWrap/>
            <w:vAlign w:val="center"/>
          </w:tcPr>
          <w:p w14:paraId="5884F73A">
            <w:pPr>
              <w:widowControl/>
              <w:jc w:val="center"/>
              <w:textAlignment w:val="center"/>
              <w:rPr>
                <w:rFonts w:hint="default" w:ascii="Times New Roman" w:hAnsi="Times New Roman" w:eastAsia="仿宋_GB2312" w:cs="Times New Roman"/>
                <w:color w:val="000000"/>
                <w:kern w:val="0"/>
                <w:sz w:val="22"/>
                <w:szCs w:val="22"/>
                <w:lang w:val="en-US" w:eastAsia="zh-CN" w:bidi="ar"/>
              </w:rPr>
            </w:pPr>
            <w:r>
              <w:rPr>
                <w:rFonts w:hint="eastAsia" w:ascii="Times New Roman" w:hAnsi="Times New Roman" w:eastAsia="仿宋_GB2312" w:cs="Times New Roman"/>
                <w:color w:val="000000"/>
                <w:kern w:val="0"/>
                <w:sz w:val="22"/>
                <w:lang w:val="en-US" w:eastAsia="zh-CN" w:bidi="ar"/>
              </w:rPr>
              <w:t>40</w:t>
            </w:r>
          </w:p>
        </w:tc>
        <w:tc>
          <w:tcPr>
            <w:tcW w:w="1336" w:type="dxa"/>
            <w:tcBorders>
              <w:top w:val="nil"/>
              <w:left w:val="nil"/>
              <w:bottom w:val="single" w:color="auto" w:sz="4" w:space="0"/>
              <w:right w:val="single" w:color="auto" w:sz="4" w:space="0"/>
            </w:tcBorders>
            <w:shd w:val="clear" w:color="auto" w:fill="auto"/>
            <w:noWrap/>
            <w:vAlign w:val="center"/>
          </w:tcPr>
          <w:p w14:paraId="566AABC7">
            <w:pPr>
              <w:widowControl/>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6.54</w:t>
            </w:r>
          </w:p>
        </w:tc>
        <w:tc>
          <w:tcPr>
            <w:tcW w:w="1335" w:type="dxa"/>
            <w:tcBorders>
              <w:top w:val="nil"/>
              <w:left w:val="nil"/>
              <w:bottom w:val="single" w:color="auto" w:sz="4" w:space="0"/>
              <w:right w:val="single" w:color="auto" w:sz="4" w:space="0"/>
            </w:tcBorders>
            <w:shd w:val="clear" w:color="auto" w:fill="auto"/>
            <w:noWrap/>
            <w:vAlign w:val="center"/>
          </w:tcPr>
          <w:p w14:paraId="0E542421">
            <w:pPr>
              <w:widowControl/>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6.54</w:t>
            </w:r>
          </w:p>
        </w:tc>
        <w:tc>
          <w:tcPr>
            <w:tcW w:w="1119" w:type="dxa"/>
            <w:tcBorders>
              <w:top w:val="nil"/>
              <w:left w:val="nil"/>
              <w:bottom w:val="single" w:color="auto" w:sz="4" w:space="0"/>
              <w:right w:val="single" w:color="auto" w:sz="4" w:space="0"/>
            </w:tcBorders>
            <w:shd w:val="clear" w:color="auto" w:fill="auto"/>
            <w:noWrap/>
            <w:vAlign w:val="center"/>
          </w:tcPr>
          <w:p w14:paraId="596A6978">
            <w:pPr>
              <w:widowControl/>
              <w:jc w:val="center"/>
              <w:rPr>
                <w:rFonts w:ascii="Times New Roman" w:hAnsi="Times New Roman" w:eastAsia="仿宋_GB2312" w:cs="Times New Roman"/>
                <w:kern w:val="0"/>
                <w:sz w:val="22"/>
              </w:rPr>
            </w:pPr>
          </w:p>
        </w:tc>
        <w:tc>
          <w:tcPr>
            <w:tcW w:w="1235" w:type="dxa"/>
            <w:tcBorders>
              <w:top w:val="nil"/>
              <w:left w:val="nil"/>
              <w:bottom w:val="single" w:color="auto" w:sz="4" w:space="0"/>
              <w:right w:val="single" w:color="auto" w:sz="4" w:space="0"/>
            </w:tcBorders>
            <w:shd w:val="clear" w:color="auto" w:fill="auto"/>
            <w:noWrap/>
            <w:vAlign w:val="center"/>
          </w:tcPr>
          <w:p w14:paraId="2A02D5A5">
            <w:pPr>
              <w:widowControl/>
              <w:jc w:val="center"/>
              <w:rPr>
                <w:rFonts w:ascii="Times New Roman" w:hAnsi="Times New Roman" w:eastAsia="仿宋_GB2312" w:cs="Times New Roman"/>
                <w:kern w:val="0"/>
                <w:sz w:val="22"/>
              </w:rPr>
            </w:pPr>
          </w:p>
        </w:tc>
      </w:tr>
      <w:tr w14:paraId="7AF9E85B">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noWrap/>
            <w:vAlign w:val="center"/>
          </w:tcPr>
          <w:p w14:paraId="5E583134">
            <w:pPr>
              <w:widowControl/>
              <w:jc w:val="left"/>
              <w:rPr>
                <w:rFonts w:ascii="Times New Roman" w:hAnsi="Times New Roman" w:eastAsia="仿宋_GB2312" w:cs="Times New Roman"/>
                <w:kern w:val="0"/>
                <w:sz w:val="22"/>
              </w:rPr>
            </w:pPr>
          </w:p>
        </w:tc>
        <w:tc>
          <w:tcPr>
            <w:tcW w:w="616" w:type="dxa"/>
            <w:tcBorders>
              <w:top w:val="nil"/>
              <w:left w:val="nil"/>
              <w:bottom w:val="single" w:color="auto" w:sz="4" w:space="0"/>
              <w:right w:val="single" w:color="auto" w:sz="4" w:space="0"/>
            </w:tcBorders>
            <w:shd w:val="clear" w:color="auto" w:fill="auto"/>
            <w:noWrap/>
            <w:vAlign w:val="center"/>
          </w:tcPr>
          <w:p w14:paraId="4FCEFBD2">
            <w:pPr>
              <w:widowControl/>
              <w:jc w:val="center"/>
              <w:rPr>
                <w:rFonts w:hint="eastAsia"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9</w:t>
            </w:r>
          </w:p>
        </w:tc>
        <w:tc>
          <w:tcPr>
            <w:tcW w:w="931" w:type="dxa"/>
            <w:tcBorders>
              <w:top w:val="nil"/>
              <w:left w:val="nil"/>
              <w:bottom w:val="single" w:color="auto" w:sz="4" w:space="0"/>
              <w:right w:val="single" w:color="auto" w:sz="4" w:space="0"/>
            </w:tcBorders>
            <w:shd w:val="clear" w:color="auto" w:fill="auto"/>
            <w:noWrap/>
            <w:vAlign w:val="center"/>
          </w:tcPr>
          <w:p w14:paraId="772FBC70">
            <w:pPr>
              <w:widowControl/>
              <w:jc w:val="left"/>
              <w:rPr>
                <w:rFonts w:ascii="Times New Roman" w:hAnsi="Times New Roman" w:eastAsia="仿宋_GB2312" w:cs="Times New Roman"/>
                <w:kern w:val="0"/>
                <w:sz w:val="22"/>
              </w:rPr>
            </w:pPr>
          </w:p>
        </w:tc>
        <w:tc>
          <w:tcPr>
            <w:tcW w:w="3516" w:type="dxa"/>
            <w:tcBorders>
              <w:top w:val="nil"/>
              <w:left w:val="nil"/>
              <w:bottom w:val="single" w:color="auto" w:sz="4" w:space="0"/>
              <w:right w:val="single" w:color="auto" w:sz="4" w:space="0"/>
            </w:tcBorders>
            <w:shd w:val="clear" w:color="auto" w:fill="auto"/>
            <w:noWrap/>
            <w:vAlign w:val="center"/>
          </w:tcPr>
          <w:p w14:paraId="3DD75542">
            <w:pPr>
              <w:widowControl/>
              <w:jc w:val="left"/>
              <w:textAlignment w:val="center"/>
              <w:rPr>
                <w:rFonts w:ascii="Times New Roman" w:hAnsi="Times New Roman" w:eastAsia="仿宋_GB2312" w:cs="Times New Roman"/>
                <w:color w:val="000000"/>
                <w:kern w:val="0"/>
                <w:sz w:val="22"/>
                <w:szCs w:val="22"/>
                <w:lang w:val="en-US" w:eastAsia="zh-CN" w:bidi="ar"/>
              </w:rPr>
            </w:pPr>
            <w:r>
              <w:rPr>
                <w:rFonts w:hint="eastAsia" w:ascii="Times New Roman" w:hAnsi="Times New Roman" w:eastAsia="仿宋_GB2312" w:cs="Times New Roman"/>
                <w:color w:val="000000"/>
                <w:kern w:val="0"/>
                <w:sz w:val="22"/>
                <w:lang w:bidi="ar"/>
              </w:rPr>
              <w:t>九、卫生健康支出</w:t>
            </w:r>
          </w:p>
        </w:tc>
        <w:tc>
          <w:tcPr>
            <w:tcW w:w="616" w:type="dxa"/>
            <w:tcBorders>
              <w:top w:val="nil"/>
              <w:left w:val="nil"/>
              <w:bottom w:val="single" w:color="auto" w:sz="4" w:space="0"/>
              <w:right w:val="single" w:color="auto" w:sz="4" w:space="0"/>
            </w:tcBorders>
            <w:shd w:val="clear" w:color="auto" w:fill="FFFFFF"/>
            <w:noWrap/>
            <w:vAlign w:val="center"/>
          </w:tcPr>
          <w:p w14:paraId="0C4F41A3">
            <w:pPr>
              <w:widowControl/>
              <w:jc w:val="center"/>
              <w:textAlignment w:val="center"/>
              <w:rPr>
                <w:rFonts w:hint="default" w:ascii="Times New Roman" w:hAnsi="Times New Roman" w:eastAsia="仿宋_GB2312" w:cs="Times New Roman"/>
                <w:color w:val="000000"/>
                <w:kern w:val="0"/>
                <w:sz w:val="22"/>
                <w:szCs w:val="22"/>
                <w:lang w:val="en-US" w:eastAsia="zh-CN" w:bidi="ar"/>
              </w:rPr>
            </w:pPr>
            <w:r>
              <w:rPr>
                <w:rFonts w:hint="eastAsia" w:ascii="Times New Roman" w:hAnsi="Times New Roman" w:eastAsia="仿宋_GB2312" w:cs="Times New Roman"/>
                <w:color w:val="000000"/>
                <w:kern w:val="0"/>
                <w:sz w:val="22"/>
                <w:lang w:val="en-US" w:eastAsia="zh-CN" w:bidi="ar"/>
              </w:rPr>
              <w:t>41</w:t>
            </w:r>
          </w:p>
        </w:tc>
        <w:tc>
          <w:tcPr>
            <w:tcW w:w="1336" w:type="dxa"/>
            <w:tcBorders>
              <w:top w:val="nil"/>
              <w:left w:val="nil"/>
              <w:bottom w:val="single" w:color="auto" w:sz="4" w:space="0"/>
              <w:right w:val="single" w:color="auto" w:sz="4" w:space="0"/>
            </w:tcBorders>
            <w:shd w:val="clear" w:color="auto" w:fill="auto"/>
            <w:noWrap/>
            <w:vAlign w:val="center"/>
          </w:tcPr>
          <w:p w14:paraId="077DEB4C">
            <w:pPr>
              <w:widowControl/>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2.74</w:t>
            </w:r>
          </w:p>
        </w:tc>
        <w:tc>
          <w:tcPr>
            <w:tcW w:w="1335" w:type="dxa"/>
            <w:tcBorders>
              <w:top w:val="nil"/>
              <w:left w:val="nil"/>
              <w:bottom w:val="single" w:color="auto" w:sz="4" w:space="0"/>
              <w:right w:val="single" w:color="auto" w:sz="4" w:space="0"/>
            </w:tcBorders>
            <w:shd w:val="clear" w:color="auto" w:fill="auto"/>
            <w:noWrap/>
            <w:vAlign w:val="center"/>
          </w:tcPr>
          <w:p w14:paraId="0FB89880">
            <w:pPr>
              <w:widowControl/>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2.74</w:t>
            </w:r>
          </w:p>
        </w:tc>
        <w:tc>
          <w:tcPr>
            <w:tcW w:w="1119" w:type="dxa"/>
            <w:tcBorders>
              <w:top w:val="nil"/>
              <w:left w:val="nil"/>
              <w:bottom w:val="single" w:color="auto" w:sz="4" w:space="0"/>
              <w:right w:val="single" w:color="auto" w:sz="4" w:space="0"/>
            </w:tcBorders>
            <w:shd w:val="clear" w:color="auto" w:fill="auto"/>
            <w:noWrap/>
            <w:vAlign w:val="center"/>
          </w:tcPr>
          <w:p w14:paraId="5A3B31DF">
            <w:pPr>
              <w:widowControl/>
              <w:jc w:val="center"/>
              <w:rPr>
                <w:rFonts w:ascii="Times New Roman" w:hAnsi="Times New Roman" w:eastAsia="仿宋_GB2312" w:cs="Times New Roman"/>
                <w:kern w:val="0"/>
                <w:sz w:val="22"/>
              </w:rPr>
            </w:pPr>
          </w:p>
        </w:tc>
        <w:tc>
          <w:tcPr>
            <w:tcW w:w="1235" w:type="dxa"/>
            <w:tcBorders>
              <w:top w:val="nil"/>
              <w:left w:val="nil"/>
              <w:bottom w:val="single" w:color="auto" w:sz="4" w:space="0"/>
              <w:right w:val="single" w:color="auto" w:sz="4" w:space="0"/>
            </w:tcBorders>
            <w:shd w:val="clear" w:color="auto" w:fill="auto"/>
            <w:noWrap/>
            <w:vAlign w:val="center"/>
          </w:tcPr>
          <w:p w14:paraId="6AF240CD">
            <w:pPr>
              <w:widowControl/>
              <w:jc w:val="center"/>
              <w:rPr>
                <w:rFonts w:ascii="Times New Roman" w:hAnsi="Times New Roman" w:eastAsia="仿宋_GB2312" w:cs="Times New Roman"/>
                <w:kern w:val="0"/>
                <w:sz w:val="22"/>
              </w:rPr>
            </w:pPr>
          </w:p>
        </w:tc>
      </w:tr>
      <w:tr w14:paraId="225D973C">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noWrap/>
            <w:vAlign w:val="center"/>
          </w:tcPr>
          <w:p w14:paraId="68B51AB8">
            <w:pPr>
              <w:widowControl/>
              <w:jc w:val="left"/>
              <w:rPr>
                <w:rFonts w:ascii="Times New Roman" w:hAnsi="Times New Roman" w:eastAsia="仿宋_GB2312" w:cs="Times New Roman"/>
                <w:kern w:val="0"/>
                <w:sz w:val="22"/>
              </w:rPr>
            </w:pPr>
          </w:p>
        </w:tc>
        <w:tc>
          <w:tcPr>
            <w:tcW w:w="616" w:type="dxa"/>
            <w:tcBorders>
              <w:top w:val="nil"/>
              <w:left w:val="nil"/>
              <w:bottom w:val="single" w:color="auto" w:sz="4" w:space="0"/>
              <w:right w:val="single" w:color="auto" w:sz="4" w:space="0"/>
            </w:tcBorders>
            <w:shd w:val="clear" w:color="auto" w:fill="auto"/>
            <w:noWrap/>
            <w:vAlign w:val="center"/>
          </w:tcPr>
          <w:p w14:paraId="5F32FA42">
            <w:pPr>
              <w:widowControl/>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10</w:t>
            </w:r>
          </w:p>
        </w:tc>
        <w:tc>
          <w:tcPr>
            <w:tcW w:w="931" w:type="dxa"/>
            <w:tcBorders>
              <w:top w:val="nil"/>
              <w:left w:val="nil"/>
              <w:bottom w:val="single" w:color="auto" w:sz="4" w:space="0"/>
              <w:right w:val="single" w:color="auto" w:sz="4" w:space="0"/>
            </w:tcBorders>
            <w:shd w:val="clear" w:color="auto" w:fill="auto"/>
            <w:noWrap/>
            <w:vAlign w:val="center"/>
          </w:tcPr>
          <w:p w14:paraId="25F95AE0">
            <w:pPr>
              <w:widowControl/>
              <w:jc w:val="left"/>
              <w:rPr>
                <w:rFonts w:ascii="Times New Roman" w:hAnsi="Times New Roman" w:eastAsia="仿宋_GB2312" w:cs="Times New Roman"/>
                <w:kern w:val="0"/>
                <w:sz w:val="22"/>
              </w:rPr>
            </w:pPr>
          </w:p>
        </w:tc>
        <w:tc>
          <w:tcPr>
            <w:tcW w:w="3516" w:type="dxa"/>
            <w:tcBorders>
              <w:top w:val="nil"/>
              <w:left w:val="nil"/>
              <w:bottom w:val="single" w:color="auto" w:sz="4" w:space="0"/>
              <w:right w:val="single" w:color="auto" w:sz="4" w:space="0"/>
            </w:tcBorders>
            <w:shd w:val="clear" w:color="auto" w:fill="auto"/>
            <w:noWrap/>
            <w:vAlign w:val="center"/>
          </w:tcPr>
          <w:p w14:paraId="7E87067D">
            <w:pPr>
              <w:widowControl/>
              <w:jc w:val="left"/>
              <w:textAlignment w:val="center"/>
              <w:rPr>
                <w:rFonts w:ascii="Times New Roman" w:hAnsi="Times New Roman" w:eastAsia="仿宋_GB2312" w:cs="Times New Roman"/>
                <w:color w:val="000000"/>
                <w:kern w:val="0"/>
                <w:sz w:val="22"/>
                <w:szCs w:val="22"/>
                <w:lang w:val="en-US" w:eastAsia="zh-CN" w:bidi="ar"/>
              </w:rPr>
            </w:pPr>
            <w:r>
              <w:rPr>
                <w:rFonts w:hint="eastAsia" w:ascii="Times New Roman" w:hAnsi="Times New Roman" w:eastAsia="仿宋_GB2312" w:cs="Times New Roman"/>
                <w:color w:val="000000"/>
                <w:kern w:val="0"/>
                <w:sz w:val="22"/>
                <w:lang w:bidi="ar"/>
              </w:rPr>
              <w:t>十、节能环保支出</w:t>
            </w:r>
          </w:p>
        </w:tc>
        <w:tc>
          <w:tcPr>
            <w:tcW w:w="616" w:type="dxa"/>
            <w:tcBorders>
              <w:top w:val="nil"/>
              <w:left w:val="nil"/>
              <w:bottom w:val="single" w:color="auto" w:sz="4" w:space="0"/>
              <w:right w:val="single" w:color="auto" w:sz="4" w:space="0"/>
            </w:tcBorders>
            <w:shd w:val="clear" w:color="auto" w:fill="FFFFFF"/>
            <w:noWrap/>
            <w:vAlign w:val="center"/>
          </w:tcPr>
          <w:p w14:paraId="6EE51AB4">
            <w:pPr>
              <w:widowControl/>
              <w:jc w:val="center"/>
              <w:textAlignment w:val="center"/>
              <w:rPr>
                <w:rFonts w:hint="default" w:ascii="Times New Roman" w:hAnsi="Times New Roman" w:eastAsia="仿宋_GB2312" w:cs="Times New Roman"/>
                <w:color w:val="000000"/>
                <w:kern w:val="0"/>
                <w:sz w:val="22"/>
                <w:szCs w:val="22"/>
                <w:lang w:val="en-US" w:eastAsia="zh-CN" w:bidi="ar"/>
              </w:rPr>
            </w:pPr>
            <w:r>
              <w:rPr>
                <w:rFonts w:hint="eastAsia" w:ascii="Times New Roman" w:hAnsi="Times New Roman" w:eastAsia="仿宋_GB2312" w:cs="Times New Roman"/>
                <w:color w:val="000000"/>
                <w:kern w:val="0"/>
                <w:sz w:val="22"/>
                <w:lang w:val="en-US" w:eastAsia="zh-CN" w:bidi="ar"/>
              </w:rPr>
              <w:t>42</w:t>
            </w:r>
          </w:p>
        </w:tc>
        <w:tc>
          <w:tcPr>
            <w:tcW w:w="1336" w:type="dxa"/>
            <w:tcBorders>
              <w:top w:val="nil"/>
              <w:left w:val="nil"/>
              <w:bottom w:val="single" w:color="auto" w:sz="4" w:space="0"/>
              <w:right w:val="single" w:color="auto" w:sz="4" w:space="0"/>
            </w:tcBorders>
            <w:shd w:val="clear" w:color="auto" w:fill="auto"/>
            <w:noWrap/>
            <w:vAlign w:val="center"/>
          </w:tcPr>
          <w:p w14:paraId="0092919C">
            <w:pPr>
              <w:widowControl/>
              <w:jc w:val="center"/>
              <w:rPr>
                <w:rFonts w:ascii="Times New Roman" w:hAnsi="Times New Roman" w:eastAsia="仿宋_GB2312" w:cs="Times New Roman"/>
                <w:kern w:val="0"/>
                <w:sz w:val="22"/>
              </w:rPr>
            </w:pPr>
          </w:p>
        </w:tc>
        <w:tc>
          <w:tcPr>
            <w:tcW w:w="1335" w:type="dxa"/>
            <w:tcBorders>
              <w:top w:val="nil"/>
              <w:left w:val="nil"/>
              <w:bottom w:val="single" w:color="auto" w:sz="4" w:space="0"/>
              <w:right w:val="single" w:color="auto" w:sz="4" w:space="0"/>
            </w:tcBorders>
            <w:shd w:val="clear" w:color="auto" w:fill="auto"/>
            <w:noWrap/>
            <w:vAlign w:val="center"/>
          </w:tcPr>
          <w:p w14:paraId="702C18BA">
            <w:pPr>
              <w:widowControl/>
              <w:jc w:val="center"/>
              <w:rPr>
                <w:rFonts w:ascii="Times New Roman" w:hAnsi="Times New Roman" w:eastAsia="仿宋_GB2312" w:cs="Times New Roman"/>
                <w:kern w:val="0"/>
                <w:sz w:val="22"/>
              </w:rPr>
            </w:pPr>
          </w:p>
        </w:tc>
        <w:tc>
          <w:tcPr>
            <w:tcW w:w="1119" w:type="dxa"/>
            <w:tcBorders>
              <w:top w:val="nil"/>
              <w:left w:val="nil"/>
              <w:bottom w:val="single" w:color="auto" w:sz="4" w:space="0"/>
              <w:right w:val="single" w:color="auto" w:sz="4" w:space="0"/>
            </w:tcBorders>
            <w:shd w:val="clear" w:color="auto" w:fill="auto"/>
            <w:noWrap/>
            <w:vAlign w:val="center"/>
          </w:tcPr>
          <w:p w14:paraId="2964E136">
            <w:pPr>
              <w:widowControl/>
              <w:jc w:val="center"/>
              <w:rPr>
                <w:rFonts w:ascii="Times New Roman" w:hAnsi="Times New Roman" w:eastAsia="仿宋_GB2312" w:cs="Times New Roman"/>
                <w:kern w:val="0"/>
                <w:sz w:val="22"/>
              </w:rPr>
            </w:pPr>
          </w:p>
        </w:tc>
        <w:tc>
          <w:tcPr>
            <w:tcW w:w="1235" w:type="dxa"/>
            <w:tcBorders>
              <w:top w:val="nil"/>
              <w:left w:val="nil"/>
              <w:bottom w:val="single" w:color="auto" w:sz="4" w:space="0"/>
              <w:right w:val="single" w:color="auto" w:sz="4" w:space="0"/>
            </w:tcBorders>
            <w:shd w:val="clear" w:color="auto" w:fill="auto"/>
            <w:noWrap/>
            <w:vAlign w:val="center"/>
          </w:tcPr>
          <w:p w14:paraId="5784916A">
            <w:pPr>
              <w:widowControl/>
              <w:jc w:val="center"/>
              <w:rPr>
                <w:rFonts w:ascii="Times New Roman" w:hAnsi="Times New Roman" w:eastAsia="仿宋_GB2312" w:cs="Times New Roman"/>
                <w:kern w:val="0"/>
                <w:sz w:val="22"/>
              </w:rPr>
            </w:pPr>
          </w:p>
        </w:tc>
      </w:tr>
      <w:tr w14:paraId="0FFC56F5">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noWrap/>
            <w:vAlign w:val="center"/>
          </w:tcPr>
          <w:p w14:paraId="6D5B407D">
            <w:pPr>
              <w:widowControl/>
              <w:jc w:val="left"/>
              <w:rPr>
                <w:rFonts w:ascii="Times New Roman" w:hAnsi="Times New Roman" w:eastAsia="仿宋_GB2312" w:cs="Times New Roman"/>
                <w:kern w:val="0"/>
                <w:sz w:val="22"/>
              </w:rPr>
            </w:pPr>
          </w:p>
        </w:tc>
        <w:tc>
          <w:tcPr>
            <w:tcW w:w="616" w:type="dxa"/>
            <w:tcBorders>
              <w:top w:val="nil"/>
              <w:left w:val="nil"/>
              <w:bottom w:val="single" w:color="auto" w:sz="4" w:space="0"/>
              <w:right w:val="single" w:color="auto" w:sz="4" w:space="0"/>
            </w:tcBorders>
            <w:shd w:val="clear" w:color="auto" w:fill="auto"/>
            <w:noWrap/>
            <w:vAlign w:val="center"/>
          </w:tcPr>
          <w:p w14:paraId="223D2199">
            <w:pPr>
              <w:widowControl/>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11</w:t>
            </w:r>
          </w:p>
        </w:tc>
        <w:tc>
          <w:tcPr>
            <w:tcW w:w="931" w:type="dxa"/>
            <w:tcBorders>
              <w:top w:val="nil"/>
              <w:left w:val="nil"/>
              <w:bottom w:val="single" w:color="auto" w:sz="4" w:space="0"/>
              <w:right w:val="single" w:color="auto" w:sz="4" w:space="0"/>
            </w:tcBorders>
            <w:shd w:val="clear" w:color="auto" w:fill="auto"/>
            <w:noWrap/>
            <w:vAlign w:val="center"/>
          </w:tcPr>
          <w:p w14:paraId="11019639">
            <w:pPr>
              <w:widowControl/>
              <w:jc w:val="left"/>
              <w:rPr>
                <w:rFonts w:ascii="Times New Roman" w:hAnsi="Times New Roman" w:eastAsia="仿宋_GB2312" w:cs="Times New Roman"/>
                <w:kern w:val="0"/>
                <w:sz w:val="22"/>
              </w:rPr>
            </w:pPr>
          </w:p>
        </w:tc>
        <w:tc>
          <w:tcPr>
            <w:tcW w:w="3516" w:type="dxa"/>
            <w:tcBorders>
              <w:top w:val="nil"/>
              <w:left w:val="nil"/>
              <w:bottom w:val="single" w:color="auto" w:sz="4" w:space="0"/>
              <w:right w:val="single" w:color="auto" w:sz="4" w:space="0"/>
            </w:tcBorders>
            <w:shd w:val="clear" w:color="auto" w:fill="auto"/>
            <w:noWrap/>
            <w:vAlign w:val="center"/>
          </w:tcPr>
          <w:p w14:paraId="189735A9">
            <w:pPr>
              <w:widowControl/>
              <w:jc w:val="left"/>
              <w:textAlignment w:val="center"/>
              <w:rPr>
                <w:rFonts w:ascii="Times New Roman" w:hAnsi="Times New Roman" w:eastAsia="仿宋_GB2312" w:cs="Times New Roman"/>
                <w:color w:val="000000"/>
                <w:kern w:val="0"/>
                <w:sz w:val="22"/>
                <w:szCs w:val="22"/>
                <w:lang w:val="en-US" w:eastAsia="zh-CN" w:bidi="ar"/>
              </w:rPr>
            </w:pPr>
            <w:r>
              <w:rPr>
                <w:rFonts w:hint="eastAsia" w:ascii="Times New Roman" w:hAnsi="Times New Roman" w:eastAsia="仿宋_GB2312" w:cs="Times New Roman"/>
                <w:color w:val="000000"/>
                <w:kern w:val="0"/>
                <w:sz w:val="22"/>
                <w:lang w:bidi="ar"/>
              </w:rPr>
              <w:t>十一、城乡社区支出</w:t>
            </w:r>
          </w:p>
        </w:tc>
        <w:tc>
          <w:tcPr>
            <w:tcW w:w="616" w:type="dxa"/>
            <w:tcBorders>
              <w:top w:val="nil"/>
              <w:left w:val="nil"/>
              <w:bottom w:val="single" w:color="auto" w:sz="4" w:space="0"/>
              <w:right w:val="single" w:color="auto" w:sz="4" w:space="0"/>
            </w:tcBorders>
            <w:shd w:val="clear" w:color="auto" w:fill="FFFFFF"/>
            <w:noWrap/>
            <w:vAlign w:val="center"/>
          </w:tcPr>
          <w:p w14:paraId="6BD0B33D">
            <w:pPr>
              <w:widowControl/>
              <w:jc w:val="center"/>
              <w:textAlignment w:val="center"/>
              <w:rPr>
                <w:rFonts w:hint="default" w:ascii="Times New Roman" w:hAnsi="Times New Roman" w:eastAsia="仿宋_GB2312" w:cs="Times New Roman"/>
                <w:color w:val="000000"/>
                <w:kern w:val="0"/>
                <w:sz w:val="22"/>
                <w:szCs w:val="22"/>
                <w:lang w:val="en-US" w:eastAsia="zh-CN" w:bidi="ar"/>
              </w:rPr>
            </w:pPr>
            <w:r>
              <w:rPr>
                <w:rFonts w:hint="eastAsia" w:ascii="Times New Roman" w:hAnsi="Times New Roman" w:eastAsia="仿宋_GB2312" w:cs="Times New Roman"/>
                <w:color w:val="000000"/>
                <w:kern w:val="0"/>
                <w:sz w:val="22"/>
                <w:lang w:val="en-US" w:eastAsia="zh-CN" w:bidi="ar"/>
              </w:rPr>
              <w:t>43</w:t>
            </w:r>
          </w:p>
        </w:tc>
        <w:tc>
          <w:tcPr>
            <w:tcW w:w="1336" w:type="dxa"/>
            <w:tcBorders>
              <w:top w:val="nil"/>
              <w:left w:val="nil"/>
              <w:bottom w:val="single" w:color="auto" w:sz="4" w:space="0"/>
              <w:right w:val="single" w:color="auto" w:sz="4" w:space="0"/>
            </w:tcBorders>
            <w:shd w:val="clear" w:color="auto" w:fill="auto"/>
            <w:noWrap/>
            <w:vAlign w:val="center"/>
          </w:tcPr>
          <w:p w14:paraId="3C161941">
            <w:pPr>
              <w:widowControl/>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2935.47</w:t>
            </w:r>
          </w:p>
        </w:tc>
        <w:tc>
          <w:tcPr>
            <w:tcW w:w="1335" w:type="dxa"/>
            <w:tcBorders>
              <w:top w:val="nil"/>
              <w:left w:val="nil"/>
              <w:bottom w:val="single" w:color="auto" w:sz="4" w:space="0"/>
              <w:right w:val="single" w:color="auto" w:sz="4" w:space="0"/>
            </w:tcBorders>
            <w:shd w:val="clear" w:color="auto" w:fill="auto"/>
            <w:noWrap/>
            <w:vAlign w:val="center"/>
          </w:tcPr>
          <w:p w14:paraId="047C488C">
            <w:pPr>
              <w:widowControl/>
              <w:jc w:val="center"/>
              <w:rPr>
                <w:rFonts w:ascii="Times New Roman" w:hAnsi="Times New Roman" w:eastAsia="仿宋_GB2312" w:cs="Times New Roman"/>
                <w:kern w:val="0"/>
                <w:sz w:val="22"/>
              </w:rPr>
            </w:pPr>
          </w:p>
        </w:tc>
        <w:tc>
          <w:tcPr>
            <w:tcW w:w="1119" w:type="dxa"/>
            <w:tcBorders>
              <w:top w:val="nil"/>
              <w:left w:val="nil"/>
              <w:bottom w:val="single" w:color="auto" w:sz="4" w:space="0"/>
              <w:right w:val="single" w:color="auto" w:sz="4" w:space="0"/>
            </w:tcBorders>
            <w:shd w:val="clear" w:color="auto" w:fill="auto"/>
            <w:noWrap/>
            <w:vAlign w:val="center"/>
          </w:tcPr>
          <w:p w14:paraId="42B91DEB">
            <w:pPr>
              <w:widowControl/>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2935.47</w:t>
            </w:r>
          </w:p>
        </w:tc>
        <w:tc>
          <w:tcPr>
            <w:tcW w:w="1235" w:type="dxa"/>
            <w:tcBorders>
              <w:top w:val="nil"/>
              <w:left w:val="nil"/>
              <w:bottom w:val="single" w:color="auto" w:sz="4" w:space="0"/>
              <w:right w:val="single" w:color="auto" w:sz="4" w:space="0"/>
            </w:tcBorders>
            <w:shd w:val="clear" w:color="auto" w:fill="auto"/>
            <w:noWrap/>
            <w:vAlign w:val="center"/>
          </w:tcPr>
          <w:p w14:paraId="483808BE">
            <w:pPr>
              <w:widowControl/>
              <w:jc w:val="center"/>
              <w:rPr>
                <w:rFonts w:ascii="Times New Roman" w:hAnsi="Times New Roman" w:eastAsia="仿宋_GB2312" w:cs="Times New Roman"/>
                <w:kern w:val="0"/>
                <w:sz w:val="22"/>
              </w:rPr>
            </w:pPr>
          </w:p>
        </w:tc>
      </w:tr>
      <w:tr w14:paraId="7B7FD1D8">
        <w:tblPrEx>
          <w:tblCellMar>
            <w:top w:w="0" w:type="dxa"/>
            <w:left w:w="108" w:type="dxa"/>
            <w:bottom w:w="0" w:type="dxa"/>
            <w:right w:w="108" w:type="dxa"/>
          </w:tblCellMar>
        </w:tblPrEx>
        <w:trPr>
          <w:trHeight w:val="402" w:hRule="atLeast"/>
          <w:jc w:val="center"/>
        </w:trPr>
        <w:tc>
          <w:tcPr>
            <w:tcW w:w="351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922E780">
            <w:pPr>
              <w:widowControl/>
              <w:jc w:val="left"/>
              <w:rPr>
                <w:rFonts w:ascii="Times New Roman" w:hAnsi="Times New Roman" w:eastAsia="仿宋_GB2312" w:cs="Times New Roman"/>
                <w:kern w:val="0"/>
                <w:sz w:val="22"/>
              </w:rPr>
            </w:pPr>
          </w:p>
        </w:tc>
        <w:tc>
          <w:tcPr>
            <w:tcW w:w="61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03871E6">
            <w:pPr>
              <w:widowControl/>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12</w:t>
            </w:r>
          </w:p>
        </w:tc>
        <w:tc>
          <w:tcPr>
            <w:tcW w:w="93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BD3C35A">
            <w:pPr>
              <w:widowControl/>
              <w:jc w:val="left"/>
              <w:rPr>
                <w:rFonts w:ascii="Times New Roman" w:hAnsi="Times New Roman" w:eastAsia="仿宋_GB2312" w:cs="Times New Roman"/>
                <w:kern w:val="0"/>
                <w:sz w:val="22"/>
              </w:rPr>
            </w:pPr>
          </w:p>
        </w:tc>
        <w:tc>
          <w:tcPr>
            <w:tcW w:w="351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B8E4E40">
            <w:pPr>
              <w:widowControl/>
              <w:jc w:val="left"/>
              <w:textAlignment w:val="center"/>
              <w:rPr>
                <w:rFonts w:ascii="Times New Roman" w:hAnsi="Times New Roman" w:eastAsia="仿宋_GB2312" w:cs="Times New Roman"/>
                <w:color w:val="000000"/>
                <w:kern w:val="0"/>
                <w:sz w:val="22"/>
                <w:szCs w:val="22"/>
                <w:lang w:val="en-US" w:eastAsia="zh-CN" w:bidi="ar"/>
              </w:rPr>
            </w:pPr>
            <w:r>
              <w:rPr>
                <w:rFonts w:hint="eastAsia" w:ascii="Times New Roman" w:hAnsi="Times New Roman" w:eastAsia="仿宋_GB2312" w:cs="Times New Roman"/>
                <w:color w:val="000000"/>
                <w:kern w:val="0"/>
                <w:sz w:val="22"/>
                <w:lang w:bidi="ar"/>
              </w:rPr>
              <w:t>十二、农林水支出</w:t>
            </w:r>
          </w:p>
        </w:tc>
        <w:tc>
          <w:tcPr>
            <w:tcW w:w="616"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4D21B5DF">
            <w:pPr>
              <w:widowControl/>
              <w:jc w:val="center"/>
              <w:textAlignment w:val="center"/>
              <w:rPr>
                <w:rFonts w:hint="default" w:ascii="Times New Roman" w:hAnsi="Times New Roman" w:eastAsia="仿宋_GB2312" w:cs="Times New Roman"/>
                <w:color w:val="000000"/>
                <w:kern w:val="0"/>
                <w:sz w:val="22"/>
                <w:szCs w:val="22"/>
                <w:lang w:val="en-US" w:eastAsia="zh-CN" w:bidi="ar"/>
              </w:rPr>
            </w:pPr>
            <w:r>
              <w:rPr>
                <w:rFonts w:hint="eastAsia" w:ascii="Times New Roman" w:hAnsi="Times New Roman" w:eastAsia="仿宋_GB2312" w:cs="Times New Roman"/>
                <w:color w:val="000000"/>
                <w:kern w:val="0"/>
                <w:sz w:val="22"/>
                <w:lang w:val="en-US" w:eastAsia="zh-CN" w:bidi="ar"/>
              </w:rPr>
              <w:t>44</w:t>
            </w:r>
          </w:p>
        </w:tc>
        <w:tc>
          <w:tcPr>
            <w:tcW w:w="133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967C4A8">
            <w:pPr>
              <w:widowControl/>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505.83</w:t>
            </w:r>
          </w:p>
        </w:tc>
        <w:tc>
          <w:tcPr>
            <w:tcW w:w="13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91E53FD">
            <w:pPr>
              <w:widowControl/>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505.83</w:t>
            </w:r>
          </w:p>
        </w:tc>
        <w:tc>
          <w:tcPr>
            <w:tcW w:w="1119"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0A7CA1A">
            <w:pPr>
              <w:widowControl/>
              <w:jc w:val="center"/>
              <w:rPr>
                <w:rFonts w:ascii="Times New Roman" w:hAnsi="Times New Roman" w:eastAsia="仿宋_GB2312" w:cs="Times New Roman"/>
                <w:kern w:val="0"/>
                <w:sz w:val="22"/>
              </w:rPr>
            </w:pPr>
          </w:p>
        </w:tc>
        <w:tc>
          <w:tcPr>
            <w:tcW w:w="12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48AA01B">
            <w:pPr>
              <w:widowControl/>
              <w:jc w:val="center"/>
              <w:rPr>
                <w:rFonts w:ascii="Times New Roman" w:hAnsi="Times New Roman" w:eastAsia="仿宋_GB2312" w:cs="Times New Roman"/>
                <w:kern w:val="0"/>
                <w:sz w:val="22"/>
              </w:rPr>
            </w:pPr>
          </w:p>
        </w:tc>
      </w:tr>
      <w:tr w14:paraId="30D89913">
        <w:tblPrEx>
          <w:tblCellMar>
            <w:top w:w="0" w:type="dxa"/>
            <w:left w:w="108" w:type="dxa"/>
            <w:bottom w:w="0" w:type="dxa"/>
            <w:right w:w="108" w:type="dxa"/>
          </w:tblCellMar>
        </w:tblPrEx>
        <w:trPr>
          <w:trHeight w:val="402" w:hRule="atLeast"/>
          <w:jc w:val="center"/>
        </w:trPr>
        <w:tc>
          <w:tcPr>
            <w:tcW w:w="351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C4A4590">
            <w:pPr>
              <w:widowControl/>
              <w:jc w:val="left"/>
              <w:rPr>
                <w:rFonts w:ascii="Times New Roman" w:hAnsi="Times New Roman" w:eastAsia="仿宋_GB2312" w:cs="Times New Roman"/>
                <w:kern w:val="0"/>
                <w:sz w:val="22"/>
              </w:rPr>
            </w:pPr>
          </w:p>
        </w:tc>
        <w:tc>
          <w:tcPr>
            <w:tcW w:w="616" w:type="dxa"/>
            <w:tcBorders>
              <w:top w:val="single" w:color="auto" w:sz="4" w:space="0"/>
              <w:left w:val="nil"/>
              <w:bottom w:val="single" w:color="auto" w:sz="4" w:space="0"/>
              <w:right w:val="single" w:color="auto" w:sz="4" w:space="0"/>
            </w:tcBorders>
            <w:shd w:val="clear" w:color="auto" w:fill="auto"/>
            <w:noWrap/>
            <w:vAlign w:val="center"/>
          </w:tcPr>
          <w:p w14:paraId="0841BDDE">
            <w:pPr>
              <w:widowControl/>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13</w:t>
            </w:r>
          </w:p>
        </w:tc>
        <w:tc>
          <w:tcPr>
            <w:tcW w:w="931" w:type="dxa"/>
            <w:tcBorders>
              <w:top w:val="single" w:color="auto" w:sz="4" w:space="0"/>
              <w:left w:val="nil"/>
              <w:bottom w:val="single" w:color="auto" w:sz="4" w:space="0"/>
              <w:right w:val="single" w:color="auto" w:sz="4" w:space="0"/>
            </w:tcBorders>
            <w:shd w:val="clear" w:color="auto" w:fill="auto"/>
            <w:noWrap/>
            <w:vAlign w:val="center"/>
          </w:tcPr>
          <w:p w14:paraId="52FC86BE">
            <w:pPr>
              <w:widowControl/>
              <w:jc w:val="left"/>
              <w:rPr>
                <w:rFonts w:ascii="Times New Roman" w:hAnsi="Times New Roman" w:eastAsia="仿宋_GB2312" w:cs="Times New Roman"/>
                <w:kern w:val="0"/>
                <w:sz w:val="22"/>
              </w:rPr>
            </w:pPr>
          </w:p>
        </w:tc>
        <w:tc>
          <w:tcPr>
            <w:tcW w:w="3516" w:type="dxa"/>
            <w:tcBorders>
              <w:top w:val="single" w:color="auto" w:sz="4" w:space="0"/>
              <w:left w:val="nil"/>
              <w:bottom w:val="single" w:color="auto" w:sz="4" w:space="0"/>
              <w:right w:val="single" w:color="auto" w:sz="4" w:space="0"/>
            </w:tcBorders>
            <w:shd w:val="clear" w:color="auto" w:fill="auto"/>
            <w:noWrap/>
            <w:vAlign w:val="center"/>
          </w:tcPr>
          <w:p w14:paraId="2B550183">
            <w:pPr>
              <w:widowControl/>
              <w:jc w:val="left"/>
              <w:textAlignment w:val="center"/>
              <w:rPr>
                <w:rFonts w:ascii="Times New Roman" w:hAnsi="Times New Roman" w:eastAsia="仿宋_GB2312" w:cs="Times New Roman"/>
                <w:color w:val="000000"/>
                <w:kern w:val="0"/>
                <w:sz w:val="22"/>
                <w:szCs w:val="22"/>
                <w:lang w:val="en-US" w:eastAsia="zh-CN" w:bidi="ar"/>
              </w:rPr>
            </w:pPr>
            <w:r>
              <w:rPr>
                <w:rFonts w:hint="eastAsia" w:ascii="Times New Roman" w:hAnsi="Times New Roman" w:eastAsia="仿宋_GB2312" w:cs="Times New Roman"/>
                <w:color w:val="000000"/>
                <w:kern w:val="0"/>
                <w:sz w:val="22"/>
                <w:lang w:bidi="ar"/>
              </w:rPr>
              <w:t>十三、交通运输支出</w:t>
            </w:r>
          </w:p>
        </w:tc>
        <w:tc>
          <w:tcPr>
            <w:tcW w:w="616" w:type="dxa"/>
            <w:tcBorders>
              <w:top w:val="single" w:color="auto" w:sz="4" w:space="0"/>
              <w:left w:val="nil"/>
              <w:bottom w:val="single" w:color="auto" w:sz="4" w:space="0"/>
              <w:right w:val="single" w:color="auto" w:sz="4" w:space="0"/>
            </w:tcBorders>
            <w:shd w:val="clear" w:color="auto" w:fill="FFFFFF"/>
            <w:noWrap/>
            <w:vAlign w:val="center"/>
          </w:tcPr>
          <w:p w14:paraId="66087198">
            <w:pPr>
              <w:widowControl/>
              <w:jc w:val="center"/>
              <w:textAlignment w:val="center"/>
              <w:rPr>
                <w:rFonts w:hint="default" w:ascii="Times New Roman" w:hAnsi="Times New Roman" w:eastAsia="仿宋_GB2312" w:cs="Times New Roman"/>
                <w:color w:val="000000"/>
                <w:kern w:val="0"/>
                <w:sz w:val="22"/>
                <w:szCs w:val="22"/>
                <w:lang w:val="en-US" w:eastAsia="zh-CN" w:bidi="ar"/>
              </w:rPr>
            </w:pPr>
            <w:r>
              <w:rPr>
                <w:rFonts w:hint="eastAsia" w:ascii="Times New Roman" w:hAnsi="Times New Roman" w:eastAsia="仿宋_GB2312" w:cs="Times New Roman"/>
                <w:color w:val="000000"/>
                <w:kern w:val="0"/>
                <w:sz w:val="22"/>
                <w:lang w:val="en-US" w:eastAsia="zh-CN" w:bidi="ar"/>
              </w:rPr>
              <w:t>45</w:t>
            </w:r>
          </w:p>
        </w:tc>
        <w:tc>
          <w:tcPr>
            <w:tcW w:w="1336" w:type="dxa"/>
            <w:tcBorders>
              <w:top w:val="single" w:color="auto" w:sz="4" w:space="0"/>
              <w:left w:val="nil"/>
              <w:bottom w:val="single" w:color="auto" w:sz="4" w:space="0"/>
              <w:right w:val="single" w:color="auto" w:sz="4" w:space="0"/>
            </w:tcBorders>
            <w:shd w:val="clear" w:color="auto" w:fill="auto"/>
            <w:noWrap/>
            <w:vAlign w:val="center"/>
          </w:tcPr>
          <w:p w14:paraId="5953D31C">
            <w:pPr>
              <w:widowControl/>
              <w:jc w:val="center"/>
              <w:rPr>
                <w:rFonts w:ascii="Times New Roman" w:hAnsi="Times New Roman" w:eastAsia="仿宋_GB2312" w:cs="Times New Roman"/>
                <w:kern w:val="0"/>
                <w:sz w:val="22"/>
              </w:rPr>
            </w:pPr>
          </w:p>
        </w:tc>
        <w:tc>
          <w:tcPr>
            <w:tcW w:w="1335" w:type="dxa"/>
            <w:tcBorders>
              <w:top w:val="single" w:color="auto" w:sz="4" w:space="0"/>
              <w:left w:val="nil"/>
              <w:bottom w:val="single" w:color="auto" w:sz="4" w:space="0"/>
              <w:right w:val="single" w:color="auto" w:sz="4" w:space="0"/>
            </w:tcBorders>
            <w:shd w:val="clear" w:color="auto" w:fill="auto"/>
            <w:noWrap/>
            <w:vAlign w:val="center"/>
          </w:tcPr>
          <w:p w14:paraId="328820CE">
            <w:pPr>
              <w:widowControl/>
              <w:jc w:val="center"/>
              <w:rPr>
                <w:rFonts w:ascii="Times New Roman" w:hAnsi="Times New Roman" w:eastAsia="仿宋_GB2312" w:cs="Times New Roman"/>
                <w:kern w:val="0"/>
                <w:sz w:val="22"/>
              </w:rPr>
            </w:pPr>
          </w:p>
        </w:tc>
        <w:tc>
          <w:tcPr>
            <w:tcW w:w="1119" w:type="dxa"/>
            <w:tcBorders>
              <w:top w:val="single" w:color="auto" w:sz="4" w:space="0"/>
              <w:left w:val="nil"/>
              <w:bottom w:val="single" w:color="auto" w:sz="4" w:space="0"/>
              <w:right w:val="single" w:color="auto" w:sz="4" w:space="0"/>
            </w:tcBorders>
            <w:shd w:val="clear" w:color="auto" w:fill="auto"/>
            <w:noWrap/>
            <w:vAlign w:val="center"/>
          </w:tcPr>
          <w:p w14:paraId="2694B5DF">
            <w:pPr>
              <w:widowControl/>
              <w:jc w:val="center"/>
              <w:rPr>
                <w:rFonts w:ascii="Times New Roman" w:hAnsi="Times New Roman" w:eastAsia="仿宋_GB2312" w:cs="Times New Roman"/>
                <w:kern w:val="0"/>
                <w:sz w:val="22"/>
              </w:rPr>
            </w:pPr>
          </w:p>
        </w:tc>
        <w:tc>
          <w:tcPr>
            <w:tcW w:w="1235" w:type="dxa"/>
            <w:tcBorders>
              <w:top w:val="single" w:color="auto" w:sz="4" w:space="0"/>
              <w:left w:val="nil"/>
              <w:bottom w:val="single" w:color="auto" w:sz="4" w:space="0"/>
              <w:right w:val="single" w:color="auto" w:sz="4" w:space="0"/>
            </w:tcBorders>
            <w:shd w:val="clear" w:color="auto" w:fill="auto"/>
            <w:noWrap/>
            <w:vAlign w:val="center"/>
          </w:tcPr>
          <w:p w14:paraId="287E4E03">
            <w:pPr>
              <w:widowControl/>
              <w:jc w:val="center"/>
              <w:rPr>
                <w:rFonts w:ascii="Times New Roman" w:hAnsi="Times New Roman" w:eastAsia="仿宋_GB2312" w:cs="Times New Roman"/>
                <w:kern w:val="0"/>
                <w:sz w:val="22"/>
              </w:rPr>
            </w:pPr>
          </w:p>
        </w:tc>
      </w:tr>
      <w:tr w14:paraId="48A69584">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noWrap/>
            <w:vAlign w:val="center"/>
          </w:tcPr>
          <w:p w14:paraId="04B56FD0">
            <w:pPr>
              <w:widowControl/>
              <w:jc w:val="left"/>
              <w:rPr>
                <w:rFonts w:ascii="Times New Roman" w:hAnsi="Times New Roman" w:eastAsia="仿宋_GB2312" w:cs="Times New Roman"/>
                <w:kern w:val="0"/>
                <w:sz w:val="22"/>
              </w:rPr>
            </w:pPr>
          </w:p>
        </w:tc>
        <w:tc>
          <w:tcPr>
            <w:tcW w:w="616" w:type="dxa"/>
            <w:tcBorders>
              <w:top w:val="nil"/>
              <w:left w:val="nil"/>
              <w:bottom w:val="single" w:color="auto" w:sz="4" w:space="0"/>
              <w:right w:val="single" w:color="auto" w:sz="4" w:space="0"/>
            </w:tcBorders>
            <w:shd w:val="clear" w:color="auto" w:fill="auto"/>
            <w:noWrap/>
            <w:vAlign w:val="center"/>
          </w:tcPr>
          <w:p w14:paraId="61CED2FE">
            <w:pPr>
              <w:widowControl/>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14</w:t>
            </w:r>
          </w:p>
        </w:tc>
        <w:tc>
          <w:tcPr>
            <w:tcW w:w="931" w:type="dxa"/>
            <w:tcBorders>
              <w:top w:val="nil"/>
              <w:left w:val="nil"/>
              <w:bottom w:val="single" w:color="auto" w:sz="4" w:space="0"/>
              <w:right w:val="single" w:color="auto" w:sz="4" w:space="0"/>
            </w:tcBorders>
            <w:shd w:val="clear" w:color="auto" w:fill="auto"/>
            <w:noWrap/>
            <w:vAlign w:val="center"/>
          </w:tcPr>
          <w:p w14:paraId="42D843E6">
            <w:pPr>
              <w:widowControl/>
              <w:jc w:val="left"/>
              <w:rPr>
                <w:rFonts w:ascii="Times New Roman" w:hAnsi="Times New Roman" w:eastAsia="仿宋_GB2312" w:cs="Times New Roman"/>
                <w:kern w:val="0"/>
                <w:sz w:val="22"/>
              </w:rPr>
            </w:pPr>
          </w:p>
        </w:tc>
        <w:tc>
          <w:tcPr>
            <w:tcW w:w="3516" w:type="dxa"/>
            <w:tcBorders>
              <w:top w:val="nil"/>
              <w:left w:val="nil"/>
              <w:bottom w:val="single" w:color="auto" w:sz="4" w:space="0"/>
              <w:right w:val="single" w:color="auto" w:sz="4" w:space="0"/>
            </w:tcBorders>
            <w:shd w:val="clear" w:color="auto" w:fill="auto"/>
            <w:noWrap/>
            <w:vAlign w:val="center"/>
          </w:tcPr>
          <w:p w14:paraId="1E42AD5E">
            <w:pPr>
              <w:widowControl/>
              <w:jc w:val="left"/>
              <w:textAlignment w:val="center"/>
              <w:rPr>
                <w:rFonts w:ascii="Times New Roman" w:hAnsi="Times New Roman" w:eastAsia="仿宋_GB2312" w:cs="Times New Roman"/>
                <w:color w:val="000000"/>
                <w:kern w:val="0"/>
                <w:sz w:val="22"/>
                <w:szCs w:val="22"/>
                <w:lang w:val="en-US" w:eastAsia="zh-CN" w:bidi="ar"/>
              </w:rPr>
            </w:pPr>
            <w:r>
              <w:rPr>
                <w:rFonts w:hint="eastAsia" w:ascii="Times New Roman" w:hAnsi="Times New Roman" w:eastAsia="仿宋_GB2312" w:cs="Times New Roman"/>
                <w:color w:val="000000"/>
                <w:kern w:val="0"/>
                <w:sz w:val="22"/>
                <w:lang w:bidi="ar"/>
              </w:rPr>
              <w:t>十四、资源勘探工业信息等支出</w:t>
            </w:r>
          </w:p>
        </w:tc>
        <w:tc>
          <w:tcPr>
            <w:tcW w:w="616" w:type="dxa"/>
            <w:tcBorders>
              <w:top w:val="nil"/>
              <w:left w:val="nil"/>
              <w:bottom w:val="single" w:color="auto" w:sz="4" w:space="0"/>
              <w:right w:val="single" w:color="auto" w:sz="4" w:space="0"/>
            </w:tcBorders>
            <w:shd w:val="clear" w:color="auto" w:fill="FFFFFF"/>
            <w:noWrap/>
            <w:vAlign w:val="center"/>
          </w:tcPr>
          <w:p w14:paraId="3A5947DE">
            <w:pPr>
              <w:widowControl/>
              <w:jc w:val="center"/>
              <w:textAlignment w:val="center"/>
              <w:rPr>
                <w:rFonts w:hint="default" w:ascii="Times New Roman" w:hAnsi="Times New Roman" w:eastAsia="仿宋_GB2312" w:cs="Times New Roman"/>
                <w:color w:val="000000"/>
                <w:kern w:val="0"/>
                <w:sz w:val="22"/>
                <w:szCs w:val="22"/>
                <w:lang w:val="en-US" w:eastAsia="zh-CN" w:bidi="ar"/>
              </w:rPr>
            </w:pPr>
            <w:r>
              <w:rPr>
                <w:rFonts w:hint="eastAsia" w:ascii="Times New Roman" w:hAnsi="Times New Roman" w:eastAsia="仿宋_GB2312" w:cs="Times New Roman"/>
                <w:color w:val="000000"/>
                <w:kern w:val="0"/>
                <w:sz w:val="22"/>
                <w:lang w:val="en-US" w:eastAsia="zh-CN" w:bidi="ar"/>
              </w:rPr>
              <w:t>46</w:t>
            </w:r>
          </w:p>
        </w:tc>
        <w:tc>
          <w:tcPr>
            <w:tcW w:w="1336" w:type="dxa"/>
            <w:tcBorders>
              <w:top w:val="nil"/>
              <w:left w:val="nil"/>
              <w:bottom w:val="single" w:color="auto" w:sz="4" w:space="0"/>
              <w:right w:val="single" w:color="auto" w:sz="4" w:space="0"/>
            </w:tcBorders>
            <w:shd w:val="clear" w:color="auto" w:fill="auto"/>
            <w:noWrap/>
            <w:vAlign w:val="center"/>
          </w:tcPr>
          <w:p w14:paraId="00C71FC2">
            <w:pPr>
              <w:widowControl/>
              <w:jc w:val="center"/>
              <w:rPr>
                <w:rFonts w:ascii="Times New Roman" w:hAnsi="Times New Roman" w:eastAsia="仿宋_GB2312" w:cs="Times New Roman"/>
                <w:kern w:val="0"/>
                <w:sz w:val="22"/>
              </w:rPr>
            </w:pPr>
          </w:p>
        </w:tc>
        <w:tc>
          <w:tcPr>
            <w:tcW w:w="1335" w:type="dxa"/>
            <w:tcBorders>
              <w:top w:val="nil"/>
              <w:left w:val="nil"/>
              <w:bottom w:val="single" w:color="auto" w:sz="4" w:space="0"/>
              <w:right w:val="single" w:color="auto" w:sz="4" w:space="0"/>
            </w:tcBorders>
            <w:shd w:val="clear" w:color="auto" w:fill="auto"/>
            <w:noWrap/>
            <w:vAlign w:val="center"/>
          </w:tcPr>
          <w:p w14:paraId="75CE8BAA">
            <w:pPr>
              <w:widowControl/>
              <w:jc w:val="center"/>
              <w:rPr>
                <w:rFonts w:ascii="Times New Roman" w:hAnsi="Times New Roman" w:eastAsia="仿宋_GB2312" w:cs="Times New Roman"/>
                <w:kern w:val="0"/>
                <w:sz w:val="22"/>
              </w:rPr>
            </w:pPr>
          </w:p>
        </w:tc>
        <w:tc>
          <w:tcPr>
            <w:tcW w:w="1119" w:type="dxa"/>
            <w:tcBorders>
              <w:top w:val="nil"/>
              <w:left w:val="nil"/>
              <w:bottom w:val="single" w:color="auto" w:sz="4" w:space="0"/>
              <w:right w:val="single" w:color="auto" w:sz="4" w:space="0"/>
            </w:tcBorders>
            <w:shd w:val="clear" w:color="auto" w:fill="auto"/>
            <w:noWrap/>
            <w:vAlign w:val="center"/>
          </w:tcPr>
          <w:p w14:paraId="4FE5516B">
            <w:pPr>
              <w:widowControl/>
              <w:jc w:val="center"/>
              <w:rPr>
                <w:rFonts w:ascii="Times New Roman" w:hAnsi="Times New Roman" w:eastAsia="仿宋_GB2312" w:cs="Times New Roman"/>
                <w:kern w:val="0"/>
                <w:sz w:val="22"/>
              </w:rPr>
            </w:pPr>
          </w:p>
        </w:tc>
        <w:tc>
          <w:tcPr>
            <w:tcW w:w="1235" w:type="dxa"/>
            <w:tcBorders>
              <w:top w:val="nil"/>
              <w:left w:val="nil"/>
              <w:bottom w:val="single" w:color="auto" w:sz="4" w:space="0"/>
              <w:right w:val="single" w:color="auto" w:sz="4" w:space="0"/>
            </w:tcBorders>
            <w:shd w:val="clear" w:color="auto" w:fill="auto"/>
            <w:noWrap/>
            <w:vAlign w:val="center"/>
          </w:tcPr>
          <w:p w14:paraId="2E6CB514">
            <w:pPr>
              <w:widowControl/>
              <w:jc w:val="center"/>
              <w:rPr>
                <w:rFonts w:ascii="Times New Roman" w:hAnsi="Times New Roman" w:eastAsia="仿宋_GB2312" w:cs="Times New Roman"/>
                <w:kern w:val="0"/>
                <w:sz w:val="22"/>
              </w:rPr>
            </w:pPr>
          </w:p>
        </w:tc>
      </w:tr>
      <w:tr w14:paraId="66A30E27">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noWrap/>
            <w:vAlign w:val="center"/>
          </w:tcPr>
          <w:p w14:paraId="0805D5CC">
            <w:pPr>
              <w:widowControl/>
              <w:jc w:val="left"/>
              <w:rPr>
                <w:rFonts w:ascii="Times New Roman" w:hAnsi="Times New Roman" w:eastAsia="仿宋_GB2312" w:cs="Times New Roman"/>
                <w:kern w:val="0"/>
                <w:sz w:val="22"/>
              </w:rPr>
            </w:pPr>
          </w:p>
        </w:tc>
        <w:tc>
          <w:tcPr>
            <w:tcW w:w="616" w:type="dxa"/>
            <w:tcBorders>
              <w:top w:val="nil"/>
              <w:left w:val="nil"/>
              <w:bottom w:val="single" w:color="auto" w:sz="4" w:space="0"/>
              <w:right w:val="single" w:color="auto" w:sz="4" w:space="0"/>
            </w:tcBorders>
            <w:shd w:val="clear" w:color="auto" w:fill="auto"/>
            <w:noWrap/>
            <w:vAlign w:val="center"/>
          </w:tcPr>
          <w:p w14:paraId="35DC6006">
            <w:pPr>
              <w:widowControl/>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15</w:t>
            </w:r>
          </w:p>
        </w:tc>
        <w:tc>
          <w:tcPr>
            <w:tcW w:w="931" w:type="dxa"/>
            <w:tcBorders>
              <w:top w:val="nil"/>
              <w:left w:val="nil"/>
              <w:bottom w:val="single" w:color="auto" w:sz="4" w:space="0"/>
              <w:right w:val="single" w:color="auto" w:sz="4" w:space="0"/>
            </w:tcBorders>
            <w:shd w:val="clear" w:color="auto" w:fill="auto"/>
            <w:noWrap/>
            <w:vAlign w:val="center"/>
          </w:tcPr>
          <w:p w14:paraId="0FB76BEF">
            <w:pPr>
              <w:widowControl/>
              <w:jc w:val="left"/>
              <w:rPr>
                <w:rFonts w:ascii="Times New Roman" w:hAnsi="Times New Roman" w:eastAsia="仿宋_GB2312" w:cs="Times New Roman"/>
                <w:kern w:val="0"/>
                <w:sz w:val="22"/>
              </w:rPr>
            </w:pPr>
          </w:p>
        </w:tc>
        <w:tc>
          <w:tcPr>
            <w:tcW w:w="3516" w:type="dxa"/>
            <w:tcBorders>
              <w:top w:val="nil"/>
              <w:left w:val="nil"/>
              <w:bottom w:val="single" w:color="auto" w:sz="4" w:space="0"/>
              <w:right w:val="single" w:color="auto" w:sz="4" w:space="0"/>
            </w:tcBorders>
            <w:shd w:val="clear" w:color="auto" w:fill="auto"/>
            <w:noWrap/>
            <w:vAlign w:val="center"/>
          </w:tcPr>
          <w:p w14:paraId="42A39756">
            <w:pPr>
              <w:widowControl/>
              <w:jc w:val="left"/>
              <w:textAlignment w:val="center"/>
              <w:rPr>
                <w:rFonts w:ascii="Times New Roman" w:hAnsi="Times New Roman" w:eastAsia="仿宋_GB2312" w:cs="Times New Roman"/>
                <w:color w:val="000000"/>
                <w:kern w:val="0"/>
                <w:sz w:val="22"/>
                <w:szCs w:val="22"/>
                <w:lang w:val="en-US" w:eastAsia="zh-CN" w:bidi="ar"/>
              </w:rPr>
            </w:pPr>
            <w:r>
              <w:rPr>
                <w:rFonts w:hint="eastAsia" w:ascii="Times New Roman" w:hAnsi="Times New Roman" w:eastAsia="仿宋_GB2312" w:cs="Times New Roman"/>
                <w:color w:val="000000"/>
                <w:kern w:val="0"/>
                <w:sz w:val="22"/>
                <w:lang w:bidi="ar"/>
              </w:rPr>
              <w:t>十五、商业服务业等支出</w:t>
            </w:r>
          </w:p>
        </w:tc>
        <w:tc>
          <w:tcPr>
            <w:tcW w:w="616" w:type="dxa"/>
            <w:tcBorders>
              <w:top w:val="nil"/>
              <w:left w:val="nil"/>
              <w:bottom w:val="single" w:color="auto" w:sz="4" w:space="0"/>
              <w:right w:val="single" w:color="auto" w:sz="4" w:space="0"/>
            </w:tcBorders>
            <w:shd w:val="clear" w:color="auto" w:fill="FFFFFF"/>
            <w:noWrap/>
            <w:vAlign w:val="center"/>
          </w:tcPr>
          <w:p w14:paraId="5BC48DA7">
            <w:pPr>
              <w:widowControl/>
              <w:jc w:val="center"/>
              <w:textAlignment w:val="center"/>
              <w:rPr>
                <w:rFonts w:hint="default" w:ascii="Times New Roman" w:hAnsi="Times New Roman" w:eastAsia="仿宋_GB2312" w:cs="Times New Roman"/>
                <w:color w:val="000000"/>
                <w:kern w:val="0"/>
                <w:sz w:val="22"/>
                <w:szCs w:val="22"/>
                <w:lang w:val="en-US" w:eastAsia="zh-CN" w:bidi="ar"/>
              </w:rPr>
            </w:pPr>
            <w:r>
              <w:rPr>
                <w:rFonts w:hint="eastAsia" w:ascii="Times New Roman" w:hAnsi="Times New Roman" w:eastAsia="仿宋_GB2312" w:cs="Times New Roman"/>
                <w:color w:val="000000"/>
                <w:kern w:val="0"/>
                <w:sz w:val="22"/>
                <w:lang w:val="en-US" w:eastAsia="zh-CN" w:bidi="ar"/>
              </w:rPr>
              <w:t>47</w:t>
            </w:r>
          </w:p>
        </w:tc>
        <w:tc>
          <w:tcPr>
            <w:tcW w:w="1336" w:type="dxa"/>
            <w:tcBorders>
              <w:top w:val="nil"/>
              <w:left w:val="nil"/>
              <w:bottom w:val="single" w:color="auto" w:sz="4" w:space="0"/>
              <w:right w:val="single" w:color="auto" w:sz="4" w:space="0"/>
            </w:tcBorders>
            <w:shd w:val="clear" w:color="auto" w:fill="auto"/>
            <w:noWrap/>
            <w:vAlign w:val="center"/>
          </w:tcPr>
          <w:p w14:paraId="0E07375D">
            <w:pPr>
              <w:widowControl/>
              <w:jc w:val="center"/>
              <w:rPr>
                <w:rFonts w:ascii="Times New Roman" w:hAnsi="Times New Roman" w:eastAsia="仿宋_GB2312" w:cs="Times New Roman"/>
                <w:kern w:val="0"/>
                <w:sz w:val="22"/>
              </w:rPr>
            </w:pPr>
          </w:p>
        </w:tc>
        <w:tc>
          <w:tcPr>
            <w:tcW w:w="1335" w:type="dxa"/>
            <w:tcBorders>
              <w:top w:val="nil"/>
              <w:left w:val="nil"/>
              <w:bottom w:val="single" w:color="auto" w:sz="4" w:space="0"/>
              <w:right w:val="single" w:color="auto" w:sz="4" w:space="0"/>
            </w:tcBorders>
            <w:shd w:val="clear" w:color="auto" w:fill="auto"/>
            <w:noWrap/>
            <w:vAlign w:val="center"/>
          </w:tcPr>
          <w:p w14:paraId="60A99AFC">
            <w:pPr>
              <w:widowControl/>
              <w:jc w:val="center"/>
              <w:rPr>
                <w:rFonts w:ascii="Times New Roman" w:hAnsi="Times New Roman" w:eastAsia="仿宋_GB2312" w:cs="Times New Roman"/>
                <w:kern w:val="0"/>
                <w:sz w:val="22"/>
              </w:rPr>
            </w:pPr>
          </w:p>
        </w:tc>
        <w:tc>
          <w:tcPr>
            <w:tcW w:w="1119" w:type="dxa"/>
            <w:tcBorders>
              <w:top w:val="nil"/>
              <w:left w:val="nil"/>
              <w:bottom w:val="single" w:color="auto" w:sz="4" w:space="0"/>
              <w:right w:val="single" w:color="auto" w:sz="4" w:space="0"/>
            </w:tcBorders>
            <w:shd w:val="clear" w:color="auto" w:fill="auto"/>
            <w:noWrap/>
            <w:vAlign w:val="center"/>
          </w:tcPr>
          <w:p w14:paraId="766C72AC">
            <w:pPr>
              <w:widowControl/>
              <w:jc w:val="center"/>
              <w:rPr>
                <w:rFonts w:ascii="Times New Roman" w:hAnsi="Times New Roman" w:eastAsia="仿宋_GB2312" w:cs="Times New Roman"/>
                <w:kern w:val="0"/>
                <w:sz w:val="22"/>
              </w:rPr>
            </w:pPr>
          </w:p>
        </w:tc>
        <w:tc>
          <w:tcPr>
            <w:tcW w:w="1235" w:type="dxa"/>
            <w:tcBorders>
              <w:top w:val="nil"/>
              <w:left w:val="nil"/>
              <w:bottom w:val="single" w:color="auto" w:sz="4" w:space="0"/>
              <w:right w:val="single" w:color="auto" w:sz="4" w:space="0"/>
            </w:tcBorders>
            <w:shd w:val="clear" w:color="auto" w:fill="auto"/>
            <w:noWrap/>
            <w:vAlign w:val="center"/>
          </w:tcPr>
          <w:p w14:paraId="77B891FC">
            <w:pPr>
              <w:widowControl/>
              <w:jc w:val="center"/>
              <w:rPr>
                <w:rFonts w:ascii="Times New Roman" w:hAnsi="Times New Roman" w:eastAsia="仿宋_GB2312" w:cs="Times New Roman"/>
                <w:kern w:val="0"/>
                <w:sz w:val="22"/>
              </w:rPr>
            </w:pPr>
          </w:p>
        </w:tc>
      </w:tr>
      <w:tr w14:paraId="49A0915C">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noWrap/>
            <w:vAlign w:val="center"/>
          </w:tcPr>
          <w:p w14:paraId="5CE02021">
            <w:pPr>
              <w:widowControl/>
              <w:jc w:val="left"/>
              <w:rPr>
                <w:rFonts w:ascii="Times New Roman" w:hAnsi="Times New Roman" w:eastAsia="仿宋_GB2312" w:cs="Times New Roman"/>
                <w:kern w:val="0"/>
                <w:sz w:val="22"/>
              </w:rPr>
            </w:pPr>
          </w:p>
        </w:tc>
        <w:tc>
          <w:tcPr>
            <w:tcW w:w="616" w:type="dxa"/>
            <w:tcBorders>
              <w:top w:val="nil"/>
              <w:left w:val="nil"/>
              <w:bottom w:val="single" w:color="auto" w:sz="4" w:space="0"/>
              <w:right w:val="single" w:color="auto" w:sz="4" w:space="0"/>
            </w:tcBorders>
            <w:shd w:val="clear" w:color="auto" w:fill="auto"/>
            <w:noWrap/>
            <w:vAlign w:val="center"/>
          </w:tcPr>
          <w:p w14:paraId="0C60BA35">
            <w:pPr>
              <w:widowControl/>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16</w:t>
            </w:r>
          </w:p>
        </w:tc>
        <w:tc>
          <w:tcPr>
            <w:tcW w:w="931" w:type="dxa"/>
            <w:tcBorders>
              <w:top w:val="nil"/>
              <w:left w:val="nil"/>
              <w:bottom w:val="single" w:color="auto" w:sz="4" w:space="0"/>
              <w:right w:val="single" w:color="auto" w:sz="4" w:space="0"/>
            </w:tcBorders>
            <w:shd w:val="clear" w:color="auto" w:fill="auto"/>
            <w:noWrap/>
            <w:vAlign w:val="center"/>
          </w:tcPr>
          <w:p w14:paraId="645FBC5A">
            <w:pPr>
              <w:widowControl/>
              <w:jc w:val="left"/>
              <w:rPr>
                <w:rFonts w:ascii="Times New Roman" w:hAnsi="Times New Roman" w:eastAsia="仿宋_GB2312" w:cs="Times New Roman"/>
                <w:kern w:val="0"/>
                <w:sz w:val="22"/>
              </w:rPr>
            </w:pPr>
          </w:p>
        </w:tc>
        <w:tc>
          <w:tcPr>
            <w:tcW w:w="3516" w:type="dxa"/>
            <w:tcBorders>
              <w:top w:val="nil"/>
              <w:left w:val="nil"/>
              <w:bottom w:val="single" w:color="auto" w:sz="4" w:space="0"/>
              <w:right w:val="single" w:color="auto" w:sz="4" w:space="0"/>
            </w:tcBorders>
            <w:shd w:val="clear" w:color="auto" w:fill="auto"/>
            <w:noWrap/>
            <w:vAlign w:val="center"/>
          </w:tcPr>
          <w:p w14:paraId="7D8A256A">
            <w:pPr>
              <w:widowControl/>
              <w:jc w:val="left"/>
              <w:textAlignment w:val="center"/>
              <w:rPr>
                <w:rFonts w:ascii="Times New Roman" w:hAnsi="Times New Roman" w:eastAsia="仿宋_GB2312" w:cs="Times New Roman"/>
                <w:color w:val="000000"/>
                <w:kern w:val="0"/>
                <w:sz w:val="22"/>
                <w:szCs w:val="22"/>
                <w:lang w:val="en-US" w:eastAsia="zh-CN" w:bidi="ar"/>
              </w:rPr>
            </w:pPr>
            <w:r>
              <w:rPr>
                <w:rFonts w:hint="eastAsia" w:ascii="Times New Roman" w:hAnsi="Times New Roman" w:eastAsia="仿宋_GB2312" w:cs="Times New Roman"/>
                <w:color w:val="000000"/>
                <w:kern w:val="0"/>
                <w:sz w:val="22"/>
                <w:lang w:bidi="ar"/>
              </w:rPr>
              <w:t>十六、金融支出</w:t>
            </w:r>
          </w:p>
        </w:tc>
        <w:tc>
          <w:tcPr>
            <w:tcW w:w="616" w:type="dxa"/>
            <w:tcBorders>
              <w:top w:val="nil"/>
              <w:left w:val="nil"/>
              <w:bottom w:val="single" w:color="auto" w:sz="4" w:space="0"/>
              <w:right w:val="single" w:color="auto" w:sz="4" w:space="0"/>
            </w:tcBorders>
            <w:shd w:val="clear" w:color="auto" w:fill="FFFFFF"/>
            <w:noWrap/>
            <w:vAlign w:val="center"/>
          </w:tcPr>
          <w:p w14:paraId="4795DAF8">
            <w:pPr>
              <w:widowControl/>
              <w:jc w:val="center"/>
              <w:textAlignment w:val="center"/>
              <w:rPr>
                <w:rFonts w:hint="default" w:ascii="Times New Roman" w:hAnsi="Times New Roman" w:eastAsia="仿宋_GB2312" w:cs="Times New Roman"/>
                <w:color w:val="000000"/>
                <w:kern w:val="0"/>
                <w:sz w:val="22"/>
                <w:szCs w:val="22"/>
                <w:lang w:val="en-US" w:eastAsia="zh-CN" w:bidi="ar"/>
              </w:rPr>
            </w:pPr>
            <w:r>
              <w:rPr>
                <w:rFonts w:hint="eastAsia" w:ascii="Times New Roman" w:hAnsi="Times New Roman" w:eastAsia="仿宋_GB2312" w:cs="Times New Roman"/>
                <w:color w:val="000000"/>
                <w:kern w:val="0"/>
                <w:sz w:val="22"/>
                <w:lang w:val="en-US" w:eastAsia="zh-CN" w:bidi="ar"/>
              </w:rPr>
              <w:t>48</w:t>
            </w:r>
          </w:p>
        </w:tc>
        <w:tc>
          <w:tcPr>
            <w:tcW w:w="1336" w:type="dxa"/>
            <w:tcBorders>
              <w:top w:val="nil"/>
              <w:left w:val="nil"/>
              <w:bottom w:val="single" w:color="auto" w:sz="4" w:space="0"/>
              <w:right w:val="single" w:color="auto" w:sz="4" w:space="0"/>
            </w:tcBorders>
            <w:shd w:val="clear" w:color="auto" w:fill="auto"/>
            <w:noWrap/>
            <w:vAlign w:val="center"/>
          </w:tcPr>
          <w:p w14:paraId="682FC057">
            <w:pPr>
              <w:widowControl/>
              <w:jc w:val="center"/>
              <w:rPr>
                <w:rFonts w:ascii="Times New Roman" w:hAnsi="Times New Roman" w:eastAsia="仿宋_GB2312" w:cs="Times New Roman"/>
                <w:kern w:val="0"/>
                <w:sz w:val="22"/>
              </w:rPr>
            </w:pPr>
          </w:p>
        </w:tc>
        <w:tc>
          <w:tcPr>
            <w:tcW w:w="1335" w:type="dxa"/>
            <w:tcBorders>
              <w:top w:val="nil"/>
              <w:left w:val="nil"/>
              <w:bottom w:val="single" w:color="auto" w:sz="4" w:space="0"/>
              <w:right w:val="single" w:color="auto" w:sz="4" w:space="0"/>
            </w:tcBorders>
            <w:shd w:val="clear" w:color="auto" w:fill="auto"/>
            <w:noWrap/>
            <w:vAlign w:val="center"/>
          </w:tcPr>
          <w:p w14:paraId="06495E15">
            <w:pPr>
              <w:widowControl/>
              <w:jc w:val="center"/>
              <w:rPr>
                <w:rFonts w:ascii="Times New Roman" w:hAnsi="Times New Roman" w:eastAsia="仿宋_GB2312" w:cs="Times New Roman"/>
                <w:kern w:val="0"/>
                <w:sz w:val="22"/>
              </w:rPr>
            </w:pPr>
          </w:p>
        </w:tc>
        <w:tc>
          <w:tcPr>
            <w:tcW w:w="1119" w:type="dxa"/>
            <w:tcBorders>
              <w:top w:val="nil"/>
              <w:left w:val="nil"/>
              <w:bottom w:val="single" w:color="auto" w:sz="4" w:space="0"/>
              <w:right w:val="single" w:color="auto" w:sz="4" w:space="0"/>
            </w:tcBorders>
            <w:shd w:val="clear" w:color="auto" w:fill="auto"/>
            <w:noWrap/>
            <w:vAlign w:val="center"/>
          </w:tcPr>
          <w:p w14:paraId="5C8DF41F">
            <w:pPr>
              <w:widowControl/>
              <w:jc w:val="center"/>
              <w:rPr>
                <w:rFonts w:ascii="Times New Roman" w:hAnsi="Times New Roman" w:eastAsia="仿宋_GB2312" w:cs="Times New Roman"/>
                <w:kern w:val="0"/>
                <w:sz w:val="22"/>
              </w:rPr>
            </w:pPr>
          </w:p>
        </w:tc>
        <w:tc>
          <w:tcPr>
            <w:tcW w:w="1235" w:type="dxa"/>
            <w:tcBorders>
              <w:top w:val="nil"/>
              <w:left w:val="nil"/>
              <w:bottom w:val="single" w:color="auto" w:sz="4" w:space="0"/>
              <w:right w:val="single" w:color="auto" w:sz="4" w:space="0"/>
            </w:tcBorders>
            <w:shd w:val="clear" w:color="auto" w:fill="auto"/>
            <w:noWrap/>
            <w:vAlign w:val="center"/>
          </w:tcPr>
          <w:p w14:paraId="0E775ED7">
            <w:pPr>
              <w:widowControl/>
              <w:jc w:val="center"/>
              <w:rPr>
                <w:rFonts w:ascii="Times New Roman" w:hAnsi="Times New Roman" w:eastAsia="仿宋_GB2312" w:cs="Times New Roman"/>
                <w:kern w:val="0"/>
                <w:sz w:val="22"/>
              </w:rPr>
            </w:pPr>
          </w:p>
        </w:tc>
      </w:tr>
      <w:tr w14:paraId="516A62E2">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noWrap/>
            <w:vAlign w:val="center"/>
          </w:tcPr>
          <w:p w14:paraId="37F8E092">
            <w:pPr>
              <w:widowControl/>
              <w:jc w:val="left"/>
              <w:rPr>
                <w:rFonts w:ascii="Times New Roman" w:hAnsi="Times New Roman" w:eastAsia="仿宋_GB2312" w:cs="Times New Roman"/>
                <w:kern w:val="0"/>
                <w:sz w:val="22"/>
              </w:rPr>
            </w:pPr>
          </w:p>
        </w:tc>
        <w:tc>
          <w:tcPr>
            <w:tcW w:w="616" w:type="dxa"/>
            <w:tcBorders>
              <w:top w:val="nil"/>
              <w:left w:val="nil"/>
              <w:bottom w:val="single" w:color="auto" w:sz="4" w:space="0"/>
              <w:right w:val="single" w:color="auto" w:sz="4" w:space="0"/>
            </w:tcBorders>
            <w:shd w:val="clear" w:color="auto" w:fill="auto"/>
            <w:noWrap/>
            <w:vAlign w:val="center"/>
          </w:tcPr>
          <w:p w14:paraId="54E26370">
            <w:pPr>
              <w:widowControl/>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17</w:t>
            </w:r>
          </w:p>
        </w:tc>
        <w:tc>
          <w:tcPr>
            <w:tcW w:w="931" w:type="dxa"/>
            <w:tcBorders>
              <w:top w:val="nil"/>
              <w:left w:val="nil"/>
              <w:bottom w:val="single" w:color="auto" w:sz="4" w:space="0"/>
              <w:right w:val="single" w:color="auto" w:sz="4" w:space="0"/>
            </w:tcBorders>
            <w:shd w:val="clear" w:color="auto" w:fill="auto"/>
            <w:noWrap/>
            <w:vAlign w:val="center"/>
          </w:tcPr>
          <w:p w14:paraId="5FF1300C">
            <w:pPr>
              <w:widowControl/>
              <w:jc w:val="left"/>
              <w:rPr>
                <w:rFonts w:ascii="Times New Roman" w:hAnsi="Times New Roman" w:eastAsia="仿宋_GB2312" w:cs="Times New Roman"/>
                <w:kern w:val="0"/>
                <w:sz w:val="22"/>
              </w:rPr>
            </w:pPr>
          </w:p>
        </w:tc>
        <w:tc>
          <w:tcPr>
            <w:tcW w:w="3516" w:type="dxa"/>
            <w:tcBorders>
              <w:top w:val="nil"/>
              <w:left w:val="nil"/>
              <w:bottom w:val="single" w:color="auto" w:sz="4" w:space="0"/>
              <w:right w:val="single" w:color="auto" w:sz="4" w:space="0"/>
            </w:tcBorders>
            <w:shd w:val="clear" w:color="auto" w:fill="auto"/>
            <w:noWrap/>
            <w:vAlign w:val="center"/>
          </w:tcPr>
          <w:p w14:paraId="144DFD7E">
            <w:pPr>
              <w:widowControl/>
              <w:jc w:val="left"/>
              <w:textAlignment w:val="center"/>
              <w:rPr>
                <w:rFonts w:ascii="Times New Roman" w:hAnsi="Times New Roman" w:eastAsia="仿宋_GB2312" w:cs="Times New Roman"/>
                <w:color w:val="000000"/>
                <w:kern w:val="0"/>
                <w:sz w:val="22"/>
                <w:szCs w:val="22"/>
                <w:lang w:val="en-US" w:eastAsia="zh-CN" w:bidi="ar"/>
              </w:rPr>
            </w:pPr>
            <w:r>
              <w:rPr>
                <w:rFonts w:hint="eastAsia" w:ascii="Times New Roman" w:hAnsi="Times New Roman" w:eastAsia="仿宋_GB2312" w:cs="Times New Roman"/>
                <w:color w:val="000000"/>
                <w:kern w:val="0"/>
                <w:sz w:val="22"/>
                <w:lang w:bidi="ar"/>
              </w:rPr>
              <w:t>十七、援助其他地区支出</w:t>
            </w:r>
          </w:p>
        </w:tc>
        <w:tc>
          <w:tcPr>
            <w:tcW w:w="616" w:type="dxa"/>
            <w:tcBorders>
              <w:top w:val="nil"/>
              <w:left w:val="nil"/>
              <w:bottom w:val="single" w:color="auto" w:sz="4" w:space="0"/>
              <w:right w:val="single" w:color="auto" w:sz="4" w:space="0"/>
            </w:tcBorders>
            <w:shd w:val="clear" w:color="auto" w:fill="FFFFFF"/>
            <w:noWrap/>
            <w:vAlign w:val="center"/>
          </w:tcPr>
          <w:p w14:paraId="4A5B203B">
            <w:pPr>
              <w:widowControl/>
              <w:jc w:val="center"/>
              <w:textAlignment w:val="center"/>
              <w:rPr>
                <w:rFonts w:hint="default" w:ascii="Times New Roman" w:hAnsi="Times New Roman" w:eastAsia="仿宋_GB2312" w:cs="Times New Roman"/>
                <w:color w:val="000000"/>
                <w:kern w:val="0"/>
                <w:sz w:val="22"/>
                <w:szCs w:val="22"/>
                <w:lang w:val="en-US" w:eastAsia="zh-CN" w:bidi="ar"/>
              </w:rPr>
            </w:pPr>
            <w:r>
              <w:rPr>
                <w:rFonts w:hint="eastAsia" w:ascii="Times New Roman" w:hAnsi="Times New Roman" w:eastAsia="仿宋_GB2312" w:cs="Times New Roman"/>
                <w:color w:val="000000"/>
                <w:kern w:val="0"/>
                <w:sz w:val="22"/>
                <w:lang w:val="en-US" w:eastAsia="zh-CN" w:bidi="ar"/>
              </w:rPr>
              <w:t>49</w:t>
            </w:r>
          </w:p>
        </w:tc>
        <w:tc>
          <w:tcPr>
            <w:tcW w:w="1336" w:type="dxa"/>
            <w:tcBorders>
              <w:top w:val="nil"/>
              <w:left w:val="nil"/>
              <w:bottom w:val="single" w:color="auto" w:sz="4" w:space="0"/>
              <w:right w:val="single" w:color="auto" w:sz="4" w:space="0"/>
            </w:tcBorders>
            <w:shd w:val="clear" w:color="auto" w:fill="auto"/>
            <w:noWrap/>
            <w:vAlign w:val="center"/>
          </w:tcPr>
          <w:p w14:paraId="2CD040F2">
            <w:pPr>
              <w:widowControl/>
              <w:jc w:val="center"/>
              <w:rPr>
                <w:rFonts w:ascii="Times New Roman" w:hAnsi="Times New Roman" w:eastAsia="仿宋_GB2312" w:cs="Times New Roman"/>
                <w:kern w:val="0"/>
                <w:sz w:val="22"/>
              </w:rPr>
            </w:pPr>
          </w:p>
        </w:tc>
        <w:tc>
          <w:tcPr>
            <w:tcW w:w="1335" w:type="dxa"/>
            <w:tcBorders>
              <w:top w:val="nil"/>
              <w:left w:val="nil"/>
              <w:bottom w:val="single" w:color="auto" w:sz="4" w:space="0"/>
              <w:right w:val="single" w:color="auto" w:sz="4" w:space="0"/>
            </w:tcBorders>
            <w:shd w:val="clear" w:color="auto" w:fill="auto"/>
            <w:noWrap/>
            <w:vAlign w:val="center"/>
          </w:tcPr>
          <w:p w14:paraId="5D90FBA8">
            <w:pPr>
              <w:widowControl/>
              <w:jc w:val="center"/>
              <w:rPr>
                <w:rFonts w:ascii="Times New Roman" w:hAnsi="Times New Roman" w:eastAsia="仿宋_GB2312" w:cs="Times New Roman"/>
                <w:kern w:val="0"/>
                <w:sz w:val="22"/>
              </w:rPr>
            </w:pPr>
          </w:p>
        </w:tc>
        <w:tc>
          <w:tcPr>
            <w:tcW w:w="1119" w:type="dxa"/>
            <w:tcBorders>
              <w:top w:val="nil"/>
              <w:left w:val="nil"/>
              <w:bottom w:val="single" w:color="auto" w:sz="4" w:space="0"/>
              <w:right w:val="single" w:color="auto" w:sz="4" w:space="0"/>
            </w:tcBorders>
            <w:shd w:val="clear" w:color="auto" w:fill="auto"/>
            <w:noWrap/>
            <w:vAlign w:val="center"/>
          </w:tcPr>
          <w:p w14:paraId="58D2FC35">
            <w:pPr>
              <w:widowControl/>
              <w:jc w:val="center"/>
              <w:rPr>
                <w:rFonts w:ascii="Times New Roman" w:hAnsi="Times New Roman" w:eastAsia="仿宋_GB2312" w:cs="Times New Roman"/>
                <w:kern w:val="0"/>
                <w:sz w:val="22"/>
              </w:rPr>
            </w:pPr>
          </w:p>
        </w:tc>
        <w:tc>
          <w:tcPr>
            <w:tcW w:w="1235" w:type="dxa"/>
            <w:tcBorders>
              <w:top w:val="nil"/>
              <w:left w:val="nil"/>
              <w:bottom w:val="single" w:color="auto" w:sz="4" w:space="0"/>
              <w:right w:val="single" w:color="auto" w:sz="4" w:space="0"/>
            </w:tcBorders>
            <w:shd w:val="clear" w:color="auto" w:fill="auto"/>
            <w:noWrap/>
            <w:vAlign w:val="center"/>
          </w:tcPr>
          <w:p w14:paraId="032AE828">
            <w:pPr>
              <w:widowControl/>
              <w:jc w:val="center"/>
              <w:rPr>
                <w:rFonts w:ascii="Times New Roman" w:hAnsi="Times New Roman" w:eastAsia="仿宋_GB2312" w:cs="Times New Roman"/>
                <w:kern w:val="0"/>
                <w:sz w:val="22"/>
              </w:rPr>
            </w:pPr>
          </w:p>
        </w:tc>
      </w:tr>
      <w:tr w14:paraId="2445F902">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noWrap/>
            <w:vAlign w:val="center"/>
          </w:tcPr>
          <w:p w14:paraId="327AF553">
            <w:pPr>
              <w:widowControl/>
              <w:jc w:val="left"/>
              <w:rPr>
                <w:rFonts w:ascii="Times New Roman" w:hAnsi="Times New Roman" w:eastAsia="仿宋_GB2312" w:cs="Times New Roman"/>
                <w:kern w:val="0"/>
                <w:sz w:val="22"/>
              </w:rPr>
            </w:pPr>
          </w:p>
        </w:tc>
        <w:tc>
          <w:tcPr>
            <w:tcW w:w="616" w:type="dxa"/>
            <w:tcBorders>
              <w:top w:val="nil"/>
              <w:left w:val="nil"/>
              <w:bottom w:val="single" w:color="auto" w:sz="4" w:space="0"/>
              <w:right w:val="single" w:color="auto" w:sz="4" w:space="0"/>
            </w:tcBorders>
            <w:shd w:val="clear" w:color="auto" w:fill="auto"/>
            <w:noWrap/>
            <w:vAlign w:val="center"/>
          </w:tcPr>
          <w:p w14:paraId="6535CE5F">
            <w:pPr>
              <w:widowControl/>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18</w:t>
            </w:r>
          </w:p>
        </w:tc>
        <w:tc>
          <w:tcPr>
            <w:tcW w:w="931" w:type="dxa"/>
            <w:tcBorders>
              <w:top w:val="nil"/>
              <w:left w:val="nil"/>
              <w:bottom w:val="single" w:color="auto" w:sz="4" w:space="0"/>
              <w:right w:val="single" w:color="auto" w:sz="4" w:space="0"/>
            </w:tcBorders>
            <w:shd w:val="clear" w:color="auto" w:fill="auto"/>
            <w:noWrap/>
            <w:vAlign w:val="center"/>
          </w:tcPr>
          <w:p w14:paraId="127A3878">
            <w:pPr>
              <w:widowControl/>
              <w:jc w:val="left"/>
              <w:rPr>
                <w:rFonts w:ascii="Times New Roman" w:hAnsi="Times New Roman" w:eastAsia="仿宋_GB2312" w:cs="Times New Roman"/>
                <w:kern w:val="0"/>
                <w:sz w:val="22"/>
              </w:rPr>
            </w:pPr>
          </w:p>
        </w:tc>
        <w:tc>
          <w:tcPr>
            <w:tcW w:w="3516" w:type="dxa"/>
            <w:tcBorders>
              <w:top w:val="nil"/>
              <w:left w:val="nil"/>
              <w:bottom w:val="single" w:color="auto" w:sz="4" w:space="0"/>
              <w:right w:val="single" w:color="auto" w:sz="4" w:space="0"/>
            </w:tcBorders>
            <w:shd w:val="clear" w:color="auto" w:fill="auto"/>
            <w:noWrap/>
            <w:vAlign w:val="center"/>
          </w:tcPr>
          <w:p w14:paraId="21C0CC98">
            <w:pPr>
              <w:widowControl/>
              <w:jc w:val="left"/>
              <w:textAlignment w:val="center"/>
              <w:rPr>
                <w:rFonts w:ascii="Times New Roman" w:hAnsi="Times New Roman" w:eastAsia="仿宋_GB2312" w:cs="Times New Roman"/>
                <w:color w:val="000000"/>
                <w:kern w:val="0"/>
                <w:sz w:val="22"/>
                <w:szCs w:val="22"/>
                <w:lang w:val="en-US" w:eastAsia="zh-CN" w:bidi="ar"/>
              </w:rPr>
            </w:pPr>
            <w:r>
              <w:rPr>
                <w:rFonts w:hint="eastAsia" w:ascii="Times New Roman" w:hAnsi="Times New Roman" w:eastAsia="仿宋_GB2312" w:cs="Times New Roman"/>
                <w:color w:val="000000"/>
                <w:kern w:val="0"/>
                <w:sz w:val="22"/>
                <w:lang w:bidi="ar"/>
              </w:rPr>
              <w:t>十八、自然资源海洋气象等支出</w:t>
            </w:r>
          </w:p>
        </w:tc>
        <w:tc>
          <w:tcPr>
            <w:tcW w:w="616" w:type="dxa"/>
            <w:tcBorders>
              <w:top w:val="nil"/>
              <w:left w:val="nil"/>
              <w:bottom w:val="single" w:color="auto" w:sz="4" w:space="0"/>
              <w:right w:val="single" w:color="auto" w:sz="4" w:space="0"/>
            </w:tcBorders>
            <w:shd w:val="clear" w:color="auto" w:fill="FFFFFF"/>
            <w:noWrap/>
            <w:vAlign w:val="center"/>
          </w:tcPr>
          <w:p w14:paraId="590E672F">
            <w:pPr>
              <w:widowControl/>
              <w:jc w:val="center"/>
              <w:textAlignment w:val="center"/>
              <w:rPr>
                <w:rFonts w:hint="default" w:ascii="Times New Roman" w:hAnsi="Times New Roman" w:eastAsia="仿宋_GB2312" w:cs="Times New Roman"/>
                <w:color w:val="000000"/>
                <w:kern w:val="0"/>
                <w:sz w:val="22"/>
                <w:szCs w:val="22"/>
                <w:lang w:val="en-US" w:eastAsia="zh-CN" w:bidi="ar"/>
              </w:rPr>
            </w:pPr>
            <w:r>
              <w:rPr>
                <w:rFonts w:hint="eastAsia" w:ascii="Times New Roman" w:hAnsi="Times New Roman" w:eastAsia="仿宋_GB2312" w:cs="Times New Roman"/>
                <w:color w:val="000000"/>
                <w:kern w:val="0"/>
                <w:sz w:val="22"/>
                <w:lang w:val="en-US" w:eastAsia="zh-CN" w:bidi="ar"/>
              </w:rPr>
              <w:t>50</w:t>
            </w:r>
          </w:p>
        </w:tc>
        <w:tc>
          <w:tcPr>
            <w:tcW w:w="1336" w:type="dxa"/>
            <w:tcBorders>
              <w:top w:val="nil"/>
              <w:left w:val="nil"/>
              <w:bottom w:val="single" w:color="auto" w:sz="4" w:space="0"/>
              <w:right w:val="single" w:color="auto" w:sz="4" w:space="0"/>
            </w:tcBorders>
            <w:shd w:val="clear" w:color="auto" w:fill="auto"/>
            <w:noWrap/>
            <w:vAlign w:val="center"/>
          </w:tcPr>
          <w:p w14:paraId="7B44886F">
            <w:pPr>
              <w:widowControl/>
              <w:jc w:val="center"/>
              <w:rPr>
                <w:rFonts w:ascii="Times New Roman" w:hAnsi="Times New Roman" w:eastAsia="仿宋_GB2312" w:cs="Times New Roman"/>
                <w:kern w:val="0"/>
                <w:sz w:val="22"/>
              </w:rPr>
            </w:pPr>
          </w:p>
        </w:tc>
        <w:tc>
          <w:tcPr>
            <w:tcW w:w="1335" w:type="dxa"/>
            <w:tcBorders>
              <w:top w:val="nil"/>
              <w:left w:val="nil"/>
              <w:bottom w:val="single" w:color="auto" w:sz="4" w:space="0"/>
              <w:right w:val="single" w:color="auto" w:sz="4" w:space="0"/>
            </w:tcBorders>
            <w:shd w:val="clear" w:color="auto" w:fill="auto"/>
            <w:noWrap/>
            <w:vAlign w:val="center"/>
          </w:tcPr>
          <w:p w14:paraId="7DD2E453">
            <w:pPr>
              <w:widowControl/>
              <w:jc w:val="center"/>
              <w:rPr>
                <w:rFonts w:ascii="Times New Roman" w:hAnsi="Times New Roman" w:eastAsia="仿宋_GB2312" w:cs="Times New Roman"/>
                <w:kern w:val="0"/>
                <w:sz w:val="22"/>
              </w:rPr>
            </w:pPr>
          </w:p>
        </w:tc>
        <w:tc>
          <w:tcPr>
            <w:tcW w:w="1119" w:type="dxa"/>
            <w:tcBorders>
              <w:top w:val="nil"/>
              <w:left w:val="nil"/>
              <w:bottom w:val="single" w:color="auto" w:sz="4" w:space="0"/>
              <w:right w:val="single" w:color="auto" w:sz="4" w:space="0"/>
            </w:tcBorders>
            <w:shd w:val="clear" w:color="auto" w:fill="auto"/>
            <w:noWrap/>
            <w:vAlign w:val="center"/>
          </w:tcPr>
          <w:p w14:paraId="406F3C4A">
            <w:pPr>
              <w:widowControl/>
              <w:jc w:val="center"/>
              <w:rPr>
                <w:rFonts w:ascii="Times New Roman" w:hAnsi="Times New Roman" w:eastAsia="仿宋_GB2312" w:cs="Times New Roman"/>
                <w:kern w:val="0"/>
                <w:sz w:val="22"/>
              </w:rPr>
            </w:pPr>
          </w:p>
        </w:tc>
        <w:tc>
          <w:tcPr>
            <w:tcW w:w="1235" w:type="dxa"/>
            <w:tcBorders>
              <w:top w:val="nil"/>
              <w:left w:val="nil"/>
              <w:bottom w:val="single" w:color="auto" w:sz="4" w:space="0"/>
              <w:right w:val="single" w:color="auto" w:sz="4" w:space="0"/>
            </w:tcBorders>
            <w:shd w:val="clear" w:color="auto" w:fill="auto"/>
            <w:noWrap/>
            <w:vAlign w:val="center"/>
          </w:tcPr>
          <w:p w14:paraId="50E88880">
            <w:pPr>
              <w:widowControl/>
              <w:jc w:val="center"/>
              <w:rPr>
                <w:rFonts w:ascii="Times New Roman" w:hAnsi="Times New Roman" w:eastAsia="仿宋_GB2312" w:cs="Times New Roman"/>
                <w:kern w:val="0"/>
                <w:sz w:val="22"/>
              </w:rPr>
            </w:pPr>
          </w:p>
        </w:tc>
      </w:tr>
      <w:tr w14:paraId="228A79C2">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noWrap/>
            <w:vAlign w:val="center"/>
          </w:tcPr>
          <w:p w14:paraId="56C7CC88">
            <w:pPr>
              <w:widowControl/>
              <w:jc w:val="left"/>
              <w:rPr>
                <w:rFonts w:ascii="Times New Roman" w:hAnsi="Times New Roman" w:eastAsia="仿宋_GB2312" w:cs="Times New Roman"/>
                <w:kern w:val="0"/>
                <w:sz w:val="22"/>
              </w:rPr>
            </w:pPr>
          </w:p>
        </w:tc>
        <w:tc>
          <w:tcPr>
            <w:tcW w:w="616" w:type="dxa"/>
            <w:tcBorders>
              <w:top w:val="nil"/>
              <w:left w:val="nil"/>
              <w:bottom w:val="single" w:color="auto" w:sz="4" w:space="0"/>
              <w:right w:val="single" w:color="auto" w:sz="4" w:space="0"/>
            </w:tcBorders>
            <w:shd w:val="clear" w:color="auto" w:fill="auto"/>
            <w:noWrap/>
            <w:vAlign w:val="center"/>
          </w:tcPr>
          <w:p w14:paraId="1A0672B6">
            <w:pPr>
              <w:widowControl/>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19</w:t>
            </w:r>
          </w:p>
        </w:tc>
        <w:tc>
          <w:tcPr>
            <w:tcW w:w="931" w:type="dxa"/>
            <w:tcBorders>
              <w:top w:val="nil"/>
              <w:left w:val="nil"/>
              <w:bottom w:val="single" w:color="auto" w:sz="4" w:space="0"/>
              <w:right w:val="single" w:color="auto" w:sz="4" w:space="0"/>
            </w:tcBorders>
            <w:shd w:val="clear" w:color="auto" w:fill="auto"/>
            <w:noWrap/>
            <w:vAlign w:val="center"/>
          </w:tcPr>
          <w:p w14:paraId="2824BB3C">
            <w:pPr>
              <w:widowControl/>
              <w:jc w:val="left"/>
              <w:rPr>
                <w:rFonts w:ascii="Times New Roman" w:hAnsi="Times New Roman" w:eastAsia="仿宋_GB2312" w:cs="Times New Roman"/>
                <w:kern w:val="0"/>
                <w:sz w:val="22"/>
              </w:rPr>
            </w:pPr>
          </w:p>
        </w:tc>
        <w:tc>
          <w:tcPr>
            <w:tcW w:w="3516" w:type="dxa"/>
            <w:tcBorders>
              <w:top w:val="nil"/>
              <w:left w:val="nil"/>
              <w:bottom w:val="single" w:color="auto" w:sz="4" w:space="0"/>
              <w:right w:val="single" w:color="auto" w:sz="4" w:space="0"/>
            </w:tcBorders>
            <w:shd w:val="clear" w:color="auto" w:fill="auto"/>
            <w:noWrap/>
            <w:vAlign w:val="center"/>
          </w:tcPr>
          <w:p w14:paraId="2B27781E">
            <w:pPr>
              <w:widowControl/>
              <w:jc w:val="left"/>
              <w:textAlignment w:val="center"/>
              <w:rPr>
                <w:rFonts w:ascii="Times New Roman" w:hAnsi="Times New Roman" w:eastAsia="仿宋_GB2312" w:cs="Times New Roman"/>
                <w:color w:val="000000"/>
                <w:kern w:val="0"/>
                <w:sz w:val="22"/>
                <w:szCs w:val="22"/>
                <w:lang w:val="en-US" w:eastAsia="zh-CN" w:bidi="ar"/>
              </w:rPr>
            </w:pPr>
            <w:r>
              <w:rPr>
                <w:rFonts w:hint="eastAsia" w:ascii="Times New Roman" w:hAnsi="Times New Roman" w:eastAsia="仿宋_GB2312" w:cs="Times New Roman"/>
                <w:color w:val="000000"/>
                <w:kern w:val="0"/>
                <w:sz w:val="22"/>
                <w:lang w:bidi="ar"/>
              </w:rPr>
              <w:t>十九、住房保障支出</w:t>
            </w:r>
          </w:p>
        </w:tc>
        <w:tc>
          <w:tcPr>
            <w:tcW w:w="616" w:type="dxa"/>
            <w:tcBorders>
              <w:top w:val="nil"/>
              <w:left w:val="nil"/>
              <w:bottom w:val="single" w:color="auto" w:sz="4" w:space="0"/>
              <w:right w:val="single" w:color="auto" w:sz="4" w:space="0"/>
            </w:tcBorders>
            <w:shd w:val="clear" w:color="auto" w:fill="FFFFFF"/>
            <w:noWrap/>
            <w:vAlign w:val="center"/>
          </w:tcPr>
          <w:p w14:paraId="42BFDEB3">
            <w:pPr>
              <w:widowControl/>
              <w:jc w:val="center"/>
              <w:textAlignment w:val="center"/>
              <w:rPr>
                <w:rFonts w:hint="default" w:ascii="Times New Roman" w:hAnsi="Times New Roman" w:eastAsia="仿宋_GB2312" w:cs="Times New Roman"/>
                <w:color w:val="000000"/>
                <w:kern w:val="0"/>
                <w:sz w:val="22"/>
                <w:szCs w:val="22"/>
                <w:lang w:val="en-US" w:eastAsia="zh-CN" w:bidi="ar"/>
              </w:rPr>
            </w:pPr>
            <w:r>
              <w:rPr>
                <w:rFonts w:hint="eastAsia" w:ascii="Times New Roman" w:hAnsi="Times New Roman" w:eastAsia="仿宋_GB2312" w:cs="Times New Roman"/>
                <w:color w:val="000000"/>
                <w:kern w:val="0"/>
                <w:sz w:val="22"/>
                <w:lang w:val="en-US" w:eastAsia="zh-CN" w:bidi="ar"/>
              </w:rPr>
              <w:t>51</w:t>
            </w:r>
          </w:p>
        </w:tc>
        <w:tc>
          <w:tcPr>
            <w:tcW w:w="1336" w:type="dxa"/>
            <w:tcBorders>
              <w:top w:val="nil"/>
              <w:left w:val="nil"/>
              <w:bottom w:val="single" w:color="auto" w:sz="4" w:space="0"/>
              <w:right w:val="single" w:color="auto" w:sz="4" w:space="0"/>
            </w:tcBorders>
            <w:shd w:val="clear" w:color="auto" w:fill="auto"/>
            <w:noWrap/>
            <w:vAlign w:val="center"/>
          </w:tcPr>
          <w:p w14:paraId="48A1442C">
            <w:pPr>
              <w:widowControl/>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4.90</w:t>
            </w:r>
          </w:p>
        </w:tc>
        <w:tc>
          <w:tcPr>
            <w:tcW w:w="1335" w:type="dxa"/>
            <w:tcBorders>
              <w:top w:val="nil"/>
              <w:left w:val="nil"/>
              <w:bottom w:val="single" w:color="auto" w:sz="4" w:space="0"/>
              <w:right w:val="single" w:color="auto" w:sz="4" w:space="0"/>
            </w:tcBorders>
            <w:shd w:val="clear" w:color="auto" w:fill="auto"/>
            <w:noWrap/>
            <w:vAlign w:val="center"/>
          </w:tcPr>
          <w:p w14:paraId="4AB95DD7">
            <w:pPr>
              <w:widowControl/>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4.90</w:t>
            </w:r>
          </w:p>
        </w:tc>
        <w:tc>
          <w:tcPr>
            <w:tcW w:w="1119" w:type="dxa"/>
            <w:tcBorders>
              <w:top w:val="nil"/>
              <w:left w:val="nil"/>
              <w:bottom w:val="single" w:color="auto" w:sz="4" w:space="0"/>
              <w:right w:val="single" w:color="auto" w:sz="4" w:space="0"/>
            </w:tcBorders>
            <w:shd w:val="clear" w:color="auto" w:fill="auto"/>
            <w:noWrap/>
            <w:vAlign w:val="center"/>
          </w:tcPr>
          <w:p w14:paraId="3B7918DC">
            <w:pPr>
              <w:widowControl/>
              <w:jc w:val="center"/>
              <w:rPr>
                <w:rFonts w:ascii="Times New Roman" w:hAnsi="Times New Roman" w:eastAsia="仿宋_GB2312" w:cs="Times New Roman"/>
                <w:kern w:val="0"/>
                <w:sz w:val="22"/>
              </w:rPr>
            </w:pPr>
          </w:p>
        </w:tc>
        <w:tc>
          <w:tcPr>
            <w:tcW w:w="1235" w:type="dxa"/>
            <w:tcBorders>
              <w:top w:val="nil"/>
              <w:left w:val="nil"/>
              <w:bottom w:val="single" w:color="auto" w:sz="4" w:space="0"/>
              <w:right w:val="single" w:color="auto" w:sz="4" w:space="0"/>
            </w:tcBorders>
            <w:shd w:val="clear" w:color="auto" w:fill="auto"/>
            <w:noWrap/>
            <w:vAlign w:val="center"/>
          </w:tcPr>
          <w:p w14:paraId="23859DB3">
            <w:pPr>
              <w:widowControl/>
              <w:jc w:val="center"/>
              <w:rPr>
                <w:rFonts w:ascii="Times New Roman" w:hAnsi="Times New Roman" w:eastAsia="仿宋_GB2312" w:cs="Times New Roman"/>
                <w:kern w:val="0"/>
                <w:sz w:val="22"/>
              </w:rPr>
            </w:pPr>
          </w:p>
        </w:tc>
      </w:tr>
      <w:tr w14:paraId="5B6ABA04">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noWrap/>
            <w:vAlign w:val="center"/>
          </w:tcPr>
          <w:p w14:paraId="2B2F9BE0">
            <w:pPr>
              <w:widowControl/>
              <w:jc w:val="left"/>
              <w:rPr>
                <w:rFonts w:ascii="Times New Roman" w:hAnsi="Times New Roman" w:eastAsia="仿宋_GB2312" w:cs="Times New Roman"/>
                <w:kern w:val="0"/>
                <w:sz w:val="22"/>
              </w:rPr>
            </w:pPr>
          </w:p>
        </w:tc>
        <w:tc>
          <w:tcPr>
            <w:tcW w:w="616" w:type="dxa"/>
            <w:tcBorders>
              <w:top w:val="nil"/>
              <w:left w:val="nil"/>
              <w:bottom w:val="single" w:color="auto" w:sz="4" w:space="0"/>
              <w:right w:val="single" w:color="auto" w:sz="4" w:space="0"/>
            </w:tcBorders>
            <w:shd w:val="clear" w:color="auto" w:fill="auto"/>
            <w:noWrap/>
            <w:vAlign w:val="center"/>
          </w:tcPr>
          <w:p w14:paraId="59F58FE2">
            <w:pPr>
              <w:widowControl/>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20</w:t>
            </w:r>
          </w:p>
        </w:tc>
        <w:tc>
          <w:tcPr>
            <w:tcW w:w="931" w:type="dxa"/>
            <w:tcBorders>
              <w:top w:val="nil"/>
              <w:left w:val="nil"/>
              <w:bottom w:val="single" w:color="auto" w:sz="4" w:space="0"/>
              <w:right w:val="single" w:color="auto" w:sz="4" w:space="0"/>
            </w:tcBorders>
            <w:shd w:val="clear" w:color="auto" w:fill="auto"/>
            <w:noWrap/>
            <w:vAlign w:val="center"/>
          </w:tcPr>
          <w:p w14:paraId="7BF406E4">
            <w:pPr>
              <w:widowControl/>
              <w:jc w:val="left"/>
              <w:rPr>
                <w:rFonts w:ascii="Times New Roman" w:hAnsi="Times New Roman" w:eastAsia="仿宋_GB2312" w:cs="Times New Roman"/>
                <w:kern w:val="0"/>
                <w:sz w:val="22"/>
              </w:rPr>
            </w:pPr>
          </w:p>
        </w:tc>
        <w:tc>
          <w:tcPr>
            <w:tcW w:w="3516" w:type="dxa"/>
            <w:tcBorders>
              <w:top w:val="nil"/>
              <w:left w:val="nil"/>
              <w:bottom w:val="single" w:color="auto" w:sz="4" w:space="0"/>
              <w:right w:val="single" w:color="auto" w:sz="4" w:space="0"/>
            </w:tcBorders>
            <w:shd w:val="clear" w:color="auto" w:fill="auto"/>
            <w:noWrap/>
            <w:vAlign w:val="center"/>
          </w:tcPr>
          <w:p w14:paraId="47DAD9A4">
            <w:pPr>
              <w:widowControl/>
              <w:jc w:val="left"/>
              <w:textAlignment w:val="center"/>
              <w:rPr>
                <w:rFonts w:ascii="Times New Roman" w:hAnsi="Times New Roman" w:eastAsia="仿宋_GB2312" w:cs="Times New Roman"/>
                <w:color w:val="000000"/>
                <w:kern w:val="0"/>
                <w:sz w:val="22"/>
                <w:szCs w:val="22"/>
                <w:lang w:val="en-US" w:eastAsia="zh-CN" w:bidi="ar"/>
              </w:rPr>
            </w:pPr>
            <w:r>
              <w:rPr>
                <w:rFonts w:hint="eastAsia" w:ascii="Times New Roman" w:hAnsi="Times New Roman" w:eastAsia="仿宋_GB2312" w:cs="Times New Roman"/>
                <w:color w:val="000000"/>
                <w:kern w:val="0"/>
                <w:sz w:val="22"/>
                <w:lang w:bidi="ar"/>
              </w:rPr>
              <w:t>二十、粮油物资储备支出</w:t>
            </w:r>
          </w:p>
        </w:tc>
        <w:tc>
          <w:tcPr>
            <w:tcW w:w="616" w:type="dxa"/>
            <w:tcBorders>
              <w:top w:val="nil"/>
              <w:left w:val="nil"/>
              <w:bottom w:val="single" w:color="auto" w:sz="4" w:space="0"/>
              <w:right w:val="single" w:color="auto" w:sz="4" w:space="0"/>
            </w:tcBorders>
            <w:shd w:val="clear" w:color="auto" w:fill="FFFFFF"/>
            <w:noWrap/>
            <w:vAlign w:val="center"/>
          </w:tcPr>
          <w:p w14:paraId="57591223">
            <w:pPr>
              <w:widowControl/>
              <w:jc w:val="center"/>
              <w:textAlignment w:val="center"/>
              <w:rPr>
                <w:rFonts w:hint="default" w:ascii="Times New Roman" w:hAnsi="Times New Roman" w:eastAsia="仿宋_GB2312" w:cs="Times New Roman"/>
                <w:color w:val="000000"/>
                <w:kern w:val="0"/>
                <w:sz w:val="22"/>
                <w:szCs w:val="22"/>
                <w:lang w:val="en-US" w:eastAsia="zh-CN" w:bidi="ar"/>
              </w:rPr>
            </w:pPr>
            <w:r>
              <w:rPr>
                <w:rFonts w:hint="eastAsia" w:ascii="Times New Roman" w:hAnsi="Times New Roman" w:eastAsia="仿宋_GB2312" w:cs="Times New Roman"/>
                <w:color w:val="000000"/>
                <w:kern w:val="0"/>
                <w:sz w:val="22"/>
                <w:lang w:val="en-US" w:eastAsia="zh-CN" w:bidi="ar"/>
              </w:rPr>
              <w:t>52</w:t>
            </w:r>
          </w:p>
        </w:tc>
        <w:tc>
          <w:tcPr>
            <w:tcW w:w="1336" w:type="dxa"/>
            <w:tcBorders>
              <w:top w:val="nil"/>
              <w:left w:val="nil"/>
              <w:bottom w:val="single" w:color="auto" w:sz="4" w:space="0"/>
              <w:right w:val="single" w:color="auto" w:sz="4" w:space="0"/>
            </w:tcBorders>
            <w:shd w:val="clear" w:color="auto" w:fill="auto"/>
            <w:noWrap/>
            <w:vAlign w:val="center"/>
          </w:tcPr>
          <w:p w14:paraId="51360ACC">
            <w:pPr>
              <w:widowControl/>
              <w:jc w:val="center"/>
              <w:rPr>
                <w:rFonts w:ascii="Times New Roman" w:hAnsi="Times New Roman" w:eastAsia="仿宋_GB2312" w:cs="Times New Roman"/>
                <w:kern w:val="0"/>
                <w:sz w:val="22"/>
              </w:rPr>
            </w:pPr>
          </w:p>
        </w:tc>
        <w:tc>
          <w:tcPr>
            <w:tcW w:w="1335" w:type="dxa"/>
            <w:tcBorders>
              <w:top w:val="nil"/>
              <w:left w:val="nil"/>
              <w:bottom w:val="single" w:color="auto" w:sz="4" w:space="0"/>
              <w:right w:val="single" w:color="auto" w:sz="4" w:space="0"/>
            </w:tcBorders>
            <w:shd w:val="clear" w:color="auto" w:fill="auto"/>
            <w:noWrap/>
            <w:vAlign w:val="center"/>
          </w:tcPr>
          <w:p w14:paraId="27884C7A">
            <w:pPr>
              <w:widowControl/>
              <w:jc w:val="center"/>
              <w:rPr>
                <w:rFonts w:ascii="Times New Roman" w:hAnsi="Times New Roman" w:eastAsia="仿宋_GB2312" w:cs="Times New Roman"/>
                <w:kern w:val="0"/>
                <w:sz w:val="22"/>
              </w:rPr>
            </w:pPr>
          </w:p>
        </w:tc>
        <w:tc>
          <w:tcPr>
            <w:tcW w:w="1119" w:type="dxa"/>
            <w:tcBorders>
              <w:top w:val="nil"/>
              <w:left w:val="nil"/>
              <w:bottom w:val="single" w:color="auto" w:sz="4" w:space="0"/>
              <w:right w:val="single" w:color="auto" w:sz="4" w:space="0"/>
            </w:tcBorders>
            <w:shd w:val="clear" w:color="auto" w:fill="auto"/>
            <w:noWrap/>
            <w:vAlign w:val="center"/>
          </w:tcPr>
          <w:p w14:paraId="7A50D726">
            <w:pPr>
              <w:widowControl/>
              <w:jc w:val="center"/>
              <w:rPr>
                <w:rFonts w:ascii="Times New Roman" w:hAnsi="Times New Roman" w:eastAsia="仿宋_GB2312" w:cs="Times New Roman"/>
                <w:kern w:val="0"/>
                <w:sz w:val="22"/>
              </w:rPr>
            </w:pPr>
          </w:p>
        </w:tc>
        <w:tc>
          <w:tcPr>
            <w:tcW w:w="1235" w:type="dxa"/>
            <w:tcBorders>
              <w:top w:val="nil"/>
              <w:left w:val="nil"/>
              <w:bottom w:val="single" w:color="auto" w:sz="4" w:space="0"/>
              <w:right w:val="single" w:color="auto" w:sz="4" w:space="0"/>
            </w:tcBorders>
            <w:shd w:val="clear" w:color="auto" w:fill="auto"/>
            <w:noWrap/>
            <w:vAlign w:val="center"/>
          </w:tcPr>
          <w:p w14:paraId="5CA9ACF3">
            <w:pPr>
              <w:widowControl/>
              <w:jc w:val="center"/>
              <w:rPr>
                <w:rFonts w:ascii="Times New Roman" w:hAnsi="Times New Roman" w:eastAsia="仿宋_GB2312" w:cs="Times New Roman"/>
                <w:kern w:val="0"/>
                <w:sz w:val="22"/>
              </w:rPr>
            </w:pPr>
          </w:p>
        </w:tc>
      </w:tr>
      <w:tr w14:paraId="7DC009BE">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noWrap/>
            <w:vAlign w:val="center"/>
          </w:tcPr>
          <w:p w14:paraId="6687344C">
            <w:pPr>
              <w:widowControl/>
              <w:jc w:val="left"/>
              <w:rPr>
                <w:rFonts w:ascii="Times New Roman" w:hAnsi="Times New Roman" w:eastAsia="仿宋_GB2312" w:cs="Times New Roman"/>
                <w:kern w:val="0"/>
                <w:sz w:val="22"/>
              </w:rPr>
            </w:pPr>
          </w:p>
        </w:tc>
        <w:tc>
          <w:tcPr>
            <w:tcW w:w="616" w:type="dxa"/>
            <w:tcBorders>
              <w:top w:val="nil"/>
              <w:left w:val="nil"/>
              <w:bottom w:val="single" w:color="auto" w:sz="4" w:space="0"/>
              <w:right w:val="single" w:color="auto" w:sz="4" w:space="0"/>
            </w:tcBorders>
            <w:shd w:val="clear" w:color="auto" w:fill="auto"/>
            <w:noWrap/>
            <w:vAlign w:val="center"/>
          </w:tcPr>
          <w:p w14:paraId="1221F2D4">
            <w:pPr>
              <w:widowControl/>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21</w:t>
            </w:r>
          </w:p>
        </w:tc>
        <w:tc>
          <w:tcPr>
            <w:tcW w:w="931" w:type="dxa"/>
            <w:tcBorders>
              <w:top w:val="nil"/>
              <w:left w:val="nil"/>
              <w:bottom w:val="single" w:color="auto" w:sz="4" w:space="0"/>
              <w:right w:val="single" w:color="auto" w:sz="4" w:space="0"/>
            </w:tcBorders>
            <w:shd w:val="clear" w:color="auto" w:fill="auto"/>
            <w:noWrap/>
            <w:vAlign w:val="center"/>
          </w:tcPr>
          <w:p w14:paraId="5A642CEC">
            <w:pPr>
              <w:widowControl/>
              <w:jc w:val="left"/>
              <w:rPr>
                <w:rFonts w:ascii="Times New Roman" w:hAnsi="Times New Roman" w:eastAsia="仿宋_GB2312" w:cs="Times New Roman"/>
                <w:kern w:val="0"/>
                <w:sz w:val="22"/>
              </w:rPr>
            </w:pPr>
          </w:p>
        </w:tc>
        <w:tc>
          <w:tcPr>
            <w:tcW w:w="3516" w:type="dxa"/>
            <w:tcBorders>
              <w:top w:val="nil"/>
              <w:left w:val="nil"/>
              <w:bottom w:val="single" w:color="auto" w:sz="4" w:space="0"/>
              <w:right w:val="single" w:color="auto" w:sz="4" w:space="0"/>
            </w:tcBorders>
            <w:shd w:val="clear" w:color="auto" w:fill="auto"/>
            <w:noWrap/>
            <w:vAlign w:val="center"/>
          </w:tcPr>
          <w:p w14:paraId="3C05A414">
            <w:pPr>
              <w:widowControl/>
              <w:jc w:val="left"/>
              <w:textAlignment w:val="center"/>
              <w:rPr>
                <w:rFonts w:ascii="Times New Roman" w:hAnsi="Times New Roman" w:eastAsia="仿宋_GB2312" w:cs="Times New Roman"/>
                <w:color w:val="000000"/>
                <w:kern w:val="0"/>
                <w:sz w:val="22"/>
                <w:szCs w:val="22"/>
                <w:lang w:val="en-US" w:eastAsia="zh-CN" w:bidi="ar"/>
              </w:rPr>
            </w:pPr>
            <w:r>
              <w:rPr>
                <w:rFonts w:hint="eastAsia" w:ascii="Times New Roman" w:hAnsi="Times New Roman" w:eastAsia="仿宋_GB2312" w:cs="Times New Roman"/>
                <w:color w:val="000000"/>
                <w:kern w:val="0"/>
                <w:sz w:val="22"/>
                <w:lang w:bidi="ar"/>
              </w:rPr>
              <w:t>二十一、国有资本经营预算支出</w:t>
            </w:r>
          </w:p>
        </w:tc>
        <w:tc>
          <w:tcPr>
            <w:tcW w:w="616" w:type="dxa"/>
            <w:tcBorders>
              <w:top w:val="nil"/>
              <w:left w:val="nil"/>
              <w:bottom w:val="single" w:color="auto" w:sz="4" w:space="0"/>
              <w:right w:val="single" w:color="auto" w:sz="4" w:space="0"/>
            </w:tcBorders>
            <w:shd w:val="clear" w:color="auto" w:fill="FFFFFF"/>
            <w:noWrap/>
            <w:vAlign w:val="center"/>
          </w:tcPr>
          <w:p w14:paraId="0245A703">
            <w:pPr>
              <w:widowControl/>
              <w:jc w:val="center"/>
              <w:textAlignment w:val="center"/>
              <w:rPr>
                <w:rFonts w:hint="default" w:ascii="Times New Roman" w:hAnsi="Times New Roman" w:eastAsia="仿宋_GB2312" w:cs="Times New Roman"/>
                <w:color w:val="000000"/>
                <w:kern w:val="0"/>
                <w:sz w:val="22"/>
                <w:szCs w:val="22"/>
                <w:lang w:val="en-US" w:eastAsia="zh-CN" w:bidi="ar"/>
              </w:rPr>
            </w:pPr>
            <w:r>
              <w:rPr>
                <w:rFonts w:hint="eastAsia" w:ascii="Times New Roman" w:hAnsi="Times New Roman" w:eastAsia="仿宋_GB2312" w:cs="Times New Roman"/>
                <w:color w:val="000000"/>
                <w:kern w:val="0"/>
                <w:sz w:val="22"/>
                <w:lang w:val="en-US" w:eastAsia="zh-CN" w:bidi="ar"/>
              </w:rPr>
              <w:t>53</w:t>
            </w:r>
          </w:p>
        </w:tc>
        <w:tc>
          <w:tcPr>
            <w:tcW w:w="1336" w:type="dxa"/>
            <w:tcBorders>
              <w:top w:val="nil"/>
              <w:left w:val="nil"/>
              <w:bottom w:val="single" w:color="auto" w:sz="4" w:space="0"/>
              <w:right w:val="single" w:color="auto" w:sz="4" w:space="0"/>
            </w:tcBorders>
            <w:shd w:val="clear" w:color="auto" w:fill="auto"/>
            <w:noWrap/>
            <w:vAlign w:val="center"/>
          </w:tcPr>
          <w:p w14:paraId="22ECB6C3">
            <w:pPr>
              <w:widowControl/>
              <w:jc w:val="center"/>
              <w:rPr>
                <w:rFonts w:ascii="Times New Roman" w:hAnsi="Times New Roman" w:eastAsia="仿宋_GB2312" w:cs="Times New Roman"/>
                <w:kern w:val="0"/>
                <w:sz w:val="22"/>
              </w:rPr>
            </w:pPr>
          </w:p>
        </w:tc>
        <w:tc>
          <w:tcPr>
            <w:tcW w:w="1335" w:type="dxa"/>
            <w:tcBorders>
              <w:top w:val="nil"/>
              <w:left w:val="nil"/>
              <w:bottom w:val="single" w:color="auto" w:sz="4" w:space="0"/>
              <w:right w:val="single" w:color="auto" w:sz="4" w:space="0"/>
            </w:tcBorders>
            <w:shd w:val="clear" w:color="auto" w:fill="auto"/>
            <w:noWrap/>
            <w:vAlign w:val="center"/>
          </w:tcPr>
          <w:p w14:paraId="629334CB">
            <w:pPr>
              <w:widowControl/>
              <w:jc w:val="center"/>
              <w:rPr>
                <w:rFonts w:ascii="Times New Roman" w:hAnsi="Times New Roman" w:eastAsia="仿宋_GB2312" w:cs="Times New Roman"/>
                <w:kern w:val="0"/>
                <w:sz w:val="22"/>
              </w:rPr>
            </w:pPr>
          </w:p>
        </w:tc>
        <w:tc>
          <w:tcPr>
            <w:tcW w:w="1119" w:type="dxa"/>
            <w:tcBorders>
              <w:top w:val="nil"/>
              <w:left w:val="nil"/>
              <w:bottom w:val="single" w:color="auto" w:sz="4" w:space="0"/>
              <w:right w:val="single" w:color="auto" w:sz="4" w:space="0"/>
            </w:tcBorders>
            <w:shd w:val="clear" w:color="auto" w:fill="auto"/>
            <w:noWrap/>
            <w:vAlign w:val="center"/>
          </w:tcPr>
          <w:p w14:paraId="4FE1F57F">
            <w:pPr>
              <w:widowControl/>
              <w:jc w:val="center"/>
              <w:rPr>
                <w:rFonts w:ascii="Times New Roman" w:hAnsi="Times New Roman" w:eastAsia="仿宋_GB2312" w:cs="Times New Roman"/>
                <w:kern w:val="0"/>
                <w:sz w:val="22"/>
              </w:rPr>
            </w:pPr>
          </w:p>
        </w:tc>
        <w:tc>
          <w:tcPr>
            <w:tcW w:w="1235" w:type="dxa"/>
            <w:tcBorders>
              <w:top w:val="nil"/>
              <w:left w:val="nil"/>
              <w:bottom w:val="single" w:color="auto" w:sz="4" w:space="0"/>
              <w:right w:val="single" w:color="auto" w:sz="4" w:space="0"/>
            </w:tcBorders>
            <w:shd w:val="clear" w:color="auto" w:fill="auto"/>
            <w:noWrap/>
            <w:vAlign w:val="center"/>
          </w:tcPr>
          <w:p w14:paraId="4885CF9C">
            <w:pPr>
              <w:widowControl/>
              <w:jc w:val="center"/>
              <w:rPr>
                <w:rFonts w:ascii="Times New Roman" w:hAnsi="Times New Roman" w:eastAsia="仿宋_GB2312" w:cs="Times New Roman"/>
                <w:kern w:val="0"/>
                <w:sz w:val="22"/>
              </w:rPr>
            </w:pPr>
          </w:p>
        </w:tc>
      </w:tr>
      <w:tr w14:paraId="1E26A7D5">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noWrap/>
            <w:vAlign w:val="center"/>
          </w:tcPr>
          <w:p w14:paraId="78E8AA95">
            <w:pPr>
              <w:widowControl/>
              <w:jc w:val="left"/>
              <w:rPr>
                <w:rFonts w:ascii="Times New Roman" w:hAnsi="Times New Roman" w:eastAsia="仿宋_GB2312" w:cs="Times New Roman"/>
                <w:kern w:val="0"/>
                <w:sz w:val="22"/>
              </w:rPr>
            </w:pPr>
          </w:p>
        </w:tc>
        <w:tc>
          <w:tcPr>
            <w:tcW w:w="616" w:type="dxa"/>
            <w:tcBorders>
              <w:top w:val="nil"/>
              <w:left w:val="nil"/>
              <w:bottom w:val="single" w:color="auto" w:sz="4" w:space="0"/>
              <w:right w:val="single" w:color="auto" w:sz="4" w:space="0"/>
            </w:tcBorders>
            <w:shd w:val="clear" w:color="auto" w:fill="auto"/>
            <w:noWrap/>
            <w:vAlign w:val="center"/>
          </w:tcPr>
          <w:p w14:paraId="40723BF1">
            <w:pPr>
              <w:widowControl/>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22</w:t>
            </w:r>
          </w:p>
        </w:tc>
        <w:tc>
          <w:tcPr>
            <w:tcW w:w="931" w:type="dxa"/>
            <w:tcBorders>
              <w:top w:val="nil"/>
              <w:left w:val="nil"/>
              <w:bottom w:val="single" w:color="auto" w:sz="4" w:space="0"/>
              <w:right w:val="single" w:color="auto" w:sz="4" w:space="0"/>
            </w:tcBorders>
            <w:shd w:val="clear" w:color="auto" w:fill="auto"/>
            <w:noWrap/>
            <w:vAlign w:val="center"/>
          </w:tcPr>
          <w:p w14:paraId="1F36E52E">
            <w:pPr>
              <w:widowControl/>
              <w:jc w:val="left"/>
              <w:rPr>
                <w:rFonts w:ascii="Times New Roman" w:hAnsi="Times New Roman" w:eastAsia="仿宋_GB2312" w:cs="Times New Roman"/>
                <w:kern w:val="0"/>
                <w:sz w:val="22"/>
              </w:rPr>
            </w:pPr>
          </w:p>
        </w:tc>
        <w:tc>
          <w:tcPr>
            <w:tcW w:w="3516" w:type="dxa"/>
            <w:tcBorders>
              <w:top w:val="nil"/>
              <w:left w:val="nil"/>
              <w:bottom w:val="single" w:color="auto" w:sz="4" w:space="0"/>
              <w:right w:val="single" w:color="auto" w:sz="4" w:space="0"/>
            </w:tcBorders>
            <w:shd w:val="clear" w:color="auto" w:fill="auto"/>
            <w:noWrap/>
            <w:vAlign w:val="center"/>
          </w:tcPr>
          <w:p w14:paraId="4E0AE1EB">
            <w:pPr>
              <w:widowControl/>
              <w:jc w:val="left"/>
              <w:textAlignment w:val="center"/>
              <w:rPr>
                <w:rFonts w:ascii="Times New Roman" w:hAnsi="Times New Roman" w:eastAsia="仿宋_GB2312" w:cs="Times New Roman"/>
                <w:color w:val="000000"/>
                <w:kern w:val="0"/>
                <w:sz w:val="22"/>
                <w:szCs w:val="22"/>
                <w:lang w:val="en-US" w:eastAsia="zh-CN" w:bidi="ar"/>
              </w:rPr>
            </w:pPr>
            <w:r>
              <w:rPr>
                <w:rFonts w:hint="eastAsia" w:ascii="Times New Roman" w:hAnsi="Times New Roman" w:eastAsia="仿宋_GB2312" w:cs="Times New Roman"/>
                <w:color w:val="000000"/>
                <w:kern w:val="0"/>
                <w:sz w:val="22"/>
                <w:lang w:bidi="ar"/>
              </w:rPr>
              <w:t>二十二、灾害防治及应急管理支出</w:t>
            </w:r>
          </w:p>
        </w:tc>
        <w:tc>
          <w:tcPr>
            <w:tcW w:w="616" w:type="dxa"/>
            <w:tcBorders>
              <w:top w:val="nil"/>
              <w:left w:val="nil"/>
              <w:bottom w:val="single" w:color="auto" w:sz="4" w:space="0"/>
              <w:right w:val="single" w:color="auto" w:sz="4" w:space="0"/>
            </w:tcBorders>
            <w:shd w:val="clear" w:color="auto" w:fill="FFFFFF"/>
            <w:noWrap/>
            <w:vAlign w:val="center"/>
          </w:tcPr>
          <w:p w14:paraId="7EE2F36B">
            <w:pPr>
              <w:widowControl/>
              <w:jc w:val="center"/>
              <w:textAlignment w:val="center"/>
              <w:rPr>
                <w:rFonts w:hint="default" w:ascii="Times New Roman" w:hAnsi="Times New Roman" w:eastAsia="仿宋_GB2312" w:cs="Times New Roman"/>
                <w:color w:val="000000"/>
                <w:kern w:val="0"/>
                <w:sz w:val="22"/>
                <w:szCs w:val="22"/>
                <w:lang w:val="en-US" w:eastAsia="zh-CN" w:bidi="ar"/>
              </w:rPr>
            </w:pPr>
            <w:r>
              <w:rPr>
                <w:rFonts w:hint="eastAsia" w:ascii="Times New Roman" w:hAnsi="Times New Roman" w:eastAsia="仿宋_GB2312" w:cs="Times New Roman"/>
                <w:color w:val="000000"/>
                <w:kern w:val="0"/>
                <w:sz w:val="22"/>
                <w:lang w:val="en-US" w:eastAsia="zh-CN" w:bidi="ar"/>
              </w:rPr>
              <w:t>54</w:t>
            </w:r>
          </w:p>
        </w:tc>
        <w:tc>
          <w:tcPr>
            <w:tcW w:w="1336" w:type="dxa"/>
            <w:tcBorders>
              <w:top w:val="nil"/>
              <w:left w:val="nil"/>
              <w:bottom w:val="single" w:color="auto" w:sz="4" w:space="0"/>
              <w:right w:val="single" w:color="auto" w:sz="4" w:space="0"/>
            </w:tcBorders>
            <w:shd w:val="clear" w:color="auto" w:fill="auto"/>
            <w:noWrap/>
            <w:vAlign w:val="center"/>
          </w:tcPr>
          <w:p w14:paraId="569FC503">
            <w:pPr>
              <w:widowControl/>
              <w:jc w:val="center"/>
              <w:rPr>
                <w:rFonts w:ascii="Times New Roman" w:hAnsi="Times New Roman" w:eastAsia="仿宋_GB2312" w:cs="Times New Roman"/>
                <w:kern w:val="0"/>
                <w:sz w:val="22"/>
              </w:rPr>
            </w:pPr>
          </w:p>
        </w:tc>
        <w:tc>
          <w:tcPr>
            <w:tcW w:w="1335" w:type="dxa"/>
            <w:tcBorders>
              <w:top w:val="nil"/>
              <w:left w:val="nil"/>
              <w:bottom w:val="single" w:color="auto" w:sz="4" w:space="0"/>
              <w:right w:val="single" w:color="auto" w:sz="4" w:space="0"/>
            </w:tcBorders>
            <w:shd w:val="clear" w:color="auto" w:fill="auto"/>
            <w:noWrap/>
            <w:vAlign w:val="center"/>
          </w:tcPr>
          <w:p w14:paraId="3D127A4C">
            <w:pPr>
              <w:widowControl/>
              <w:jc w:val="center"/>
              <w:rPr>
                <w:rFonts w:ascii="Times New Roman" w:hAnsi="Times New Roman" w:eastAsia="仿宋_GB2312" w:cs="Times New Roman"/>
                <w:kern w:val="0"/>
                <w:sz w:val="22"/>
              </w:rPr>
            </w:pPr>
          </w:p>
        </w:tc>
        <w:tc>
          <w:tcPr>
            <w:tcW w:w="1119" w:type="dxa"/>
            <w:tcBorders>
              <w:top w:val="nil"/>
              <w:left w:val="nil"/>
              <w:bottom w:val="single" w:color="auto" w:sz="4" w:space="0"/>
              <w:right w:val="single" w:color="auto" w:sz="4" w:space="0"/>
            </w:tcBorders>
            <w:shd w:val="clear" w:color="auto" w:fill="auto"/>
            <w:noWrap/>
            <w:vAlign w:val="center"/>
          </w:tcPr>
          <w:p w14:paraId="02ABA389">
            <w:pPr>
              <w:widowControl/>
              <w:jc w:val="center"/>
              <w:rPr>
                <w:rFonts w:ascii="Times New Roman" w:hAnsi="Times New Roman" w:eastAsia="仿宋_GB2312" w:cs="Times New Roman"/>
                <w:kern w:val="0"/>
                <w:sz w:val="22"/>
              </w:rPr>
            </w:pPr>
          </w:p>
        </w:tc>
        <w:tc>
          <w:tcPr>
            <w:tcW w:w="1235" w:type="dxa"/>
            <w:tcBorders>
              <w:top w:val="nil"/>
              <w:left w:val="nil"/>
              <w:bottom w:val="single" w:color="auto" w:sz="4" w:space="0"/>
              <w:right w:val="single" w:color="auto" w:sz="4" w:space="0"/>
            </w:tcBorders>
            <w:shd w:val="clear" w:color="auto" w:fill="auto"/>
            <w:noWrap/>
            <w:vAlign w:val="center"/>
          </w:tcPr>
          <w:p w14:paraId="27D48C34">
            <w:pPr>
              <w:widowControl/>
              <w:jc w:val="center"/>
              <w:rPr>
                <w:rFonts w:ascii="Times New Roman" w:hAnsi="Times New Roman" w:eastAsia="仿宋_GB2312" w:cs="Times New Roman"/>
                <w:kern w:val="0"/>
                <w:sz w:val="22"/>
              </w:rPr>
            </w:pPr>
          </w:p>
        </w:tc>
      </w:tr>
      <w:tr w14:paraId="4CF128BE">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noWrap/>
            <w:vAlign w:val="center"/>
          </w:tcPr>
          <w:p w14:paraId="47A05AAC">
            <w:pPr>
              <w:widowControl/>
              <w:jc w:val="left"/>
              <w:rPr>
                <w:rFonts w:ascii="Times New Roman" w:hAnsi="Times New Roman" w:eastAsia="仿宋_GB2312" w:cs="Times New Roman"/>
                <w:kern w:val="0"/>
                <w:sz w:val="22"/>
              </w:rPr>
            </w:pPr>
          </w:p>
        </w:tc>
        <w:tc>
          <w:tcPr>
            <w:tcW w:w="616" w:type="dxa"/>
            <w:tcBorders>
              <w:top w:val="nil"/>
              <w:left w:val="nil"/>
              <w:bottom w:val="single" w:color="auto" w:sz="4" w:space="0"/>
              <w:right w:val="single" w:color="auto" w:sz="4" w:space="0"/>
            </w:tcBorders>
            <w:shd w:val="clear" w:color="auto" w:fill="auto"/>
            <w:noWrap/>
            <w:vAlign w:val="center"/>
          </w:tcPr>
          <w:p w14:paraId="3FC30E8E">
            <w:pPr>
              <w:widowControl/>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23</w:t>
            </w:r>
          </w:p>
        </w:tc>
        <w:tc>
          <w:tcPr>
            <w:tcW w:w="931" w:type="dxa"/>
            <w:tcBorders>
              <w:top w:val="nil"/>
              <w:left w:val="nil"/>
              <w:bottom w:val="single" w:color="auto" w:sz="4" w:space="0"/>
              <w:right w:val="single" w:color="auto" w:sz="4" w:space="0"/>
            </w:tcBorders>
            <w:shd w:val="clear" w:color="auto" w:fill="auto"/>
            <w:noWrap/>
            <w:vAlign w:val="center"/>
          </w:tcPr>
          <w:p w14:paraId="5183E60A">
            <w:pPr>
              <w:widowControl/>
              <w:jc w:val="left"/>
              <w:rPr>
                <w:rFonts w:ascii="Times New Roman" w:hAnsi="Times New Roman" w:eastAsia="仿宋_GB2312" w:cs="Times New Roman"/>
                <w:kern w:val="0"/>
                <w:sz w:val="22"/>
              </w:rPr>
            </w:pPr>
          </w:p>
        </w:tc>
        <w:tc>
          <w:tcPr>
            <w:tcW w:w="3516" w:type="dxa"/>
            <w:tcBorders>
              <w:top w:val="nil"/>
              <w:left w:val="nil"/>
              <w:bottom w:val="single" w:color="auto" w:sz="4" w:space="0"/>
              <w:right w:val="single" w:color="auto" w:sz="4" w:space="0"/>
            </w:tcBorders>
            <w:shd w:val="clear" w:color="auto" w:fill="auto"/>
            <w:noWrap/>
            <w:vAlign w:val="center"/>
          </w:tcPr>
          <w:p w14:paraId="5BEE1066">
            <w:pPr>
              <w:widowControl/>
              <w:jc w:val="left"/>
              <w:textAlignment w:val="center"/>
              <w:rPr>
                <w:rFonts w:ascii="Times New Roman" w:hAnsi="Times New Roman" w:eastAsia="仿宋_GB2312" w:cs="Times New Roman"/>
                <w:color w:val="000000"/>
                <w:kern w:val="0"/>
                <w:sz w:val="22"/>
                <w:szCs w:val="22"/>
                <w:lang w:val="en-US" w:eastAsia="zh-CN" w:bidi="ar"/>
              </w:rPr>
            </w:pPr>
            <w:r>
              <w:rPr>
                <w:rFonts w:hint="eastAsia" w:ascii="Times New Roman" w:hAnsi="Times New Roman" w:eastAsia="仿宋_GB2312" w:cs="Times New Roman"/>
                <w:color w:val="000000"/>
                <w:kern w:val="0"/>
                <w:sz w:val="22"/>
                <w:lang w:bidi="ar"/>
              </w:rPr>
              <w:t>二十三、其他支出</w:t>
            </w:r>
          </w:p>
        </w:tc>
        <w:tc>
          <w:tcPr>
            <w:tcW w:w="616" w:type="dxa"/>
            <w:tcBorders>
              <w:top w:val="nil"/>
              <w:left w:val="nil"/>
              <w:bottom w:val="single" w:color="auto" w:sz="4" w:space="0"/>
              <w:right w:val="single" w:color="auto" w:sz="4" w:space="0"/>
            </w:tcBorders>
            <w:shd w:val="clear" w:color="auto" w:fill="FFFFFF"/>
            <w:noWrap/>
            <w:vAlign w:val="center"/>
          </w:tcPr>
          <w:p w14:paraId="3307D0B0">
            <w:pPr>
              <w:widowControl/>
              <w:jc w:val="center"/>
              <w:textAlignment w:val="center"/>
              <w:rPr>
                <w:rFonts w:hint="default" w:ascii="Times New Roman" w:hAnsi="Times New Roman" w:eastAsia="仿宋_GB2312" w:cs="Times New Roman"/>
                <w:color w:val="000000"/>
                <w:kern w:val="0"/>
                <w:sz w:val="22"/>
                <w:szCs w:val="22"/>
                <w:lang w:val="en-US" w:eastAsia="zh-CN" w:bidi="ar"/>
              </w:rPr>
            </w:pPr>
            <w:r>
              <w:rPr>
                <w:rFonts w:hint="eastAsia" w:ascii="Times New Roman" w:hAnsi="Times New Roman" w:eastAsia="仿宋_GB2312" w:cs="Times New Roman"/>
                <w:color w:val="000000"/>
                <w:kern w:val="0"/>
                <w:sz w:val="22"/>
                <w:lang w:val="en-US" w:eastAsia="zh-CN" w:bidi="ar"/>
              </w:rPr>
              <w:t>55</w:t>
            </w:r>
          </w:p>
        </w:tc>
        <w:tc>
          <w:tcPr>
            <w:tcW w:w="1336" w:type="dxa"/>
            <w:tcBorders>
              <w:top w:val="nil"/>
              <w:left w:val="nil"/>
              <w:bottom w:val="single" w:color="auto" w:sz="4" w:space="0"/>
              <w:right w:val="single" w:color="auto" w:sz="4" w:space="0"/>
            </w:tcBorders>
            <w:shd w:val="clear" w:color="auto" w:fill="auto"/>
            <w:noWrap/>
            <w:vAlign w:val="center"/>
          </w:tcPr>
          <w:p w14:paraId="439E04CD">
            <w:pPr>
              <w:widowControl/>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85.25</w:t>
            </w:r>
          </w:p>
        </w:tc>
        <w:tc>
          <w:tcPr>
            <w:tcW w:w="1335" w:type="dxa"/>
            <w:tcBorders>
              <w:top w:val="nil"/>
              <w:left w:val="nil"/>
              <w:bottom w:val="single" w:color="auto" w:sz="4" w:space="0"/>
              <w:right w:val="single" w:color="auto" w:sz="4" w:space="0"/>
            </w:tcBorders>
            <w:shd w:val="clear" w:color="auto" w:fill="auto"/>
            <w:noWrap/>
            <w:vAlign w:val="center"/>
          </w:tcPr>
          <w:p w14:paraId="557C1BE7">
            <w:pPr>
              <w:widowControl/>
              <w:jc w:val="center"/>
              <w:rPr>
                <w:rFonts w:ascii="Times New Roman" w:hAnsi="Times New Roman" w:eastAsia="仿宋_GB2312" w:cs="Times New Roman"/>
                <w:kern w:val="0"/>
                <w:sz w:val="22"/>
              </w:rPr>
            </w:pPr>
          </w:p>
        </w:tc>
        <w:tc>
          <w:tcPr>
            <w:tcW w:w="1119" w:type="dxa"/>
            <w:tcBorders>
              <w:top w:val="nil"/>
              <w:left w:val="nil"/>
              <w:bottom w:val="single" w:color="auto" w:sz="4" w:space="0"/>
              <w:right w:val="single" w:color="auto" w:sz="4" w:space="0"/>
            </w:tcBorders>
            <w:shd w:val="clear" w:color="auto" w:fill="auto"/>
            <w:noWrap/>
            <w:vAlign w:val="center"/>
          </w:tcPr>
          <w:p w14:paraId="4A6069E1">
            <w:pPr>
              <w:widowControl/>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85.25</w:t>
            </w:r>
          </w:p>
        </w:tc>
        <w:tc>
          <w:tcPr>
            <w:tcW w:w="1235" w:type="dxa"/>
            <w:tcBorders>
              <w:top w:val="nil"/>
              <w:left w:val="nil"/>
              <w:bottom w:val="single" w:color="auto" w:sz="4" w:space="0"/>
              <w:right w:val="single" w:color="auto" w:sz="4" w:space="0"/>
            </w:tcBorders>
            <w:shd w:val="clear" w:color="auto" w:fill="auto"/>
            <w:noWrap/>
            <w:vAlign w:val="center"/>
          </w:tcPr>
          <w:p w14:paraId="57D40F62">
            <w:pPr>
              <w:widowControl/>
              <w:jc w:val="center"/>
              <w:rPr>
                <w:rFonts w:ascii="Times New Roman" w:hAnsi="Times New Roman" w:eastAsia="仿宋_GB2312" w:cs="Times New Roman"/>
                <w:kern w:val="0"/>
                <w:sz w:val="22"/>
              </w:rPr>
            </w:pPr>
          </w:p>
        </w:tc>
      </w:tr>
      <w:tr w14:paraId="55E5F074">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noWrap/>
            <w:vAlign w:val="center"/>
          </w:tcPr>
          <w:p w14:paraId="01863D00">
            <w:pPr>
              <w:widowControl/>
              <w:jc w:val="left"/>
              <w:rPr>
                <w:rFonts w:ascii="Times New Roman" w:hAnsi="Times New Roman" w:eastAsia="仿宋_GB2312" w:cs="Times New Roman"/>
                <w:kern w:val="0"/>
                <w:sz w:val="22"/>
              </w:rPr>
            </w:pPr>
          </w:p>
        </w:tc>
        <w:tc>
          <w:tcPr>
            <w:tcW w:w="616" w:type="dxa"/>
            <w:tcBorders>
              <w:top w:val="nil"/>
              <w:left w:val="nil"/>
              <w:bottom w:val="single" w:color="auto" w:sz="4" w:space="0"/>
              <w:right w:val="single" w:color="auto" w:sz="4" w:space="0"/>
            </w:tcBorders>
            <w:shd w:val="clear" w:color="auto" w:fill="auto"/>
            <w:noWrap/>
            <w:vAlign w:val="center"/>
          </w:tcPr>
          <w:p w14:paraId="211124BF">
            <w:pPr>
              <w:widowControl/>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24</w:t>
            </w:r>
          </w:p>
        </w:tc>
        <w:tc>
          <w:tcPr>
            <w:tcW w:w="931" w:type="dxa"/>
            <w:tcBorders>
              <w:top w:val="nil"/>
              <w:left w:val="nil"/>
              <w:bottom w:val="single" w:color="auto" w:sz="4" w:space="0"/>
              <w:right w:val="single" w:color="auto" w:sz="4" w:space="0"/>
            </w:tcBorders>
            <w:shd w:val="clear" w:color="auto" w:fill="auto"/>
            <w:noWrap/>
            <w:vAlign w:val="center"/>
          </w:tcPr>
          <w:p w14:paraId="511272DE">
            <w:pPr>
              <w:widowControl/>
              <w:jc w:val="left"/>
              <w:rPr>
                <w:rFonts w:ascii="Times New Roman" w:hAnsi="Times New Roman" w:eastAsia="仿宋_GB2312" w:cs="Times New Roman"/>
                <w:kern w:val="0"/>
                <w:sz w:val="22"/>
              </w:rPr>
            </w:pPr>
          </w:p>
        </w:tc>
        <w:tc>
          <w:tcPr>
            <w:tcW w:w="3516" w:type="dxa"/>
            <w:tcBorders>
              <w:top w:val="nil"/>
              <w:left w:val="nil"/>
              <w:bottom w:val="single" w:color="auto" w:sz="4" w:space="0"/>
              <w:right w:val="single" w:color="auto" w:sz="4" w:space="0"/>
            </w:tcBorders>
            <w:shd w:val="clear" w:color="auto" w:fill="auto"/>
            <w:noWrap/>
            <w:vAlign w:val="center"/>
          </w:tcPr>
          <w:p w14:paraId="75F0CAEC">
            <w:pPr>
              <w:widowControl/>
              <w:jc w:val="left"/>
              <w:textAlignment w:val="center"/>
              <w:rPr>
                <w:rFonts w:ascii="Times New Roman" w:hAnsi="Times New Roman" w:eastAsia="仿宋_GB2312" w:cs="Times New Roman"/>
                <w:color w:val="000000"/>
                <w:kern w:val="0"/>
                <w:sz w:val="22"/>
                <w:szCs w:val="22"/>
                <w:lang w:val="en-US" w:eastAsia="zh-CN" w:bidi="ar"/>
              </w:rPr>
            </w:pPr>
            <w:r>
              <w:rPr>
                <w:rFonts w:hint="eastAsia" w:ascii="Times New Roman" w:hAnsi="Times New Roman" w:eastAsia="仿宋_GB2312" w:cs="Times New Roman"/>
                <w:color w:val="000000"/>
                <w:kern w:val="0"/>
                <w:sz w:val="22"/>
                <w:lang w:bidi="ar"/>
              </w:rPr>
              <w:t>二十四、债务还本支出</w:t>
            </w:r>
          </w:p>
        </w:tc>
        <w:tc>
          <w:tcPr>
            <w:tcW w:w="616" w:type="dxa"/>
            <w:tcBorders>
              <w:top w:val="nil"/>
              <w:left w:val="nil"/>
              <w:bottom w:val="single" w:color="auto" w:sz="4" w:space="0"/>
              <w:right w:val="single" w:color="auto" w:sz="4" w:space="0"/>
            </w:tcBorders>
            <w:shd w:val="clear" w:color="auto" w:fill="FFFFFF"/>
            <w:noWrap/>
            <w:vAlign w:val="center"/>
          </w:tcPr>
          <w:p w14:paraId="3497CFF8">
            <w:pPr>
              <w:widowControl/>
              <w:jc w:val="center"/>
              <w:textAlignment w:val="center"/>
              <w:rPr>
                <w:rFonts w:hint="default" w:ascii="Times New Roman" w:hAnsi="Times New Roman" w:eastAsia="仿宋_GB2312" w:cs="Times New Roman"/>
                <w:color w:val="000000"/>
                <w:kern w:val="0"/>
                <w:sz w:val="22"/>
                <w:szCs w:val="22"/>
                <w:lang w:val="en-US" w:eastAsia="zh-CN" w:bidi="ar"/>
              </w:rPr>
            </w:pPr>
            <w:r>
              <w:rPr>
                <w:rFonts w:hint="eastAsia" w:ascii="Times New Roman" w:hAnsi="Times New Roman" w:eastAsia="仿宋_GB2312" w:cs="Times New Roman"/>
                <w:color w:val="000000"/>
                <w:kern w:val="0"/>
                <w:sz w:val="22"/>
                <w:lang w:val="en-US" w:eastAsia="zh-CN" w:bidi="ar"/>
              </w:rPr>
              <w:t>56</w:t>
            </w:r>
          </w:p>
        </w:tc>
        <w:tc>
          <w:tcPr>
            <w:tcW w:w="1336" w:type="dxa"/>
            <w:tcBorders>
              <w:top w:val="nil"/>
              <w:left w:val="nil"/>
              <w:bottom w:val="single" w:color="auto" w:sz="4" w:space="0"/>
              <w:right w:val="single" w:color="auto" w:sz="4" w:space="0"/>
            </w:tcBorders>
            <w:shd w:val="clear" w:color="auto" w:fill="auto"/>
            <w:noWrap/>
            <w:vAlign w:val="center"/>
          </w:tcPr>
          <w:p w14:paraId="7DD5D7D4">
            <w:pPr>
              <w:widowControl/>
              <w:jc w:val="center"/>
              <w:rPr>
                <w:rFonts w:ascii="Times New Roman" w:hAnsi="Times New Roman" w:eastAsia="仿宋_GB2312" w:cs="Times New Roman"/>
                <w:kern w:val="0"/>
                <w:sz w:val="22"/>
              </w:rPr>
            </w:pPr>
          </w:p>
        </w:tc>
        <w:tc>
          <w:tcPr>
            <w:tcW w:w="1335" w:type="dxa"/>
            <w:tcBorders>
              <w:top w:val="nil"/>
              <w:left w:val="nil"/>
              <w:bottom w:val="single" w:color="auto" w:sz="4" w:space="0"/>
              <w:right w:val="single" w:color="auto" w:sz="4" w:space="0"/>
            </w:tcBorders>
            <w:shd w:val="clear" w:color="auto" w:fill="auto"/>
            <w:noWrap/>
            <w:vAlign w:val="center"/>
          </w:tcPr>
          <w:p w14:paraId="02363613">
            <w:pPr>
              <w:widowControl/>
              <w:jc w:val="center"/>
              <w:rPr>
                <w:rFonts w:ascii="Times New Roman" w:hAnsi="Times New Roman" w:eastAsia="仿宋_GB2312" w:cs="Times New Roman"/>
                <w:kern w:val="0"/>
                <w:sz w:val="22"/>
              </w:rPr>
            </w:pPr>
          </w:p>
        </w:tc>
        <w:tc>
          <w:tcPr>
            <w:tcW w:w="1119" w:type="dxa"/>
            <w:tcBorders>
              <w:top w:val="nil"/>
              <w:left w:val="nil"/>
              <w:bottom w:val="single" w:color="auto" w:sz="4" w:space="0"/>
              <w:right w:val="single" w:color="auto" w:sz="4" w:space="0"/>
            </w:tcBorders>
            <w:shd w:val="clear" w:color="auto" w:fill="auto"/>
            <w:noWrap/>
            <w:vAlign w:val="center"/>
          </w:tcPr>
          <w:p w14:paraId="2F1EAD9D">
            <w:pPr>
              <w:widowControl/>
              <w:jc w:val="center"/>
              <w:rPr>
                <w:rFonts w:ascii="Times New Roman" w:hAnsi="Times New Roman" w:eastAsia="仿宋_GB2312" w:cs="Times New Roman"/>
                <w:kern w:val="0"/>
                <w:sz w:val="22"/>
              </w:rPr>
            </w:pPr>
          </w:p>
        </w:tc>
        <w:tc>
          <w:tcPr>
            <w:tcW w:w="1235" w:type="dxa"/>
            <w:tcBorders>
              <w:top w:val="nil"/>
              <w:left w:val="nil"/>
              <w:bottom w:val="single" w:color="auto" w:sz="4" w:space="0"/>
              <w:right w:val="single" w:color="auto" w:sz="4" w:space="0"/>
            </w:tcBorders>
            <w:shd w:val="clear" w:color="auto" w:fill="auto"/>
            <w:noWrap/>
            <w:vAlign w:val="center"/>
          </w:tcPr>
          <w:p w14:paraId="1F09A74A">
            <w:pPr>
              <w:widowControl/>
              <w:jc w:val="center"/>
              <w:rPr>
                <w:rFonts w:ascii="Times New Roman" w:hAnsi="Times New Roman" w:eastAsia="仿宋_GB2312" w:cs="Times New Roman"/>
                <w:kern w:val="0"/>
                <w:sz w:val="22"/>
              </w:rPr>
            </w:pPr>
          </w:p>
        </w:tc>
      </w:tr>
      <w:tr w14:paraId="6E873197">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noWrap/>
            <w:vAlign w:val="center"/>
          </w:tcPr>
          <w:p w14:paraId="59398432">
            <w:pPr>
              <w:widowControl/>
              <w:jc w:val="left"/>
              <w:rPr>
                <w:rFonts w:ascii="Times New Roman" w:hAnsi="Times New Roman" w:eastAsia="仿宋_GB2312" w:cs="Times New Roman"/>
                <w:kern w:val="0"/>
                <w:sz w:val="22"/>
              </w:rPr>
            </w:pPr>
          </w:p>
        </w:tc>
        <w:tc>
          <w:tcPr>
            <w:tcW w:w="616" w:type="dxa"/>
            <w:tcBorders>
              <w:top w:val="nil"/>
              <w:left w:val="nil"/>
              <w:bottom w:val="single" w:color="auto" w:sz="4" w:space="0"/>
              <w:right w:val="single" w:color="auto" w:sz="4" w:space="0"/>
            </w:tcBorders>
            <w:shd w:val="clear" w:color="auto" w:fill="auto"/>
            <w:noWrap/>
            <w:vAlign w:val="center"/>
          </w:tcPr>
          <w:p w14:paraId="6F19A0C1">
            <w:pPr>
              <w:widowControl/>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25</w:t>
            </w:r>
          </w:p>
        </w:tc>
        <w:tc>
          <w:tcPr>
            <w:tcW w:w="931" w:type="dxa"/>
            <w:tcBorders>
              <w:top w:val="nil"/>
              <w:left w:val="nil"/>
              <w:bottom w:val="single" w:color="auto" w:sz="4" w:space="0"/>
              <w:right w:val="single" w:color="auto" w:sz="4" w:space="0"/>
            </w:tcBorders>
            <w:shd w:val="clear" w:color="auto" w:fill="auto"/>
            <w:noWrap/>
            <w:vAlign w:val="center"/>
          </w:tcPr>
          <w:p w14:paraId="77C273A5">
            <w:pPr>
              <w:widowControl/>
              <w:jc w:val="left"/>
              <w:rPr>
                <w:rFonts w:ascii="Times New Roman" w:hAnsi="Times New Roman" w:eastAsia="仿宋_GB2312" w:cs="Times New Roman"/>
                <w:kern w:val="0"/>
                <w:sz w:val="22"/>
              </w:rPr>
            </w:pPr>
          </w:p>
        </w:tc>
        <w:tc>
          <w:tcPr>
            <w:tcW w:w="3516" w:type="dxa"/>
            <w:tcBorders>
              <w:top w:val="nil"/>
              <w:left w:val="nil"/>
              <w:bottom w:val="single" w:color="auto" w:sz="4" w:space="0"/>
              <w:right w:val="single" w:color="auto" w:sz="4" w:space="0"/>
            </w:tcBorders>
            <w:shd w:val="clear" w:color="auto" w:fill="auto"/>
            <w:noWrap/>
            <w:vAlign w:val="center"/>
          </w:tcPr>
          <w:p w14:paraId="42927614">
            <w:pPr>
              <w:widowControl/>
              <w:jc w:val="left"/>
              <w:textAlignment w:val="center"/>
              <w:rPr>
                <w:rFonts w:ascii="Times New Roman" w:hAnsi="Times New Roman" w:eastAsia="仿宋_GB2312" w:cs="Times New Roman"/>
                <w:color w:val="000000"/>
                <w:kern w:val="0"/>
                <w:sz w:val="22"/>
                <w:szCs w:val="22"/>
                <w:lang w:val="en-US" w:eastAsia="zh-CN" w:bidi="ar"/>
              </w:rPr>
            </w:pPr>
            <w:r>
              <w:rPr>
                <w:rFonts w:hint="eastAsia" w:ascii="Times New Roman" w:hAnsi="Times New Roman" w:eastAsia="仿宋_GB2312" w:cs="Times New Roman"/>
                <w:color w:val="000000"/>
                <w:kern w:val="0"/>
                <w:sz w:val="22"/>
                <w:lang w:bidi="ar"/>
              </w:rPr>
              <w:t>二十五、债务付息支出</w:t>
            </w:r>
          </w:p>
        </w:tc>
        <w:tc>
          <w:tcPr>
            <w:tcW w:w="616" w:type="dxa"/>
            <w:tcBorders>
              <w:top w:val="nil"/>
              <w:left w:val="nil"/>
              <w:bottom w:val="single" w:color="auto" w:sz="4" w:space="0"/>
              <w:right w:val="single" w:color="auto" w:sz="4" w:space="0"/>
            </w:tcBorders>
            <w:shd w:val="clear" w:color="auto" w:fill="FFFFFF"/>
            <w:noWrap/>
            <w:vAlign w:val="center"/>
          </w:tcPr>
          <w:p w14:paraId="50BFEC62">
            <w:pPr>
              <w:widowControl/>
              <w:jc w:val="center"/>
              <w:textAlignment w:val="center"/>
              <w:rPr>
                <w:rFonts w:hint="default" w:ascii="Times New Roman" w:hAnsi="Times New Roman" w:eastAsia="仿宋_GB2312" w:cs="Times New Roman"/>
                <w:color w:val="000000"/>
                <w:kern w:val="2"/>
                <w:sz w:val="22"/>
                <w:szCs w:val="22"/>
                <w:lang w:val="en-US" w:eastAsia="zh-CN" w:bidi="ar-SA"/>
              </w:rPr>
            </w:pPr>
            <w:r>
              <w:rPr>
                <w:rFonts w:hint="eastAsia" w:ascii="Times New Roman" w:hAnsi="Times New Roman" w:eastAsia="仿宋_GB2312" w:cs="Times New Roman"/>
                <w:color w:val="000000"/>
                <w:sz w:val="22"/>
                <w:lang w:val="en-US" w:eastAsia="zh-CN"/>
              </w:rPr>
              <w:t>57</w:t>
            </w:r>
          </w:p>
        </w:tc>
        <w:tc>
          <w:tcPr>
            <w:tcW w:w="1336" w:type="dxa"/>
            <w:tcBorders>
              <w:top w:val="nil"/>
              <w:left w:val="nil"/>
              <w:bottom w:val="single" w:color="auto" w:sz="4" w:space="0"/>
              <w:right w:val="single" w:color="auto" w:sz="4" w:space="0"/>
            </w:tcBorders>
            <w:shd w:val="clear" w:color="auto" w:fill="auto"/>
            <w:noWrap/>
            <w:vAlign w:val="center"/>
          </w:tcPr>
          <w:p w14:paraId="34904588">
            <w:pPr>
              <w:widowControl/>
              <w:jc w:val="center"/>
              <w:rPr>
                <w:rFonts w:ascii="Times New Roman" w:hAnsi="Times New Roman" w:eastAsia="仿宋_GB2312" w:cs="Times New Roman"/>
                <w:kern w:val="0"/>
                <w:sz w:val="22"/>
              </w:rPr>
            </w:pPr>
          </w:p>
        </w:tc>
        <w:tc>
          <w:tcPr>
            <w:tcW w:w="1335" w:type="dxa"/>
            <w:tcBorders>
              <w:top w:val="nil"/>
              <w:left w:val="nil"/>
              <w:bottom w:val="single" w:color="auto" w:sz="4" w:space="0"/>
              <w:right w:val="single" w:color="auto" w:sz="4" w:space="0"/>
            </w:tcBorders>
            <w:shd w:val="clear" w:color="auto" w:fill="auto"/>
            <w:noWrap/>
            <w:vAlign w:val="center"/>
          </w:tcPr>
          <w:p w14:paraId="46D58DF9">
            <w:pPr>
              <w:widowControl/>
              <w:jc w:val="center"/>
              <w:rPr>
                <w:rFonts w:ascii="Times New Roman" w:hAnsi="Times New Roman" w:eastAsia="仿宋_GB2312" w:cs="Times New Roman"/>
                <w:kern w:val="0"/>
                <w:sz w:val="22"/>
              </w:rPr>
            </w:pPr>
          </w:p>
        </w:tc>
        <w:tc>
          <w:tcPr>
            <w:tcW w:w="1119" w:type="dxa"/>
            <w:tcBorders>
              <w:top w:val="nil"/>
              <w:left w:val="nil"/>
              <w:bottom w:val="single" w:color="auto" w:sz="4" w:space="0"/>
              <w:right w:val="single" w:color="auto" w:sz="4" w:space="0"/>
            </w:tcBorders>
            <w:shd w:val="clear" w:color="auto" w:fill="auto"/>
            <w:noWrap/>
            <w:vAlign w:val="center"/>
          </w:tcPr>
          <w:p w14:paraId="214B61C7">
            <w:pPr>
              <w:widowControl/>
              <w:jc w:val="center"/>
              <w:rPr>
                <w:rFonts w:ascii="Times New Roman" w:hAnsi="Times New Roman" w:eastAsia="仿宋_GB2312" w:cs="Times New Roman"/>
                <w:kern w:val="0"/>
                <w:sz w:val="22"/>
              </w:rPr>
            </w:pPr>
          </w:p>
        </w:tc>
        <w:tc>
          <w:tcPr>
            <w:tcW w:w="1235" w:type="dxa"/>
            <w:tcBorders>
              <w:top w:val="nil"/>
              <w:left w:val="nil"/>
              <w:bottom w:val="single" w:color="auto" w:sz="4" w:space="0"/>
              <w:right w:val="single" w:color="auto" w:sz="4" w:space="0"/>
            </w:tcBorders>
            <w:shd w:val="clear" w:color="auto" w:fill="auto"/>
            <w:noWrap/>
            <w:vAlign w:val="center"/>
          </w:tcPr>
          <w:p w14:paraId="504E404B">
            <w:pPr>
              <w:widowControl/>
              <w:jc w:val="center"/>
              <w:rPr>
                <w:rFonts w:ascii="Times New Roman" w:hAnsi="Times New Roman" w:eastAsia="仿宋_GB2312" w:cs="Times New Roman"/>
                <w:kern w:val="0"/>
                <w:sz w:val="22"/>
              </w:rPr>
            </w:pPr>
          </w:p>
        </w:tc>
      </w:tr>
      <w:tr w14:paraId="38A6B15B">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noWrap/>
            <w:vAlign w:val="center"/>
          </w:tcPr>
          <w:p w14:paraId="6359E938">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616" w:type="dxa"/>
            <w:tcBorders>
              <w:top w:val="nil"/>
              <w:left w:val="nil"/>
              <w:bottom w:val="single" w:color="auto" w:sz="4" w:space="0"/>
              <w:right w:val="single" w:color="auto" w:sz="4" w:space="0"/>
            </w:tcBorders>
            <w:shd w:val="clear" w:color="auto" w:fill="auto"/>
            <w:noWrap/>
            <w:vAlign w:val="center"/>
          </w:tcPr>
          <w:p w14:paraId="4543A678">
            <w:pPr>
              <w:widowControl/>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26</w:t>
            </w:r>
          </w:p>
        </w:tc>
        <w:tc>
          <w:tcPr>
            <w:tcW w:w="931" w:type="dxa"/>
            <w:tcBorders>
              <w:top w:val="nil"/>
              <w:left w:val="nil"/>
              <w:bottom w:val="single" w:color="auto" w:sz="4" w:space="0"/>
              <w:right w:val="single" w:color="auto" w:sz="4" w:space="0"/>
            </w:tcBorders>
            <w:shd w:val="clear" w:color="auto" w:fill="auto"/>
            <w:noWrap/>
            <w:vAlign w:val="center"/>
          </w:tcPr>
          <w:p w14:paraId="4CC01BF3">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3516" w:type="dxa"/>
            <w:tcBorders>
              <w:top w:val="nil"/>
              <w:left w:val="nil"/>
              <w:bottom w:val="single" w:color="auto" w:sz="4" w:space="0"/>
              <w:right w:val="single" w:color="auto" w:sz="4" w:space="0"/>
            </w:tcBorders>
            <w:shd w:val="clear" w:color="auto" w:fill="auto"/>
            <w:noWrap/>
            <w:vAlign w:val="center"/>
          </w:tcPr>
          <w:p w14:paraId="5E263043">
            <w:pPr>
              <w:widowControl/>
              <w:jc w:val="left"/>
              <w:textAlignment w:val="center"/>
              <w:rPr>
                <w:rFonts w:ascii="Times New Roman" w:hAnsi="Times New Roman" w:eastAsia="仿宋_GB2312" w:cs="Times New Roman"/>
                <w:color w:val="000000"/>
                <w:kern w:val="0"/>
                <w:sz w:val="22"/>
                <w:szCs w:val="22"/>
                <w:lang w:val="en-US" w:eastAsia="zh-CN" w:bidi="ar"/>
              </w:rPr>
            </w:pPr>
            <w:r>
              <w:rPr>
                <w:rFonts w:hint="eastAsia" w:ascii="Times New Roman" w:hAnsi="Times New Roman" w:eastAsia="仿宋_GB2312" w:cs="Times New Roman"/>
                <w:color w:val="000000"/>
                <w:kern w:val="0"/>
                <w:sz w:val="22"/>
                <w:lang w:bidi="ar"/>
              </w:rPr>
              <w:t>二十六、抗疫特别国债安排的支出</w:t>
            </w:r>
          </w:p>
        </w:tc>
        <w:tc>
          <w:tcPr>
            <w:tcW w:w="616" w:type="dxa"/>
            <w:tcBorders>
              <w:top w:val="nil"/>
              <w:left w:val="nil"/>
              <w:bottom w:val="single" w:color="auto" w:sz="4" w:space="0"/>
              <w:right w:val="single" w:color="auto" w:sz="4" w:space="0"/>
            </w:tcBorders>
            <w:shd w:val="clear" w:color="auto" w:fill="FFFFFF"/>
            <w:noWrap/>
            <w:vAlign w:val="center"/>
          </w:tcPr>
          <w:p w14:paraId="68ECCA7E">
            <w:pPr>
              <w:widowControl/>
              <w:jc w:val="center"/>
              <w:textAlignment w:val="center"/>
              <w:rPr>
                <w:rFonts w:hint="default" w:ascii="Times New Roman" w:hAnsi="Times New Roman" w:eastAsia="仿宋_GB2312" w:cs="Times New Roman"/>
                <w:color w:val="000000"/>
                <w:kern w:val="2"/>
                <w:sz w:val="22"/>
                <w:szCs w:val="22"/>
                <w:lang w:val="en-US" w:eastAsia="zh-CN" w:bidi="ar-SA"/>
              </w:rPr>
            </w:pPr>
            <w:r>
              <w:rPr>
                <w:rFonts w:hint="eastAsia" w:ascii="Times New Roman" w:hAnsi="Times New Roman" w:eastAsia="仿宋_GB2312" w:cs="Times New Roman"/>
                <w:color w:val="000000"/>
                <w:sz w:val="22"/>
                <w:lang w:val="en-US" w:eastAsia="zh-CN"/>
              </w:rPr>
              <w:t>58</w:t>
            </w:r>
          </w:p>
        </w:tc>
        <w:tc>
          <w:tcPr>
            <w:tcW w:w="1336" w:type="dxa"/>
            <w:tcBorders>
              <w:top w:val="nil"/>
              <w:left w:val="nil"/>
              <w:bottom w:val="single" w:color="auto" w:sz="4" w:space="0"/>
              <w:right w:val="single" w:color="auto" w:sz="4" w:space="0"/>
            </w:tcBorders>
            <w:shd w:val="clear" w:color="auto" w:fill="auto"/>
            <w:noWrap/>
            <w:vAlign w:val="center"/>
          </w:tcPr>
          <w:p w14:paraId="45105F95">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335" w:type="dxa"/>
            <w:tcBorders>
              <w:top w:val="nil"/>
              <w:left w:val="nil"/>
              <w:bottom w:val="single" w:color="auto" w:sz="4" w:space="0"/>
              <w:right w:val="single" w:color="auto" w:sz="4" w:space="0"/>
            </w:tcBorders>
            <w:shd w:val="clear" w:color="auto" w:fill="auto"/>
            <w:noWrap/>
            <w:vAlign w:val="center"/>
          </w:tcPr>
          <w:p w14:paraId="44954F04">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119" w:type="dxa"/>
            <w:tcBorders>
              <w:top w:val="nil"/>
              <w:left w:val="nil"/>
              <w:bottom w:val="single" w:color="auto" w:sz="4" w:space="0"/>
              <w:right w:val="single" w:color="auto" w:sz="4" w:space="0"/>
            </w:tcBorders>
            <w:shd w:val="clear" w:color="auto" w:fill="auto"/>
            <w:noWrap/>
            <w:vAlign w:val="center"/>
          </w:tcPr>
          <w:p w14:paraId="541EF8BB">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235" w:type="dxa"/>
            <w:tcBorders>
              <w:top w:val="nil"/>
              <w:left w:val="nil"/>
              <w:bottom w:val="single" w:color="auto" w:sz="4" w:space="0"/>
              <w:right w:val="single" w:color="auto" w:sz="4" w:space="0"/>
            </w:tcBorders>
            <w:shd w:val="clear" w:color="auto" w:fill="auto"/>
            <w:noWrap/>
            <w:vAlign w:val="center"/>
          </w:tcPr>
          <w:p w14:paraId="216F12BF">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68685853">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noWrap/>
            <w:vAlign w:val="center"/>
          </w:tcPr>
          <w:p w14:paraId="10274D7E">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本年收入合计</w:t>
            </w:r>
          </w:p>
        </w:tc>
        <w:tc>
          <w:tcPr>
            <w:tcW w:w="616" w:type="dxa"/>
            <w:tcBorders>
              <w:top w:val="nil"/>
              <w:left w:val="nil"/>
              <w:bottom w:val="single" w:color="auto" w:sz="4" w:space="0"/>
              <w:right w:val="single" w:color="auto" w:sz="4" w:space="0"/>
            </w:tcBorders>
            <w:shd w:val="clear" w:color="auto" w:fill="auto"/>
            <w:noWrap/>
            <w:vAlign w:val="center"/>
          </w:tcPr>
          <w:p w14:paraId="463AA595">
            <w:pPr>
              <w:widowControl/>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27</w:t>
            </w:r>
          </w:p>
        </w:tc>
        <w:tc>
          <w:tcPr>
            <w:tcW w:w="931" w:type="dxa"/>
            <w:tcBorders>
              <w:top w:val="nil"/>
              <w:left w:val="nil"/>
              <w:bottom w:val="single" w:color="auto" w:sz="4" w:space="0"/>
              <w:right w:val="single" w:color="auto" w:sz="4" w:space="0"/>
            </w:tcBorders>
            <w:shd w:val="clear" w:color="auto" w:fill="auto"/>
            <w:noWrap/>
            <w:vAlign w:val="center"/>
          </w:tcPr>
          <w:p w14:paraId="635EEF99">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3540.73</w:t>
            </w:r>
            <w:r>
              <w:rPr>
                <w:rFonts w:ascii="Times New Roman" w:hAnsi="Times New Roman" w:eastAsia="仿宋_GB2312" w:cs="Times New Roman"/>
                <w:kern w:val="0"/>
                <w:sz w:val="22"/>
              </w:rPr>
              <w:t>　</w:t>
            </w:r>
          </w:p>
        </w:tc>
        <w:tc>
          <w:tcPr>
            <w:tcW w:w="3516" w:type="dxa"/>
            <w:tcBorders>
              <w:top w:val="nil"/>
              <w:left w:val="nil"/>
              <w:bottom w:val="single" w:color="auto" w:sz="4" w:space="0"/>
              <w:right w:val="single" w:color="auto" w:sz="4" w:space="0"/>
            </w:tcBorders>
            <w:shd w:val="clear" w:color="auto" w:fill="auto"/>
            <w:noWrap/>
            <w:vAlign w:val="center"/>
          </w:tcPr>
          <w:p w14:paraId="3AC1BBDF">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本年支出合计</w:t>
            </w:r>
          </w:p>
        </w:tc>
        <w:tc>
          <w:tcPr>
            <w:tcW w:w="616" w:type="dxa"/>
            <w:tcBorders>
              <w:top w:val="nil"/>
              <w:left w:val="nil"/>
              <w:bottom w:val="single" w:color="auto" w:sz="4" w:space="0"/>
              <w:right w:val="single" w:color="auto" w:sz="4" w:space="0"/>
            </w:tcBorders>
            <w:shd w:val="clear" w:color="auto" w:fill="FFFFFF"/>
            <w:noWrap/>
            <w:vAlign w:val="center"/>
          </w:tcPr>
          <w:p w14:paraId="0FCD1D02">
            <w:pPr>
              <w:widowControl/>
              <w:jc w:val="center"/>
              <w:textAlignment w:val="center"/>
              <w:rPr>
                <w:rFonts w:hint="default" w:ascii="Times New Roman" w:hAnsi="Times New Roman" w:eastAsia="仿宋_GB2312" w:cs="Times New Roman"/>
                <w:color w:val="000000"/>
                <w:kern w:val="2"/>
                <w:sz w:val="22"/>
                <w:szCs w:val="22"/>
                <w:lang w:val="en-US" w:eastAsia="zh-CN" w:bidi="ar-SA"/>
              </w:rPr>
            </w:pPr>
            <w:r>
              <w:rPr>
                <w:rFonts w:hint="eastAsia" w:ascii="Times New Roman" w:hAnsi="Times New Roman" w:eastAsia="仿宋_GB2312" w:cs="Times New Roman"/>
                <w:color w:val="000000"/>
                <w:sz w:val="22"/>
                <w:lang w:val="en-US" w:eastAsia="zh-CN"/>
              </w:rPr>
              <w:t>59</w:t>
            </w:r>
          </w:p>
        </w:tc>
        <w:tc>
          <w:tcPr>
            <w:tcW w:w="1336" w:type="dxa"/>
            <w:tcBorders>
              <w:top w:val="nil"/>
              <w:left w:val="nil"/>
              <w:bottom w:val="single" w:color="auto" w:sz="4" w:space="0"/>
              <w:right w:val="single" w:color="auto" w:sz="4" w:space="0"/>
            </w:tcBorders>
            <w:shd w:val="clear" w:color="auto" w:fill="auto"/>
            <w:noWrap/>
            <w:vAlign w:val="center"/>
          </w:tcPr>
          <w:p w14:paraId="0A76CA55">
            <w:pPr>
              <w:widowControl/>
              <w:jc w:val="center"/>
              <w:rPr>
                <w:rFonts w:hint="default" w:ascii="Times New Roman" w:hAnsi="Times New Roman" w:eastAsia="仿宋_GB2312" w:cs="Times New Roman"/>
                <w:kern w:val="0"/>
                <w:sz w:val="22"/>
                <w:lang w:val="en-US" w:eastAsia="zh-CN"/>
              </w:rPr>
            </w:pPr>
            <w:r>
              <w:rPr>
                <w:rFonts w:ascii="Times New Roman" w:hAnsi="Times New Roman" w:eastAsia="仿宋_GB2312" w:cs="Times New Roman"/>
                <w:kern w:val="0"/>
                <w:sz w:val="22"/>
              </w:rPr>
              <w:t>　</w:t>
            </w:r>
            <w:r>
              <w:rPr>
                <w:rFonts w:hint="eastAsia" w:ascii="Times New Roman" w:hAnsi="Times New Roman" w:eastAsia="仿宋_GB2312" w:cs="Times New Roman"/>
                <w:kern w:val="0"/>
                <w:sz w:val="22"/>
                <w:lang w:val="en-US" w:eastAsia="zh-CN"/>
              </w:rPr>
              <w:t>3540.73</w:t>
            </w:r>
          </w:p>
        </w:tc>
        <w:tc>
          <w:tcPr>
            <w:tcW w:w="1335" w:type="dxa"/>
            <w:tcBorders>
              <w:top w:val="nil"/>
              <w:left w:val="nil"/>
              <w:bottom w:val="single" w:color="auto" w:sz="4" w:space="0"/>
              <w:right w:val="single" w:color="auto" w:sz="4" w:space="0"/>
            </w:tcBorders>
            <w:shd w:val="clear" w:color="auto" w:fill="auto"/>
            <w:noWrap/>
            <w:vAlign w:val="center"/>
          </w:tcPr>
          <w:p w14:paraId="6910833B">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520.00</w:t>
            </w:r>
            <w:r>
              <w:rPr>
                <w:rFonts w:ascii="Times New Roman" w:hAnsi="Times New Roman" w:eastAsia="仿宋_GB2312" w:cs="Times New Roman"/>
                <w:kern w:val="0"/>
                <w:sz w:val="22"/>
              </w:rPr>
              <w:t>　</w:t>
            </w:r>
          </w:p>
        </w:tc>
        <w:tc>
          <w:tcPr>
            <w:tcW w:w="1119" w:type="dxa"/>
            <w:tcBorders>
              <w:top w:val="nil"/>
              <w:left w:val="nil"/>
              <w:bottom w:val="single" w:color="auto" w:sz="4" w:space="0"/>
              <w:right w:val="single" w:color="auto" w:sz="4" w:space="0"/>
            </w:tcBorders>
            <w:shd w:val="clear" w:color="auto" w:fill="auto"/>
            <w:noWrap/>
            <w:vAlign w:val="center"/>
          </w:tcPr>
          <w:p w14:paraId="0C33580E">
            <w:pPr>
              <w:widowControl/>
              <w:jc w:val="center"/>
              <w:rPr>
                <w:rFonts w:hint="eastAsia"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3020.73</w:t>
            </w:r>
          </w:p>
        </w:tc>
        <w:tc>
          <w:tcPr>
            <w:tcW w:w="1235" w:type="dxa"/>
            <w:tcBorders>
              <w:top w:val="nil"/>
              <w:left w:val="nil"/>
              <w:bottom w:val="single" w:color="auto" w:sz="4" w:space="0"/>
              <w:right w:val="single" w:color="auto" w:sz="4" w:space="0"/>
            </w:tcBorders>
            <w:shd w:val="clear" w:color="auto" w:fill="auto"/>
            <w:noWrap/>
            <w:vAlign w:val="center"/>
          </w:tcPr>
          <w:p w14:paraId="7B4D7AC5">
            <w:pPr>
              <w:widowControl/>
              <w:jc w:val="left"/>
              <w:rPr>
                <w:rFonts w:hint="eastAsia" w:ascii="Times New Roman" w:hAnsi="Times New Roman" w:eastAsia="仿宋_GB2312" w:cs="Times New Roman"/>
                <w:b/>
                <w:bCs/>
                <w:kern w:val="0"/>
                <w:sz w:val="22"/>
                <w:lang w:val="en-US" w:eastAsia="zh-CN"/>
              </w:rPr>
            </w:pPr>
            <w:r>
              <w:rPr>
                <w:rFonts w:ascii="Times New Roman" w:hAnsi="Times New Roman" w:eastAsia="仿宋_GB2312" w:cs="Times New Roman"/>
                <w:b/>
                <w:bCs/>
                <w:kern w:val="0"/>
                <w:sz w:val="22"/>
              </w:rPr>
              <w:t>　</w:t>
            </w:r>
            <w:r>
              <w:rPr>
                <w:rFonts w:hint="eastAsia" w:ascii="Times New Roman" w:hAnsi="Times New Roman" w:eastAsia="仿宋_GB2312" w:cs="Times New Roman"/>
                <w:kern w:val="0"/>
                <w:sz w:val="22"/>
                <w:lang w:val="en-US" w:eastAsia="zh-CN"/>
              </w:rPr>
              <w:t>0.00</w:t>
            </w:r>
          </w:p>
        </w:tc>
      </w:tr>
      <w:tr w14:paraId="113717D9">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noWrap/>
            <w:vAlign w:val="center"/>
          </w:tcPr>
          <w:p w14:paraId="3AF29C5E">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年初财政拨款结转和结余</w:t>
            </w:r>
          </w:p>
        </w:tc>
        <w:tc>
          <w:tcPr>
            <w:tcW w:w="616" w:type="dxa"/>
            <w:tcBorders>
              <w:top w:val="nil"/>
              <w:left w:val="nil"/>
              <w:bottom w:val="single" w:color="auto" w:sz="4" w:space="0"/>
              <w:right w:val="single" w:color="auto" w:sz="4" w:space="0"/>
            </w:tcBorders>
            <w:shd w:val="clear" w:color="auto" w:fill="auto"/>
            <w:noWrap/>
            <w:vAlign w:val="center"/>
          </w:tcPr>
          <w:p w14:paraId="283F0D59">
            <w:pPr>
              <w:widowControl/>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28</w:t>
            </w:r>
          </w:p>
        </w:tc>
        <w:tc>
          <w:tcPr>
            <w:tcW w:w="931" w:type="dxa"/>
            <w:tcBorders>
              <w:top w:val="nil"/>
              <w:left w:val="nil"/>
              <w:bottom w:val="single" w:color="auto" w:sz="4" w:space="0"/>
              <w:right w:val="single" w:color="auto" w:sz="4" w:space="0"/>
            </w:tcBorders>
            <w:shd w:val="clear" w:color="auto" w:fill="auto"/>
            <w:noWrap/>
            <w:vAlign w:val="center"/>
          </w:tcPr>
          <w:p w14:paraId="6ACEFB79">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3516" w:type="dxa"/>
            <w:tcBorders>
              <w:top w:val="nil"/>
              <w:left w:val="nil"/>
              <w:bottom w:val="single" w:color="auto" w:sz="4" w:space="0"/>
              <w:right w:val="single" w:color="auto" w:sz="4" w:space="0"/>
            </w:tcBorders>
            <w:shd w:val="clear" w:color="auto" w:fill="auto"/>
            <w:noWrap/>
            <w:vAlign w:val="center"/>
          </w:tcPr>
          <w:p w14:paraId="7114D3A0">
            <w:pPr>
              <w:widowControl/>
              <w:jc w:val="both"/>
              <w:rPr>
                <w:rFonts w:ascii="Times New Roman" w:hAnsi="Times New Roman" w:eastAsia="仿宋_GB2312" w:cs="Times New Roman"/>
                <w:kern w:val="0"/>
                <w:sz w:val="22"/>
              </w:rPr>
            </w:pPr>
            <w:r>
              <w:rPr>
                <w:rFonts w:ascii="Times New Roman" w:hAnsi="Times New Roman" w:eastAsia="仿宋_GB2312" w:cs="Times New Roman"/>
                <w:kern w:val="0"/>
                <w:sz w:val="22"/>
              </w:rPr>
              <w:t>年末财政拨款结转和结余</w:t>
            </w:r>
          </w:p>
        </w:tc>
        <w:tc>
          <w:tcPr>
            <w:tcW w:w="616" w:type="dxa"/>
            <w:tcBorders>
              <w:top w:val="nil"/>
              <w:left w:val="nil"/>
              <w:bottom w:val="single" w:color="auto" w:sz="4" w:space="0"/>
              <w:right w:val="single" w:color="auto" w:sz="4" w:space="0"/>
            </w:tcBorders>
            <w:shd w:val="clear" w:color="auto" w:fill="FFFFFF"/>
            <w:noWrap/>
            <w:vAlign w:val="center"/>
          </w:tcPr>
          <w:p w14:paraId="63CC7AAA">
            <w:pPr>
              <w:widowControl/>
              <w:jc w:val="center"/>
              <w:textAlignment w:val="center"/>
              <w:rPr>
                <w:rFonts w:hint="default" w:ascii="Times New Roman" w:hAnsi="Times New Roman" w:eastAsia="仿宋_GB2312" w:cs="Times New Roman"/>
                <w:color w:val="000000"/>
                <w:kern w:val="2"/>
                <w:sz w:val="22"/>
                <w:szCs w:val="22"/>
                <w:lang w:val="en-US" w:eastAsia="zh-CN" w:bidi="ar-SA"/>
              </w:rPr>
            </w:pPr>
            <w:r>
              <w:rPr>
                <w:rFonts w:hint="eastAsia" w:ascii="Times New Roman" w:hAnsi="Times New Roman" w:eastAsia="仿宋_GB2312" w:cs="Times New Roman"/>
                <w:color w:val="000000"/>
                <w:kern w:val="0"/>
                <w:sz w:val="22"/>
                <w:lang w:val="en-US" w:eastAsia="zh-CN" w:bidi="ar"/>
              </w:rPr>
              <w:t>60</w:t>
            </w:r>
          </w:p>
        </w:tc>
        <w:tc>
          <w:tcPr>
            <w:tcW w:w="1336" w:type="dxa"/>
            <w:tcBorders>
              <w:top w:val="nil"/>
              <w:left w:val="nil"/>
              <w:bottom w:val="single" w:color="auto" w:sz="4" w:space="0"/>
              <w:right w:val="single" w:color="auto" w:sz="4" w:space="0"/>
            </w:tcBorders>
            <w:shd w:val="clear" w:color="auto" w:fill="auto"/>
            <w:noWrap/>
            <w:vAlign w:val="center"/>
          </w:tcPr>
          <w:p w14:paraId="5190E566">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0.00</w:t>
            </w:r>
            <w:r>
              <w:rPr>
                <w:rFonts w:ascii="Times New Roman" w:hAnsi="Times New Roman" w:eastAsia="仿宋_GB2312" w:cs="Times New Roman"/>
                <w:kern w:val="0"/>
                <w:sz w:val="22"/>
              </w:rPr>
              <w:t>　</w:t>
            </w:r>
          </w:p>
        </w:tc>
        <w:tc>
          <w:tcPr>
            <w:tcW w:w="1335" w:type="dxa"/>
            <w:tcBorders>
              <w:top w:val="nil"/>
              <w:left w:val="nil"/>
              <w:bottom w:val="single" w:color="auto" w:sz="4" w:space="0"/>
              <w:right w:val="single" w:color="auto" w:sz="4" w:space="0"/>
            </w:tcBorders>
            <w:shd w:val="clear" w:color="auto" w:fill="auto"/>
            <w:noWrap/>
            <w:vAlign w:val="center"/>
          </w:tcPr>
          <w:p w14:paraId="5C056FB1">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0.00</w:t>
            </w:r>
            <w:r>
              <w:rPr>
                <w:rFonts w:ascii="Times New Roman" w:hAnsi="Times New Roman" w:eastAsia="仿宋_GB2312" w:cs="Times New Roman"/>
                <w:kern w:val="0"/>
                <w:sz w:val="22"/>
              </w:rPr>
              <w:t>　</w:t>
            </w:r>
          </w:p>
        </w:tc>
        <w:tc>
          <w:tcPr>
            <w:tcW w:w="1119" w:type="dxa"/>
            <w:tcBorders>
              <w:top w:val="nil"/>
              <w:left w:val="nil"/>
              <w:bottom w:val="single" w:color="auto" w:sz="4" w:space="0"/>
              <w:right w:val="single" w:color="auto" w:sz="4" w:space="0"/>
            </w:tcBorders>
            <w:shd w:val="clear" w:color="auto" w:fill="auto"/>
            <w:noWrap/>
            <w:vAlign w:val="center"/>
          </w:tcPr>
          <w:p w14:paraId="34C62F2F">
            <w:pPr>
              <w:widowControl/>
              <w:jc w:val="center"/>
              <w:rPr>
                <w:rFonts w:hint="eastAsia"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　</w:t>
            </w:r>
          </w:p>
        </w:tc>
        <w:tc>
          <w:tcPr>
            <w:tcW w:w="1235" w:type="dxa"/>
            <w:tcBorders>
              <w:top w:val="nil"/>
              <w:left w:val="nil"/>
              <w:bottom w:val="single" w:color="auto" w:sz="4" w:space="0"/>
              <w:right w:val="single" w:color="auto" w:sz="4" w:space="0"/>
            </w:tcBorders>
            <w:shd w:val="clear" w:color="auto" w:fill="auto"/>
            <w:noWrap/>
            <w:vAlign w:val="center"/>
          </w:tcPr>
          <w:p w14:paraId="6D823CD9">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3A1CC617">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noWrap/>
            <w:vAlign w:val="center"/>
          </w:tcPr>
          <w:p w14:paraId="7CBE8A3F">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一般公共预算财政拨款</w:t>
            </w:r>
          </w:p>
        </w:tc>
        <w:tc>
          <w:tcPr>
            <w:tcW w:w="616" w:type="dxa"/>
            <w:tcBorders>
              <w:top w:val="nil"/>
              <w:left w:val="nil"/>
              <w:bottom w:val="single" w:color="auto" w:sz="4" w:space="0"/>
              <w:right w:val="single" w:color="auto" w:sz="4" w:space="0"/>
            </w:tcBorders>
            <w:shd w:val="clear" w:color="auto" w:fill="auto"/>
            <w:noWrap/>
            <w:vAlign w:val="center"/>
          </w:tcPr>
          <w:p w14:paraId="0EBDD48A">
            <w:pPr>
              <w:widowControl/>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29</w:t>
            </w:r>
          </w:p>
        </w:tc>
        <w:tc>
          <w:tcPr>
            <w:tcW w:w="931" w:type="dxa"/>
            <w:tcBorders>
              <w:top w:val="nil"/>
              <w:left w:val="nil"/>
              <w:bottom w:val="single" w:color="auto" w:sz="4" w:space="0"/>
              <w:right w:val="single" w:color="auto" w:sz="4" w:space="0"/>
            </w:tcBorders>
            <w:shd w:val="clear" w:color="auto" w:fill="auto"/>
            <w:noWrap/>
            <w:vAlign w:val="center"/>
          </w:tcPr>
          <w:p w14:paraId="0641F443">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3516" w:type="dxa"/>
            <w:tcBorders>
              <w:top w:val="nil"/>
              <w:left w:val="nil"/>
              <w:bottom w:val="single" w:color="auto" w:sz="4" w:space="0"/>
              <w:right w:val="single" w:color="auto" w:sz="4" w:space="0"/>
            </w:tcBorders>
            <w:shd w:val="clear" w:color="auto" w:fill="auto"/>
            <w:noWrap/>
            <w:vAlign w:val="center"/>
          </w:tcPr>
          <w:p w14:paraId="1E77B296">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616" w:type="dxa"/>
            <w:tcBorders>
              <w:top w:val="nil"/>
              <w:left w:val="nil"/>
              <w:bottom w:val="single" w:color="auto" w:sz="4" w:space="0"/>
              <w:right w:val="single" w:color="auto" w:sz="4" w:space="0"/>
            </w:tcBorders>
            <w:shd w:val="clear" w:color="auto" w:fill="FFFFFF"/>
            <w:noWrap/>
            <w:vAlign w:val="center"/>
          </w:tcPr>
          <w:p w14:paraId="0562065C">
            <w:pPr>
              <w:widowControl/>
              <w:jc w:val="center"/>
              <w:textAlignment w:val="center"/>
              <w:rPr>
                <w:rFonts w:hint="default" w:ascii="Times New Roman" w:hAnsi="Times New Roman" w:eastAsia="仿宋_GB2312" w:cs="Times New Roman"/>
                <w:color w:val="000000"/>
                <w:kern w:val="0"/>
                <w:sz w:val="22"/>
                <w:szCs w:val="22"/>
                <w:lang w:val="en-US" w:eastAsia="zh-CN" w:bidi="ar"/>
              </w:rPr>
            </w:pPr>
            <w:r>
              <w:rPr>
                <w:rFonts w:hint="eastAsia" w:ascii="Times New Roman" w:hAnsi="Times New Roman" w:eastAsia="仿宋_GB2312" w:cs="Times New Roman"/>
                <w:color w:val="000000"/>
                <w:kern w:val="0"/>
                <w:sz w:val="22"/>
                <w:lang w:val="en-US" w:eastAsia="zh-CN" w:bidi="ar"/>
              </w:rPr>
              <w:t>61</w:t>
            </w:r>
          </w:p>
        </w:tc>
        <w:tc>
          <w:tcPr>
            <w:tcW w:w="1336" w:type="dxa"/>
            <w:tcBorders>
              <w:top w:val="nil"/>
              <w:left w:val="nil"/>
              <w:bottom w:val="single" w:color="auto" w:sz="4" w:space="0"/>
              <w:right w:val="single" w:color="auto" w:sz="4" w:space="0"/>
            </w:tcBorders>
            <w:shd w:val="clear" w:color="auto" w:fill="auto"/>
            <w:noWrap/>
            <w:vAlign w:val="center"/>
          </w:tcPr>
          <w:p w14:paraId="1B33F0BD">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335" w:type="dxa"/>
            <w:tcBorders>
              <w:top w:val="nil"/>
              <w:left w:val="nil"/>
              <w:bottom w:val="single" w:color="auto" w:sz="4" w:space="0"/>
              <w:right w:val="single" w:color="auto" w:sz="4" w:space="0"/>
            </w:tcBorders>
            <w:shd w:val="clear" w:color="auto" w:fill="auto"/>
            <w:noWrap/>
            <w:vAlign w:val="center"/>
          </w:tcPr>
          <w:p w14:paraId="2E320648">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119" w:type="dxa"/>
            <w:tcBorders>
              <w:top w:val="nil"/>
              <w:left w:val="nil"/>
              <w:bottom w:val="single" w:color="auto" w:sz="4" w:space="0"/>
              <w:right w:val="single" w:color="auto" w:sz="4" w:space="0"/>
            </w:tcBorders>
            <w:shd w:val="clear" w:color="auto" w:fill="auto"/>
            <w:noWrap/>
            <w:vAlign w:val="center"/>
          </w:tcPr>
          <w:p w14:paraId="13FE6AAA">
            <w:pPr>
              <w:widowControl/>
              <w:jc w:val="center"/>
              <w:rPr>
                <w:rFonts w:hint="eastAsia"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　</w:t>
            </w:r>
          </w:p>
        </w:tc>
        <w:tc>
          <w:tcPr>
            <w:tcW w:w="1235" w:type="dxa"/>
            <w:tcBorders>
              <w:top w:val="nil"/>
              <w:left w:val="nil"/>
              <w:bottom w:val="single" w:color="auto" w:sz="4" w:space="0"/>
              <w:right w:val="single" w:color="auto" w:sz="4" w:space="0"/>
            </w:tcBorders>
            <w:shd w:val="clear" w:color="auto" w:fill="auto"/>
            <w:noWrap/>
            <w:vAlign w:val="center"/>
          </w:tcPr>
          <w:p w14:paraId="5D71A155">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46D920D5">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noWrap/>
            <w:vAlign w:val="center"/>
          </w:tcPr>
          <w:p w14:paraId="4CCFD282">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政府性基金预算财政拨款</w:t>
            </w:r>
          </w:p>
        </w:tc>
        <w:tc>
          <w:tcPr>
            <w:tcW w:w="616" w:type="dxa"/>
            <w:tcBorders>
              <w:top w:val="nil"/>
              <w:left w:val="nil"/>
              <w:bottom w:val="single" w:color="auto" w:sz="4" w:space="0"/>
              <w:right w:val="single" w:color="auto" w:sz="4" w:space="0"/>
            </w:tcBorders>
            <w:shd w:val="clear" w:color="auto" w:fill="auto"/>
            <w:noWrap/>
            <w:vAlign w:val="center"/>
          </w:tcPr>
          <w:p w14:paraId="2C23846C">
            <w:pPr>
              <w:widowControl/>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30</w:t>
            </w:r>
          </w:p>
        </w:tc>
        <w:tc>
          <w:tcPr>
            <w:tcW w:w="931" w:type="dxa"/>
            <w:tcBorders>
              <w:top w:val="nil"/>
              <w:left w:val="nil"/>
              <w:bottom w:val="single" w:color="auto" w:sz="4" w:space="0"/>
              <w:right w:val="single" w:color="auto" w:sz="4" w:space="0"/>
            </w:tcBorders>
            <w:shd w:val="clear" w:color="auto" w:fill="auto"/>
            <w:noWrap/>
            <w:vAlign w:val="center"/>
          </w:tcPr>
          <w:p w14:paraId="3203EDE6">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3516" w:type="dxa"/>
            <w:tcBorders>
              <w:top w:val="nil"/>
              <w:left w:val="nil"/>
              <w:bottom w:val="single" w:color="auto" w:sz="4" w:space="0"/>
              <w:right w:val="single" w:color="auto" w:sz="4" w:space="0"/>
            </w:tcBorders>
            <w:shd w:val="clear" w:color="auto" w:fill="auto"/>
            <w:noWrap/>
            <w:vAlign w:val="center"/>
          </w:tcPr>
          <w:p w14:paraId="481FF784">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616" w:type="dxa"/>
            <w:tcBorders>
              <w:top w:val="nil"/>
              <w:left w:val="nil"/>
              <w:bottom w:val="single" w:color="auto" w:sz="4" w:space="0"/>
              <w:right w:val="single" w:color="auto" w:sz="4" w:space="0"/>
            </w:tcBorders>
            <w:shd w:val="clear" w:color="auto" w:fill="FFFFFF"/>
            <w:noWrap/>
            <w:vAlign w:val="center"/>
          </w:tcPr>
          <w:p w14:paraId="7D1FE772">
            <w:pPr>
              <w:widowControl/>
              <w:jc w:val="center"/>
              <w:textAlignment w:val="center"/>
              <w:rPr>
                <w:rFonts w:hint="default" w:ascii="Times New Roman" w:hAnsi="Times New Roman" w:eastAsia="仿宋_GB2312" w:cs="Times New Roman"/>
                <w:color w:val="000000"/>
                <w:kern w:val="2"/>
                <w:sz w:val="22"/>
                <w:szCs w:val="22"/>
                <w:lang w:val="en-US" w:eastAsia="zh-CN" w:bidi="ar-SA"/>
              </w:rPr>
            </w:pPr>
            <w:r>
              <w:rPr>
                <w:rFonts w:hint="eastAsia" w:ascii="Times New Roman" w:hAnsi="Times New Roman" w:eastAsia="仿宋_GB2312" w:cs="Times New Roman"/>
                <w:color w:val="000000"/>
                <w:sz w:val="22"/>
                <w:lang w:val="en-US" w:eastAsia="zh-CN"/>
              </w:rPr>
              <w:t>62</w:t>
            </w:r>
          </w:p>
        </w:tc>
        <w:tc>
          <w:tcPr>
            <w:tcW w:w="1336" w:type="dxa"/>
            <w:tcBorders>
              <w:top w:val="nil"/>
              <w:left w:val="nil"/>
              <w:bottom w:val="single" w:color="auto" w:sz="4" w:space="0"/>
              <w:right w:val="single" w:color="auto" w:sz="4" w:space="0"/>
            </w:tcBorders>
            <w:shd w:val="clear" w:color="auto" w:fill="auto"/>
            <w:noWrap/>
            <w:vAlign w:val="center"/>
          </w:tcPr>
          <w:p w14:paraId="24EF59E7">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335" w:type="dxa"/>
            <w:tcBorders>
              <w:top w:val="nil"/>
              <w:left w:val="nil"/>
              <w:bottom w:val="single" w:color="auto" w:sz="4" w:space="0"/>
              <w:right w:val="single" w:color="auto" w:sz="4" w:space="0"/>
            </w:tcBorders>
            <w:shd w:val="clear" w:color="auto" w:fill="auto"/>
            <w:noWrap/>
            <w:vAlign w:val="center"/>
          </w:tcPr>
          <w:p w14:paraId="7C4DD4C1">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119" w:type="dxa"/>
            <w:tcBorders>
              <w:top w:val="nil"/>
              <w:left w:val="nil"/>
              <w:bottom w:val="single" w:color="auto" w:sz="4" w:space="0"/>
              <w:right w:val="single" w:color="auto" w:sz="4" w:space="0"/>
            </w:tcBorders>
            <w:shd w:val="clear" w:color="auto" w:fill="auto"/>
            <w:noWrap/>
            <w:vAlign w:val="center"/>
          </w:tcPr>
          <w:p w14:paraId="31F97958">
            <w:pPr>
              <w:widowControl/>
              <w:jc w:val="center"/>
              <w:rPr>
                <w:rFonts w:hint="eastAsia"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　</w:t>
            </w:r>
          </w:p>
        </w:tc>
        <w:tc>
          <w:tcPr>
            <w:tcW w:w="1235" w:type="dxa"/>
            <w:tcBorders>
              <w:top w:val="nil"/>
              <w:left w:val="nil"/>
              <w:bottom w:val="single" w:color="auto" w:sz="4" w:space="0"/>
              <w:right w:val="single" w:color="auto" w:sz="4" w:space="0"/>
            </w:tcBorders>
            <w:shd w:val="clear" w:color="auto" w:fill="auto"/>
            <w:noWrap/>
            <w:vAlign w:val="center"/>
          </w:tcPr>
          <w:p w14:paraId="3B32A9BB">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36338D78">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noWrap/>
            <w:vAlign w:val="center"/>
          </w:tcPr>
          <w:p w14:paraId="0A7A3AE6">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国有资本经营预算财政拨款</w:t>
            </w:r>
          </w:p>
        </w:tc>
        <w:tc>
          <w:tcPr>
            <w:tcW w:w="616" w:type="dxa"/>
            <w:tcBorders>
              <w:top w:val="nil"/>
              <w:left w:val="nil"/>
              <w:bottom w:val="single" w:color="auto" w:sz="4" w:space="0"/>
              <w:right w:val="single" w:color="auto" w:sz="4" w:space="0"/>
            </w:tcBorders>
            <w:shd w:val="clear" w:color="auto" w:fill="auto"/>
            <w:noWrap/>
            <w:vAlign w:val="center"/>
          </w:tcPr>
          <w:p w14:paraId="1E67A6C7">
            <w:pPr>
              <w:widowControl/>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31</w:t>
            </w:r>
          </w:p>
        </w:tc>
        <w:tc>
          <w:tcPr>
            <w:tcW w:w="931" w:type="dxa"/>
            <w:tcBorders>
              <w:top w:val="nil"/>
              <w:left w:val="nil"/>
              <w:bottom w:val="single" w:color="auto" w:sz="4" w:space="0"/>
              <w:right w:val="single" w:color="auto" w:sz="4" w:space="0"/>
            </w:tcBorders>
            <w:shd w:val="clear" w:color="auto" w:fill="auto"/>
            <w:noWrap/>
            <w:vAlign w:val="center"/>
          </w:tcPr>
          <w:p w14:paraId="765D63FA">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3516" w:type="dxa"/>
            <w:tcBorders>
              <w:top w:val="nil"/>
              <w:left w:val="nil"/>
              <w:bottom w:val="single" w:color="auto" w:sz="4" w:space="0"/>
              <w:right w:val="single" w:color="auto" w:sz="4" w:space="0"/>
            </w:tcBorders>
            <w:shd w:val="clear" w:color="auto" w:fill="auto"/>
            <w:noWrap/>
            <w:vAlign w:val="center"/>
          </w:tcPr>
          <w:p w14:paraId="07029262">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616" w:type="dxa"/>
            <w:tcBorders>
              <w:top w:val="nil"/>
              <w:left w:val="nil"/>
              <w:bottom w:val="single" w:color="auto" w:sz="4" w:space="0"/>
              <w:right w:val="single" w:color="auto" w:sz="4" w:space="0"/>
            </w:tcBorders>
            <w:shd w:val="clear" w:color="auto" w:fill="auto"/>
            <w:noWrap/>
            <w:vAlign w:val="center"/>
          </w:tcPr>
          <w:p w14:paraId="4770F3EE">
            <w:pPr>
              <w:widowControl/>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63</w:t>
            </w:r>
          </w:p>
        </w:tc>
        <w:tc>
          <w:tcPr>
            <w:tcW w:w="1336" w:type="dxa"/>
            <w:tcBorders>
              <w:top w:val="nil"/>
              <w:left w:val="nil"/>
              <w:bottom w:val="single" w:color="auto" w:sz="4" w:space="0"/>
              <w:right w:val="single" w:color="auto" w:sz="4" w:space="0"/>
            </w:tcBorders>
            <w:shd w:val="clear" w:color="auto" w:fill="auto"/>
            <w:noWrap/>
            <w:vAlign w:val="center"/>
          </w:tcPr>
          <w:p w14:paraId="02BE1C02">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335" w:type="dxa"/>
            <w:tcBorders>
              <w:top w:val="nil"/>
              <w:left w:val="nil"/>
              <w:bottom w:val="single" w:color="auto" w:sz="4" w:space="0"/>
              <w:right w:val="single" w:color="auto" w:sz="4" w:space="0"/>
            </w:tcBorders>
            <w:shd w:val="clear" w:color="auto" w:fill="auto"/>
            <w:noWrap/>
            <w:vAlign w:val="center"/>
          </w:tcPr>
          <w:p w14:paraId="1BBDE264">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119" w:type="dxa"/>
            <w:tcBorders>
              <w:top w:val="nil"/>
              <w:left w:val="nil"/>
              <w:bottom w:val="single" w:color="auto" w:sz="4" w:space="0"/>
              <w:right w:val="single" w:color="auto" w:sz="4" w:space="0"/>
            </w:tcBorders>
            <w:shd w:val="clear" w:color="auto" w:fill="auto"/>
            <w:noWrap/>
            <w:vAlign w:val="center"/>
          </w:tcPr>
          <w:p w14:paraId="21A27F4F">
            <w:pPr>
              <w:widowControl/>
              <w:jc w:val="center"/>
              <w:rPr>
                <w:rFonts w:hint="eastAsia"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　</w:t>
            </w:r>
          </w:p>
        </w:tc>
        <w:tc>
          <w:tcPr>
            <w:tcW w:w="1235" w:type="dxa"/>
            <w:tcBorders>
              <w:top w:val="nil"/>
              <w:left w:val="nil"/>
              <w:bottom w:val="single" w:color="auto" w:sz="4" w:space="0"/>
              <w:right w:val="single" w:color="auto" w:sz="4" w:space="0"/>
            </w:tcBorders>
            <w:shd w:val="clear" w:color="auto" w:fill="auto"/>
            <w:noWrap/>
            <w:vAlign w:val="center"/>
          </w:tcPr>
          <w:p w14:paraId="2AA86EF4">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5490B6D9">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000000" w:fill="FFFFFF"/>
            <w:noWrap/>
            <w:vAlign w:val="center"/>
          </w:tcPr>
          <w:p w14:paraId="33968A86">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总计</w:t>
            </w:r>
          </w:p>
        </w:tc>
        <w:tc>
          <w:tcPr>
            <w:tcW w:w="616" w:type="dxa"/>
            <w:tcBorders>
              <w:top w:val="nil"/>
              <w:left w:val="nil"/>
              <w:bottom w:val="single" w:color="auto" w:sz="4" w:space="0"/>
              <w:right w:val="single" w:color="auto" w:sz="4" w:space="0"/>
            </w:tcBorders>
            <w:shd w:val="clear" w:color="000000" w:fill="FFFFFF"/>
            <w:noWrap/>
            <w:vAlign w:val="center"/>
          </w:tcPr>
          <w:p w14:paraId="11E76EC8">
            <w:pPr>
              <w:widowControl/>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32</w:t>
            </w:r>
          </w:p>
        </w:tc>
        <w:tc>
          <w:tcPr>
            <w:tcW w:w="931" w:type="dxa"/>
            <w:tcBorders>
              <w:top w:val="nil"/>
              <w:left w:val="nil"/>
              <w:bottom w:val="single" w:color="auto" w:sz="4" w:space="0"/>
              <w:right w:val="single" w:color="auto" w:sz="4" w:space="0"/>
            </w:tcBorders>
            <w:shd w:val="clear" w:color="auto" w:fill="auto"/>
            <w:noWrap/>
            <w:vAlign w:val="center"/>
          </w:tcPr>
          <w:p w14:paraId="0213A59B">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3540.73</w:t>
            </w:r>
            <w:r>
              <w:rPr>
                <w:rFonts w:ascii="Times New Roman" w:hAnsi="Times New Roman" w:eastAsia="仿宋_GB2312" w:cs="Times New Roman"/>
                <w:kern w:val="0"/>
                <w:sz w:val="22"/>
              </w:rPr>
              <w:t>　</w:t>
            </w:r>
          </w:p>
        </w:tc>
        <w:tc>
          <w:tcPr>
            <w:tcW w:w="3516" w:type="dxa"/>
            <w:tcBorders>
              <w:top w:val="nil"/>
              <w:left w:val="nil"/>
              <w:bottom w:val="single" w:color="auto" w:sz="4" w:space="0"/>
              <w:right w:val="single" w:color="auto" w:sz="4" w:space="0"/>
            </w:tcBorders>
            <w:shd w:val="clear" w:color="000000" w:fill="FFFFFF"/>
            <w:noWrap/>
            <w:vAlign w:val="center"/>
          </w:tcPr>
          <w:p w14:paraId="04179BEB">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总计</w:t>
            </w:r>
          </w:p>
        </w:tc>
        <w:tc>
          <w:tcPr>
            <w:tcW w:w="616" w:type="dxa"/>
            <w:tcBorders>
              <w:top w:val="nil"/>
              <w:left w:val="nil"/>
              <w:bottom w:val="single" w:color="auto" w:sz="4" w:space="0"/>
              <w:right w:val="single" w:color="auto" w:sz="4" w:space="0"/>
            </w:tcBorders>
            <w:shd w:val="clear" w:color="000000" w:fill="FFFFFF"/>
            <w:noWrap/>
            <w:vAlign w:val="center"/>
          </w:tcPr>
          <w:p w14:paraId="22BA34A2">
            <w:pPr>
              <w:widowControl/>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64</w:t>
            </w:r>
          </w:p>
        </w:tc>
        <w:tc>
          <w:tcPr>
            <w:tcW w:w="1336" w:type="dxa"/>
            <w:tcBorders>
              <w:top w:val="nil"/>
              <w:left w:val="nil"/>
              <w:bottom w:val="single" w:color="auto" w:sz="4" w:space="0"/>
              <w:right w:val="single" w:color="auto" w:sz="4" w:space="0"/>
            </w:tcBorders>
            <w:shd w:val="clear" w:color="000000" w:fill="FFFFFF"/>
            <w:noWrap/>
            <w:vAlign w:val="center"/>
          </w:tcPr>
          <w:p w14:paraId="20CFCFC3">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3540.73</w:t>
            </w:r>
            <w:r>
              <w:rPr>
                <w:rFonts w:ascii="Times New Roman" w:hAnsi="Times New Roman" w:eastAsia="仿宋_GB2312" w:cs="Times New Roman"/>
                <w:kern w:val="0"/>
                <w:sz w:val="22"/>
              </w:rPr>
              <w:t>　</w:t>
            </w:r>
          </w:p>
        </w:tc>
        <w:tc>
          <w:tcPr>
            <w:tcW w:w="1335" w:type="dxa"/>
            <w:tcBorders>
              <w:top w:val="nil"/>
              <w:left w:val="nil"/>
              <w:bottom w:val="single" w:color="auto" w:sz="4" w:space="0"/>
              <w:right w:val="single" w:color="auto" w:sz="4" w:space="0"/>
            </w:tcBorders>
            <w:shd w:val="clear" w:color="000000" w:fill="FFFFFF"/>
            <w:noWrap/>
            <w:vAlign w:val="center"/>
          </w:tcPr>
          <w:p w14:paraId="14FF6D82">
            <w:pPr>
              <w:widowControl/>
              <w:jc w:val="center"/>
              <w:rPr>
                <w:rFonts w:hint="default" w:ascii="Times New Roman" w:hAnsi="Times New Roman" w:eastAsia="仿宋_GB2312" w:cs="Times New Roman"/>
                <w:kern w:val="0"/>
                <w:sz w:val="22"/>
                <w:lang w:val="en-US" w:eastAsia="zh-CN"/>
              </w:rPr>
            </w:pPr>
            <w:r>
              <w:rPr>
                <w:rFonts w:ascii="Times New Roman" w:hAnsi="Times New Roman" w:eastAsia="仿宋_GB2312" w:cs="Times New Roman"/>
                <w:kern w:val="0"/>
                <w:sz w:val="22"/>
              </w:rPr>
              <w:t>　</w:t>
            </w:r>
            <w:r>
              <w:rPr>
                <w:rFonts w:hint="eastAsia" w:ascii="Times New Roman" w:hAnsi="Times New Roman" w:eastAsia="仿宋_GB2312" w:cs="Times New Roman"/>
                <w:kern w:val="0"/>
                <w:sz w:val="22"/>
                <w:lang w:val="en-US" w:eastAsia="zh-CN"/>
              </w:rPr>
              <w:t>520.00</w:t>
            </w:r>
          </w:p>
        </w:tc>
        <w:tc>
          <w:tcPr>
            <w:tcW w:w="1119" w:type="dxa"/>
            <w:tcBorders>
              <w:top w:val="nil"/>
              <w:left w:val="nil"/>
              <w:bottom w:val="single" w:color="auto" w:sz="4" w:space="0"/>
              <w:right w:val="single" w:color="auto" w:sz="4" w:space="0"/>
            </w:tcBorders>
            <w:shd w:val="clear" w:color="auto" w:fill="auto"/>
            <w:noWrap/>
            <w:vAlign w:val="center"/>
          </w:tcPr>
          <w:p w14:paraId="0384A4AC">
            <w:pPr>
              <w:widowControl/>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3020.73</w:t>
            </w:r>
          </w:p>
        </w:tc>
        <w:tc>
          <w:tcPr>
            <w:tcW w:w="1235" w:type="dxa"/>
            <w:tcBorders>
              <w:top w:val="nil"/>
              <w:left w:val="nil"/>
              <w:bottom w:val="single" w:color="auto" w:sz="4" w:space="0"/>
              <w:right w:val="single" w:color="auto" w:sz="4" w:space="0"/>
            </w:tcBorders>
            <w:shd w:val="clear" w:color="auto" w:fill="auto"/>
            <w:noWrap/>
            <w:vAlign w:val="center"/>
          </w:tcPr>
          <w:p w14:paraId="6C42E612">
            <w:pPr>
              <w:widowControl/>
              <w:jc w:val="left"/>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　</w:t>
            </w:r>
            <w:r>
              <w:rPr>
                <w:rFonts w:hint="eastAsia" w:ascii="Times New Roman" w:hAnsi="Times New Roman" w:eastAsia="仿宋_GB2312" w:cs="Times New Roman"/>
                <w:kern w:val="0"/>
                <w:sz w:val="22"/>
                <w:lang w:val="en-US" w:eastAsia="zh-CN"/>
              </w:rPr>
              <w:t>0.00</w:t>
            </w:r>
          </w:p>
        </w:tc>
      </w:tr>
    </w:tbl>
    <w:p w14:paraId="2AB27CDD">
      <w:pPr>
        <w:widowControl/>
        <w:jc w:val="lef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注：</w:t>
      </w:r>
      <w:r>
        <w:rPr>
          <w:rFonts w:ascii="Times New Roman" w:hAnsi="Times New Roman" w:eastAsia="仿宋_GB2312" w:cs="Times New Roman"/>
          <w:spacing w:val="-6"/>
          <w:kern w:val="0"/>
          <w:sz w:val="24"/>
          <w:szCs w:val="24"/>
        </w:rPr>
        <w:t>本表反映部门本年度一般公共预算财政拨款、政府性基金预算财政拨款和国有资本经营预算财政拨款的总收支和年末结转结余情况。</w:t>
      </w:r>
    </w:p>
    <w:p w14:paraId="721D67CC">
      <w:pPr>
        <w:widowControl/>
        <w:jc w:val="center"/>
        <w:rPr>
          <w:rFonts w:ascii="Times New Roman" w:hAnsi="Times New Roman" w:eastAsia="方正小标宋_GBK" w:cs="Times New Roman"/>
          <w:kern w:val="0"/>
          <w:sz w:val="36"/>
          <w:szCs w:val="36"/>
        </w:rPr>
      </w:pPr>
    </w:p>
    <w:p w14:paraId="671E7BAB">
      <w:pPr>
        <w:pStyle w:val="2"/>
      </w:pPr>
    </w:p>
    <w:p w14:paraId="3D142AA5">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一般公共预算财政拨款支出决算表</w:t>
      </w:r>
      <w:bookmarkEnd w:id="1"/>
    </w:p>
    <w:p w14:paraId="23A5577D">
      <w:pPr>
        <w:widowControl/>
        <w:spacing w:before="156" w:beforeLines="50"/>
        <w:jc w:val="left"/>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 xml:space="preserve">                                                                                                   </w:t>
      </w:r>
      <w:r>
        <w:rPr>
          <w:rFonts w:hint="eastAsia" w:ascii="Times New Roman" w:hAnsi="Times New Roman" w:eastAsia="仿宋_GB2312" w:cs="Times New Roman"/>
          <w:color w:val="000000"/>
          <w:kern w:val="0"/>
          <w:szCs w:val="21"/>
          <w:lang w:val="en-US" w:eastAsia="zh-CN"/>
        </w:rPr>
        <w:t xml:space="preserve">        </w:t>
      </w:r>
      <w:r>
        <w:rPr>
          <w:rFonts w:ascii="Times New Roman" w:hAnsi="Times New Roman" w:eastAsia="仿宋_GB2312" w:cs="Times New Roman"/>
          <w:color w:val="000000"/>
          <w:kern w:val="0"/>
          <w:szCs w:val="21"/>
        </w:rPr>
        <w:t xml:space="preserve"> </w:t>
      </w:r>
      <w:r>
        <w:rPr>
          <w:rFonts w:hint="eastAsia" w:ascii="Times New Roman" w:hAnsi="Times New Roman" w:eastAsia="仿宋_GB2312" w:cs="Times New Roman"/>
          <w:color w:val="000000"/>
          <w:kern w:val="0"/>
          <w:szCs w:val="21"/>
          <w:lang w:val="en-US" w:eastAsia="zh-CN"/>
        </w:rPr>
        <w:t xml:space="preserve"> </w:t>
      </w:r>
      <w:r>
        <w:rPr>
          <w:rFonts w:ascii="Times New Roman" w:hAnsi="Times New Roman" w:eastAsia="仿宋_GB2312" w:cs="Times New Roman"/>
          <w:color w:val="000000"/>
          <w:kern w:val="0"/>
          <w:szCs w:val="21"/>
        </w:rPr>
        <w:t xml:space="preserve"> </w:t>
      </w:r>
      <w:r>
        <w:rPr>
          <w:rFonts w:hint="eastAsia" w:ascii="Times New Roman" w:hAnsi="Times New Roman" w:eastAsia="仿宋_GB2312" w:cs="Times New Roman"/>
          <w:color w:val="000000"/>
          <w:kern w:val="0"/>
          <w:szCs w:val="21"/>
          <w:lang w:val="en-US" w:eastAsia="zh-CN"/>
        </w:rPr>
        <w:t xml:space="preserve">       </w:t>
      </w:r>
      <w:r>
        <w:rPr>
          <w:rFonts w:ascii="Times New Roman" w:hAnsi="Times New Roman" w:eastAsia="仿宋_GB2312" w:cs="Times New Roman"/>
          <w:color w:val="000000"/>
          <w:kern w:val="0"/>
          <w:szCs w:val="21"/>
        </w:rPr>
        <w:t>公开05表</w:t>
      </w:r>
    </w:p>
    <w:p w14:paraId="7E011F41">
      <w:pPr>
        <w:widowControl/>
        <w:jc w:val="left"/>
        <w:rPr>
          <w:rFonts w:ascii="Times New Roman" w:hAnsi="Times New Roman" w:eastAsia="宋体" w:cs="Times New Roman"/>
          <w:color w:val="000000"/>
          <w:kern w:val="0"/>
          <w:sz w:val="20"/>
          <w:szCs w:val="20"/>
        </w:rPr>
      </w:pPr>
      <w:r>
        <w:rPr>
          <w:rFonts w:ascii="Times New Roman" w:hAnsi="Times New Roman" w:eastAsia="仿宋_GB2312" w:cs="Times New Roman"/>
          <w:color w:val="000000"/>
          <w:kern w:val="0"/>
          <w:szCs w:val="21"/>
        </w:rPr>
        <w:t xml:space="preserve">    部门：</w:t>
      </w:r>
      <w:r>
        <w:rPr>
          <w:rFonts w:hint="eastAsia" w:ascii="Times New Roman" w:hAnsi="Times New Roman" w:eastAsia="仿宋_GB2312" w:cs="Times New Roman"/>
          <w:color w:val="000000"/>
          <w:kern w:val="0"/>
          <w:sz w:val="20"/>
          <w:szCs w:val="20"/>
          <w:lang w:bidi="ar"/>
        </w:rPr>
        <w:t>祁阳现代农业产业园区管理委员会</w:t>
      </w:r>
      <w:r>
        <w:rPr>
          <w:rFonts w:ascii="Times New Roman" w:hAnsi="Times New Roman" w:eastAsia="仿宋_GB2312" w:cs="Times New Roman"/>
          <w:color w:val="000000"/>
          <w:kern w:val="0"/>
          <w:szCs w:val="21"/>
        </w:rPr>
        <w:t xml:space="preserve">                                                                              单位：万元                        </w:t>
      </w:r>
    </w:p>
    <w:tbl>
      <w:tblPr>
        <w:tblStyle w:val="13"/>
        <w:tblW w:w="14219" w:type="dxa"/>
        <w:jc w:val="center"/>
        <w:tblLayout w:type="autofit"/>
        <w:tblCellMar>
          <w:top w:w="0" w:type="dxa"/>
          <w:left w:w="108" w:type="dxa"/>
          <w:bottom w:w="0" w:type="dxa"/>
          <w:right w:w="108" w:type="dxa"/>
        </w:tblCellMar>
      </w:tblPr>
      <w:tblGrid>
        <w:gridCol w:w="1186"/>
        <w:gridCol w:w="3996"/>
        <w:gridCol w:w="2857"/>
        <w:gridCol w:w="3322"/>
        <w:gridCol w:w="2858"/>
      </w:tblGrid>
      <w:tr w14:paraId="162078E7">
        <w:tblPrEx>
          <w:tblCellMar>
            <w:top w:w="0" w:type="dxa"/>
            <w:left w:w="108" w:type="dxa"/>
            <w:bottom w:w="0" w:type="dxa"/>
            <w:right w:w="108" w:type="dxa"/>
          </w:tblCellMar>
        </w:tblPrEx>
        <w:trPr>
          <w:trHeight w:val="545" w:hRule="atLeast"/>
          <w:jc w:val="center"/>
        </w:trPr>
        <w:tc>
          <w:tcPr>
            <w:tcW w:w="5182" w:type="dxa"/>
            <w:gridSpan w:val="2"/>
            <w:tcBorders>
              <w:top w:val="single" w:color="auto" w:sz="8" w:space="0"/>
              <w:left w:val="single" w:color="auto" w:sz="8" w:space="0"/>
              <w:bottom w:val="single" w:color="auto" w:sz="4" w:space="0"/>
              <w:right w:val="single" w:color="auto" w:sz="4" w:space="0"/>
            </w:tcBorders>
            <w:shd w:val="clear" w:color="auto" w:fill="auto"/>
            <w:vAlign w:val="center"/>
          </w:tcPr>
          <w:p w14:paraId="491139F9">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 xml:space="preserve">项 </w:t>
            </w:r>
            <w:r>
              <w:rPr>
                <w:rFonts w:ascii="Times New Roman" w:hAnsi="Times New Roman" w:eastAsia="仿宋_GB2312" w:cs="Times New Roman"/>
                <w:b/>
                <w:color w:val="000000"/>
                <w:kern w:val="0"/>
                <w:szCs w:val="21"/>
              </w:rPr>
              <w:t xml:space="preserve">   </w:t>
            </w:r>
            <w:r>
              <w:rPr>
                <w:rFonts w:ascii="Times New Roman" w:hAnsi="Times New Roman" w:eastAsia="仿宋_GB2312" w:cs="Times New Roman"/>
                <w:b/>
                <w:kern w:val="0"/>
                <w:szCs w:val="21"/>
              </w:rPr>
              <w:t>目</w:t>
            </w:r>
          </w:p>
        </w:tc>
        <w:tc>
          <w:tcPr>
            <w:tcW w:w="9037" w:type="dxa"/>
            <w:gridSpan w:val="3"/>
            <w:tcBorders>
              <w:top w:val="single" w:color="auto" w:sz="8" w:space="0"/>
              <w:left w:val="nil"/>
              <w:bottom w:val="single" w:color="auto" w:sz="4" w:space="0"/>
              <w:right w:val="single" w:color="000000" w:sz="8" w:space="0"/>
            </w:tcBorders>
            <w:shd w:val="clear" w:color="auto" w:fill="auto"/>
            <w:vAlign w:val="center"/>
          </w:tcPr>
          <w:p w14:paraId="5DD7A1EA">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本年支出</w:t>
            </w:r>
          </w:p>
        </w:tc>
      </w:tr>
      <w:tr w14:paraId="783DF164">
        <w:tblPrEx>
          <w:tblCellMar>
            <w:top w:w="0" w:type="dxa"/>
            <w:left w:w="108" w:type="dxa"/>
            <w:bottom w:w="0" w:type="dxa"/>
            <w:right w:w="108" w:type="dxa"/>
          </w:tblCellMar>
        </w:tblPrEx>
        <w:trPr>
          <w:trHeight w:val="312" w:hRule="exact"/>
          <w:jc w:val="center"/>
        </w:trPr>
        <w:tc>
          <w:tcPr>
            <w:tcW w:w="1186" w:type="dxa"/>
            <w:vMerge w:val="restart"/>
            <w:tcBorders>
              <w:top w:val="single" w:color="auto" w:sz="4" w:space="0"/>
              <w:left w:val="single" w:color="auto" w:sz="8" w:space="0"/>
              <w:bottom w:val="single" w:color="auto" w:sz="4" w:space="0"/>
              <w:right w:val="single" w:color="auto" w:sz="4" w:space="0"/>
            </w:tcBorders>
            <w:shd w:val="clear" w:color="auto" w:fill="auto"/>
            <w:vAlign w:val="center"/>
          </w:tcPr>
          <w:p w14:paraId="02BF8EC6">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功能分类科目编码</w:t>
            </w:r>
          </w:p>
        </w:tc>
        <w:tc>
          <w:tcPr>
            <w:tcW w:w="3996" w:type="dxa"/>
            <w:vMerge w:val="restart"/>
            <w:tcBorders>
              <w:top w:val="nil"/>
              <w:left w:val="single" w:color="auto" w:sz="4" w:space="0"/>
              <w:bottom w:val="single" w:color="auto" w:sz="4" w:space="0"/>
              <w:right w:val="single" w:color="auto" w:sz="4" w:space="0"/>
            </w:tcBorders>
            <w:shd w:val="clear" w:color="auto" w:fill="auto"/>
            <w:vAlign w:val="center"/>
          </w:tcPr>
          <w:p w14:paraId="5FF0486F">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科目名称</w:t>
            </w:r>
          </w:p>
        </w:tc>
        <w:tc>
          <w:tcPr>
            <w:tcW w:w="2857" w:type="dxa"/>
            <w:vMerge w:val="restart"/>
            <w:tcBorders>
              <w:top w:val="nil"/>
              <w:left w:val="single" w:color="auto" w:sz="4" w:space="0"/>
              <w:bottom w:val="single" w:color="000000" w:sz="4" w:space="0"/>
              <w:right w:val="single" w:color="auto" w:sz="4" w:space="0"/>
            </w:tcBorders>
            <w:shd w:val="clear" w:color="auto" w:fill="auto"/>
            <w:vAlign w:val="center"/>
          </w:tcPr>
          <w:p w14:paraId="094D8B3B">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小计</w:t>
            </w:r>
          </w:p>
        </w:tc>
        <w:tc>
          <w:tcPr>
            <w:tcW w:w="3322" w:type="dxa"/>
            <w:vMerge w:val="restart"/>
            <w:tcBorders>
              <w:top w:val="nil"/>
              <w:left w:val="single" w:color="auto" w:sz="4" w:space="0"/>
              <w:bottom w:val="single" w:color="000000" w:sz="4" w:space="0"/>
              <w:right w:val="single" w:color="auto" w:sz="4" w:space="0"/>
            </w:tcBorders>
            <w:shd w:val="clear" w:color="auto" w:fill="auto"/>
            <w:vAlign w:val="center"/>
          </w:tcPr>
          <w:p w14:paraId="47F23565">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基本支出</w:t>
            </w:r>
          </w:p>
        </w:tc>
        <w:tc>
          <w:tcPr>
            <w:tcW w:w="2858" w:type="dxa"/>
            <w:vMerge w:val="restart"/>
            <w:tcBorders>
              <w:top w:val="nil"/>
              <w:left w:val="single" w:color="auto" w:sz="4" w:space="0"/>
              <w:bottom w:val="single" w:color="000000" w:sz="4" w:space="0"/>
              <w:right w:val="single" w:color="auto" w:sz="8" w:space="0"/>
            </w:tcBorders>
            <w:shd w:val="clear" w:color="auto" w:fill="auto"/>
            <w:vAlign w:val="center"/>
          </w:tcPr>
          <w:p w14:paraId="52FA8AE2">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项目支出</w:t>
            </w:r>
          </w:p>
        </w:tc>
      </w:tr>
      <w:tr w14:paraId="3B912809">
        <w:tblPrEx>
          <w:tblCellMar>
            <w:top w:w="0" w:type="dxa"/>
            <w:left w:w="108" w:type="dxa"/>
            <w:bottom w:w="0" w:type="dxa"/>
            <w:right w:w="108" w:type="dxa"/>
          </w:tblCellMar>
        </w:tblPrEx>
        <w:trPr>
          <w:trHeight w:val="360" w:hRule="atLeast"/>
          <w:jc w:val="center"/>
        </w:trPr>
        <w:tc>
          <w:tcPr>
            <w:tcW w:w="1186" w:type="dxa"/>
            <w:vMerge w:val="continue"/>
            <w:tcBorders>
              <w:top w:val="single" w:color="auto" w:sz="4" w:space="0"/>
              <w:left w:val="single" w:color="auto" w:sz="8" w:space="0"/>
              <w:bottom w:val="single" w:color="auto" w:sz="4" w:space="0"/>
              <w:right w:val="single" w:color="auto" w:sz="4" w:space="0"/>
            </w:tcBorders>
            <w:vAlign w:val="center"/>
          </w:tcPr>
          <w:p w14:paraId="6927B85C">
            <w:pPr>
              <w:widowControl/>
              <w:jc w:val="left"/>
              <w:rPr>
                <w:rFonts w:ascii="Times New Roman" w:hAnsi="Times New Roman" w:eastAsia="仿宋_GB2312" w:cs="Times New Roman"/>
                <w:kern w:val="0"/>
                <w:szCs w:val="21"/>
              </w:rPr>
            </w:pPr>
          </w:p>
        </w:tc>
        <w:tc>
          <w:tcPr>
            <w:tcW w:w="3996" w:type="dxa"/>
            <w:vMerge w:val="continue"/>
            <w:tcBorders>
              <w:top w:val="nil"/>
              <w:left w:val="single" w:color="auto" w:sz="4" w:space="0"/>
              <w:bottom w:val="single" w:color="auto" w:sz="4" w:space="0"/>
              <w:right w:val="single" w:color="auto" w:sz="4" w:space="0"/>
            </w:tcBorders>
            <w:vAlign w:val="center"/>
          </w:tcPr>
          <w:p w14:paraId="5717FE0F">
            <w:pPr>
              <w:widowControl/>
              <w:jc w:val="left"/>
              <w:rPr>
                <w:rFonts w:ascii="Times New Roman" w:hAnsi="Times New Roman" w:eastAsia="仿宋_GB2312" w:cs="Times New Roman"/>
                <w:kern w:val="0"/>
                <w:szCs w:val="21"/>
              </w:rPr>
            </w:pPr>
          </w:p>
        </w:tc>
        <w:tc>
          <w:tcPr>
            <w:tcW w:w="2857" w:type="dxa"/>
            <w:vMerge w:val="continue"/>
            <w:tcBorders>
              <w:top w:val="nil"/>
              <w:left w:val="single" w:color="auto" w:sz="4" w:space="0"/>
              <w:bottom w:val="single" w:color="000000" w:sz="4" w:space="0"/>
              <w:right w:val="single" w:color="auto" w:sz="4" w:space="0"/>
            </w:tcBorders>
            <w:vAlign w:val="center"/>
          </w:tcPr>
          <w:p w14:paraId="4913BBB4">
            <w:pPr>
              <w:widowControl/>
              <w:jc w:val="left"/>
              <w:rPr>
                <w:rFonts w:ascii="Times New Roman" w:hAnsi="Times New Roman" w:eastAsia="仿宋_GB2312" w:cs="Times New Roman"/>
                <w:kern w:val="0"/>
                <w:szCs w:val="21"/>
              </w:rPr>
            </w:pPr>
          </w:p>
        </w:tc>
        <w:tc>
          <w:tcPr>
            <w:tcW w:w="3322" w:type="dxa"/>
            <w:vMerge w:val="continue"/>
            <w:tcBorders>
              <w:top w:val="nil"/>
              <w:left w:val="single" w:color="auto" w:sz="4" w:space="0"/>
              <w:bottom w:val="single" w:color="000000" w:sz="4" w:space="0"/>
              <w:right w:val="single" w:color="auto" w:sz="4" w:space="0"/>
            </w:tcBorders>
            <w:vAlign w:val="center"/>
          </w:tcPr>
          <w:p w14:paraId="40D3D68F">
            <w:pPr>
              <w:widowControl/>
              <w:jc w:val="left"/>
              <w:rPr>
                <w:rFonts w:ascii="Times New Roman" w:hAnsi="Times New Roman" w:eastAsia="仿宋_GB2312" w:cs="Times New Roman"/>
                <w:kern w:val="0"/>
                <w:szCs w:val="21"/>
              </w:rPr>
            </w:pPr>
          </w:p>
        </w:tc>
        <w:tc>
          <w:tcPr>
            <w:tcW w:w="2858" w:type="dxa"/>
            <w:vMerge w:val="continue"/>
            <w:tcBorders>
              <w:top w:val="nil"/>
              <w:left w:val="single" w:color="auto" w:sz="4" w:space="0"/>
              <w:bottom w:val="single" w:color="000000" w:sz="4" w:space="0"/>
              <w:right w:val="single" w:color="auto" w:sz="8" w:space="0"/>
            </w:tcBorders>
            <w:vAlign w:val="center"/>
          </w:tcPr>
          <w:p w14:paraId="62FF9166">
            <w:pPr>
              <w:widowControl/>
              <w:jc w:val="left"/>
              <w:rPr>
                <w:rFonts w:ascii="Times New Roman" w:hAnsi="Times New Roman" w:eastAsia="仿宋_GB2312" w:cs="Times New Roman"/>
                <w:kern w:val="0"/>
                <w:szCs w:val="21"/>
              </w:rPr>
            </w:pPr>
          </w:p>
        </w:tc>
      </w:tr>
      <w:tr w14:paraId="6428500E">
        <w:tblPrEx>
          <w:tblCellMar>
            <w:top w:w="0" w:type="dxa"/>
            <w:left w:w="108" w:type="dxa"/>
            <w:bottom w:w="0" w:type="dxa"/>
            <w:right w:w="108" w:type="dxa"/>
          </w:tblCellMar>
        </w:tblPrEx>
        <w:trPr>
          <w:trHeight w:val="312" w:hRule="atLeast"/>
          <w:jc w:val="center"/>
        </w:trPr>
        <w:tc>
          <w:tcPr>
            <w:tcW w:w="1186" w:type="dxa"/>
            <w:vMerge w:val="continue"/>
            <w:tcBorders>
              <w:top w:val="single" w:color="auto" w:sz="4" w:space="0"/>
              <w:left w:val="single" w:color="auto" w:sz="8" w:space="0"/>
              <w:bottom w:val="single" w:color="auto" w:sz="4" w:space="0"/>
              <w:right w:val="single" w:color="auto" w:sz="4" w:space="0"/>
            </w:tcBorders>
            <w:vAlign w:val="center"/>
          </w:tcPr>
          <w:p w14:paraId="0F24EA7E">
            <w:pPr>
              <w:widowControl/>
              <w:jc w:val="left"/>
              <w:rPr>
                <w:rFonts w:ascii="Times New Roman" w:hAnsi="Times New Roman" w:eastAsia="仿宋_GB2312" w:cs="Times New Roman"/>
                <w:kern w:val="0"/>
                <w:szCs w:val="21"/>
              </w:rPr>
            </w:pPr>
          </w:p>
        </w:tc>
        <w:tc>
          <w:tcPr>
            <w:tcW w:w="3996" w:type="dxa"/>
            <w:vMerge w:val="continue"/>
            <w:tcBorders>
              <w:top w:val="nil"/>
              <w:left w:val="single" w:color="auto" w:sz="4" w:space="0"/>
              <w:bottom w:val="single" w:color="auto" w:sz="4" w:space="0"/>
              <w:right w:val="single" w:color="auto" w:sz="4" w:space="0"/>
            </w:tcBorders>
            <w:vAlign w:val="center"/>
          </w:tcPr>
          <w:p w14:paraId="781B8828">
            <w:pPr>
              <w:widowControl/>
              <w:jc w:val="left"/>
              <w:rPr>
                <w:rFonts w:ascii="Times New Roman" w:hAnsi="Times New Roman" w:eastAsia="仿宋_GB2312" w:cs="Times New Roman"/>
                <w:kern w:val="0"/>
                <w:szCs w:val="21"/>
              </w:rPr>
            </w:pPr>
          </w:p>
        </w:tc>
        <w:tc>
          <w:tcPr>
            <w:tcW w:w="2857" w:type="dxa"/>
            <w:vMerge w:val="continue"/>
            <w:tcBorders>
              <w:top w:val="nil"/>
              <w:left w:val="single" w:color="auto" w:sz="4" w:space="0"/>
              <w:bottom w:val="single" w:color="000000" w:sz="4" w:space="0"/>
              <w:right w:val="single" w:color="auto" w:sz="4" w:space="0"/>
            </w:tcBorders>
            <w:vAlign w:val="center"/>
          </w:tcPr>
          <w:p w14:paraId="628CD367">
            <w:pPr>
              <w:widowControl/>
              <w:jc w:val="left"/>
              <w:rPr>
                <w:rFonts w:ascii="Times New Roman" w:hAnsi="Times New Roman" w:eastAsia="仿宋_GB2312" w:cs="Times New Roman"/>
                <w:kern w:val="0"/>
                <w:szCs w:val="21"/>
              </w:rPr>
            </w:pPr>
          </w:p>
        </w:tc>
        <w:tc>
          <w:tcPr>
            <w:tcW w:w="3322" w:type="dxa"/>
            <w:vMerge w:val="continue"/>
            <w:tcBorders>
              <w:top w:val="nil"/>
              <w:left w:val="single" w:color="auto" w:sz="4" w:space="0"/>
              <w:bottom w:val="single" w:color="000000" w:sz="4" w:space="0"/>
              <w:right w:val="single" w:color="auto" w:sz="4" w:space="0"/>
            </w:tcBorders>
            <w:vAlign w:val="center"/>
          </w:tcPr>
          <w:p w14:paraId="45EB6F11">
            <w:pPr>
              <w:widowControl/>
              <w:jc w:val="left"/>
              <w:rPr>
                <w:rFonts w:ascii="Times New Roman" w:hAnsi="Times New Roman" w:eastAsia="仿宋_GB2312" w:cs="Times New Roman"/>
                <w:kern w:val="0"/>
                <w:szCs w:val="21"/>
              </w:rPr>
            </w:pPr>
          </w:p>
        </w:tc>
        <w:tc>
          <w:tcPr>
            <w:tcW w:w="2858" w:type="dxa"/>
            <w:vMerge w:val="continue"/>
            <w:tcBorders>
              <w:top w:val="nil"/>
              <w:left w:val="single" w:color="auto" w:sz="4" w:space="0"/>
              <w:bottom w:val="single" w:color="000000" w:sz="4" w:space="0"/>
              <w:right w:val="single" w:color="auto" w:sz="8" w:space="0"/>
            </w:tcBorders>
            <w:vAlign w:val="center"/>
          </w:tcPr>
          <w:p w14:paraId="05DC2D7B">
            <w:pPr>
              <w:widowControl/>
              <w:jc w:val="left"/>
              <w:rPr>
                <w:rFonts w:ascii="Times New Roman" w:hAnsi="Times New Roman" w:eastAsia="仿宋_GB2312" w:cs="Times New Roman"/>
                <w:kern w:val="0"/>
                <w:szCs w:val="21"/>
              </w:rPr>
            </w:pPr>
          </w:p>
        </w:tc>
      </w:tr>
      <w:tr w14:paraId="3915ED11">
        <w:tblPrEx>
          <w:tblCellMar>
            <w:top w:w="0" w:type="dxa"/>
            <w:left w:w="108" w:type="dxa"/>
            <w:bottom w:w="0" w:type="dxa"/>
            <w:right w:w="108" w:type="dxa"/>
          </w:tblCellMar>
        </w:tblPrEx>
        <w:trPr>
          <w:trHeight w:val="450" w:hRule="atLeast"/>
          <w:jc w:val="center"/>
        </w:trPr>
        <w:tc>
          <w:tcPr>
            <w:tcW w:w="5182" w:type="dxa"/>
            <w:gridSpan w:val="2"/>
            <w:tcBorders>
              <w:top w:val="single" w:color="auto" w:sz="4" w:space="0"/>
              <w:left w:val="single" w:color="auto" w:sz="8" w:space="0"/>
              <w:bottom w:val="single" w:color="auto" w:sz="4" w:space="0"/>
              <w:right w:val="single" w:color="auto" w:sz="4" w:space="0"/>
            </w:tcBorders>
            <w:shd w:val="clear" w:color="auto" w:fill="auto"/>
            <w:vAlign w:val="center"/>
          </w:tcPr>
          <w:p w14:paraId="154809C0">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栏次</w:t>
            </w:r>
          </w:p>
        </w:tc>
        <w:tc>
          <w:tcPr>
            <w:tcW w:w="2857" w:type="dxa"/>
            <w:tcBorders>
              <w:top w:val="nil"/>
              <w:left w:val="nil"/>
              <w:bottom w:val="single" w:color="auto" w:sz="4" w:space="0"/>
              <w:right w:val="single" w:color="auto" w:sz="4" w:space="0"/>
            </w:tcBorders>
            <w:shd w:val="clear" w:color="auto" w:fill="auto"/>
            <w:vAlign w:val="center"/>
          </w:tcPr>
          <w:p w14:paraId="6F175A3C">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1</w:t>
            </w:r>
          </w:p>
        </w:tc>
        <w:tc>
          <w:tcPr>
            <w:tcW w:w="3322" w:type="dxa"/>
            <w:tcBorders>
              <w:top w:val="nil"/>
              <w:left w:val="nil"/>
              <w:bottom w:val="single" w:color="auto" w:sz="4" w:space="0"/>
              <w:right w:val="single" w:color="auto" w:sz="4" w:space="0"/>
            </w:tcBorders>
            <w:shd w:val="clear" w:color="auto" w:fill="auto"/>
            <w:vAlign w:val="center"/>
          </w:tcPr>
          <w:p w14:paraId="3ACB5922">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2</w:t>
            </w:r>
          </w:p>
        </w:tc>
        <w:tc>
          <w:tcPr>
            <w:tcW w:w="2858" w:type="dxa"/>
            <w:tcBorders>
              <w:top w:val="nil"/>
              <w:left w:val="nil"/>
              <w:bottom w:val="single" w:color="auto" w:sz="4" w:space="0"/>
              <w:right w:val="single" w:color="auto" w:sz="8" w:space="0"/>
            </w:tcBorders>
            <w:shd w:val="clear" w:color="auto" w:fill="auto"/>
            <w:vAlign w:val="center"/>
          </w:tcPr>
          <w:p w14:paraId="2634E9DE">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3</w:t>
            </w:r>
          </w:p>
        </w:tc>
      </w:tr>
      <w:tr w14:paraId="1F452F71">
        <w:tblPrEx>
          <w:tblCellMar>
            <w:top w:w="0" w:type="dxa"/>
            <w:left w:w="108" w:type="dxa"/>
            <w:bottom w:w="0" w:type="dxa"/>
            <w:right w:w="108" w:type="dxa"/>
          </w:tblCellMar>
        </w:tblPrEx>
        <w:trPr>
          <w:trHeight w:val="450" w:hRule="atLeast"/>
          <w:jc w:val="center"/>
        </w:trPr>
        <w:tc>
          <w:tcPr>
            <w:tcW w:w="5182" w:type="dxa"/>
            <w:gridSpan w:val="2"/>
            <w:tcBorders>
              <w:top w:val="single" w:color="auto" w:sz="4" w:space="0"/>
              <w:left w:val="single" w:color="auto" w:sz="8" w:space="0"/>
              <w:bottom w:val="single" w:color="auto" w:sz="4" w:space="0"/>
              <w:right w:val="single" w:color="auto" w:sz="4" w:space="0"/>
            </w:tcBorders>
            <w:shd w:val="clear" w:color="auto" w:fill="auto"/>
            <w:vAlign w:val="center"/>
          </w:tcPr>
          <w:p w14:paraId="7CA8A7B1">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合计</w:t>
            </w:r>
          </w:p>
        </w:tc>
        <w:tc>
          <w:tcPr>
            <w:tcW w:w="2857" w:type="dxa"/>
            <w:tcBorders>
              <w:top w:val="nil"/>
              <w:left w:val="nil"/>
              <w:bottom w:val="single" w:color="auto" w:sz="4" w:space="0"/>
              <w:right w:val="single" w:color="auto" w:sz="4" w:space="0"/>
            </w:tcBorders>
            <w:shd w:val="clear" w:color="auto" w:fill="auto"/>
            <w:vAlign w:val="center"/>
          </w:tcPr>
          <w:p w14:paraId="08ABD523">
            <w:pPr>
              <w:widowControl/>
              <w:jc w:val="center"/>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520.00</w:t>
            </w:r>
          </w:p>
        </w:tc>
        <w:tc>
          <w:tcPr>
            <w:tcW w:w="3322" w:type="dxa"/>
            <w:tcBorders>
              <w:top w:val="nil"/>
              <w:left w:val="nil"/>
              <w:bottom w:val="single" w:color="auto" w:sz="4" w:space="0"/>
              <w:right w:val="single" w:color="auto" w:sz="4" w:space="0"/>
            </w:tcBorders>
            <w:shd w:val="clear" w:color="auto" w:fill="auto"/>
            <w:vAlign w:val="center"/>
          </w:tcPr>
          <w:p w14:paraId="21879B26">
            <w:pPr>
              <w:widowControl/>
              <w:tabs>
                <w:tab w:val="left" w:pos="277"/>
                <w:tab w:val="center" w:pos="1803"/>
              </w:tabs>
              <w:jc w:val="center"/>
              <w:rPr>
                <w:rFonts w:hint="default" w:ascii="Times New Roman" w:hAnsi="Times New Roman" w:eastAsia="仿宋_GB2312" w:cs="Times New Roman"/>
                <w:kern w:val="0"/>
                <w:szCs w:val="21"/>
                <w:lang w:val="en-US"/>
              </w:rPr>
            </w:pPr>
            <w:r>
              <w:rPr>
                <w:rFonts w:hint="eastAsia" w:ascii="Times New Roman" w:hAnsi="Times New Roman" w:eastAsia="仿宋_GB2312" w:cs="Times New Roman"/>
                <w:kern w:val="0"/>
                <w:szCs w:val="21"/>
                <w:lang w:val="en-US" w:eastAsia="zh-CN"/>
              </w:rPr>
              <w:t>74.53</w:t>
            </w:r>
          </w:p>
        </w:tc>
        <w:tc>
          <w:tcPr>
            <w:tcW w:w="2858" w:type="dxa"/>
            <w:tcBorders>
              <w:top w:val="nil"/>
              <w:left w:val="nil"/>
              <w:bottom w:val="single" w:color="auto" w:sz="4" w:space="0"/>
              <w:right w:val="single" w:color="auto" w:sz="8" w:space="0"/>
            </w:tcBorders>
            <w:shd w:val="clear" w:color="auto" w:fill="auto"/>
            <w:vAlign w:val="center"/>
          </w:tcPr>
          <w:p w14:paraId="5EC4F8C0">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lang w:val="en-US" w:eastAsia="zh-CN"/>
              </w:rPr>
              <w:t>445.47</w:t>
            </w:r>
          </w:p>
        </w:tc>
      </w:tr>
      <w:tr w14:paraId="573899AA">
        <w:tblPrEx>
          <w:tblCellMar>
            <w:top w:w="0" w:type="dxa"/>
            <w:left w:w="108" w:type="dxa"/>
            <w:bottom w:w="0" w:type="dxa"/>
            <w:right w:w="108" w:type="dxa"/>
          </w:tblCellMar>
        </w:tblPrEx>
        <w:trPr>
          <w:trHeight w:val="450" w:hRule="atLeast"/>
          <w:jc w:val="center"/>
        </w:trPr>
        <w:tc>
          <w:tcPr>
            <w:tcW w:w="1186" w:type="dxa"/>
            <w:tcBorders>
              <w:top w:val="single" w:color="auto" w:sz="4" w:space="0"/>
              <w:left w:val="single" w:color="auto" w:sz="8" w:space="0"/>
              <w:bottom w:val="single" w:color="auto" w:sz="4" w:space="0"/>
              <w:right w:val="single" w:color="auto" w:sz="4" w:space="0"/>
            </w:tcBorders>
            <w:shd w:val="clear" w:color="000000" w:fill="FFFFFF"/>
            <w:vAlign w:val="center"/>
          </w:tcPr>
          <w:p w14:paraId="7F893F21">
            <w:pPr>
              <w:jc w:val="left"/>
              <w:rPr>
                <w:rFonts w:hint="eastAsia" w:ascii="仿宋_GB2312" w:hAnsi="仿宋_GB2312" w:eastAsia="仿宋_GB2312" w:cs="仿宋_GB2312"/>
                <w:kern w:val="2"/>
                <w:sz w:val="24"/>
                <w:szCs w:val="24"/>
                <w:lang w:val="en-US" w:eastAsia="zh-CN" w:bidi="ar-SA"/>
              </w:rPr>
            </w:pPr>
            <w:r>
              <w:rPr>
                <w:rFonts w:hint="eastAsia" w:ascii="仿宋_GB2312" w:hAnsi="仿宋_GB2312" w:eastAsia="仿宋_GB2312" w:cs="仿宋_GB2312"/>
              </w:rPr>
              <w:t>208</w:t>
            </w:r>
          </w:p>
        </w:tc>
        <w:tc>
          <w:tcPr>
            <w:tcW w:w="3996" w:type="dxa"/>
            <w:tcBorders>
              <w:top w:val="nil"/>
              <w:left w:val="nil"/>
              <w:bottom w:val="single" w:color="auto" w:sz="4" w:space="0"/>
              <w:right w:val="single" w:color="auto" w:sz="4" w:space="0"/>
            </w:tcBorders>
            <w:shd w:val="clear" w:color="000000" w:fill="FFFFFF"/>
            <w:vAlign w:val="center"/>
          </w:tcPr>
          <w:p w14:paraId="01A712C0">
            <w:pPr>
              <w:rPr>
                <w:rFonts w:hint="eastAsia" w:ascii="仿宋_GB2312" w:hAnsi="仿宋_GB2312" w:eastAsia="仿宋_GB2312" w:cs="仿宋_GB2312"/>
                <w:kern w:val="2"/>
                <w:sz w:val="24"/>
                <w:szCs w:val="24"/>
                <w:lang w:val="en-US" w:eastAsia="zh-CN" w:bidi="ar-SA"/>
              </w:rPr>
            </w:pPr>
            <w:r>
              <w:rPr>
                <w:rFonts w:hint="eastAsia" w:ascii="仿宋_GB2312" w:hAnsi="仿宋_GB2312" w:eastAsia="仿宋_GB2312" w:cs="仿宋_GB2312"/>
              </w:rPr>
              <w:t>社会保障和就业支出</w:t>
            </w:r>
          </w:p>
        </w:tc>
        <w:tc>
          <w:tcPr>
            <w:tcW w:w="2857" w:type="dxa"/>
            <w:tcBorders>
              <w:top w:val="nil"/>
              <w:left w:val="nil"/>
              <w:bottom w:val="single" w:color="auto" w:sz="4" w:space="0"/>
              <w:right w:val="single" w:color="auto" w:sz="4" w:space="0"/>
            </w:tcBorders>
            <w:shd w:val="clear" w:color="auto" w:fill="auto"/>
            <w:vAlign w:val="center"/>
          </w:tcPr>
          <w:p w14:paraId="04E87744">
            <w:pPr>
              <w:widowControl/>
              <w:jc w:val="center"/>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6.54</w:t>
            </w:r>
          </w:p>
        </w:tc>
        <w:tc>
          <w:tcPr>
            <w:tcW w:w="3322" w:type="dxa"/>
            <w:tcBorders>
              <w:top w:val="nil"/>
              <w:left w:val="nil"/>
              <w:bottom w:val="single" w:color="auto" w:sz="4" w:space="0"/>
              <w:right w:val="single" w:color="auto" w:sz="4" w:space="0"/>
            </w:tcBorders>
            <w:shd w:val="clear" w:color="auto" w:fill="auto"/>
            <w:vAlign w:val="center"/>
          </w:tcPr>
          <w:p w14:paraId="42A75BC9">
            <w:pPr>
              <w:widowControl/>
              <w:jc w:val="center"/>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6.54</w:t>
            </w:r>
          </w:p>
        </w:tc>
        <w:tc>
          <w:tcPr>
            <w:tcW w:w="2858" w:type="dxa"/>
            <w:tcBorders>
              <w:top w:val="nil"/>
              <w:left w:val="nil"/>
              <w:bottom w:val="single" w:color="auto" w:sz="4" w:space="0"/>
              <w:right w:val="single" w:color="auto" w:sz="8" w:space="0"/>
            </w:tcBorders>
            <w:shd w:val="clear" w:color="auto" w:fill="auto"/>
            <w:vAlign w:val="center"/>
          </w:tcPr>
          <w:p w14:paraId="20C3DF45">
            <w:pPr>
              <w:widowControl/>
              <w:jc w:val="center"/>
              <w:rPr>
                <w:rFonts w:ascii="Times New Roman" w:hAnsi="Times New Roman" w:eastAsia="仿宋_GB2312" w:cs="Times New Roman"/>
                <w:kern w:val="0"/>
                <w:szCs w:val="21"/>
              </w:rPr>
            </w:pPr>
          </w:p>
        </w:tc>
      </w:tr>
      <w:tr w14:paraId="30AD010B">
        <w:tblPrEx>
          <w:tblCellMar>
            <w:top w:w="0" w:type="dxa"/>
            <w:left w:w="108" w:type="dxa"/>
            <w:bottom w:w="0" w:type="dxa"/>
            <w:right w:w="108" w:type="dxa"/>
          </w:tblCellMar>
        </w:tblPrEx>
        <w:trPr>
          <w:trHeight w:val="450" w:hRule="atLeast"/>
          <w:jc w:val="center"/>
        </w:trPr>
        <w:tc>
          <w:tcPr>
            <w:tcW w:w="1186" w:type="dxa"/>
            <w:tcBorders>
              <w:top w:val="single" w:color="auto" w:sz="4" w:space="0"/>
              <w:left w:val="single" w:color="auto" w:sz="8" w:space="0"/>
              <w:bottom w:val="single" w:color="auto" w:sz="4" w:space="0"/>
              <w:right w:val="single" w:color="auto" w:sz="4" w:space="0"/>
            </w:tcBorders>
            <w:shd w:val="clear" w:color="000000" w:fill="FFFFFF"/>
            <w:vAlign w:val="center"/>
          </w:tcPr>
          <w:p w14:paraId="7D3617CD">
            <w:pPr>
              <w:jc w:val="left"/>
              <w:rPr>
                <w:rFonts w:hint="eastAsia" w:ascii="仿宋_GB2312" w:hAnsi="仿宋_GB2312" w:eastAsia="仿宋_GB2312" w:cs="仿宋_GB2312"/>
                <w:kern w:val="2"/>
                <w:sz w:val="21"/>
                <w:szCs w:val="22"/>
                <w:lang w:val="en-US" w:eastAsia="zh-CN" w:bidi="ar-SA"/>
              </w:rPr>
            </w:pPr>
            <w:r>
              <w:rPr>
                <w:rFonts w:hint="eastAsia" w:ascii="仿宋_GB2312" w:hAnsi="仿宋_GB2312" w:eastAsia="仿宋_GB2312" w:cs="仿宋_GB2312"/>
              </w:rPr>
              <w:t>20805</w:t>
            </w:r>
          </w:p>
        </w:tc>
        <w:tc>
          <w:tcPr>
            <w:tcW w:w="3996" w:type="dxa"/>
            <w:tcBorders>
              <w:top w:val="nil"/>
              <w:left w:val="nil"/>
              <w:bottom w:val="single" w:color="auto" w:sz="4" w:space="0"/>
              <w:right w:val="single" w:color="auto" w:sz="4" w:space="0"/>
            </w:tcBorders>
            <w:shd w:val="clear" w:color="000000" w:fill="FFFFFF"/>
            <w:vAlign w:val="center"/>
          </w:tcPr>
          <w:p w14:paraId="24772EF7">
            <w:pPr>
              <w:rPr>
                <w:rFonts w:hint="eastAsia" w:ascii="仿宋_GB2312" w:hAnsi="仿宋_GB2312" w:eastAsia="仿宋_GB2312" w:cs="仿宋_GB2312"/>
                <w:kern w:val="2"/>
                <w:sz w:val="21"/>
                <w:szCs w:val="22"/>
                <w:lang w:val="en-US" w:eastAsia="zh-CN" w:bidi="ar-SA"/>
              </w:rPr>
            </w:pPr>
            <w:r>
              <w:rPr>
                <w:rFonts w:hint="eastAsia" w:ascii="仿宋_GB2312" w:hAnsi="仿宋_GB2312" w:eastAsia="仿宋_GB2312" w:cs="仿宋_GB2312"/>
              </w:rPr>
              <w:t>行政事业单位养老支出</w:t>
            </w:r>
          </w:p>
        </w:tc>
        <w:tc>
          <w:tcPr>
            <w:tcW w:w="2857" w:type="dxa"/>
            <w:tcBorders>
              <w:top w:val="nil"/>
              <w:left w:val="nil"/>
              <w:bottom w:val="single" w:color="auto" w:sz="4" w:space="0"/>
              <w:right w:val="single" w:color="auto" w:sz="4" w:space="0"/>
            </w:tcBorders>
            <w:shd w:val="clear" w:color="auto" w:fill="auto"/>
            <w:vAlign w:val="center"/>
          </w:tcPr>
          <w:p w14:paraId="1E18E521">
            <w:pPr>
              <w:widowControl/>
              <w:jc w:val="center"/>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6.54</w:t>
            </w:r>
          </w:p>
        </w:tc>
        <w:tc>
          <w:tcPr>
            <w:tcW w:w="3322" w:type="dxa"/>
            <w:tcBorders>
              <w:top w:val="nil"/>
              <w:left w:val="nil"/>
              <w:bottom w:val="single" w:color="auto" w:sz="4" w:space="0"/>
              <w:right w:val="single" w:color="auto" w:sz="4" w:space="0"/>
            </w:tcBorders>
            <w:shd w:val="clear" w:color="auto" w:fill="auto"/>
            <w:vAlign w:val="center"/>
          </w:tcPr>
          <w:p w14:paraId="0C01BEB2">
            <w:pPr>
              <w:widowControl/>
              <w:jc w:val="center"/>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6.54</w:t>
            </w:r>
          </w:p>
        </w:tc>
        <w:tc>
          <w:tcPr>
            <w:tcW w:w="2858" w:type="dxa"/>
            <w:tcBorders>
              <w:top w:val="nil"/>
              <w:left w:val="nil"/>
              <w:bottom w:val="single" w:color="auto" w:sz="4" w:space="0"/>
              <w:right w:val="single" w:color="auto" w:sz="8" w:space="0"/>
            </w:tcBorders>
            <w:shd w:val="clear" w:color="auto" w:fill="auto"/>
            <w:vAlign w:val="center"/>
          </w:tcPr>
          <w:p w14:paraId="17FD91D3">
            <w:pPr>
              <w:widowControl/>
              <w:jc w:val="center"/>
              <w:rPr>
                <w:rFonts w:ascii="Times New Roman" w:hAnsi="Times New Roman" w:eastAsia="仿宋_GB2312" w:cs="Times New Roman"/>
                <w:kern w:val="0"/>
                <w:szCs w:val="21"/>
              </w:rPr>
            </w:pPr>
          </w:p>
        </w:tc>
      </w:tr>
      <w:tr w14:paraId="7E39CCAA">
        <w:tblPrEx>
          <w:tblCellMar>
            <w:top w:w="0" w:type="dxa"/>
            <w:left w:w="108" w:type="dxa"/>
            <w:bottom w:w="0" w:type="dxa"/>
            <w:right w:w="108" w:type="dxa"/>
          </w:tblCellMar>
        </w:tblPrEx>
        <w:trPr>
          <w:trHeight w:val="450" w:hRule="atLeast"/>
          <w:jc w:val="center"/>
        </w:trPr>
        <w:tc>
          <w:tcPr>
            <w:tcW w:w="1186" w:type="dxa"/>
            <w:tcBorders>
              <w:top w:val="single" w:color="auto" w:sz="4" w:space="0"/>
              <w:left w:val="single" w:color="auto" w:sz="8" w:space="0"/>
              <w:bottom w:val="single" w:color="auto" w:sz="4" w:space="0"/>
              <w:right w:val="single" w:color="auto" w:sz="4" w:space="0"/>
            </w:tcBorders>
            <w:shd w:val="clear" w:color="000000" w:fill="FFFFFF"/>
            <w:vAlign w:val="center"/>
          </w:tcPr>
          <w:p w14:paraId="1EE85204">
            <w:pPr>
              <w:jc w:val="left"/>
              <w:rPr>
                <w:rFonts w:hint="eastAsia" w:ascii="仿宋_GB2312" w:hAnsi="仿宋_GB2312" w:eastAsia="仿宋_GB2312" w:cs="仿宋_GB2312"/>
                <w:kern w:val="2"/>
                <w:sz w:val="21"/>
                <w:szCs w:val="22"/>
                <w:lang w:val="en-US" w:eastAsia="zh-CN" w:bidi="ar-SA"/>
              </w:rPr>
            </w:pPr>
            <w:r>
              <w:rPr>
                <w:rFonts w:hint="eastAsia" w:ascii="仿宋_GB2312" w:hAnsi="仿宋_GB2312" w:eastAsia="仿宋_GB2312" w:cs="仿宋_GB2312"/>
              </w:rPr>
              <w:t>2080505</w:t>
            </w:r>
          </w:p>
        </w:tc>
        <w:tc>
          <w:tcPr>
            <w:tcW w:w="3996" w:type="dxa"/>
            <w:tcBorders>
              <w:top w:val="nil"/>
              <w:left w:val="nil"/>
              <w:bottom w:val="single" w:color="auto" w:sz="4" w:space="0"/>
              <w:right w:val="single" w:color="auto" w:sz="4" w:space="0"/>
            </w:tcBorders>
            <w:shd w:val="clear" w:color="000000" w:fill="FFFFFF"/>
            <w:vAlign w:val="center"/>
          </w:tcPr>
          <w:p w14:paraId="04911D6E">
            <w:pPr>
              <w:rPr>
                <w:rFonts w:hint="eastAsia" w:ascii="仿宋_GB2312" w:hAnsi="仿宋_GB2312" w:eastAsia="仿宋_GB2312" w:cs="仿宋_GB2312"/>
                <w:kern w:val="2"/>
                <w:sz w:val="21"/>
                <w:szCs w:val="22"/>
                <w:lang w:val="en-US" w:eastAsia="zh-CN" w:bidi="ar-SA"/>
              </w:rPr>
            </w:pPr>
            <w:r>
              <w:rPr>
                <w:rFonts w:hint="eastAsia" w:ascii="仿宋_GB2312" w:hAnsi="仿宋_GB2312" w:eastAsia="仿宋_GB2312" w:cs="仿宋_GB2312"/>
              </w:rPr>
              <w:t>机关事业单位基本养老保险缴费支出</w:t>
            </w:r>
          </w:p>
        </w:tc>
        <w:tc>
          <w:tcPr>
            <w:tcW w:w="2857" w:type="dxa"/>
            <w:tcBorders>
              <w:top w:val="nil"/>
              <w:left w:val="nil"/>
              <w:bottom w:val="single" w:color="auto" w:sz="4" w:space="0"/>
              <w:right w:val="single" w:color="auto" w:sz="4" w:space="0"/>
            </w:tcBorders>
            <w:shd w:val="clear" w:color="auto" w:fill="auto"/>
            <w:vAlign w:val="center"/>
          </w:tcPr>
          <w:p w14:paraId="6177BC31">
            <w:pPr>
              <w:widowControl/>
              <w:jc w:val="center"/>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6.54</w:t>
            </w:r>
          </w:p>
        </w:tc>
        <w:tc>
          <w:tcPr>
            <w:tcW w:w="3322" w:type="dxa"/>
            <w:tcBorders>
              <w:top w:val="nil"/>
              <w:left w:val="nil"/>
              <w:bottom w:val="single" w:color="auto" w:sz="4" w:space="0"/>
              <w:right w:val="single" w:color="auto" w:sz="4" w:space="0"/>
            </w:tcBorders>
            <w:shd w:val="clear" w:color="auto" w:fill="auto"/>
            <w:vAlign w:val="center"/>
          </w:tcPr>
          <w:p w14:paraId="475BD955">
            <w:pPr>
              <w:widowControl/>
              <w:jc w:val="center"/>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6.54</w:t>
            </w:r>
          </w:p>
        </w:tc>
        <w:tc>
          <w:tcPr>
            <w:tcW w:w="2858" w:type="dxa"/>
            <w:tcBorders>
              <w:top w:val="nil"/>
              <w:left w:val="nil"/>
              <w:bottom w:val="single" w:color="auto" w:sz="4" w:space="0"/>
              <w:right w:val="single" w:color="auto" w:sz="8" w:space="0"/>
            </w:tcBorders>
            <w:shd w:val="clear" w:color="auto" w:fill="auto"/>
            <w:vAlign w:val="center"/>
          </w:tcPr>
          <w:p w14:paraId="6DAF17DA">
            <w:pPr>
              <w:widowControl/>
              <w:jc w:val="center"/>
              <w:rPr>
                <w:rFonts w:ascii="Times New Roman" w:hAnsi="Times New Roman" w:eastAsia="仿宋_GB2312" w:cs="Times New Roman"/>
                <w:kern w:val="0"/>
                <w:szCs w:val="21"/>
              </w:rPr>
            </w:pPr>
          </w:p>
        </w:tc>
      </w:tr>
      <w:tr w14:paraId="577D91CA">
        <w:tblPrEx>
          <w:tblCellMar>
            <w:top w:w="0" w:type="dxa"/>
            <w:left w:w="108" w:type="dxa"/>
            <w:bottom w:w="0" w:type="dxa"/>
            <w:right w:w="108" w:type="dxa"/>
          </w:tblCellMar>
        </w:tblPrEx>
        <w:trPr>
          <w:trHeight w:val="450" w:hRule="atLeast"/>
          <w:jc w:val="center"/>
        </w:trPr>
        <w:tc>
          <w:tcPr>
            <w:tcW w:w="1186" w:type="dxa"/>
            <w:tcBorders>
              <w:top w:val="single" w:color="auto" w:sz="4" w:space="0"/>
              <w:left w:val="single" w:color="auto" w:sz="8" w:space="0"/>
              <w:bottom w:val="single" w:color="auto" w:sz="4" w:space="0"/>
              <w:right w:val="single" w:color="auto" w:sz="4" w:space="0"/>
            </w:tcBorders>
            <w:shd w:val="clear" w:color="000000" w:fill="FFFFFF"/>
            <w:vAlign w:val="center"/>
          </w:tcPr>
          <w:p w14:paraId="3BDF1C6E">
            <w:pPr>
              <w:rPr>
                <w:rFonts w:hint="eastAsia" w:ascii="仿宋_GB2312" w:hAnsi="仿宋_GB2312" w:eastAsia="仿宋_GB2312" w:cs="仿宋_GB2312"/>
                <w:kern w:val="2"/>
                <w:sz w:val="24"/>
                <w:szCs w:val="24"/>
                <w:lang w:val="en-US" w:eastAsia="zh-CN" w:bidi="ar-SA"/>
              </w:rPr>
            </w:pPr>
            <w:r>
              <w:rPr>
                <w:rFonts w:hint="eastAsia" w:ascii="仿宋_GB2312" w:hAnsi="仿宋_GB2312" w:eastAsia="仿宋_GB2312" w:cs="仿宋_GB2312"/>
              </w:rPr>
              <w:t>210</w:t>
            </w:r>
          </w:p>
        </w:tc>
        <w:tc>
          <w:tcPr>
            <w:tcW w:w="3996" w:type="dxa"/>
            <w:tcBorders>
              <w:top w:val="nil"/>
              <w:left w:val="nil"/>
              <w:bottom w:val="single" w:color="auto" w:sz="4" w:space="0"/>
              <w:right w:val="single" w:color="auto" w:sz="4" w:space="0"/>
            </w:tcBorders>
            <w:shd w:val="clear" w:color="000000" w:fill="FFFFFF"/>
            <w:vAlign w:val="center"/>
          </w:tcPr>
          <w:p w14:paraId="61CD3677">
            <w:pPr>
              <w:rPr>
                <w:rFonts w:hint="eastAsia" w:ascii="仿宋_GB2312" w:hAnsi="仿宋_GB2312" w:eastAsia="仿宋_GB2312" w:cs="仿宋_GB2312"/>
                <w:kern w:val="2"/>
                <w:sz w:val="24"/>
                <w:szCs w:val="24"/>
                <w:lang w:val="en-US" w:eastAsia="zh-CN" w:bidi="ar-SA"/>
              </w:rPr>
            </w:pPr>
            <w:r>
              <w:rPr>
                <w:rFonts w:hint="eastAsia" w:ascii="仿宋_GB2312" w:hAnsi="仿宋_GB2312" w:eastAsia="仿宋_GB2312" w:cs="仿宋_GB2312"/>
              </w:rPr>
              <w:t>卫生健康支出</w:t>
            </w:r>
          </w:p>
        </w:tc>
        <w:tc>
          <w:tcPr>
            <w:tcW w:w="2857" w:type="dxa"/>
            <w:tcBorders>
              <w:top w:val="nil"/>
              <w:left w:val="nil"/>
              <w:bottom w:val="single" w:color="auto" w:sz="4" w:space="0"/>
              <w:right w:val="single" w:color="auto" w:sz="4" w:space="0"/>
            </w:tcBorders>
            <w:shd w:val="clear" w:color="auto" w:fill="auto"/>
            <w:vAlign w:val="center"/>
          </w:tcPr>
          <w:p w14:paraId="74E28C7F">
            <w:pPr>
              <w:widowControl/>
              <w:jc w:val="center"/>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2.74</w:t>
            </w:r>
          </w:p>
        </w:tc>
        <w:tc>
          <w:tcPr>
            <w:tcW w:w="3322" w:type="dxa"/>
            <w:tcBorders>
              <w:top w:val="nil"/>
              <w:left w:val="nil"/>
              <w:bottom w:val="single" w:color="auto" w:sz="4" w:space="0"/>
              <w:right w:val="single" w:color="auto" w:sz="4" w:space="0"/>
            </w:tcBorders>
            <w:shd w:val="clear" w:color="auto" w:fill="auto"/>
            <w:vAlign w:val="center"/>
          </w:tcPr>
          <w:p w14:paraId="3A236C89">
            <w:pPr>
              <w:widowControl/>
              <w:jc w:val="center"/>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2.74</w:t>
            </w:r>
          </w:p>
        </w:tc>
        <w:tc>
          <w:tcPr>
            <w:tcW w:w="2858" w:type="dxa"/>
            <w:tcBorders>
              <w:top w:val="nil"/>
              <w:left w:val="nil"/>
              <w:bottom w:val="single" w:color="auto" w:sz="4" w:space="0"/>
              <w:right w:val="single" w:color="auto" w:sz="8" w:space="0"/>
            </w:tcBorders>
            <w:shd w:val="clear" w:color="auto" w:fill="auto"/>
            <w:vAlign w:val="center"/>
          </w:tcPr>
          <w:p w14:paraId="24B15B75">
            <w:pPr>
              <w:widowControl/>
              <w:jc w:val="center"/>
              <w:rPr>
                <w:rFonts w:ascii="Times New Roman" w:hAnsi="Times New Roman" w:eastAsia="仿宋_GB2312" w:cs="Times New Roman"/>
                <w:kern w:val="0"/>
                <w:szCs w:val="21"/>
              </w:rPr>
            </w:pPr>
          </w:p>
        </w:tc>
      </w:tr>
      <w:tr w14:paraId="1C670389">
        <w:tblPrEx>
          <w:tblCellMar>
            <w:top w:w="0" w:type="dxa"/>
            <w:left w:w="108" w:type="dxa"/>
            <w:bottom w:w="0" w:type="dxa"/>
            <w:right w:w="108" w:type="dxa"/>
          </w:tblCellMar>
        </w:tblPrEx>
        <w:trPr>
          <w:trHeight w:val="450" w:hRule="atLeast"/>
          <w:jc w:val="center"/>
        </w:trPr>
        <w:tc>
          <w:tcPr>
            <w:tcW w:w="1186" w:type="dxa"/>
            <w:tcBorders>
              <w:top w:val="single" w:color="auto" w:sz="4" w:space="0"/>
              <w:left w:val="single" w:color="auto" w:sz="8" w:space="0"/>
              <w:bottom w:val="single" w:color="auto" w:sz="4" w:space="0"/>
              <w:right w:val="single" w:color="auto" w:sz="4" w:space="0"/>
            </w:tcBorders>
            <w:shd w:val="clear" w:color="000000" w:fill="FFFFFF"/>
            <w:vAlign w:val="center"/>
          </w:tcPr>
          <w:p w14:paraId="017A0261">
            <w:pPr>
              <w:rPr>
                <w:rFonts w:hint="eastAsia" w:ascii="仿宋_GB2312" w:hAnsi="仿宋_GB2312" w:eastAsia="仿宋_GB2312" w:cs="仿宋_GB2312"/>
                <w:kern w:val="2"/>
                <w:sz w:val="24"/>
                <w:szCs w:val="24"/>
                <w:lang w:val="en-US" w:eastAsia="zh-CN" w:bidi="ar-SA"/>
              </w:rPr>
            </w:pPr>
            <w:r>
              <w:rPr>
                <w:rFonts w:hint="eastAsia" w:ascii="仿宋_GB2312" w:hAnsi="仿宋_GB2312" w:eastAsia="仿宋_GB2312" w:cs="仿宋_GB2312"/>
              </w:rPr>
              <w:t>21011</w:t>
            </w:r>
          </w:p>
        </w:tc>
        <w:tc>
          <w:tcPr>
            <w:tcW w:w="3996" w:type="dxa"/>
            <w:tcBorders>
              <w:top w:val="nil"/>
              <w:left w:val="nil"/>
              <w:bottom w:val="single" w:color="auto" w:sz="4" w:space="0"/>
              <w:right w:val="single" w:color="auto" w:sz="4" w:space="0"/>
            </w:tcBorders>
            <w:shd w:val="clear" w:color="000000" w:fill="FFFFFF"/>
            <w:vAlign w:val="center"/>
          </w:tcPr>
          <w:p w14:paraId="66E7661A">
            <w:pPr>
              <w:jc w:val="left"/>
              <w:rPr>
                <w:rFonts w:hint="eastAsia" w:ascii="仿宋_GB2312" w:hAnsi="仿宋_GB2312" w:eastAsia="仿宋_GB2312" w:cs="仿宋_GB2312"/>
                <w:kern w:val="2"/>
                <w:sz w:val="24"/>
                <w:szCs w:val="24"/>
                <w:lang w:val="en-US" w:eastAsia="zh-CN" w:bidi="ar-SA"/>
              </w:rPr>
            </w:pPr>
            <w:r>
              <w:rPr>
                <w:rFonts w:hint="eastAsia" w:ascii="仿宋_GB2312" w:hAnsi="仿宋_GB2312" w:eastAsia="仿宋_GB2312" w:cs="仿宋_GB2312"/>
              </w:rPr>
              <w:t>行政事业单位医疗</w:t>
            </w:r>
          </w:p>
        </w:tc>
        <w:tc>
          <w:tcPr>
            <w:tcW w:w="2857" w:type="dxa"/>
            <w:tcBorders>
              <w:top w:val="nil"/>
              <w:left w:val="nil"/>
              <w:bottom w:val="single" w:color="auto" w:sz="4" w:space="0"/>
              <w:right w:val="single" w:color="auto" w:sz="4" w:space="0"/>
            </w:tcBorders>
            <w:shd w:val="clear" w:color="auto" w:fill="auto"/>
            <w:vAlign w:val="center"/>
          </w:tcPr>
          <w:p w14:paraId="0E33C1C2">
            <w:pPr>
              <w:widowControl/>
              <w:jc w:val="center"/>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2.74</w:t>
            </w:r>
          </w:p>
        </w:tc>
        <w:tc>
          <w:tcPr>
            <w:tcW w:w="3322" w:type="dxa"/>
            <w:tcBorders>
              <w:top w:val="nil"/>
              <w:left w:val="nil"/>
              <w:bottom w:val="single" w:color="auto" w:sz="4" w:space="0"/>
              <w:right w:val="single" w:color="auto" w:sz="4" w:space="0"/>
            </w:tcBorders>
            <w:shd w:val="clear" w:color="auto" w:fill="auto"/>
            <w:vAlign w:val="center"/>
          </w:tcPr>
          <w:p w14:paraId="7BE0DBC0">
            <w:pPr>
              <w:widowControl/>
              <w:jc w:val="center"/>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2.74</w:t>
            </w:r>
          </w:p>
        </w:tc>
        <w:tc>
          <w:tcPr>
            <w:tcW w:w="2858" w:type="dxa"/>
            <w:tcBorders>
              <w:top w:val="nil"/>
              <w:left w:val="nil"/>
              <w:bottom w:val="single" w:color="auto" w:sz="4" w:space="0"/>
              <w:right w:val="single" w:color="auto" w:sz="8" w:space="0"/>
            </w:tcBorders>
            <w:shd w:val="clear" w:color="auto" w:fill="auto"/>
            <w:vAlign w:val="center"/>
          </w:tcPr>
          <w:p w14:paraId="1ABDC465">
            <w:pPr>
              <w:widowControl/>
              <w:jc w:val="center"/>
              <w:rPr>
                <w:rFonts w:ascii="Times New Roman" w:hAnsi="Times New Roman" w:eastAsia="仿宋_GB2312" w:cs="Times New Roman"/>
                <w:kern w:val="0"/>
                <w:szCs w:val="21"/>
              </w:rPr>
            </w:pPr>
          </w:p>
        </w:tc>
      </w:tr>
      <w:tr w14:paraId="09442D52">
        <w:tblPrEx>
          <w:tblCellMar>
            <w:top w:w="0" w:type="dxa"/>
            <w:left w:w="108" w:type="dxa"/>
            <w:bottom w:w="0" w:type="dxa"/>
            <w:right w:w="108" w:type="dxa"/>
          </w:tblCellMar>
        </w:tblPrEx>
        <w:trPr>
          <w:trHeight w:val="450" w:hRule="atLeast"/>
          <w:jc w:val="center"/>
        </w:trPr>
        <w:tc>
          <w:tcPr>
            <w:tcW w:w="1186" w:type="dxa"/>
            <w:tcBorders>
              <w:top w:val="single" w:color="auto" w:sz="4" w:space="0"/>
              <w:left w:val="single" w:color="auto" w:sz="8" w:space="0"/>
              <w:bottom w:val="single" w:color="auto" w:sz="4" w:space="0"/>
              <w:right w:val="single" w:color="auto" w:sz="4" w:space="0"/>
            </w:tcBorders>
            <w:shd w:val="clear" w:color="000000" w:fill="FFFFFF"/>
            <w:vAlign w:val="center"/>
          </w:tcPr>
          <w:p w14:paraId="207210E8">
            <w:pPr>
              <w:rPr>
                <w:rFonts w:hint="eastAsia" w:ascii="仿宋_GB2312" w:hAnsi="仿宋_GB2312" w:eastAsia="仿宋_GB2312" w:cs="仿宋_GB2312"/>
                <w:kern w:val="2"/>
                <w:sz w:val="24"/>
                <w:szCs w:val="24"/>
                <w:lang w:val="en-US" w:eastAsia="zh-CN" w:bidi="ar-SA"/>
              </w:rPr>
            </w:pPr>
            <w:r>
              <w:rPr>
                <w:rFonts w:hint="eastAsia" w:ascii="仿宋_GB2312" w:hAnsi="仿宋_GB2312" w:eastAsia="仿宋_GB2312" w:cs="仿宋_GB2312"/>
              </w:rPr>
              <w:t>2101102</w:t>
            </w:r>
          </w:p>
        </w:tc>
        <w:tc>
          <w:tcPr>
            <w:tcW w:w="3996" w:type="dxa"/>
            <w:tcBorders>
              <w:top w:val="nil"/>
              <w:left w:val="nil"/>
              <w:bottom w:val="single" w:color="auto" w:sz="4" w:space="0"/>
              <w:right w:val="single" w:color="auto" w:sz="4" w:space="0"/>
            </w:tcBorders>
            <w:shd w:val="clear" w:color="000000" w:fill="FFFFFF"/>
            <w:vAlign w:val="center"/>
          </w:tcPr>
          <w:p w14:paraId="30F954C5">
            <w:pPr>
              <w:jc w:val="left"/>
              <w:rPr>
                <w:rFonts w:hint="eastAsia" w:ascii="仿宋_GB2312" w:hAnsi="仿宋_GB2312" w:eastAsia="仿宋_GB2312" w:cs="仿宋_GB2312"/>
                <w:kern w:val="2"/>
                <w:sz w:val="24"/>
                <w:szCs w:val="24"/>
                <w:lang w:val="en-US" w:eastAsia="zh-CN" w:bidi="ar-SA"/>
              </w:rPr>
            </w:pPr>
            <w:r>
              <w:rPr>
                <w:rFonts w:hint="eastAsia" w:ascii="仿宋_GB2312" w:hAnsi="仿宋_GB2312" w:eastAsia="仿宋_GB2312" w:cs="仿宋_GB2312"/>
              </w:rPr>
              <w:t>事业单位医疗</w:t>
            </w:r>
          </w:p>
        </w:tc>
        <w:tc>
          <w:tcPr>
            <w:tcW w:w="2857" w:type="dxa"/>
            <w:tcBorders>
              <w:top w:val="nil"/>
              <w:left w:val="nil"/>
              <w:bottom w:val="single" w:color="auto" w:sz="4" w:space="0"/>
              <w:right w:val="single" w:color="auto" w:sz="4" w:space="0"/>
            </w:tcBorders>
            <w:shd w:val="clear" w:color="auto" w:fill="auto"/>
            <w:vAlign w:val="center"/>
          </w:tcPr>
          <w:p w14:paraId="611A1F01">
            <w:pPr>
              <w:widowControl/>
              <w:jc w:val="center"/>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2.74</w:t>
            </w:r>
          </w:p>
        </w:tc>
        <w:tc>
          <w:tcPr>
            <w:tcW w:w="3322" w:type="dxa"/>
            <w:tcBorders>
              <w:top w:val="nil"/>
              <w:left w:val="nil"/>
              <w:bottom w:val="single" w:color="auto" w:sz="4" w:space="0"/>
              <w:right w:val="single" w:color="auto" w:sz="4" w:space="0"/>
            </w:tcBorders>
            <w:shd w:val="clear" w:color="auto" w:fill="auto"/>
            <w:vAlign w:val="center"/>
          </w:tcPr>
          <w:p w14:paraId="1CC080FF">
            <w:pPr>
              <w:widowControl/>
              <w:jc w:val="center"/>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2.74</w:t>
            </w:r>
          </w:p>
        </w:tc>
        <w:tc>
          <w:tcPr>
            <w:tcW w:w="2858" w:type="dxa"/>
            <w:tcBorders>
              <w:top w:val="nil"/>
              <w:left w:val="nil"/>
              <w:bottom w:val="single" w:color="auto" w:sz="4" w:space="0"/>
              <w:right w:val="single" w:color="auto" w:sz="8" w:space="0"/>
            </w:tcBorders>
            <w:shd w:val="clear" w:color="auto" w:fill="auto"/>
            <w:vAlign w:val="center"/>
          </w:tcPr>
          <w:p w14:paraId="6D8691F6">
            <w:pPr>
              <w:widowControl/>
              <w:jc w:val="center"/>
              <w:rPr>
                <w:rFonts w:ascii="Times New Roman" w:hAnsi="Times New Roman" w:eastAsia="仿宋_GB2312" w:cs="Times New Roman"/>
                <w:kern w:val="0"/>
                <w:szCs w:val="21"/>
              </w:rPr>
            </w:pPr>
          </w:p>
        </w:tc>
      </w:tr>
      <w:tr w14:paraId="03D0CCA0">
        <w:tblPrEx>
          <w:tblCellMar>
            <w:top w:w="0" w:type="dxa"/>
            <w:left w:w="108" w:type="dxa"/>
            <w:bottom w:w="0" w:type="dxa"/>
            <w:right w:w="108" w:type="dxa"/>
          </w:tblCellMar>
        </w:tblPrEx>
        <w:trPr>
          <w:trHeight w:val="450" w:hRule="atLeast"/>
          <w:jc w:val="center"/>
        </w:trPr>
        <w:tc>
          <w:tcPr>
            <w:tcW w:w="0" w:type="auto"/>
            <w:tcBorders>
              <w:top w:val="single" w:color="auto" w:sz="4" w:space="0"/>
              <w:left w:val="single" w:color="auto" w:sz="4" w:space="0"/>
              <w:bottom w:val="single" w:color="auto" w:sz="4" w:space="0"/>
              <w:right w:val="single" w:color="auto" w:sz="4" w:space="0"/>
            </w:tcBorders>
            <w:shd w:val="clear" w:color="000000" w:fill="FFFFFF"/>
            <w:vAlign w:val="center"/>
          </w:tcPr>
          <w:p w14:paraId="7FFB9F8E">
            <w:pPr>
              <w:rPr>
                <w:rFonts w:hint="eastAsia" w:ascii="仿宋_GB2312" w:hAnsi="仿宋_GB2312" w:eastAsia="仿宋_GB2312" w:cs="仿宋_GB2312"/>
                <w:kern w:val="2"/>
                <w:sz w:val="21"/>
                <w:szCs w:val="22"/>
                <w:lang w:val="en-US" w:eastAsia="zh-CN" w:bidi="ar-SA"/>
              </w:rPr>
            </w:pPr>
            <w:r>
              <w:rPr>
                <w:rFonts w:hint="eastAsia" w:ascii="仿宋_GB2312" w:hAnsi="仿宋_GB2312" w:eastAsia="仿宋_GB2312" w:cs="仿宋_GB2312"/>
              </w:rPr>
              <w:t>213</w:t>
            </w:r>
          </w:p>
        </w:tc>
        <w:tc>
          <w:tcPr>
            <w:tcW w:w="0" w:type="auto"/>
            <w:tcBorders>
              <w:top w:val="single" w:color="auto" w:sz="4" w:space="0"/>
              <w:left w:val="single" w:color="auto" w:sz="4" w:space="0"/>
              <w:bottom w:val="single" w:color="auto" w:sz="4" w:space="0"/>
              <w:right w:val="single" w:color="auto" w:sz="4" w:space="0"/>
            </w:tcBorders>
            <w:shd w:val="clear" w:color="000000" w:fill="FFFFFF"/>
            <w:vAlign w:val="center"/>
          </w:tcPr>
          <w:p w14:paraId="69BEA169">
            <w:pPr>
              <w:rPr>
                <w:rFonts w:hint="eastAsia" w:ascii="仿宋_GB2312" w:hAnsi="仿宋_GB2312" w:eastAsia="仿宋_GB2312" w:cs="仿宋_GB2312"/>
                <w:kern w:val="2"/>
                <w:sz w:val="21"/>
                <w:szCs w:val="22"/>
                <w:lang w:val="en-US" w:eastAsia="zh-CN" w:bidi="ar-SA"/>
              </w:rPr>
            </w:pPr>
            <w:r>
              <w:rPr>
                <w:rFonts w:hint="eastAsia" w:ascii="仿宋_GB2312" w:hAnsi="仿宋_GB2312" w:eastAsia="仿宋_GB2312" w:cs="仿宋_GB2312"/>
              </w:rPr>
              <w:t>农林水支出</w:t>
            </w:r>
          </w:p>
        </w:tc>
        <w:tc>
          <w:tcPr>
            <w:tcW w:w="0" w:type="auto"/>
            <w:tcBorders>
              <w:top w:val="single" w:color="auto" w:sz="4" w:space="0"/>
              <w:left w:val="single" w:color="auto" w:sz="4" w:space="0"/>
              <w:bottom w:val="single" w:color="auto" w:sz="4" w:space="0"/>
              <w:right w:val="single" w:color="auto" w:sz="4" w:space="0"/>
            </w:tcBorders>
          </w:tcPr>
          <w:p w14:paraId="7D25FD21">
            <w:pPr>
              <w:widowControl/>
              <w:jc w:val="center"/>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505.83</w:t>
            </w:r>
          </w:p>
        </w:tc>
        <w:tc>
          <w:tcPr>
            <w:tcW w:w="0" w:type="auto"/>
            <w:tcBorders>
              <w:top w:val="single" w:color="auto" w:sz="4" w:space="0"/>
              <w:left w:val="single" w:color="auto" w:sz="4" w:space="0"/>
              <w:bottom w:val="single" w:color="auto" w:sz="4" w:space="0"/>
              <w:right w:val="single" w:color="auto" w:sz="4" w:space="0"/>
            </w:tcBorders>
          </w:tcPr>
          <w:p w14:paraId="2AE4C6F8">
            <w:pPr>
              <w:widowControl/>
              <w:jc w:val="center"/>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60.36</w:t>
            </w:r>
          </w:p>
        </w:tc>
        <w:tc>
          <w:tcPr>
            <w:tcW w:w="0" w:type="auto"/>
            <w:tcBorders>
              <w:top w:val="single" w:color="auto" w:sz="4" w:space="0"/>
              <w:left w:val="single" w:color="auto" w:sz="4" w:space="0"/>
              <w:bottom w:val="single" w:color="auto" w:sz="4" w:space="0"/>
              <w:right w:val="single" w:color="auto" w:sz="4" w:space="0"/>
            </w:tcBorders>
          </w:tcPr>
          <w:p w14:paraId="41AA2CE1">
            <w:pPr>
              <w:widowControl/>
              <w:jc w:val="center"/>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445.47</w:t>
            </w:r>
          </w:p>
        </w:tc>
      </w:tr>
      <w:tr w14:paraId="14904133">
        <w:tblPrEx>
          <w:tblCellMar>
            <w:top w:w="0" w:type="dxa"/>
            <w:left w:w="108" w:type="dxa"/>
            <w:bottom w:w="0" w:type="dxa"/>
            <w:right w:w="108" w:type="dxa"/>
          </w:tblCellMar>
        </w:tblPrEx>
        <w:trPr>
          <w:trHeight w:val="450" w:hRule="atLeast"/>
          <w:jc w:val="center"/>
        </w:trPr>
        <w:tc>
          <w:tcPr>
            <w:tcW w:w="0" w:type="auto"/>
            <w:tcBorders>
              <w:top w:val="single" w:color="auto" w:sz="4" w:space="0"/>
              <w:left w:val="single" w:color="auto" w:sz="4" w:space="0"/>
              <w:bottom w:val="single" w:color="auto" w:sz="4" w:space="0"/>
              <w:right w:val="single" w:color="auto" w:sz="4" w:space="0"/>
            </w:tcBorders>
            <w:shd w:val="clear" w:color="000000" w:fill="FFFFFF"/>
            <w:vAlign w:val="center"/>
          </w:tcPr>
          <w:p w14:paraId="50D19B15">
            <w:pPr>
              <w:rPr>
                <w:rFonts w:hint="eastAsia" w:ascii="仿宋_GB2312" w:hAnsi="仿宋_GB2312" w:eastAsia="仿宋_GB2312" w:cs="仿宋_GB2312"/>
                <w:kern w:val="2"/>
                <w:sz w:val="21"/>
                <w:szCs w:val="22"/>
                <w:lang w:val="en-US" w:eastAsia="zh-CN" w:bidi="ar-SA"/>
              </w:rPr>
            </w:pPr>
            <w:r>
              <w:rPr>
                <w:rFonts w:hint="eastAsia" w:ascii="仿宋_GB2312" w:hAnsi="仿宋_GB2312" w:eastAsia="仿宋_GB2312" w:cs="仿宋_GB2312"/>
              </w:rPr>
              <w:t>21301</w:t>
            </w:r>
          </w:p>
        </w:tc>
        <w:tc>
          <w:tcPr>
            <w:tcW w:w="0" w:type="auto"/>
            <w:tcBorders>
              <w:top w:val="single" w:color="auto" w:sz="4" w:space="0"/>
              <w:left w:val="single" w:color="auto" w:sz="4" w:space="0"/>
              <w:bottom w:val="single" w:color="auto" w:sz="4" w:space="0"/>
              <w:right w:val="single" w:color="auto" w:sz="4" w:space="0"/>
            </w:tcBorders>
            <w:shd w:val="clear" w:color="000000" w:fill="FFFFFF"/>
            <w:vAlign w:val="center"/>
          </w:tcPr>
          <w:p w14:paraId="7BDA9C10">
            <w:pPr>
              <w:rPr>
                <w:rFonts w:hint="eastAsia" w:ascii="仿宋_GB2312" w:hAnsi="仿宋_GB2312" w:eastAsia="仿宋_GB2312" w:cs="仿宋_GB2312"/>
                <w:kern w:val="2"/>
                <w:sz w:val="21"/>
                <w:szCs w:val="22"/>
                <w:lang w:val="en-US" w:eastAsia="zh-CN" w:bidi="ar-SA"/>
              </w:rPr>
            </w:pPr>
            <w:r>
              <w:rPr>
                <w:rFonts w:hint="eastAsia" w:ascii="仿宋_GB2312" w:hAnsi="仿宋_GB2312" w:eastAsia="仿宋_GB2312" w:cs="仿宋_GB2312"/>
              </w:rPr>
              <w:t>农业农村</w:t>
            </w:r>
          </w:p>
        </w:tc>
        <w:tc>
          <w:tcPr>
            <w:tcW w:w="0" w:type="auto"/>
            <w:tcBorders>
              <w:top w:val="single" w:color="auto" w:sz="4" w:space="0"/>
              <w:left w:val="single" w:color="auto" w:sz="4" w:space="0"/>
              <w:bottom w:val="single" w:color="auto" w:sz="4" w:space="0"/>
              <w:right w:val="single" w:color="auto" w:sz="4" w:space="0"/>
            </w:tcBorders>
          </w:tcPr>
          <w:p w14:paraId="063AE6ED">
            <w:pPr>
              <w:widowControl/>
              <w:jc w:val="center"/>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346.89</w:t>
            </w:r>
          </w:p>
        </w:tc>
        <w:tc>
          <w:tcPr>
            <w:tcW w:w="0" w:type="auto"/>
            <w:tcBorders>
              <w:top w:val="single" w:color="auto" w:sz="4" w:space="0"/>
              <w:left w:val="single" w:color="auto" w:sz="4" w:space="0"/>
              <w:bottom w:val="single" w:color="auto" w:sz="4" w:space="0"/>
              <w:right w:val="single" w:color="auto" w:sz="4" w:space="0"/>
            </w:tcBorders>
          </w:tcPr>
          <w:p w14:paraId="643C068C">
            <w:pPr>
              <w:widowControl/>
              <w:jc w:val="center"/>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60.36</w:t>
            </w:r>
          </w:p>
        </w:tc>
        <w:tc>
          <w:tcPr>
            <w:tcW w:w="0" w:type="auto"/>
            <w:tcBorders>
              <w:top w:val="single" w:color="auto" w:sz="4" w:space="0"/>
              <w:left w:val="single" w:color="auto" w:sz="4" w:space="0"/>
              <w:bottom w:val="single" w:color="auto" w:sz="4" w:space="0"/>
              <w:right w:val="single" w:color="auto" w:sz="4" w:space="0"/>
            </w:tcBorders>
          </w:tcPr>
          <w:p w14:paraId="070FC8C6">
            <w:pPr>
              <w:widowControl/>
              <w:jc w:val="center"/>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286.53</w:t>
            </w:r>
          </w:p>
        </w:tc>
      </w:tr>
      <w:tr w14:paraId="3FB920D1">
        <w:tblPrEx>
          <w:tblCellMar>
            <w:top w:w="0" w:type="dxa"/>
            <w:left w:w="108" w:type="dxa"/>
            <w:bottom w:w="0" w:type="dxa"/>
            <w:right w:w="108" w:type="dxa"/>
          </w:tblCellMar>
        </w:tblPrEx>
        <w:trPr>
          <w:trHeight w:val="450" w:hRule="atLeast"/>
          <w:jc w:val="center"/>
        </w:trPr>
        <w:tc>
          <w:tcPr>
            <w:tcW w:w="0" w:type="auto"/>
            <w:tcBorders>
              <w:top w:val="single" w:color="auto" w:sz="4" w:space="0"/>
              <w:left w:val="single" w:color="auto" w:sz="4" w:space="0"/>
              <w:bottom w:val="single" w:color="auto" w:sz="4" w:space="0"/>
              <w:right w:val="single" w:color="auto" w:sz="4" w:space="0"/>
            </w:tcBorders>
            <w:shd w:val="clear" w:color="000000" w:fill="FFFFFF"/>
            <w:vAlign w:val="center"/>
          </w:tcPr>
          <w:p w14:paraId="324FAD4E">
            <w:pPr>
              <w:rPr>
                <w:rFonts w:hint="eastAsia" w:ascii="仿宋_GB2312" w:hAnsi="仿宋_GB2312" w:eastAsia="仿宋_GB2312" w:cs="仿宋_GB2312"/>
                <w:kern w:val="2"/>
                <w:sz w:val="21"/>
                <w:szCs w:val="22"/>
                <w:lang w:val="en-US" w:eastAsia="zh-CN" w:bidi="ar-SA"/>
              </w:rPr>
            </w:pPr>
            <w:r>
              <w:rPr>
                <w:rFonts w:hint="eastAsia" w:ascii="仿宋_GB2312" w:hAnsi="仿宋_GB2312" w:eastAsia="仿宋_GB2312" w:cs="仿宋_GB2312"/>
              </w:rPr>
              <w:t>2130101</w:t>
            </w:r>
          </w:p>
        </w:tc>
        <w:tc>
          <w:tcPr>
            <w:tcW w:w="0" w:type="auto"/>
            <w:tcBorders>
              <w:top w:val="single" w:color="auto" w:sz="4" w:space="0"/>
              <w:left w:val="single" w:color="auto" w:sz="4" w:space="0"/>
              <w:bottom w:val="single" w:color="auto" w:sz="4" w:space="0"/>
              <w:right w:val="single" w:color="auto" w:sz="4" w:space="0"/>
            </w:tcBorders>
            <w:shd w:val="clear" w:color="000000" w:fill="FFFFFF"/>
            <w:vAlign w:val="center"/>
          </w:tcPr>
          <w:p w14:paraId="427D59BE">
            <w:pPr>
              <w:rPr>
                <w:rFonts w:hint="eastAsia" w:ascii="仿宋_GB2312" w:hAnsi="仿宋_GB2312" w:eastAsia="仿宋_GB2312" w:cs="仿宋_GB2312"/>
                <w:kern w:val="2"/>
                <w:sz w:val="21"/>
                <w:szCs w:val="22"/>
                <w:lang w:val="en-US" w:eastAsia="zh-CN" w:bidi="ar-SA"/>
              </w:rPr>
            </w:pPr>
            <w:r>
              <w:rPr>
                <w:rFonts w:hint="eastAsia" w:ascii="仿宋_GB2312" w:hAnsi="仿宋_GB2312" w:eastAsia="仿宋_GB2312" w:cs="仿宋_GB2312"/>
              </w:rPr>
              <w:t>行政运行</w:t>
            </w:r>
          </w:p>
        </w:tc>
        <w:tc>
          <w:tcPr>
            <w:tcW w:w="0" w:type="auto"/>
            <w:tcBorders>
              <w:top w:val="single" w:color="auto" w:sz="4" w:space="0"/>
              <w:left w:val="single" w:color="auto" w:sz="4" w:space="0"/>
              <w:bottom w:val="single" w:color="auto" w:sz="4" w:space="0"/>
              <w:right w:val="single" w:color="auto" w:sz="4" w:space="0"/>
            </w:tcBorders>
          </w:tcPr>
          <w:p w14:paraId="0778309C">
            <w:pPr>
              <w:widowControl/>
              <w:jc w:val="center"/>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55.89</w:t>
            </w:r>
          </w:p>
        </w:tc>
        <w:tc>
          <w:tcPr>
            <w:tcW w:w="0" w:type="auto"/>
            <w:tcBorders>
              <w:top w:val="single" w:color="auto" w:sz="4" w:space="0"/>
              <w:left w:val="single" w:color="auto" w:sz="4" w:space="0"/>
              <w:bottom w:val="single" w:color="auto" w:sz="4" w:space="0"/>
              <w:right w:val="single" w:color="auto" w:sz="4" w:space="0"/>
            </w:tcBorders>
          </w:tcPr>
          <w:p w14:paraId="7F3A0644">
            <w:pPr>
              <w:widowControl/>
              <w:jc w:val="center"/>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55.89</w:t>
            </w:r>
          </w:p>
        </w:tc>
        <w:tc>
          <w:tcPr>
            <w:tcW w:w="0" w:type="auto"/>
            <w:tcBorders>
              <w:top w:val="single" w:color="auto" w:sz="4" w:space="0"/>
              <w:left w:val="single" w:color="auto" w:sz="4" w:space="0"/>
              <w:bottom w:val="single" w:color="auto" w:sz="4" w:space="0"/>
              <w:right w:val="single" w:color="auto" w:sz="4" w:space="0"/>
            </w:tcBorders>
          </w:tcPr>
          <w:p w14:paraId="3EC974A3">
            <w:pPr>
              <w:widowControl/>
              <w:jc w:val="center"/>
              <w:rPr>
                <w:rFonts w:ascii="Times New Roman" w:hAnsi="Times New Roman" w:eastAsia="仿宋_GB2312" w:cs="Times New Roman"/>
                <w:kern w:val="0"/>
                <w:szCs w:val="21"/>
              </w:rPr>
            </w:pPr>
          </w:p>
        </w:tc>
      </w:tr>
      <w:tr w14:paraId="4A1C8451">
        <w:tblPrEx>
          <w:tblCellMar>
            <w:top w:w="0" w:type="dxa"/>
            <w:left w:w="108" w:type="dxa"/>
            <w:bottom w:w="0" w:type="dxa"/>
            <w:right w:w="108" w:type="dxa"/>
          </w:tblCellMar>
        </w:tblPrEx>
        <w:trPr>
          <w:trHeight w:val="450" w:hRule="atLeast"/>
          <w:jc w:val="center"/>
        </w:trPr>
        <w:tc>
          <w:tcPr>
            <w:tcW w:w="0" w:type="auto"/>
            <w:tcBorders>
              <w:top w:val="single" w:color="auto" w:sz="4" w:space="0"/>
              <w:left w:val="single" w:color="auto" w:sz="4" w:space="0"/>
              <w:bottom w:val="single" w:color="auto" w:sz="4" w:space="0"/>
              <w:right w:val="single" w:color="auto" w:sz="4" w:space="0"/>
            </w:tcBorders>
            <w:shd w:val="clear" w:color="000000" w:fill="FFFFFF"/>
            <w:vAlign w:val="center"/>
          </w:tcPr>
          <w:p w14:paraId="283A1A10">
            <w:pPr>
              <w:rPr>
                <w:rFonts w:hint="eastAsia" w:ascii="仿宋_GB2312" w:hAnsi="仿宋_GB2312" w:eastAsia="仿宋_GB2312" w:cs="仿宋_GB2312"/>
                <w:kern w:val="2"/>
                <w:sz w:val="21"/>
                <w:szCs w:val="22"/>
                <w:lang w:val="en-US" w:eastAsia="zh-CN" w:bidi="ar-SA"/>
              </w:rPr>
            </w:pPr>
            <w:r>
              <w:rPr>
                <w:rFonts w:hint="eastAsia" w:ascii="仿宋_GB2312" w:hAnsi="仿宋_GB2312" w:eastAsia="仿宋_GB2312" w:cs="仿宋_GB2312"/>
              </w:rPr>
              <w:t>2130104</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1A5B5FAC">
            <w:pPr>
              <w:rPr>
                <w:rFonts w:hint="eastAsia" w:ascii="仿宋_GB2312" w:hAnsi="仿宋_GB2312" w:eastAsia="仿宋_GB2312" w:cs="仿宋_GB2312"/>
                <w:kern w:val="2"/>
                <w:sz w:val="21"/>
                <w:szCs w:val="22"/>
                <w:lang w:val="en-US" w:eastAsia="zh-CN" w:bidi="ar-SA"/>
              </w:rPr>
            </w:pPr>
            <w:r>
              <w:rPr>
                <w:rFonts w:hint="eastAsia" w:ascii="仿宋_GB2312" w:hAnsi="仿宋_GB2312" w:eastAsia="仿宋_GB2312" w:cs="仿宋_GB2312"/>
              </w:rPr>
              <w:t>事业运行</w:t>
            </w:r>
          </w:p>
        </w:tc>
        <w:tc>
          <w:tcPr>
            <w:tcW w:w="0" w:type="auto"/>
            <w:tcBorders>
              <w:top w:val="single" w:color="auto" w:sz="4" w:space="0"/>
              <w:left w:val="single" w:color="auto" w:sz="4" w:space="0"/>
              <w:bottom w:val="single" w:color="auto" w:sz="4" w:space="0"/>
              <w:right w:val="single" w:color="auto" w:sz="4" w:space="0"/>
            </w:tcBorders>
          </w:tcPr>
          <w:p w14:paraId="6B2CE0A6">
            <w:pPr>
              <w:widowControl/>
              <w:jc w:val="center"/>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4.47</w:t>
            </w:r>
          </w:p>
        </w:tc>
        <w:tc>
          <w:tcPr>
            <w:tcW w:w="0" w:type="auto"/>
            <w:tcBorders>
              <w:top w:val="single" w:color="auto" w:sz="4" w:space="0"/>
              <w:left w:val="single" w:color="auto" w:sz="4" w:space="0"/>
              <w:bottom w:val="single" w:color="auto" w:sz="4" w:space="0"/>
              <w:right w:val="single" w:color="auto" w:sz="4" w:space="0"/>
            </w:tcBorders>
          </w:tcPr>
          <w:p w14:paraId="254C3F18">
            <w:pPr>
              <w:widowControl/>
              <w:jc w:val="center"/>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4.47</w:t>
            </w:r>
          </w:p>
        </w:tc>
        <w:tc>
          <w:tcPr>
            <w:tcW w:w="0" w:type="auto"/>
            <w:tcBorders>
              <w:top w:val="single" w:color="auto" w:sz="4" w:space="0"/>
              <w:left w:val="single" w:color="auto" w:sz="4" w:space="0"/>
              <w:bottom w:val="single" w:color="auto" w:sz="4" w:space="0"/>
              <w:right w:val="single" w:color="auto" w:sz="4" w:space="0"/>
            </w:tcBorders>
          </w:tcPr>
          <w:p w14:paraId="4A72B9B8">
            <w:pPr>
              <w:widowControl/>
              <w:jc w:val="center"/>
              <w:rPr>
                <w:rFonts w:ascii="Times New Roman" w:hAnsi="Times New Roman" w:eastAsia="仿宋_GB2312" w:cs="Times New Roman"/>
                <w:kern w:val="0"/>
                <w:szCs w:val="21"/>
              </w:rPr>
            </w:pPr>
          </w:p>
        </w:tc>
      </w:tr>
      <w:tr w14:paraId="7DB38949">
        <w:tblPrEx>
          <w:tblCellMar>
            <w:top w:w="0" w:type="dxa"/>
            <w:left w:w="108" w:type="dxa"/>
            <w:bottom w:w="0" w:type="dxa"/>
            <w:right w:w="108" w:type="dxa"/>
          </w:tblCellMar>
        </w:tblPrEx>
        <w:trPr>
          <w:trHeight w:val="450" w:hRule="atLeast"/>
          <w:jc w:val="center"/>
        </w:trPr>
        <w:tc>
          <w:tcPr>
            <w:tcW w:w="0" w:type="auto"/>
            <w:tcBorders>
              <w:top w:val="single" w:color="auto" w:sz="4" w:space="0"/>
              <w:left w:val="single" w:color="auto" w:sz="4" w:space="0"/>
              <w:bottom w:val="single" w:color="auto" w:sz="4" w:space="0"/>
              <w:right w:val="single" w:color="auto" w:sz="4" w:space="0"/>
            </w:tcBorders>
            <w:shd w:val="clear" w:color="000000" w:fill="FFFFFF"/>
            <w:vAlign w:val="center"/>
          </w:tcPr>
          <w:p w14:paraId="0DA01A41">
            <w:pPr>
              <w:rPr>
                <w:rFonts w:hint="eastAsia" w:ascii="仿宋_GB2312" w:hAnsi="仿宋_GB2312" w:eastAsia="仿宋_GB2312" w:cs="仿宋_GB2312"/>
                <w:kern w:val="2"/>
                <w:sz w:val="21"/>
                <w:szCs w:val="22"/>
                <w:lang w:val="en-US" w:eastAsia="zh-CN" w:bidi="ar-SA"/>
              </w:rPr>
            </w:pPr>
            <w:r>
              <w:rPr>
                <w:rFonts w:hint="eastAsia" w:ascii="仿宋_GB2312" w:hAnsi="仿宋_GB2312" w:eastAsia="仿宋_GB2312" w:cs="仿宋_GB2312"/>
              </w:rPr>
              <w:t>2130122</w:t>
            </w:r>
          </w:p>
        </w:tc>
        <w:tc>
          <w:tcPr>
            <w:tcW w:w="0" w:type="auto"/>
            <w:tcBorders>
              <w:top w:val="single" w:color="auto" w:sz="4" w:space="0"/>
              <w:left w:val="single" w:color="auto" w:sz="4" w:space="0"/>
              <w:bottom w:val="single" w:color="auto" w:sz="4" w:space="0"/>
              <w:right w:val="single" w:color="auto" w:sz="4" w:space="0"/>
            </w:tcBorders>
            <w:shd w:val="clear" w:color="000000" w:fill="FFFFFF"/>
            <w:vAlign w:val="center"/>
          </w:tcPr>
          <w:p w14:paraId="28CDDE78">
            <w:pPr>
              <w:rPr>
                <w:rFonts w:hint="eastAsia" w:ascii="仿宋_GB2312" w:hAnsi="仿宋_GB2312" w:eastAsia="仿宋_GB2312" w:cs="仿宋_GB2312"/>
                <w:kern w:val="2"/>
                <w:sz w:val="21"/>
                <w:szCs w:val="22"/>
                <w:lang w:val="en-US" w:eastAsia="zh-CN" w:bidi="ar-SA"/>
              </w:rPr>
            </w:pPr>
            <w:r>
              <w:rPr>
                <w:rFonts w:hint="eastAsia" w:ascii="仿宋_GB2312" w:hAnsi="仿宋_GB2312" w:eastAsia="仿宋_GB2312" w:cs="仿宋_GB2312"/>
              </w:rPr>
              <w:t>农业生产发展</w:t>
            </w:r>
          </w:p>
        </w:tc>
        <w:tc>
          <w:tcPr>
            <w:tcW w:w="0" w:type="auto"/>
            <w:tcBorders>
              <w:top w:val="single" w:color="auto" w:sz="4" w:space="0"/>
              <w:left w:val="single" w:color="auto" w:sz="4" w:space="0"/>
              <w:bottom w:val="single" w:color="auto" w:sz="4" w:space="0"/>
              <w:right w:val="single" w:color="auto" w:sz="4" w:space="0"/>
            </w:tcBorders>
          </w:tcPr>
          <w:p w14:paraId="717D035A">
            <w:pPr>
              <w:widowControl/>
              <w:jc w:val="center"/>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286.53</w:t>
            </w:r>
          </w:p>
        </w:tc>
        <w:tc>
          <w:tcPr>
            <w:tcW w:w="0" w:type="auto"/>
            <w:tcBorders>
              <w:top w:val="single" w:color="auto" w:sz="4" w:space="0"/>
              <w:left w:val="single" w:color="auto" w:sz="4" w:space="0"/>
              <w:bottom w:val="single" w:color="auto" w:sz="4" w:space="0"/>
              <w:right w:val="single" w:color="auto" w:sz="4" w:space="0"/>
            </w:tcBorders>
          </w:tcPr>
          <w:p w14:paraId="1F5862DB">
            <w:pPr>
              <w:widowControl/>
              <w:jc w:val="center"/>
              <w:rPr>
                <w:rFonts w:ascii="Times New Roman" w:hAnsi="Times New Roman" w:eastAsia="仿宋_GB2312" w:cs="Times New Roman"/>
                <w:kern w:val="0"/>
                <w:szCs w:val="21"/>
              </w:rPr>
            </w:pPr>
          </w:p>
        </w:tc>
        <w:tc>
          <w:tcPr>
            <w:tcW w:w="0" w:type="auto"/>
            <w:tcBorders>
              <w:top w:val="single" w:color="auto" w:sz="4" w:space="0"/>
              <w:left w:val="single" w:color="auto" w:sz="4" w:space="0"/>
              <w:bottom w:val="single" w:color="auto" w:sz="4" w:space="0"/>
              <w:right w:val="single" w:color="auto" w:sz="4" w:space="0"/>
            </w:tcBorders>
          </w:tcPr>
          <w:p w14:paraId="3706E9E6">
            <w:pPr>
              <w:widowControl/>
              <w:jc w:val="center"/>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286.53</w:t>
            </w:r>
          </w:p>
        </w:tc>
      </w:tr>
      <w:tr w14:paraId="31527531">
        <w:tblPrEx>
          <w:tblCellMar>
            <w:top w:w="0" w:type="dxa"/>
            <w:left w:w="108" w:type="dxa"/>
            <w:bottom w:w="0" w:type="dxa"/>
            <w:right w:w="108" w:type="dxa"/>
          </w:tblCellMar>
        </w:tblPrEx>
        <w:trPr>
          <w:trHeight w:val="450" w:hRule="atLeast"/>
          <w:jc w:val="center"/>
        </w:trPr>
        <w:tc>
          <w:tcPr>
            <w:tcW w:w="0" w:type="auto"/>
            <w:tcBorders>
              <w:top w:val="single" w:color="auto" w:sz="4" w:space="0"/>
              <w:left w:val="single" w:color="auto" w:sz="4" w:space="0"/>
              <w:bottom w:val="single" w:color="auto" w:sz="4" w:space="0"/>
              <w:right w:val="single" w:color="auto" w:sz="4" w:space="0"/>
            </w:tcBorders>
            <w:shd w:val="clear" w:color="000000" w:fill="FFFFFF"/>
            <w:vAlign w:val="center"/>
          </w:tcPr>
          <w:p w14:paraId="200956DA">
            <w:pPr>
              <w:rPr>
                <w:rFonts w:hint="eastAsia" w:ascii="仿宋_GB2312" w:hAnsi="仿宋_GB2312" w:eastAsia="仿宋_GB2312" w:cs="仿宋_GB2312"/>
                <w:kern w:val="2"/>
                <w:sz w:val="21"/>
                <w:szCs w:val="22"/>
                <w:lang w:val="en-US" w:eastAsia="zh-CN" w:bidi="ar-SA"/>
              </w:rPr>
            </w:pPr>
            <w:r>
              <w:rPr>
                <w:rFonts w:hint="eastAsia" w:ascii="仿宋_GB2312" w:hAnsi="仿宋_GB2312" w:eastAsia="仿宋_GB2312" w:cs="仿宋_GB2312"/>
              </w:rPr>
              <w:t>21307</w:t>
            </w:r>
          </w:p>
        </w:tc>
        <w:tc>
          <w:tcPr>
            <w:tcW w:w="0" w:type="auto"/>
            <w:tcBorders>
              <w:top w:val="single" w:color="auto" w:sz="4" w:space="0"/>
              <w:left w:val="single" w:color="auto" w:sz="4" w:space="0"/>
              <w:bottom w:val="single" w:color="auto" w:sz="4" w:space="0"/>
              <w:right w:val="single" w:color="auto" w:sz="4" w:space="0"/>
            </w:tcBorders>
            <w:shd w:val="clear" w:color="000000" w:fill="FFFFFF"/>
            <w:vAlign w:val="center"/>
          </w:tcPr>
          <w:p w14:paraId="32BA790A">
            <w:pPr>
              <w:rPr>
                <w:rFonts w:hint="eastAsia" w:ascii="仿宋_GB2312" w:hAnsi="仿宋_GB2312" w:eastAsia="仿宋_GB2312" w:cs="仿宋_GB2312"/>
                <w:kern w:val="2"/>
                <w:sz w:val="21"/>
                <w:szCs w:val="22"/>
                <w:lang w:val="en-US" w:eastAsia="zh-CN" w:bidi="ar-SA"/>
              </w:rPr>
            </w:pPr>
            <w:r>
              <w:rPr>
                <w:rFonts w:hint="eastAsia" w:ascii="仿宋_GB2312" w:hAnsi="仿宋_GB2312" w:eastAsia="仿宋_GB2312" w:cs="仿宋_GB2312"/>
              </w:rPr>
              <w:t>农村综合改革</w:t>
            </w:r>
          </w:p>
        </w:tc>
        <w:tc>
          <w:tcPr>
            <w:tcW w:w="0" w:type="auto"/>
            <w:tcBorders>
              <w:top w:val="single" w:color="auto" w:sz="4" w:space="0"/>
              <w:left w:val="single" w:color="auto" w:sz="4" w:space="0"/>
              <w:bottom w:val="single" w:color="auto" w:sz="4" w:space="0"/>
              <w:right w:val="single" w:color="auto" w:sz="4" w:space="0"/>
            </w:tcBorders>
          </w:tcPr>
          <w:p w14:paraId="2FF3FE0E">
            <w:pPr>
              <w:widowControl/>
              <w:jc w:val="center"/>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158.94</w:t>
            </w:r>
          </w:p>
        </w:tc>
        <w:tc>
          <w:tcPr>
            <w:tcW w:w="0" w:type="auto"/>
            <w:tcBorders>
              <w:top w:val="single" w:color="auto" w:sz="4" w:space="0"/>
              <w:left w:val="single" w:color="auto" w:sz="4" w:space="0"/>
              <w:bottom w:val="single" w:color="auto" w:sz="4" w:space="0"/>
              <w:right w:val="single" w:color="auto" w:sz="4" w:space="0"/>
            </w:tcBorders>
          </w:tcPr>
          <w:p w14:paraId="7BF63DC2">
            <w:pPr>
              <w:widowControl/>
              <w:jc w:val="center"/>
              <w:rPr>
                <w:rFonts w:ascii="Times New Roman" w:hAnsi="Times New Roman" w:eastAsia="仿宋_GB2312" w:cs="Times New Roman"/>
                <w:kern w:val="0"/>
                <w:szCs w:val="21"/>
              </w:rPr>
            </w:pPr>
          </w:p>
        </w:tc>
        <w:tc>
          <w:tcPr>
            <w:tcW w:w="0" w:type="auto"/>
            <w:tcBorders>
              <w:top w:val="single" w:color="auto" w:sz="4" w:space="0"/>
              <w:left w:val="single" w:color="auto" w:sz="4" w:space="0"/>
              <w:bottom w:val="single" w:color="auto" w:sz="4" w:space="0"/>
              <w:right w:val="single" w:color="auto" w:sz="4" w:space="0"/>
            </w:tcBorders>
          </w:tcPr>
          <w:p w14:paraId="37972A1B">
            <w:pPr>
              <w:widowControl/>
              <w:jc w:val="center"/>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158.94</w:t>
            </w:r>
          </w:p>
        </w:tc>
      </w:tr>
      <w:tr w14:paraId="4EE9127C">
        <w:tblPrEx>
          <w:tblCellMar>
            <w:top w:w="0" w:type="dxa"/>
            <w:left w:w="108" w:type="dxa"/>
            <w:bottom w:w="0" w:type="dxa"/>
            <w:right w:w="108" w:type="dxa"/>
          </w:tblCellMar>
        </w:tblPrEx>
        <w:trPr>
          <w:trHeight w:val="450" w:hRule="atLeast"/>
          <w:jc w:val="center"/>
        </w:trPr>
        <w:tc>
          <w:tcPr>
            <w:tcW w:w="0" w:type="auto"/>
            <w:tcBorders>
              <w:top w:val="single" w:color="auto" w:sz="4" w:space="0"/>
              <w:left w:val="single" w:color="auto" w:sz="4" w:space="0"/>
              <w:bottom w:val="single" w:color="auto" w:sz="4" w:space="0"/>
              <w:right w:val="single" w:color="auto" w:sz="4" w:space="0"/>
            </w:tcBorders>
            <w:shd w:val="clear" w:color="000000" w:fill="FFFFFF"/>
            <w:vAlign w:val="center"/>
          </w:tcPr>
          <w:p w14:paraId="1F0EEE71">
            <w:pPr>
              <w:rPr>
                <w:rFonts w:hint="eastAsia" w:ascii="仿宋_GB2312" w:hAnsi="仿宋_GB2312" w:eastAsia="仿宋_GB2312" w:cs="仿宋_GB2312"/>
                <w:kern w:val="2"/>
                <w:sz w:val="21"/>
                <w:szCs w:val="22"/>
                <w:lang w:val="en-US" w:eastAsia="zh-CN" w:bidi="ar-SA"/>
              </w:rPr>
            </w:pPr>
            <w:r>
              <w:rPr>
                <w:rFonts w:hint="eastAsia" w:ascii="仿宋_GB2312" w:hAnsi="仿宋_GB2312" w:eastAsia="仿宋_GB2312" w:cs="仿宋_GB2312"/>
              </w:rPr>
              <w:t>2130701</w:t>
            </w:r>
          </w:p>
        </w:tc>
        <w:tc>
          <w:tcPr>
            <w:tcW w:w="0" w:type="auto"/>
            <w:tcBorders>
              <w:top w:val="single" w:color="auto" w:sz="4" w:space="0"/>
              <w:left w:val="single" w:color="auto" w:sz="4" w:space="0"/>
              <w:bottom w:val="single" w:color="auto" w:sz="4" w:space="0"/>
              <w:right w:val="single" w:color="auto" w:sz="4" w:space="0"/>
            </w:tcBorders>
            <w:shd w:val="clear" w:color="000000" w:fill="FFFFFF"/>
            <w:vAlign w:val="center"/>
          </w:tcPr>
          <w:p w14:paraId="2D6D008D">
            <w:pPr>
              <w:rPr>
                <w:rFonts w:hint="eastAsia" w:ascii="仿宋_GB2312" w:hAnsi="仿宋_GB2312" w:eastAsia="仿宋_GB2312" w:cs="仿宋_GB2312"/>
                <w:kern w:val="2"/>
                <w:sz w:val="21"/>
                <w:szCs w:val="22"/>
                <w:lang w:val="en-US" w:eastAsia="zh-CN" w:bidi="ar-SA"/>
              </w:rPr>
            </w:pPr>
            <w:r>
              <w:rPr>
                <w:rFonts w:hint="eastAsia" w:ascii="仿宋_GB2312" w:hAnsi="仿宋_GB2312" w:eastAsia="仿宋_GB2312" w:cs="仿宋_GB2312"/>
              </w:rPr>
              <w:t>对村级公益事业建设的补助</w:t>
            </w:r>
          </w:p>
        </w:tc>
        <w:tc>
          <w:tcPr>
            <w:tcW w:w="0" w:type="auto"/>
            <w:tcBorders>
              <w:top w:val="single" w:color="auto" w:sz="4" w:space="0"/>
              <w:left w:val="single" w:color="auto" w:sz="4" w:space="0"/>
              <w:bottom w:val="single" w:color="auto" w:sz="4" w:space="0"/>
              <w:right w:val="single" w:color="auto" w:sz="4" w:space="0"/>
            </w:tcBorders>
          </w:tcPr>
          <w:p w14:paraId="5F555B06">
            <w:pPr>
              <w:widowControl/>
              <w:jc w:val="center"/>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158.94</w:t>
            </w:r>
          </w:p>
        </w:tc>
        <w:tc>
          <w:tcPr>
            <w:tcW w:w="0" w:type="auto"/>
            <w:tcBorders>
              <w:top w:val="single" w:color="auto" w:sz="4" w:space="0"/>
              <w:left w:val="single" w:color="auto" w:sz="4" w:space="0"/>
              <w:bottom w:val="single" w:color="auto" w:sz="4" w:space="0"/>
              <w:right w:val="single" w:color="auto" w:sz="4" w:space="0"/>
            </w:tcBorders>
          </w:tcPr>
          <w:p w14:paraId="5C3AD1C3">
            <w:pPr>
              <w:widowControl/>
              <w:jc w:val="center"/>
              <w:rPr>
                <w:rFonts w:ascii="Times New Roman" w:hAnsi="Times New Roman" w:eastAsia="仿宋_GB2312" w:cs="Times New Roman"/>
                <w:kern w:val="0"/>
                <w:szCs w:val="21"/>
              </w:rPr>
            </w:pPr>
          </w:p>
        </w:tc>
        <w:tc>
          <w:tcPr>
            <w:tcW w:w="0" w:type="auto"/>
            <w:tcBorders>
              <w:top w:val="single" w:color="auto" w:sz="4" w:space="0"/>
              <w:left w:val="single" w:color="auto" w:sz="4" w:space="0"/>
              <w:bottom w:val="single" w:color="auto" w:sz="4" w:space="0"/>
              <w:right w:val="single" w:color="auto" w:sz="4" w:space="0"/>
            </w:tcBorders>
          </w:tcPr>
          <w:p w14:paraId="0CA2A2B6">
            <w:pPr>
              <w:widowControl/>
              <w:jc w:val="center"/>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158.94</w:t>
            </w:r>
          </w:p>
        </w:tc>
      </w:tr>
      <w:tr w14:paraId="4073665C">
        <w:tblPrEx>
          <w:tblCellMar>
            <w:top w:w="0" w:type="dxa"/>
            <w:left w:w="108" w:type="dxa"/>
            <w:bottom w:w="0" w:type="dxa"/>
            <w:right w:w="108" w:type="dxa"/>
          </w:tblCellMar>
        </w:tblPrEx>
        <w:trPr>
          <w:trHeight w:val="450" w:hRule="atLeast"/>
          <w:jc w:val="center"/>
        </w:trPr>
        <w:tc>
          <w:tcPr>
            <w:tcW w:w="0" w:type="auto"/>
            <w:tcBorders>
              <w:top w:val="single" w:color="auto" w:sz="4" w:space="0"/>
              <w:left w:val="single" w:color="auto" w:sz="4" w:space="0"/>
              <w:bottom w:val="single" w:color="auto" w:sz="4" w:space="0"/>
              <w:right w:val="single" w:color="auto" w:sz="4" w:space="0"/>
            </w:tcBorders>
            <w:shd w:val="clear" w:color="000000" w:fill="FFFFFF"/>
            <w:vAlign w:val="center"/>
          </w:tcPr>
          <w:p w14:paraId="208B79ED">
            <w:pPr>
              <w:rPr>
                <w:rFonts w:hint="eastAsia" w:ascii="仿宋_GB2312" w:hAnsi="仿宋_GB2312" w:eastAsia="仿宋_GB2312" w:cs="仿宋_GB2312"/>
                <w:kern w:val="2"/>
                <w:sz w:val="21"/>
                <w:szCs w:val="22"/>
                <w:lang w:val="en-US" w:eastAsia="zh-CN" w:bidi="ar-SA"/>
              </w:rPr>
            </w:pPr>
            <w:r>
              <w:rPr>
                <w:rFonts w:hint="eastAsia" w:ascii="仿宋_GB2312" w:hAnsi="仿宋_GB2312" w:eastAsia="仿宋_GB2312" w:cs="仿宋_GB2312"/>
              </w:rPr>
              <w:t>221</w:t>
            </w:r>
          </w:p>
        </w:tc>
        <w:tc>
          <w:tcPr>
            <w:tcW w:w="0" w:type="auto"/>
            <w:tcBorders>
              <w:top w:val="single" w:color="auto" w:sz="4" w:space="0"/>
              <w:left w:val="single" w:color="auto" w:sz="4" w:space="0"/>
              <w:bottom w:val="single" w:color="auto" w:sz="4" w:space="0"/>
              <w:right w:val="single" w:color="auto" w:sz="4" w:space="0"/>
            </w:tcBorders>
            <w:shd w:val="clear" w:color="000000" w:fill="FFFFFF"/>
            <w:vAlign w:val="center"/>
          </w:tcPr>
          <w:p w14:paraId="04051233">
            <w:pPr>
              <w:rPr>
                <w:rFonts w:hint="eastAsia" w:ascii="仿宋_GB2312" w:hAnsi="仿宋_GB2312" w:eastAsia="仿宋_GB2312" w:cs="仿宋_GB2312"/>
                <w:kern w:val="2"/>
                <w:sz w:val="21"/>
                <w:szCs w:val="22"/>
                <w:lang w:val="en-US" w:eastAsia="zh-CN" w:bidi="ar-SA"/>
              </w:rPr>
            </w:pPr>
            <w:r>
              <w:rPr>
                <w:rFonts w:hint="eastAsia" w:ascii="仿宋_GB2312" w:hAnsi="仿宋_GB2312" w:eastAsia="仿宋_GB2312" w:cs="仿宋_GB2312"/>
              </w:rPr>
              <w:t>住房保障支出</w:t>
            </w:r>
          </w:p>
        </w:tc>
        <w:tc>
          <w:tcPr>
            <w:tcW w:w="0" w:type="auto"/>
            <w:tcBorders>
              <w:top w:val="single" w:color="auto" w:sz="4" w:space="0"/>
              <w:left w:val="single" w:color="auto" w:sz="4" w:space="0"/>
              <w:bottom w:val="single" w:color="auto" w:sz="4" w:space="0"/>
              <w:right w:val="single" w:color="auto" w:sz="4" w:space="0"/>
            </w:tcBorders>
          </w:tcPr>
          <w:p w14:paraId="11318DF0">
            <w:pPr>
              <w:widowControl/>
              <w:jc w:val="center"/>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4.90</w:t>
            </w:r>
          </w:p>
        </w:tc>
        <w:tc>
          <w:tcPr>
            <w:tcW w:w="0" w:type="auto"/>
            <w:tcBorders>
              <w:top w:val="single" w:color="auto" w:sz="4" w:space="0"/>
              <w:left w:val="single" w:color="auto" w:sz="4" w:space="0"/>
              <w:bottom w:val="single" w:color="auto" w:sz="4" w:space="0"/>
              <w:right w:val="single" w:color="auto" w:sz="4" w:space="0"/>
            </w:tcBorders>
          </w:tcPr>
          <w:p w14:paraId="0C83C281">
            <w:pPr>
              <w:widowControl/>
              <w:jc w:val="center"/>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4.90</w:t>
            </w:r>
          </w:p>
        </w:tc>
        <w:tc>
          <w:tcPr>
            <w:tcW w:w="0" w:type="auto"/>
            <w:tcBorders>
              <w:top w:val="single" w:color="auto" w:sz="4" w:space="0"/>
              <w:left w:val="single" w:color="auto" w:sz="4" w:space="0"/>
              <w:bottom w:val="single" w:color="auto" w:sz="4" w:space="0"/>
              <w:right w:val="single" w:color="auto" w:sz="4" w:space="0"/>
            </w:tcBorders>
          </w:tcPr>
          <w:p w14:paraId="169B45DB">
            <w:pPr>
              <w:widowControl/>
              <w:jc w:val="center"/>
              <w:rPr>
                <w:rFonts w:ascii="Times New Roman" w:hAnsi="Times New Roman" w:eastAsia="仿宋_GB2312" w:cs="Times New Roman"/>
                <w:kern w:val="0"/>
                <w:szCs w:val="21"/>
              </w:rPr>
            </w:pPr>
          </w:p>
        </w:tc>
      </w:tr>
      <w:tr w14:paraId="7F026B0A">
        <w:tblPrEx>
          <w:tblCellMar>
            <w:top w:w="0" w:type="dxa"/>
            <w:left w:w="108" w:type="dxa"/>
            <w:bottom w:w="0" w:type="dxa"/>
            <w:right w:w="108" w:type="dxa"/>
          </w:tblCellMar>
        </w:tblPrEx>
        <w:trPr>
          <w:trHeight w:val="450" w:hRule="atLeast"/>
          <w:jc w:val="center"/>
        </w:trPr>
        <w:tc>
          <w:tcPr>
            <w:tcW w:w="0" w:type="auto"/>
            <w:tcBorders>
              <w:top w:val="single" w:color="auto" w:sz="4" w:space="0"/>
              <w:left w:val="single" w:color="auto" w:sz="4" w:space="0"/>
              <w:bottom w:val="single" w:color="auto" w:sz="4" w:space="0"/>
              <w:right w:val="single" w:color="auto" w:sz="4" w:space="0"/>
            </w:tcBorders>
            <w:shd w:val="clear" w:color="000000" w:fill="FFFFFF"/>
            <w:vAlign w:val="center"/>
          </w:tcPr>
          <w:p w14:paraId="138C3E77">
            <w:pPr>
              <w:rPr>
                <w:rFonts w:hint="eastAsia" w:ascii="仿宋_GB2312" w:hAnsi="仿宋_GB2312" w:eastAsia="仿宋_GB2312" w:cs="仿宋_GB2312"/>
                <w:kern w:val="2"/>
                <w:sz w:val="21"/>
                <w:szCs w:val="22"/>
                <w:lang w:val="en-US" w:eastAsia="zh-CN" w:bidi="ar-SA"/>
              </w:rPr>
            </w:pPr>
            <w:r>
              <w:rPr>
                <w:rFonts w:hint="eastAsia" w:ascii="仿宋_GB2312" w:hAnsi="仿宋_GB2312" w:eastAsia="仿宋_GB2312" w:cs="仿宋_GB2312"/>
              </w:rPr>
              <w:t>22102</w:t>
            </w:r>
          </w:p>
        </w:tc>
        <w:tc>
          <w:tcPr>
            <w:tcW w:w="0" w:type="auto"/>
            <w:tcBorders>
              <w:top w:val="single" w:color="auto" w:sz="4" w:space="0"/>
              <w:left w:val="single" w:color="auto" w:sz="4" w:space="0"/>
              <w:bottom w:val="single" w:color="auto" w:sz="4" w:space="0"/>
              <w:right w:val="single" w:color="auto" w:sz="4" w:space="0"/>
            </w:tcBorders>
            <w:shd w:val="clear" w:color="000000" w:fill="FFFFFF"/>
            <w:vAlign w:val="center"/>
          </w:tcPr>
          <w:p w14:paraId="2870AEF3">
            <w:pPr>
              <w:rPr>
                <w:rFonts w:hint="eastAsia" w:ascii="仿宋_GB2312" w:hAnsi="仿宋_GB2312" w:eastAsia="仿宋_GB2312" w:cs="仿宋_GB2312"/>
                <w:kern w:val="2"/>
                <w:sz w:val="21"/>
                <w:szCs w:val="22"/>
                <w:lang w:val="en-US" w:eastAsia="zh-CN" w:bidi="ar-SA"/>
              </w:rPr>
            </w:pPr>
            <w:r>
              <w:rPr>
                <w:rFonts w:hint="eastAsia" w:ascii="仿宋_GB2312" w:hAnsi="仿宋_GB2312" w:eastAsia="仿宋_GB2312" w:cs="仿宋_GB2312"/>
              </w:rPr>
              <w:t>住房改革支出</w:t>
            </w:r>
          </w:p>
        </w:tc>
        <w:tc>
          <w:tcPr>
            <w:tcW w:w="0" w:type="auto"/>
            <w:tcBorders>
              <w:top w:val="single" w:color="auto" w:sz="4" w:space="0"/>
              <w:left w:val="single" w:color="auto" w:sz="4" w:space="0"/>
              <w:bottom w:val="single" w:color="auto" w:sz="4" w:space="0"/>
              <w:right w:val="single" w:color="auto" w:sz="4" w:space="0"/>
            </w:tcBorders>
          </w:tcPr>
          <w:p w14:paraId="672E122F">
            <w:pPr>
              <w:widowControl/>
              <w:jc w:val="center"/>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4.90</w:t>
            </w:r>
          </w:p>
        </w:tc>
        <w:tc>
          <w:tcPr>
            <w:tcW w:w="0" w:type="auto"/>
            <w:tcBorders>
              <w:top w:val="single" w:color="auto" w:sz="4" w:space="0"/>
              <w:left w:val="single" w:color="auto" w:sz="4" w:space="0"/>
              <w:bottom w:val="single" w:color="auto" w:sz="4" w:space="0"/>
              <w:right w:val="single" w:color="auto" w:sz="4" w:space="0"/>
            </w:tcBorders>
          </w:tcPr>
          <w:p w14:paraId="1ACA9046">
            <w:pPr>
              <w:widowControl/>
              <w:jc w:val="center"/>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4.90</w:t>
            </w:r>
          </w:p>
        </w:tc>
        <w:tc>
          <w:tcPr>
            <w:tcW w:w="0" w:type="auto"/>
            <w:tcBorders>
              <w:top w:val="single" w:color="auto" w:sz="4" w:space="0"/>
              <w:left w:val="single" w:color="auto" w:sz="4" w:space="0"/>
              <w:bottom w:val="single" w:color="auto" w:sz="4" w:space="0"/>
              <w:right w:val="single" w:color="auto" w:sz="4" w:space="0"/>
            </w:tcBorders>
          </w:tcPr>
          <w:p w14:paraId="19EE5B1D">
            <w:pPr>
              <w:widowControl/>
              <w:jc w:val="center"/>
              <w:rPr>
                <w:rFonts w:ascii="Times New Roman" w:hAnsi="Times New Roman" w:eastAsia="仿宋_GB2312" w:cs="Times New Roman"/>
                <w:kern w:val="0"/>
                <w:szCs w:val="21"/>
              </w:rPr>
            </w:pPr>
          </w:p>
        </w:tc>
      </w:tr>
      <w:tr w14:paraId="2DD02B5F">
        <w:tblPrEx>
          <w:tblCellMar>
            <w:top w:w="0" w:type="dxa"/>
            <w:left w:w="108" w:type="dxa"/>
            <w:bottom w:w="0" w:type="dxa"/>
            <w:right w:w="108" w:type="dxa"/>
          </w:tblCellMar>
        </w:tblPrEx>
        <w:trPr>
          <w:trHeight w:val="450" w:hRule="atLeast"/>
          <w:jc w:val="center"/>
        </w:trPr>
        <w:tc>
          <w:tcPr>
            <w:tcW w:w="0" w:type="auto"/>
            <w:tcBorders>
              <w:top w:val="single" w:color="auto" w:sz="4" w:space="0"/>
              <w:left w:val="single" w:color="auto" w:sz="4" w:space="0"/>
              <w:bottom w:val="single" w:color="auto" w:sz="4" w:space="0"/>
              <w:right w:val="single" w:color="auto" w:sz="4" w:space="0"/>
            </w:tcBorders>
            <w:shd w:val="clear" w:color="000000" w:fill="FFFFFF"/>
            <w:vAlign w:val="center"/>
          </w:tcPr>
          <w:p w14:paraId="1BC0F2DB">
            <w:pPr>
              <w:rPr>
                <w:rFonts w:hint="eastAsia" w:ascii="仿宋_GB2312" w:hAnsi="仿宋_GB2312" w:eastAsia="仿宋_GB2312" w:cs="仿宋_GB2312"/>
                <w:kern w:val="2"/>
                <w:sz w:val="21"/>
                <w:szCs w:val="22"/>
                <w:lang w:val="en-US" w:eastAsia="zh-CN" w:bidi="ar-SA"/>
              </w:rPr>
            </w:pPr>
            <w:r>
              <w:rPr>
                <w:rFonts w:hint="eastAsia" w:ascii="仿宋_GB2312" w:hAnsi="仿宋_GB2312" w:eastAsia="仿宋_GB2312" w:cs="仿宋_GB2312"/>
              </w:rPr>
              <w:t>2210201</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620C68A5">
            <w:pPr>
              <w:rPr>
                <w:rFonts w:hint="eastAsia" w:ascii="仿宋_GB2312" w:hAnsi="仿宋_GB2312" w:eastAsia="仿宋_GB2312" w:cs="仿宋_GB2312"/>
                <w:kern w:val="2"/>
                <w:sz w:val="21"/>
                <w:szCs w:val="22"/>
                <w:lang w:val="en-US" w:eastAsia="zh-CN" w:bidi="ar-SA"/>
              </w:rPr>
            </w:pPr>
            <w:r>
              <w:rPr>
                <w:rFonts w:hint="eastAsia" w:ascii="仿宋_GB2312" w:hAnsi="仿宋_GB2312" w:eastAsia="仿宋_GB2312" w:cs="仿宋_GB2312"/>
              </w:rPr>
              <w:t>住房公积金</w:t>
            </w:r>
          </w:p>
        </w:tc>
        <w:tc>
          <w:tcPr>
            <w:tcW w:w="0" w:type="auto"/>
            <w:tcBorders>
              <w:top w:val="single" w:color="auto" w:sz="4" w:space="0"/>
              <w:left w:val="single" w:color="auto" w:sz="4" w:space="0"/>
              <w:bottom w:val="single" w:color="auto" w:sz="4" w:space="0"/>
              <w:right w:val="single" w:color="auto" w:sz="4" w:space="0"/>
            </w:tcBorders>
          </w:tcPr>
          <w:p w14:paraId="52314A3F">
            <w:pPr>
              <w:widowControl/>
              <w:jc w:val="center"/>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4.90</w:t>
            </w:r>
          </w:p>
        </w:tc>
        <w:tc>
          <w:tcPr>
            <w:tcW w:w="0" w:type="auto"/>
            <w:tcBorders>
              <w:top w:val="single" w:color="auto" w:sz="4" w:space="0"/>
              <w:left w:val="single" w:color="auto" w:sz="4" w:space="0"/>
              <w:bottom w:val="single" w:color="auto" w:sz="4" w:space="0"/>
              <w:right w:val="single" w:color="auto" w:sz="4" w:space="0"/>
            </w:tcBorders>
          </w:tcPr>
          <w:p w14:paraId="25650146">
            <w:pPr>
              <w:widowControl/>
              <w:jc w:val="center"/>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4.90</w:t>
            </w:r>
          </w:p>
        </w:tc>
        <w:tc>
          <w:tcPr>
            <w:tcW w:w="0" w:type="auto"/>
            <w:tcBorders>
              <w:top w:val="single" w:color="auto" w:sz="4" w:space="0"/>
              <w:left w:val="single" w:color="auto" w:sz="4" w:space="0"/>
              <w:bottom w:val="single" w:color="auto" w:sz="4" w:space="0"/>
              <w:right w:val="single" w:color="auto" w:sz="4" w:space="0"/>
            </w:tcBorders>
          </w:tcPr>
          <w:p w14:paraId="7593EDE9">
            <w:pPr>
              <w:widowControl/>
              <w:jc w:val="center"/>
              <w:rPr>
                <w:rFonts w:ascii="Times New Roman" w:hAnsi="Times New Roman" w:eastAsia="仿宋_GB2312" w:cs="Times New Roman"/>
                <w:kern w:val="0"/>
                <w:szCs w:val="21"/>
              </w:rPr>
            </w:pPr>
          </w:p>
        </w:tc>
      </w:tr>
    </w:tbl>
    <w:p w14:paraId="7E6843BE">
      <w:pPr>
        <w:widowControl/>
        <w:spacing w:before="120"/>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注：本表反映部门本年度一般公共预算财政拨款支出情况。</w:t>
      </w:r>
    </w:p>
    <w:p w14:paraId="79846CA9">
      <w:pPr>
        <w:widowControl/>
        <w:jc w:val="left"/>
        <w:rPr>
          <w:rFonts w:ascii="Times New Roman" w:hAnsi="Times New Roman" w:eastAsia="仿宋_GB2312" w:cs="Times New Roman"/>
          <w:bCs/>
          <w:kern w:val="0"/>
          <w:szCs w:val="21"/>
        </w:rPr>
      </w:pPr>
    </w:p>
    <w:p w14:paraId="48E5A889">
      <w:pPr>
        <w:widowControl/>
        <w:jc w:val="left"/>
        <w:rPr>
          <w:rFonts w:ascii="Times New Roman" w:hAnsi="Times New Roman" w:eastAsia="仿宋_GB2312" w:cs="Times New Roman"/>
          <w:bCs/>
          <w:kern w:val="0"/>
          <w:szCs w:val="21"/>
        </w:rPr>
      </w:pPr>
      <w:r>
        <w:rPr>
          <w:rFonts w:ascii="Times New Roman" w:hAnsi="Times New Roman" w:eastAsia="仿宋_GB2312" w:cs="Times New Roman"/>
          <w:bCs/>
          <w:kern w:val="0"/>
          <w:szCs w:val="21"/>
        </w:rPr>
        <w:br w:type="page"/>
      </w:r>
    </w:p>
    <w:p w14:paraId="21699E39">
      <w:pPr>
        <w:keepNext w:val="0"/>
        <w:keepLines w:val="0"/>
        <w:pageBreakBefore w:val="0"/>
        <w:widowControl/>
        <w:kinsoku/>
        <w:overflowPunct/>
        <w:topLinePunct w:val="0"/>
        <w:autoSpaceDE/>
        <w:autoSpaceDN/>
        <w:bidi w:val="0"/>
        <w:adjustRightInd/>
        <w:snapToGrid/>
        <w:spacing w:after="120" w:line="240" w:lineRule="auto"/>
        <w:jc w:val="center"/>
        <w:textAlignment w:val="center"/>
        <w:rPr>
          <w:rFonts w:ascii="Times New Roman" w:hAnsi="Times New Roman" w:eastAsia="黑体" w:cs="Times New Roman"/>
          <w:color w:val="000000"/>
          <w:kern w:val="0"/>
          <w:sz w:val="36"/>
          <w:szCs w:val="36"/>
          <w:lang w:bidi="ar"/>
        </w:rPr>
      </w:pPr>
      <w:bookmarkStart w:id="2" w:name="RANGE!A1:I34"/>
      <w:r>
        <w:rPr>
          <w:rFonts w:ascii="Times New Roman" w:hAnsi="Times New Roman" w:eastAsia="黑体" w:cs="Times New Roman"/>
          <w:color w:val="000000"/>
          <w:kern w:val="0"/>
          <w:sz w:val="36"/>
          <w:szCs w:val="36"/>
          <w:lang w:bidi="ar"/>
        </w:rPr>
        <w:t>一般公共预算财政拨款基本支出决算明细表</w:t>
      </w:r>
      <w:bookmarkEnd w:id="2"/>
    </w:p>
    <w:p w14:paraId="2253D0FD">
      <w:pPr>
        <w:keepNext w:val="0"/>
        <w:keepLines w:val="0"/>
        <w:pageBreakBefore w:val="0"/>
        <w:widowControl/>
        <w:kinsoku/>
        <w:wordWrap w:val="0"/>
        <w:overflowPunct/>
        <w:topLinePunct w:val="0"/>
        <w:autoSpaceDE/>
        <w:autoSpaceDN/>
        <w:bidi w:val="0"/>
        <w:adjustRightInd/>
        <w:snapToGrid/>
        <w:spacing w:line="230" w:lineRule="exact"/>
        <w:jc w:val="right"/>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 xml:space="preserve">                                                                                                                公开06表</w:t>
      </w:r>
    </w:p>
    <w:p w14:paraId="25E80DB7">
      <w:pPr>
        <w:keepNext w:val="0"/>
        <w:keepLines w:val="0"/>
        <w:pageBreakBefore w:val="0"/>
        <w:widowControl/>
        <w:kinsoku/>
        <w:overflowPunct/>
        <w:topLinePunct w:val="0"/>
        <w:autoSpaceDE/>
        <w:autoSpaceDN/>
        <w:bidi w:val="0"/>
        <w:adjustRightInd/>
        <w:snapToGrid/>
        <w:spacing w:line="230" w:lineRule="exact"/>
        <w:jc w:val="left"/>
        <w:rPr>
          <w:rFonts w:ascii="Times New Roman" w:hAnsi="Times New Roman" w:eastAsia="华文中宋" w:cs="Times New Roman"/>
          <w:color w:val="000000"/>
          <w:kern w:val="0"/>
          <w:szCs w:val="32"/>
        </w:rPr>
      </w:pPr>
      <w:r>
        <w:rPr>
          <w:rFonts w:ascii="Times New Roman" w:hAnsi="Times New Roman" w:eastAsia="仿宋_GB2312" w:cs="Times New Roman"/>
          <w:color w:val="000000"/>
          <w:kern w:val="0"/>
          <w:szCs w:val="21"/>
        </w:rPr>
        <w:t xml:space="preserve"> 部门：</w:t>
      </w:r>
      <w:r>
        <w:rPr>
          <w:rFonts w:hint="eastAsia" w:ascii="Times New Roman" w:hAnsi="Times New Roman" w:eastAsia="仿宋_GB2312" w:cs="Times New Roman"/>
          <w:color w:val="000000"/>
          <w:kern w:val="0"/>
          <w:sz w:val="20"/>
          <w:szCs w:val="20"/>
          <w:lang w:bidi="ar"/>
        </w:rPr>
        <w:t>祁阳现代农业产业园区管理委员会</w:t>
      </w:r>
      <w:r>
        <w:rPr>
          <w:rFonts w:hint="eastAsia" w:ascii="Times New Roman" w:hAnsi="Times New Roman" w:eastAsia="仿宋_GB2312" w:cs="Times New Roman"/>
          <w:color w:val="000000"/>
          <w:kern w:val="0"/>
          <w:szCs w:val="21"/>
          <w:lang w:val="en-US" w:eastAsia="zh-CN"/>
        </w:rPr>
        <w:t xml:space="preserve">                                                                                        </w:t>
      </w:r>
      <w:r>
        <w:rPr>
          <w:rFonts w:ascii="Times New Roman" w:hAnsi="Times New Roman" w:eastAsia="仿宋_GB2312" w:cs="Times New Roman"/>
          <w:color w:val="000000"/>
          <w:kern w:val="0"/>
          <w:szCs w:val="21"/>
        </w:rPr>
        <w:t>单位：万元</w:t>
      </w:r>
    </w:p>
    <w:tbl>
      <w:tblPr>
        <w:tblStyle w:val="13"/>
        <w:tblW w:w="14423" w:type="dxa"/>
        <w:jc w:val="center"/>
        <w:tblLayout w:type="fixed"/>
        <w:tblCellMar>
          <w:top w:w="0" w:type="dxa"/>
          <w:left w:w="108" w:type="dxa"/>
          <w:bottom w:w="0" w:type="dxa"/>
          <w:right w:w="108" w:type="dxa"/>
        </w:tblCellMar>
      </w:tblPr>
      <w:tblGrid>
        <w:gridCol w:w="743"/>
        <w:gridCol w:w="3596"/>
        <w:gridCol w:w="796"/>
        <w:gridCol w:w="980"/>
        <w:gridCol w:w="2072"/>
        <w:gridCol w:w="777"/>
        <w:gridCol w:w="751"/>
        <w:gridCol w:w="3706"/>
        <w:gridCol w:w="1002"/>
      </w:tblGrid>
      <w:tr w14:paraId="444935EB">
        <w:tblPrEx>
          <w:tblCellMar>
            <w:top w:w="0" w:type="dxa"/>
            <w:left w:w="108" w:type="dxa"/>
            <w:bottom w:w="0" w:type="dxa"/>
            <w:right w:w="108" w:type="dxa"/>
          </w:tblCellMar>
        </w:tblPrEx>
        <w:trPr>
          <w:trHeight w:val="530" w:hRule="atLeast"/>
          <w:jc w:val="center"/>
        </w:trPr>
        <w:tc>
          <w:tcPr>
            <w:tcW w:w="743" w:type="dxa"/>
            <w:tcBorders>
              <w:top w:val="single" w:color="auto" w:sz="4" w:space="0"/>
              <w:left w:val="single" w:color="auto" w:sz="4" w:space="0"/>
              <w:bottom w:val="single" w:color="auto" w:sz="4" w:space="0"/>
              <w:right w:val="single" w:color="auto" w:sz="4" w:space="0"/>
            </w:tcBorders>
            <w:shd w:val="clear" w:color="auto" w:fill="auto"/>
            <w:vAlign w:val="center"/>
          </w:tcPr>
          <w:p w14:paraId="5E029982">
            <w:pPr>
              <w:keepNext w:val="0"/>
              <w:keepLines w:val="0"/>
              <w:pageBreakBefore w:val="0"/>
              <w:widowControl/>
              <w:kinsoku/>
              <w:overflowPunct/>
              <w:topLinePunct w:val="0"/>
              <w:autoSpaceDE/>
              <w:autoSpaceDN/>
              <w:bidi w:val="0"/>
              <w:adjustRightInd/>
              <w:snapToGrid/>
              <w:spacing w:line="23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 w:val="20"/>
                <w:szCs w:val="20"/>
              </w:rPr>
              <w:t>经济分类科目编码</w:t>
            </w:r>
          </w:p>
        </w:tc>
        <w:tc>
          <w:tcPr>
            <w:tcW w:w="3596" w:type="dxa"/>
            <w:tcBorders>
              <w:top w:val="single" w:color="auto" w:sz="4" w:space="0"/>
              <w:left w:val="nil"/>
              <w:bottom w:val="single" w:color="auto" w:sz="4" w:space="0"/>
              <w:right w:val="single" w:color="auto" w:sz="4" w:space="0"/>
            </w:tcBorders>
            <w:shd w:val="clear" w:color="auto" w:fill="auto"/>
            <w:vAlign w:val="center"/>
          </w:tcPr>
          <w:p w14:paraId="2D98E4F7">
            <w:pPr>
              <w:keepNext w:val="0"/>
              <w:keepLines w:val="0"/>
              <w:pageBreakBefore w:val="0"/>
              <w:widowControl/>
              <w:kinsoku/>
              <w:overflowPunct/>
              <w:topLinePunct w:val="0"/>
              <w:autoSpaceDE/>
              <w:autoSpaceDN/>
              <w:bidi w:val="0"/>
              <w:adjustRightInd/>
              <w:snapToGrid/>
              <w:spacing w:line="23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796" w:type="dxa"/>
            <w:tcBorders>
              <w:top w:val="single" w:color="auto" w:sz="4" w:space="0"/>
              <w:left w:val="nil"/>
              <w:bottom w:val="single" w:color="auto" w:sz="4" w:space="0"/>
              <w:right w:val="single" w:color="auto" w:sz="4" w:space="0"/>
            </w:tcBorders>
            <w:shd w:val="clear" w:color="auto" w:fill="auto"/>
            <w:vAlign w:val="center"/>
          </w:tcPr>
          <w:p w14:paraId="71ACBF50">
            <w:pPr>
              <w:keepNext w:val="0"/>
              <w:keepLines w:val="0"/>
              <w:pageBreakBefore w:val="0"/>
              <w:widowControl/>
              <w:kinsoku/>
              <w:overflowPunct/>
              <w:topLinePunct w:val="0"/>
              <w:autoSpaceDE/>
              <w:autoSpaceDN/>
              <w:bidi w:val="0"/>
              <w:adjustRightInd/>
              <w:snapToGrid/>
              <w:spacing w:line="23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c>
          <w:tcPr>
            <w:tcW w:w="980" w:type="dxa"/>
            <w:tcBorders>
              <w:top w:val="single" w:color="auto" w:sz="4" w:space="0"/>
              <w:left w:val="nil"/>
              <w:bottom w:val="single" w:color="auto" w:sz="4" w:space="0"/>
              <w:right w:val="single" w:color="auto" w:sz="4" w:space="0"/>
            </w:tcBorders>
            <w:shd w:val="clear" w:color="auto" w:fill="auto"/>
            <w:vAlign w:val="center"/>
          </w:tcPr>
          <w:p w14:paraId="6E0BCDC6">
            <w:pPr>
              <w:keepNext w:val="0"/>
              <w:keepLines w:val="0"/>
              <w:pageBreakBefore w:val="0"/>
              <w:widowControl/>
              <w:kinsoku/>
              <w:overflowPunct/>
              <w:topLinePunct w:val="0"/>
              <w:autoSpaceDE/>
              <w:autoSpaceDN/>
              <w:bidi w:val="0"/>
              <w:adjustRightInd/>
              <w:snapToGrid/>
              <w:spacing w:line="23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经济分类科目编码</w:t>
            </w:r>
          </w:p>
        </w:tc>
        <w:tc>
          <w:tcPr>
            <w:tcW w:w="2072" w:type="dxa"/>
            <w:tcBorders>
              <w:top w:val="single" w:color="auto" w:sz="4" w:space="0"/>
              <w:left w:val="nil"/>
              <w:bottom w:val="single" w:color="auto" w:sz="4" w:space="0"/>
              <w:right w:val="single" w:color="auto" w:sz="4" w:space="0"/>
            </w:tcBorders>
            <w:shd w:val="clear" w:color="auto" w:fill="auto"/>
            <w:vAlign w:val="center"/>
          </w:tcPr>
          <w:p w14:paraId="486207BA">
            <w:pPr>
              <w:keepNext w:val="0"/>
              <w:keepLines w:val="0"/>
              <w:pageBreakBefore w:val="0"/>
              <w:widowControl/>
              <w:kinsoku/>
              <w:overflowPunct/>
              <w:topLinePunct w:val="0"/>
              <w:autoSpaceDE/>
              <w:autoSpaceDN/>
              <w:bidi w:val="0"/>
              <w:adjustRightInd/>
              <w:snapToGrid/>
              <w:spacing w:line="23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777" w:type="dxa"/>
            <w:tcBorders>
              <w:top w:val="single" w:color="auto" w:sz="4" w:space="0"/>
              <w:left w:val="nil"/>
              <w:bottom w:val="single" w:color="auto" w:sz="4" w:space="0"/>
              <w:right w:val="single" w:color="auto" w:sz="4" w:space="0"/>
            </w:tcBorders>
            <w:shd w:val="clear" w:color="auto" w:fill="auto"/>
            <w:vAlign w:val="center"/>
          </w:tcPr>
          <w:p w14:paraId="2EF6BD31">
            <w:pPr>
              <w:keepNext w:val="0"/>
              <w:keepLines w:val="0"/>
              <w:pageBreakBefore w:val="0"/>
              <w:widowControl/>
              <w:kinsoku/>
              <w:overflowPunct/>
              <w:topLinePunct w:val="0"/>
              <w:autoSpaceDE/>
              <w:autoSpaceDN/>
              <w:bidi w:val="0"/>
              <w:adjustRightInd/>
              <w:snapToGrid/>
              <w:spacing w:line="230" w:lineRule="exact"/>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b/>
                <w:bCs/>
                <w:color w:val="000000"/>
                <w:kern w:val="0"/>
                <w:szCs w:val="20"/>
                <w:lang w:val="en-US" w:eastAsia="zh-CN"/>
              </w:rPr>
              <w:t>决算数</w:t>
            </w:r>
          </w:p>
        </w:tc>
        <w:tc>
          <w:tcPr>
            <w:tcW w:w="751" w:type="dxa"/>
            <w:tcBorders>
              <w:top w:val="single" w:color="auto" w:sz="4" w:space="0"/>
              <w:left w:val="nil"/>
              <w:bottom w:val="single" w:color="auto" w:sz="4" w:space="0"/>
              <w:right w:val="single" w:color="auto" w:sz="4" w:space="0"/>
            </w:tcBorders>
            <w:shd w:val="clear" w:color="auto" w:fill="auto"/>
            <w:vAlign w:val="center"/>
          </w:tcPr>
          <w:p w14:paraId="76F414C2">
            <w:pPr>
              <w:keepNext w:val="0"/>
              <w:keepLines w:val="0"/>
              <w:pageBreakBefore w:val="0"/>
              <w:widowControl/>
              <w:kinsoku/>
              <w:overflowPunct/>
              <w:topLinePunct w:val="0"/>
              <w:autoSpaceDE/>
              <w:autoSpaceDN/>
              <w:bidi w:val="0"/>
              <w:adjustRightInd/>
              <w:snapToGrid/>
              <w:spacing w:line="23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经济分类科目编码</w:t>
            </w:r>
          </w:p>
        </w:tc>
        <w:tc>
          <w:tcPr>
            <w:tcW w:w="3706" w:type="dxa"/>
            <w:tcBorders>
              <w:top w:val="single" w:color="auto" w:sz="4" w:space="0"/>
              <w:left w:val="nil"/>
              <w:bottom w:val="single" w:color="auto" w:sz="4" w:space="0"/>
              <w:right w:val="single" w:color="auto" w:sz="4" w:space="0"/>
            </w:tcBorders>
            <w:shd w:val="clear" w:color="auto" w:fill="auto"/>
            <w:vAlign w:val="center"/>
          </w:tcPr>
          <w:p w14:paraId="17F500DF">
            <w:pPr>
              <w:keepNext w:val="0"/>
              <w:keepLines w:val="0"/>
              <w:pageBreakBefore w:val="0"/>
              <w:widowControl/>
              <w:kinsoku/>
              <w:overflowPunct/>
              <w:topLinePunct w:val="0"/>
              <w:autoSpaceDE/>
              <w:autoSpaceDN/>
              <w:bidi w:val="0"/>
              <w:adjustRightInd/>
              <w:snapToGrid/>
              <w:spacing w:line="23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1002" w:type="dxa"/>
            <w:tcBorders>
              <w:top w:val="single" w:color="auto" w:sz="4" w:space="0"/>
              <w:left w:val="nil"/>
              <w:bottom w:val="single" w:color="auto" w:sz="4" w:space="0"/>
              <w:right w:val="single" w:color="auto" w:sz="4" w:space="0"/>
            </w:tcBorders>
            <w:shd w:val="clear" w:color="auto" w:fill="auto"/>
            <w:vAlign w:val="center"/>
          </w:tcPr>
          <w:p w14:paraId="7BB229D5">
            <w:pPr>
              <w:keepNext w:val="0"/>
              <w:keepLines w:val="0"/>
              <w:pageBreakBefore w:val="0"/>
              <w:widowControl/>
              <w:kinsoku/>
              <w:overflowPunct/>
              <w:topLinePunct w:val="0"/>
              <w:autoSpaceDE/>
              <w:autoSpaceDN/>
              <w:bidi w:val="0"/>
              <w:adjustRightInd/>
              <w:snapToGrid/>
              <w:spacing w:line="23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r>
      <w:tr w14:paraId="64569BD1">
        <w:tblPrEx>
          <w:tblCellMar>
            <w:top w:w="0" w:type="dxa"/>
            <w:left w:w="108" w:type="dxa"/>
            <w:bottom w:w="0" w:type="dxa"/>
            <w:right w:w="108" w:type="dxa"/>
          </w:tblCellMar>
        </w:tblPrEx>
        <w:trPr>
          <w:trHeight w:val="255" w:hRule="exact"/>
          <w:jc w:val="center"/>
        </w:trPr>
        <w:tc>
          <w:tcPr>
            <w:tcW w:w="743" w:type="dxa"/>
            <w:tcBorders>
              <w:top w:val="nil"/>
              <w:left w:val="single" w:color="auto" w:sz="4" w:space="0"/>
              <w:bottom w:val="single" w:color="auto" w:sz="4" w:space="0"/>
              <w:right w:val="single" w:color="auto" w:sz="4" w:space="0"/>
            </w:tcBorders>
            <w:shd w:val="clear" w:color="auto" w:fill="auto"/>
            <w:noWrap/>
            <w:vAlign w:val="center"/>
          </w:tcPr>
          <w:p w14:paraId="0259D6D1">
            <w:pPr>
              <w:keepNext w:val="0"/>
              <w:keepLines w:val="0"/>
              <w:pageBreakBefore w:val="0"/>
              <w:widowControl/>
              <w:kinsoku/>
              <w:overflowPunct/>
              <w:topLinePunct w:val="0"/>
              <w:autoSpaceDE/>
              <w:autoSpaceDN/>
              <w:bidi w:val="0"/>
              <w:adjustRightInd/>
              <w:snapToGrid/>
              <w:spacing w:line="230" w:lineRule="exact"/>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w:t>
            </w:r>
          </w:p>
        </w:tc>
        <w:tc>
          <w:tcPr>
            <w:tcW w:w="3596" w:type="dxa"/>
            <w:tcBorders>
              <w:top w:val="nil"/>
              <w:left w:val="nil"/>
              <w:bottom w:val="single" w:color="auto" w:sz="4" w:space="0"/>
              <w:right w:val="single" w:color="auto" w:sz="4" w:space="0"/>
            </w:tcBorders>
            <w:shd w:val="clear" w:color="auto" w:fill="auto"/>
            <w:noWrap/>
            <w:vAlign w:val="center"/>
          </w:tcPr>
          <w:p w14:paraId="6FD6068F">
            <w:pPr>
              <w:keepNext w:val="0"/>
              <w:keepLines w:val="0"/>
              <w:pageBreakBefore w:val="0"/>
              <w:widowControl/>
              <w:kinsoku/>
              <w:overflowPunct/>
              <w:topLinePunct w:val="0"/>
              <w:autoSpaceDE/>
              <w:autoSpaceDN/>
              <w:bidi w:val="0"/>
              <w:adjustRightInd/>
              <w:snapToGrid/>
              <w:spacing w:line="230" w:lineRule="exact"/>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工资福利支出</w:t>
            </w:r>
          </w:p>
        </w:tc>
        <w:tc>
          <w:tcPr>
            <w:tcW w:w="796" w:type="dxa"/>
            <w:tcBorders>
              <w:top w:val="nil"/>
              <w:left w:val="nil"/>
              <w:bottom w:val="single" w:color="auto" w:sz="4" w:space="0"/>
              <w:right w:val="single" w:color="auto" w:sz="4" w:space="0"/>
            </w:tcBorders>
            <w:shd w:val="clear" w:color="auto" w:fill="auto"/>
            <w:noWrap/>
            <w:vAlign w:val="center"/>
          </w:tcPr>
          <w:p w14:paraId="409F3C68">
            <w:pPr>
              <w:keepNext w:val="0"/>
              <w:keepLines w:val="0"/>
              <w:pageBreakBefore w:val="0"/>
              <w:widowControl/>
              <w:kinsoku/>
              <w:overflowPunct/>
              <w:topLinePunct w:val="0"/>
              <w:autoSpaceDE/>
              <w:autoSpaceDN/>
              <w:bidi w:val="0"/>
              <w:adjustRightInd/>
              <w:snapToGrid/>
              <w:spacing w:line="230" w:lineRule="exact"/>
              <w:jc w:val="center"/>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69.03</w:t>
            </w:r>
          </w:p>
        </w:tc>
        <w:tc>
          <w:tcPr>
            <w:tcW w:w="980" w:type="dxa"/>
            <w:tcBorders>
              <w:top w:val="nil"/>
              <w:left w:val="nil"/>
              <w:bottom w:val="single" w:color="auto" w:sz="4" w:space="0"/>
              <w:right w:val="single" w:color="auto" w:sz="4" w:space="0"/>
            </w:tcBorders>
            <w:shd w:val="clear" w:color="auto" w:fill="auto"/>
            <w:noWrap/>
            <w:vAlign w:val="center"/>
          </w:tcPr>
          <w:p w14:paraId="2345DECF">
            <w:pPr>
              <w:keepNext w:val="0"/>
              <w:keepLines w:val="0"/>
              <w:pageBreakBefore w:val="0"/>
              <w:widowControl/>
              <w:kinsoku/>
              <w:overflowPunct/>
              <w:topLinePunct w:val="0"/>
              <w:autoSpaceDE/>
              <w:autoSpaceDN/>
              <w:bidi w:val="0"/>
              <w:adjustRightInd/>
              <w:snapToGrid/>
              <w:spacing w:line="230" w:lineRule="exact"/>
              <w:jc w:val="left"/>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30</w:t>
            </w:r>
            <w:r>
              <w:rPr>
                <w:rFonts w:ascii="Times New Roman" w:hAnsi="Times New Roman" w:eastAsia="仿宋_GB2312" w:cs="Times New Roman"/>
                <w:color w:val="000000"/>
                <w:kern w:val="0"/>
                <w:szCs w:val="20"/>
              </w:rPr>
              <w:t>2</w:t>
            </w:r>
          </w:p>
        </w:tc>
        <w:tc>
          <w:tcPr>
            <w:tcW w:w="2072" w:type="dxa"/>
            <w:tcBorders>
              <w:top w:val="nil"/>
              <w:left w:val="nil"/>
              <w:bottom w:val="single" w:color="auto" w:sz="4" w:space="0"/>
              <w:right w:val="single" w:color="auto" w:sz="4" w:space="0"/>
            </w:tcBorders>
            <w:shd w:val="clear" w:color="auto" w:fill="auto"/>
            <w:noWrap/>
            <w:vAlign w:val="center"/>
          </w:tcPr>
          <w:p w14:paraId="775E0FB7">
            <w:pPr>
              <w:keepNext w:val="0"/>
              <w:keepLines w:val="0"/>
              <w:pageBreakBefore w:val="0"/>
              <w:widowControl/>
              <w:kinsoku/>
              <w:overflowPunct/>
              <w:topLinePunct w:val="0"/>
              <w:autoSpaceDE/>
              <w:autoSpaceDN/>
              <w:bidi w:val="0"/>
              <w:adjustRightInd/>
              <w:snapToGrid/>
              <w:spacing w:line="230" w:lineRule="exact"/>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商品和服务支出</w:t>
            </w:r>
          </w:p>
        </w:tc>
        <w:tc>
          <w:tcPr>
            <w:tcW w:w="777" w:type="dxa"/>
            <w:tcBorders>
              <w:top w:val="nil"/>
              <w:left w:val="nil"/>
              <w:bottom w:val="single" w:color="auto" w:sz="4" w:space="0"/>
              <w:right w:val="single" w:color="auto" w:sz="4" w:space="0"/>
            </w:tcBorders>
            <w:shd w:val="clear" w:color="auto" w:fill="auto"/>
            <w:noWrap/>
            <w:vAlign w:val="center"/>
          </w:tcPr>
          <w:p w14:paraId="2013291E">
            <w:pPr>
              <w:keepNext w:val="0"/>
              <w:keepLines w:val="0"/>
              <w:pageBreakBefore w:val="0"/>
              <w:widowControl/>
              <w:kinsoku/>
              <w:overflowPunct/>
              <w:topLinePunct w:val="0"/>
              <w:autoSpaceDE/>
              <w:autoSpaceDN/>
              <w:bidi w:val="0"/>
              <w:adjustRightInd/>
              <w:snapToGrid/>
              <w:spacing w:line="230" w:lineRule="exact"/>
              <w:jc w:val="center"/>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4.47　4.474.47</w:t>
            </w:r>
          </w:p>
        </w:tc>
        <w:tc>
          <w:tcPr>
            <w:tcW w:w="751" w:type="dxa"/>
            <w:tcBorders>
              <w:top w:val="nil"/>
              <w:left w:val="nil"/>
              <w:bottom w:val="single" w:color="auto" w:sz="4" w:space="0"/>
              <w:right w:val="single" w:color="auto" w:sz="4" w:space="0"/>
            </w:tcBorders>
            <w:shd w:val="clear" w:color="auto" w:fill="auto"/>
            <w:noWrap/>
            <w:vAlign w:val="center"/>
          </w:tcPr>
          <w:p w14:paraId="7A175CDD">
            <w:pPr>
              <w:keepNext w:val="0"/>
              <w:keepLines w:val="0"/>
              <w:pageBreakBefore w:val="0"/>
              <w:widowControl/>
              <w:kinsoku/>
              <w:overflowPunct/>
              <w:topLinePunct w:val="0"/>
              <w:autoSpaceDE/>
              <w:autoSpaceDN/>
              <w:bidi w:val="0"/>
              <w:adjustRightInd/>
              <w:snapToGrid/>
              <w:spacing w:line="230" w:lineRule="exact"/>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307</w:t>
            </w:r>
          </w:p>
        </w:tc>
        <w:tc>
          <w:tcPr>
            <w:tcW w:w="3706" w:type="dxa"/>
            <w:tcBorders>
              <w:top w:val="nil"/>
              <w:left w:val="nil"/>
              <w:bottom w:val="single" w:color="auto" w:sz="4" w:space="0"/>
              <w:right w:val="single" w:color="auto" w:sz="4" w:space="0"/>
            </w:tcBorders>
            <w:shd w:val="clear" w:color="auto" w:fill="auto"/>
            <w:noWrap/>
            <w:vAlign w:val="center"/>
          </w:tcPr>
          <w:p w14:paraId="10B215E0">
            <w:pPr>
              <w:keepNext w:val="0"/>
              <w:keepLines w:val="0"/>
              <w:pageBreakBefore w:val="0"/>
              <w:widowControl/>
              <w:kinsoku/>
              <w:overflowPunct/>
              <w:topLinePunct w:val="0"/>
              <w:autoSpaceDE/>
              <w:autoSpaceDN/>
              <w:bidi w:val="0"/>
              <w:adjustRightInd/>
              <w:snapToGrid/>
              <w:spacing w:line="230" w:lineRule="exact"/>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债务利息及费用支出</w:t>
            </w:r>
          </w:p>
        </w:tc>
        <w:tc>
          <w:tcPr>
            <w:tcW w:w="1002" w:type="dxa"/>
            <w:tcBorders>
              <w:top w:val="nil"/>
              <w:left w:val="nil"/>
              <w:bottom w:val="single" w:color="auto" w:sz="4" w:space="0"/>
              <w:right w:val="single" w:color="auto" w:sz="4" w:space="0"/>
            </w:tcBorders>
            <w:shd w:val="clear" w:color="auto" w:fill="auto"/>
            <w:noWrap/>
            <w:vAlign w:val="center"/>
          </w:tcPr>
          <w:p w14:paraId="427ABF08">
            <w:pPr>
              <w:keepNext w:val="0"/>
              <w:keepLines w:val="0"/>
              <w:pageBreakBefore w:val="0"/>
              <w:widowControl/>
              <w:kinsoku/>
              <w:overflowPunct/>
              <w:topLinePunct w:val="0"/>
              <w:autoSpaceDE/>
              <w:autoSpaceDN/>
              <w:bidi w:val="0"/>
              <w:adjustRightInd/>
              <w:snapToGrid/>
              <w:spacing w:line="230" w:lineRule="exact"/>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3D18758B">
        <w:tblPrEx>
          <w:tblCellMar>
            <w:top w:w="0" w:type="dxa"/>
            <w:left w:w="108" w:type="dxa"/>
            <w:bottom w:w="0" w:type="dxa"/>
            <w:right w:w="108" w:type="dxa"/>
          </w:tblCellMar>
        </w:tblPrEx>
        <w:trPr>
          <w:trHeight w:val="255" w:hRule="exact"/>
          <w:jc w:val="center"/>
        </w:trPr>
        <w:tc>
          <w:tcPr>
            <w:tcW w:w="743" w:type="dxa"/>
            <w:tcBorders>
              <w:top w:val="nil"/>
              <w:left w:val="single" w:color="auto" w:sz="4" w:space="0"/>
              <w:bottom w:val="single" w:color="auto" w:sz="4" w:space="0"/>
              <w:right w:val="single" w:color="auto" w:sz="4" w:space="0"/>
            </w:tcBorders>
            <w:shd w:val="clear" w:color="auto" w:fill="auto"/>
            <w:noWrap/>
            <w:vAlign w:val="center"/>
          </w:tcPr>
          <w:p w14:paraId="192B7AAA">
            <w:pPr>
              <w:keepNext w:val="0"/>
              <w:keepLines w:val="0"/>
              <w:pageBreakBefore w:val="0"/>
              <w:widowControl/>
              <w:kinsoku/>
              <w:overflowPunct/>
              <w:topLinePunct w:val="0"/>
              <w:autoSpaceDE/>
              <w:autoSpaceDN/>
              <w:bidi w:val="0"/>
              <w:adjustRightInd/>
              <w:snapToGrid/>
              <w:spacing w:line="230" w:lineRule="exact"/>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30101</w:t>
            </w:r>
          </w:p>
        </w:tc>
        <w:tc>
          <w:tcPr>
            <w:tcW w:w="3596" w:type="dxa"/>
            <w:tcBorders>
              <w:top w:val="nil"/>
              <w:left w:val="nil"/>
              <w:bottom w:val="single" w:color="auto" w:sz="4" w:space="0"/>
              <w:right w:val="single" w:color="auto" w:sz="4" w:space="0"/>
            </w:tcBorders>
            <w:shd w:val="clear" w:color="auto" w:fill="auto"/>
            <w:noWrap/>
            <w:vAlign w:val="center"/>
          </w:tcPr>
          <w:p w14:paraId="2250D5E3">
            <w:pPr>
              <w:keepNext w:val="0"/>
              <w:keepLines w:val="0"/>
              <w:pageBreakBefore w:val="0"/>
              <w:widowControl/>
              <w:kinsoku/>
              <w:overflowPunct/>
              <w:topLinePunct w:val="0"/>
              <w:autoSpaceDE/>
              <w:autoSpaceDN/>
              <w:bidi w:val="0"/>
              <w:adjustRightInd/>
              <w:snapToGrid/>
              <w:spacing w:line="230" w:lineRule="exact"/>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基本工资</w:t>
            </w:r>
          </w:p>
        </w:tc>
        <w:tc>
          <w:tcPr>
            <w:tcW w:w="796" w:type="dxa"/>
            <w:tcBorders>
              <w:top w:val="nil"/>
              <w:left w:val="nil"/>
              <w:bottom w:val="single" w:color="auto" w:sz="4" w:space="0"/>
              <w:right w:val="single" w:color="auto" w:sz="4" w:space="0"/>
            </w:tcBorders>
            <w:shd w:val="clear" w:color="auto" w:fill="auto"/>
            <w:noWrap/>
            <w:vAlign w:val="center"/>
          </w:tcPr>
          <w:p w14:paraId="4B39DAD9">
            <w:pPr>
              <w:keepNext w:val="0"/>
              <w:keepLines w:val="0"/>
              <w:pageBreakBefore w:val="0"/>
              <w:widowControl/>
              <w:kinsoku/>
              <w:overflowPunct/>
              <w:topLinePunct w:val="0"/>
              <w:autoSpaceDE/>
              <w:autoSpaceDN/>
              <w:bidi w:val="0"/>
              <w:adjustRightInd/>
              <w:snapToGrid/>
              <w:spacing w:line="230" w:lineRule="exact"/>
              <w:jc w:val="center"/>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28.57</w:t>
            </w:r>
          </w:p>
        </w:tc>
        <w:tc>
          <w:tcPr>
            <w:tcW w:w="980" w:type="dxa"/>
            <w:tcBorders>
              <w:top w:val="nil"/>
              <w:left w:val="nil"/>
              <w:bottom w:val="single" w:color="auto" w:sz="4" w:space="0"/>
              <w:right w:val="single" w:color="auto" w:sz="4" w:space="0"/>
            </w:tcBorders>
            <w:shd w:val="clear" w:color="auto" w:fill="auto"/>
            <w:noWrap/>
            <w:vAlign w:val="center"/>
          </w:tcPr>
          <w:p w14:paraId="510956F0">
            <w:pPr>
              <w:keepNext w:val="0"/>
              <w:keepLines w:val="0"/>
              <w:pageBreakBefore w:val="0"/>
              <w:widowControl/>
              <w:kinsoku/>
              <w:overflowPunct/>
              <w:topLinePunct w:val="0"/>
              <w:autoSpaceDE/>
              <w:autoSpaceDN/>
              <w:bidi w:val="0"/>
              <w:adjustRightInd/>
              <w:snapToGrid/>
              <w:spacing w:line="230" w:lineRule="exact"/>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w:t>
            </w:r>
            <w:r>
              <w:rPr>
                <w:rFonts w:hint="eastAsia" w:ascii="Times New Roman" w:hAnsi="Times New Roman" w:eastAsia="仿宋_GB2312" w:cs="Times New Roman"/>
                <w:color w:val="000000"/>
                <w:kern w:val="0"/>
                <w:szCs w:val="20"/>
                <w:lang w:val="en-US" w:eastAsia="zh-CN"/>
              </w:rPr>
              <w:t>1</w:t>
            </w:r>
          </w:p>
        </w:tc>
        <w:tc>
          <w:tcPr>
            <w:tcW w:w="2072" w:type="dxa"/>
            <w:tcBorders>
              <w:top w:val="nil"/>
              <w:left w:val="nil"/>
              <w:bottom w:val="single" w:color="auto" w:sz="4" w:space="0"/>
              <w:right w:val="single" w:color="auto" w:sz="4" w:space="0"/>
            </w:tcBorders>
            <w:shd w:val="clear" w:color="auto" w:fill="auto"/>
            <w:noWrap/>
            <w:vAlign w:val="center"/>
          </w:tcPr>
          <w:p w14:paraId="5D44DDF5">
            <w:pPr>
              <w:keepNext w:val="0"/>
              <w:keepLines w:val="0"/>
              <w:pageBreakBefore w:val="0"/>
              <w:widowControl/>
              <w:kinsoku/>
              <w:overflowPunct/>
              <w:topLinePunct w:val="0"/>
              <w:autoSpaceDE/>
              <w:autoSpaceDN/>
              <w:bidi w:val="0"/>
              <w:adjustRightInd/>
              <w:snapToGrid/>
              <w:spacing w:line="230" w:lineRule="exact"/>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办公费</w:t>
            </w:r>
          </w:p>
        </w:tc>
        <w:tc>
          <w:tcPr>
            <w:tcW w:w="777" w:type="dxa"/>
            <w:tcBorders>
              <w:top w:val="nil"/>
              <w:left w:val="nil"/>
              <w:bottom w:val="single" w:color="auto" w:sz="4" w:space="0"/>
              <w:right w:val="single" w:color="auto" w:sz="4" w:space="0"/>
            </w:tcBorders>
            <w:shd w:val="clear" w:color="auto" w:fill="auto"/>
            <w:noWrap/>
            <w:vAlign w:val="center"/>
          </w:tcPr>
          <w:p w14:paraId="56521381">
            <w:pPr>
              <w:keepNext w:val="0"/>
              <w:keepLines w:val="0"/>
              <w:pageBreakBefore w:val="0"/>
              <w:widowControl/>
              <w:kinsoku/>
              <w:overflowPunct/>
              <w:topLinePunct w:val="0"/>
              <w:autoSpaceDE/>
              <w:autoSpaceDN/>
              <w:bidi w:val="0"/>
              <w:adjustRightInd/>
              <w:snapToGrid/>
              <w:spacing w:line="230" w:lineRule="exact"/>
              <w:jc w:val="center"/>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0.27</w:t>
            </w:r>
          </w:p>
        </w:tc>
        <w:tc>
          <w:tcPr>
            <w:tcW w:w="751" w:type="dxa"/>
            <w:tcBorders>
              <w:top w:val="nil"/>
              <w:left w:val="nil"/>
              <w:bottom w:val="single" w:color="auto" w:sz="4" w:space="0"/>
              <w:right w:val="single" w:color="auto" w:sz="4" w:space="0"/>
            </w:tcBorders>
            <w:shd w:val="clear" w:color="auto" w:fill="auto"/>
            <w:noWrap/>
            <w:vAlign w:val="center"/>
          </w:tcPr>
          <w:p w14:paraId="10A1C7F0">
            <w:pPr>
              <w:keepNext w:val="0"/>
              <w:keepLines w:val="0"/>
              <w:pageBreakBefore w:val="0"/>
              <w:widowControl/>
              <w:kinsoku/>
              <w:overflowPunct/>
              <w:topLinePunct w:val="0"/>
              <w:autoSpaceDE/>
              <w:autoSpaceDN/>
              <w:bidi w:val="0"/>
              <w:adjustRightInd/>
              <w:snapToGrid/>
              <w:spacing w:line="230" w:lineRule="exact"/>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30701</w:t>
            </w:r>
          </w:p>
        </w:tc>
        <w:tc>
          <w:tcPr>
            <w:tcW w:w="3706" w:type="dxa"/>
            <w:tcBorders>
              <w:top w:val="nil"/>
              <w:left w:val="nil"/>
              <w:bottom w:val="single" w:color="auto" w:sz="4" w:space="0"/>
              <w:right w:val="single" w:color="auto" w:sz="4" w:space="0"/>
            </w:tcBorders>
            <w:shd w:val="clear" w:color="auto" w:fill="auto"/>
            <w:noWrap/>
            <w:vAlign w:val="center"/>
          </w:tcPr>
          <w:p w14:paraId="5BC710D9">
            <w:pPr>
              <w:keepNext w:val="0"/>
              <w:keepLines w:val="0"/>
              <w:pageBreakBefore w:val="0"/>
              <w:widowControl/>
              <w:kinsoku/>
              <w:overflowPunct/>
              <w:topLinePunct w:val="0"/>
              <w:autoSpaceDE/>
              <w:autoSpaceDN/>
              <w:bidi w:val="0"/>
              <w:adjustRightInd/>
              <w:snapToGrid/>
              <w:spacing w:line="230" w:lineRule="exact"/>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国内债务付息</w:t>
            </w:r>
          </w:p>
        </w:tc>
        <w:tc>
          <w:tcPr>
            <w:tcW w:w="1002" w:type="dxa"/>
            <w:tcBorders>
              <w:top w:val="nil"/>
              <w:left w:val="nil"/>
              <w:bottom w:val="single" w:color="auto" w:sz="4" w:space="0"/>
              <w:right w:val="single" w:color="auto" w:sz="4" w:space="0"/>
            </w:tcBorders>
            <w:shd w:val="clear" w:color="auto" w:fill="auto"/>
            <w:noWrap/>
            <w:vAlign w:val="center"/>
          </w:tcPr>
          <w:p w14:paraId="11578EFD">
            <w:pPr>
              <w:keepNext w:val="0"/>
              <w:keepLines w:val="0"/>
              <w:pageBreakBefore w:val="0"/>
              <w:widowControl/>
              <w:kinsoku/>
              <w:overflowPunct/>
              <w:topLinePunct w:val="0"/>
              <w:autoSpaceDE/>
              <w:autoSpaceDN/>
              <w:bidi w:val="0"/>
              <w:adjustRightInd/>
              <w:snapToGrid/>
              <w:spacing w:line="230" w:lineRule="exact"/>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1C646631">
        <w:tblPrEx>
          <w:tblCellMar>
            <w:top w:w="0" w:type="dxa"/>
            <w:left w:w="108" w:type="dxa"/>
            <w:bottom w:w="0" w:type="dxa"/>
            <w:right w:w="108" w:type="dxa"/>
          </w:tblCellMar>
        </w:tblPrEx>
        <w:trPr>
          <w:trHeight w:val="255" w:hRule="exact"/>
          <w:jc w:val="center"/>
        </w:trPr>
        <w:tc>
          <w:tcPr>
            <w:tcW w:w="743" w:type="dxa"/>
            <w:tcBorders>
              <w:top w:val="nil"/>
              <w:left w:val="single" w:color="auto" w:sz="4" w:space="0"/>
              <w:bottom w:val="single" w:color="auto" w:sz="4" w:space="0"/>
              <w:right w:val="single" w:color="auto" w:sz="4" w:space="0"/>
            </w:tcBorders>
            <w:shd w:val="clear" w:color="auto" w:fill="auto"/>
            <w:noWrap/>
            <w:vAlign w:val="center"/>
          </w:tcPr>
          <w:p w14:paraId="116853C0">
            <w:pPr>
              <w:keepNext w:val="0"/>
              <w:keepLines w:val="0"/>
              <w:pageBreakBefore w:val="0"/>
              <w:widowControl/>
              <w:kinsoku/>
              <w:overflowPunct/>
              <w:topLinePunct w:val="0"/>
              <w:autoSpaceDE/>
              <w:autoSpaceDN/>
              <w:bidi w:val="0"/>
              <w:adjustRightInd/>
              <w:snapToGrid/>
              <w:spacing w:line="230" w:lineRule="exact"/>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30102</w:t>
            </w:r>
          </w:p>
        </w:tc>
        <w:tc>
          <w:tcPr>
            <w:tcW w:w="3596" w:type="dxa"/>
            <w:tcBorders>
              <w:top w:val="nil"/>
              <w:left w:val="nil"/>
              <w:bottom w:val="single" w:color="auto" w:sz="4" w:space="0"/>
              <w:right w:val="single" w:color="auto" w:sz="4" w:space="0"/>
            </w:tcBorders>
            <w:shd w:val="clear" w:color="auto" w:fill="auto"/>
            <w:noWrap/>
            <w:vAlign w:val="center"/>
          </w:tcPr>
          <w:p w14:paraId="340C65CA">
            <w:pPr>
              <w:keepNext w:val="0"/>
              <w:keepLines w:val="0"/>
              <w:pageBreakBefore w:val="0"/>
              <w:widowControl/>
              <w:kinsoku/>
              <w:overflowPunct/>
              <w:topLinePunct w:val="0"/>
              <w:autoSpaceDE/>
              <w:autoSpaceDN/>
              <w:bidi w:val="0"/>
              <w:adjustRightInd/>
              <w:snapToGrid/>
              <w:spacing w:line="230" w:lineRule="exact"/>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津贴补贴</w:t>
            </w:r>
          </w:p>
        </w:tc>
        <w:tc>
          <w:tcPr>
            <w:tcW w:w="796" w:type="dxa"/>
            <w:tcBorders>
              <w:top w:val="nil"/>
              <w:left w:val="nil"/>
              <w:bottom w:val="single" w:color="auto" w:sz="4" w:space="0"/>
              <w:right w:val="single" w:color="auto" w:sz="4" w:space="0"/>
            </w:tcBorders>
            <w:shd w:val="clear" w:color="auto" w:fill="auto"/>
            <w:noWrap/>
            <w:vAlign w:val="center"/>
          </w:tcPr>
          <w:p w14:paraId="530CF3FB">
            <w:pPr>
              <w:keepNext w:val="0"/>
              <w:keepLines w:val="0"/>
              <w:pageBreakBefore w:val="0"/>
              <w:widowControl/>
              <w:kinsoku/>
              <w:overflowPunct/>
              <w:topLinePunct w:val="0"/>
              <w:autoSpaceDE/>
              <w:autoSpaceDN/>
              <w:bidi w:val="0"/>
              <w:adjustRightInd/>
              <w:snapToGrid/>
              <w:spacing w:line="230" w:lineRule="exact"/>
              <w:jc w:val="center"/>
              <w:rPr>
                <w:rFonts w:hint="eastAsia" w:ascii="Times New Roman" w:hAnsi="Times New Roman" w:eastAsia="仿宋_GB2312" w:cs="Times New Roman"/>
                <w:color w:val="000000"/>
                <w:kern w:val="0"/>
                <w:szCs w:val="20"/>
                <w:lang w:val="en-US" w:eastAsia="zh-CN"/>
              </w:rPr>
            </w:pPr>
          </w:p>
        </w:tc>
        <w:tc>
          <w:tcPr>
            <w:tcW w:w="980" w:type="dxa"/>
            <w:tcBorders>
              <w:top w:val="nil"/>
              <w:left w:val="nil"/>
              <w:bottom w:val="single" w:color="auto" w:sz="4" w:space="0"/>
              <w:right w:val="single" w:color="auto" w:sz="4" w:space="0"/>
            </w:tcBorders>
            <w:shd w:val="clear" w:color="auto" w:fill="auto"/>
            <w:noWrap/>
            <w:vAlign w:val="center"/>
          </w:tcPr>
          <w:p w14:paraId="35184591">
            <w:pPr>
              <w:keepNext w:val="0"/>
              <w:keepLines w:val="0"/>
              <w:pageBreakBefore w:val="0"/>
              <w:widowControl/>
              <w:kinsoku/>
              <w:overflowPunct/>
              <w:topLinePunct w:val="0"/>
              <w:autoSpaceDE/>
              <w:autoSpaceDN/>
              <w:bidi w:val="0"/>
              <w:adjustRightInd/>
              <w:snapToGrid/>
              <w:spacing w:line="230" w:lineRule="exact"/>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30202</w:t>
            </w:r>
          </w:p>
        </w:tc>
        <w:tc>
          <w:tcPr>
            <w:tcW w:w="2072" w:type="dxa"/>
            <w:tcBorders>
              <w:top w:val="nil"/>
              <w:left w:val="nil"/>
              <w:bottom w:val="single" w:color="auto" w:sz="4" w:space="0"/>
              <w:right w:val="single" w:color="auto" w:sz="4" w:space="0"/>
            </w:tcBorders>
            <w:shd w:val="clear" w:color="auto" w:fill="auto"/>
            <w:noWrap/>
            <w:vAlign w:val="center"/>
          </w:tcPr>
          <w:p w14:paraId="5B4AF5FB">
            <w:pPr>
              <w:keepNext w:val="0"/>
              <w:keepLines w:val="0"/>
              <w:pageBreakBefore w:val="0"/>
              <w:widowControl/>
              <w:kinsoku/>
              <w:overflowPunct/>
              <w:topLinePunct w:val="0"/>
              <w:autoSpaceDE/>
              <w:autoSpaceDN/>
              <w:bidi w:val="0"/>
              <w:adjustRightInd/>
              <w:snapToGrid/>
              <w:spacing w:line="230" w:lineRule="exact"/>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印刷费</w:t>
            </w:r>
          </w:p>
        </w:tc>
        <w:tc>
          <w:tcPr>
            <w:tcW w:w="777" w:type="dxa"/>
            <w:tcBorders>
              <w:top w:val="nil"/>
              <w:left w:val="nil"/>
              <w:bottom w:val="single" w:color="auto" w:sz="4" w:space="0"/>
              <w:right w:val="single" w:color="auto" w:sz="4" w:space="0"/>
            </w:tcBorders>
            <w:shd w:val="clear" w:color="auto" w:fill="auto"/>
            <w:noWrap/>
            <w:vAlign w:val="center"/>
          </w:tcPr>
          <w:p w14:paraId="047C3734">
            <w:pPr>
              <w:keepNext w:val="0"/>
              <w:keepLines w:val="0"/>
              <w:pageBreakBefore w:val="0"/>
              <w:widowControl/>
              <w:kinsoku/>
              <w:overflowPunct/>
              <w:topLinePunct w:val="0"/>
              <w:autoSpaceDE/>
              <w:autoSpaceDN/>
              <w:bidi w:val="0"/>
              <w:adjustRightInd/>
              <w:snapToGrid/>
              <w:spacing w:line="230" w:lineRule="exact"/>
              <w:jc w:val="center"/>
              <w:rPr>
                <w:rFonts w:hint="eastAsia" w:ascii="Times New Roman" w:hAnsi="Times New Roman" w:eastAsia="仿宋_GB2312" w:cs="Times New Roman"/>
                <w:color w:val="000000"/>
                <w:kern w:val="0"/>
                <w:szCs w:val="20"/>
                <w:lang w:val="en-US" w:eastAsia="zh-CN"/>
              </w:rPr>
            </w:pPr>
          </w:p>
        </w:tc>
        <w:tc>
          <w:tcPr>
            <w:tcW w:w="751" w:type="dxa"/>
            <w:tcBorders>
              <w:top w:val="nil"/>
              <w:left w:val="nil"/>
              <w:bottom w:val="single" w:color="auto" w:sz="4" w:space="0"/>
              <w:right w:val="single" w:color="auto" w:sz="4" w:space="0"/>
            </w:tcBorders>
            <w:shd w:val="clear" w:color="auto" w:fill="auto"/>
            <w:noWrap/>
            <w:vAlign w:val="center"/>
          </w:tcPr>
          <w:p w14:paraId="1555D2C7">
            <w:pPr>
              <w:keepNext w:val="0"/>
              <w:keepLines w:val="0"/>
              <w:pageBreakBefore w:val="0"/>
              <w:widowControl/>
              <w:kinsoku/>
              <w:overflowPunct/>
              <w:topLinePunct w:val="0"/>
              <w:autoSpaceDE/>
              <w:autoSpaceDN/>
              <w:bidi w:val="0"/>
              <w:adjustRightInd/>
              <w:snapToGrid/>
              <w:spacing w:line="230" w:lineRule="exact"/>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30702</w:t>
            </w:r>
          </w:p>
        </w:tc>
        <w:tc>
          <w:tcPr>
            <w:tcW w:w="3706" w:type="dxa"/>
            <w:tcBorders>
              <w:top w:val="nil"/>
              <w:left w:val="nil"/>
              <w:bottom w:val="single" w:color="auto" w:sz="4" w:space="0"/>
              <w:right w:val="single" w:color="auto" w:sz="4" w:space="0"/>
            </w:tcBorders>
            <w:shd w:val="clear" w:color="auto" w:fill="auto"/>
            <w:noWrap/>
            <w:vAlign w:val="center"/>
          </w:tcPr>
          <w:p w14:paraId="0D11617E">
            <w:pPr>
              <w:keepNext w:val="0"/>
              <w:keepLines w:val="0"/>
              <w:pageBreakBefore w:val="0"/>
              <w:widowControl/>
              <w:kinsoku/>
              <w:overflowPunct/>
              <w:topLinePunct w:val="0"/>
              <w:autoSpaceDE/>
              <w:autoSpaceDN/>
              <w:bidi w:val="0"/>
              <w:adjustRightInd/>
              <w:snapToGrid/>
              <w:spacing w:line="230" w:lineRule="exact"/>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国外债务付息</w:t>
            </w:r>
          </w:p>
        </w:tc>
        <w:tc>
          <w:tcPr>
            <w:tcW w:w="1002" w:type="dxa"/>
            <w:tcBorders>
              <w:top w:val="nil"/>
              <w:left w:val="nil"/>
              <w:bottom w:val="single" w:color="auto" w:sz="4" w:space="0"/>
              <w:right w:val="single" w:color="auto" w:sz="4" w:space="0"/>
            </w:tcBorders>
            <w:shd w:val="clear" w:color="auto" w:fill="auto"/>
            <w:noWrap/>
            <w:vAlign w:val="center"/>
          </w:tcPr>
          <w:p w14:paraId="635174DA">
            <w:pPr>
              <w:keepNext w:val="0"/>
              <w:keepLines w:val="0"/>
              <w:pageBreakBefore w:val="0"/>
              <w:widowControl/>
              <w:kinsoku/>
              <w:overflowPunct/>
              <w:topLinePunct w:val="0"/>
              <w:autoSpaceDE/>
              <w:autoSpaceDN/>
              <w:bidi w:val="0"/>
              <w:adjustRightInd/>
              <w:snapToGrid/>
              <w:spacing w:line="230" w:lineRule="exact"/>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38EE9C38">
        <w:tblPrEx>
          <w:tblCellMar>
            <w:top w:w="0" w:type="dxa"/>
            <w:left w:w="108" w:type="dxa"/>
            <w:bottom w:w="0" w:type="dxa"/>
            <w:right w:w="108" w:type="dxa"/>
          </w:tblCellMar>
        </w:tblPrEx>
        <w:trPr>
          <w:trHeight w:val="255" w:hRule="exact"/>
          <w:jc w:val="center"/>
        </w:trPr>
        <w:tc>
          <w:tcPr>
            <w:tcW w:w="743" w:type="dxa"/>
            <w:tcBorders>
              <w:top w:val="nil"/>
              <w:left w:val="single" w:color="auto" w:sz="4" w:space="0"/>
              <w:bottom w:val="single" w:color="auto" w:sz="4" w:space="0"/>
              <w:right w:val="single" w:color="auto" w:sz="4" w:space="0"/>
            </w:tcBorders>
            <w:shd w:val="clear" w:color="auto" w:fill="auto"/>
            <w:noWrap/>
            <w:vAlign w:val="center"/>
          </w:tcPr>
          <w:p w14:paraId="148241F3">
            <w:pPr>
              <w:keepNext w:val="0"/>
              <w:keepLines w:val="0"/>
              <w:pageBreakBefore w:val="0"/>
              <w:widowControl/>
              <w:kinsoku/>
              <w:overflowPunct/>
              <w:topLinePunct w:val="0"/>
              <w:autoSpaceDE/>
              <w:autoSpaceDN/>
              <w:bidi w:val="0"/>
              <w:adjustRightInd/>
              <w:snapToGrid/>
              <w:spacing w:line="230" w:lineRule="exact"/>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30103</w:t>
            </w:r>
          </w:p>
        </w:tc>
        <w:tc>
          <w:tcPr>
            <w:tcW w:w="3596" w:type="dxa"/>
            <w:tcBorders>
              <w:top w:val="nil"/>
              <w:left w:val="nil"/>
              <w:bottom w:val="single" w:color="auto" w:sz="4" w:space="0"/>
              <w:right w:val="single" w:color="auto" w:sz="4" w:space="0"/>
            </w:tcBorders>
            <w:shd w:val="clear" w:color="auto" w:fill="auto"/>
            <w:noWrap/>
            <w:vAlign w:val="center"/>
          </w:tcPr>
          <w:p w14:paraId="17D022C9">
            <w:pPr>
              <w:keepNext w:val="0"/>
              <w:keepLines w:val="0"/>
              <w:pageBreakBefore w:val="0"/>
              <w:widowControl/>
              <w:kinsoku/>
              <w:overflowPunct/>
              <w:topLinePunct w:val="0"/>
              <w:autoSpaceDE/>
              <w:autoSpaceDN/>
              <w:bidi w:val="0"/>
              <w:adjustRightInd/>
              <w:snapToGrid/>
              <w:spacing w:line="230" w:lineRule="exact"/>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奖金</w:t>
            </w:r>
          </w:p>
        </w:tc>
        <w:tc>
          <w:tcPr>
            <w:tcW w:w="796" w:type="dxa"/>
            <w:tcBorders>
              <w:top w:val="nil"/>
              <w:left w:val="nil"/>
              <w:bottom w:val="single" w:color="auto" w:sz="4" w:space="0"/>
              <w:right w:val="single" w:color="auto" w:sz="4" w:space="0"/>
            </w:tcBorders>
            <w:shd w:val="clear" w:color="auto" w:fill="auto"/>
            <w:noWrap/>
            <w:vAlign w:val="center"/>
          </w:tcPr>
          <w:p w14:paraId="49B31BB3">
            <w:pPr>
              <w:keepNext w:val="0"/>
              <w:keepLines w:val="0"/>
              <w:pageBreakBefore w:val="0"/>
              <w:widowControl/>
              <w:kinsoku/>
              <w:overflowPunct/>
              <w:topLinePunct w:val="0"/>
              <w:autoSpaceDE/>
              <w:autoSpaceDN/>
              <w:bidi w:val="0"/>
              <w:adjustRightInd/>
              <w:snapToGrid/>
              <w:spacing w:line="230" w:lineRule="exact"/>
              <w:jc w:val="center"/>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10.05</w:t>
            </w:r>
          </w:p>
        </w:tc>
        <w:tc>
          <w:tcPr>
            <w:tcW w:w="980" w:type="dxa"/>
            <w:tcBorders>
              <w:top w:val="nil"/>
              <w:left w:val="nil"/>
              <w:bottom w:val="single" w:color="auto" w:sz="4" w:space="0"/>
              <w:right w:val="single" w:color="auto" w:sz="4" w:space="0"/>
            </w:tcBorders>
            <w:shd w:val="clear" w:color="auto" w:fill="auto"/>
            <w:noWrap/>
            <w:vAlign w:val="center"/>
          </w:tcPr>
          <w:p w14:paraId="3B7DD4F0">
            <w:pPr>
              <w:keepNext w:val="0"/>
              <w:keepLines w:val="0"/>
              <w:pageBreakBefore w:val="0"/>
              <w:widowControl/>
              <w:kinsoku/>
              <w:overflowPunct/>
              <w:topLinePunct w:val="0"/>
              <w:autoSpaceDE/>
              <w:autoSpaceDN/>
              <w:bidi w:val="0"/>
              <w:adjustRightInd/>
              <w:snapToGrid/>
              <w:spacing w:line="230" w:lineRule="exact"/>
              <w:jc w:val="left"/>
              <w:rPr>
                <w:rFonts w:hint="eastAsia" w:ascii="Times New Roman" w:hAnsi="Times New Roman" w:eastAsia="仿宋_GB2312" w:cs="Times New Roman"/>
                <w:color w:val="000000"/>
                <w:kern w:val="0"/>
                <w:sz w:val="21"/>
                <w:szCs w:val="20"/>
                <w:lang w:val="en-US" w:eastAsia="zh-CN" w:bidi="ar-SA"/>
              </w:rPr>
            </w:pPr>
            <w:r>
              <w:rPr>
                <w:rFonts w:ascii="Times New Roman" w:hAnsi="Times New Roman" w:eastAsia="仿宋_GB2312" w:cs="Times New Roman"/>
                <w:color w:val="000000"/>
                <w:kern w:val="0"/>
                <w:szCs w:val="20"/>
              </w:rPr>
              <w:t>3020</w:t>
            </w:r>
            <w:r>
              <w:rPr>
                <w:rFonts w:hint="eastAsia" w:ascii="Times New Roman" w:hAnsi="Times New Roman" w:eastAsia="仿宋_GB2312" w:cs="Times New Roman"/>
                <w:color w:val="000000"/>
                <w:kern w:val="0"/>
                <w:szCs w:val="20"/>
                <w:lang w:val="en-US" w:eastAsia="zh-CN"/>
              </w:rPr>
              <w:t>4</w:t>
            </w:r>
          </w:p>
        </w:tc>
        <w:tc>
          <w:tcPr>
            <w:tcW w:w="2072" w:type="dxa"/>
            <w:tcBorders>
              <w:top w:val="nil"/>
              <w:left w:val="nil"/>
              <w:bottom w:val="single" w:color="auto" w:sz="4" w:space="0"/>
              <w:right w:val="single" w:color="auto" w:sz="4" w:space="0"/>
            </w:tcBorders>
            <w:shd w:val="clear" w:color="auto" w:fill="auto"/>
            <w:noWrap/>
            <w:vAlign w:val="center"/>
          </w:tcPr>
          <w:p w14:paraId="1DBBAEAD">
            <w:pPr>
              <w:keepNext w:val="0"/>
              <w:keepLines w:val="0"/>
              <w:pageBreakBefore w:val="0"/>
              <w:widowControl/>
              <w:kinsoku/>
              <w:overflowPunct/>
              <w:topLinePunct w:val="0"/>
              <w:autoSpaceDE/>
              <w:autoSpaceDN/>
              <w:bidi w:val="0"/>
              <w:adjustRightInd/>
              <w:snapToGrid/>
              <w:spacing w:line="230" w:lineRule="exact"/>
              <w:jc w:val="left"/>
              <w:rPr>
                <w:rFonts w:ascii="Times New Roman" w:hAnsi="Times New Roman" w:eastAsia="仿宋_GB2312" w:cs="Times New Roman"/>
                <w:color w:val="000000"/>
                <w:kern w:val="0"/>
                <w:sz w:val="21"/>
                <w:szCs w:val="20"/>
                <w:lang w:val="en-US" w:eastAsia="zh-CN" w:bidi="ar-SA"/>
              </w:rPr>
            </w:pPr>
            <w:r>
              <w:rPr>
                <w:rFonts w:ascii="Times New Roman" w:hAnsi="Times New Roman" w:eastAsia="仿宋_GB2312" w:cs="Times New Roman"/>
                <w:color w:val="000000"/>
                <w:kern w:val="0"/>
                <w:szCs w:val="20"/>
              </w:rPr>
              <w:t xml:space="preserve">  手续费</w:t>
            </w:r>
          </w:p>
        </w:tc>
        <w:tc>
          <w:tcPr>
            <w:tcW w:w="777" w:type="dxa"/>
            <w:tcBorders>
              <w:top w:val="nil"/>
              <w:left w:val="nil"/>
              <w:bottom w:val="single" w:color="auto" w:sz="4" w:space="0"/>
              <w:right w:val="single" w:color="auto" w:sz="4" w:space="0"/>
            </w:tcBorders>
            <w:shd w:val="clear" w:color="auto" w:fill="auto"/>
            <w:noWrap/>
            <w:vAlign w:val="center"/>
          </w:tcPr>
          <w:p w14:paraId="10B46D95">
            <w:pPr>
              <w:keepNext w:val="0"/>
              <w:keepLines w:val="0"/>
              <w:pageBreakBefore w:val="0"/>
              <w:widowControl/>
              <w:kinsoku/>
              <w:overflowPunct/>
              <w:topLinePunct w:val="0"/>
              <w:autoSpaceDE/>
              <w:autoSpaceDN/>
              <w:bidi w:val="0"/>
              <w:adjustRightInd/>
              <w:snapToGrid/>
              <w:spacing w:line="230" w:lineRule="exact"/>
              <w:jc w:val="center"/>
              <w:rPr>
                <w:rFonts w:hint="eastAsia" w:ascii="Times New Roman" w:hAnsi="Times New Roman" w:eastAsia="仿宋_GB2312" w:cs="Times New Roman"/>
                <w:color w:val="000000"/>
                <w:kern w:val="0"/>
                <w:szCs w:val="20"/>
                <w:lang w:val="en-US" w:eastAsia="zh-CN"/>
              </w:rPr>
            </w:pPr>
          </w:p>
        </w:tc>
        <w:tc>
          <w:tcPr>
            <w:tcW w:w="751" w:type="dxa"/>
            <w:tcBorders>
              <w:top w:val="nil"/>
              <w:left w:val="nil"/>
              <w:bottom w:val="single" w:color="auto" w:sz="4" w:space="0"/>
              <w:right w:val="single" w:color="auto" w:sz="4" w:space="0"/>
            </w:tcBorders>
            <w:shd w:val="clear" w:color="auto" w:fill="auto"/>
            <w:noWrap/>
            <w:vAlign w:val="center"/>
          </w:tcPr>
          <w:p w14:paraId="269675A2">
            <w:pPr>
              <w:keepNext w:val="0"/>
              <w:keepLines w:val="0"/>
              <w:pageBreakBefore w:val="0"/>
              <w:widowControl/>
              <w:kinsoku/>
              <w:overflowPunct/>
              <w:topLinePunct w:val="0"/>
              <w:autoSpaceDE/>
              <w:autoSpaceDN/>
              <w:bidi w:val="0"/>
              <w:adjustRightInd/>
              <w:snapToGrid/>
              <w:spacing w:line="230" w:lineRule="exact"/>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w:t>
            </w:r>
          </w:p>
        </w:tc>
        <w:tc>
          <w:tcPr>
            <w:tcW w:w="3706" w:type="dxa"/>
            <w:tcBorders>
              <w:top w:val="nil"/>
              <w:left w:val="nil"/>
              <w:bottom w:val="single" w:color="auto" w:sz="4" w:space="0"/>
              <w:right w:val="single" w:color="auto" w:sz="4" w:space="0"/>
            </w:tcBorders>
            <w:shd w:val="clear" w:color="auto" w:fill="auto"/>
            <w:noWrap/>
            <w:vAlign w:val="center"/>
          </w:tcPr>
          <w:p w14:paraId="35800935">
            <w:pPr>
              <w:keepNext w:val="0"/>
              <w:keepLines w:val="0"/>
              <w:pageBreakBefore w:val="0"/>
              <w:widowControl/>
              <w:kinsoku/>
              <w:overflowPunct/>
              <w:topLinePunct w:val="0"/>
              <w:autoSpaceDE/>
              <w:autoSpaceDN/>
              <w:bidi w:val="0"/>
              <w:adjustRightInd/>
              <w:snapToGrid/>
              <w:spacing w:line="230" w:lineRule="exact"/>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资本性支出</w:t>
            </w:r>
          </w:p>
        </w:tc>
        <w:tc>
          <w:tcPr>
            <w:tcW w:w="1002" w:type="dxa"/>
            <w:tcBorders>
              <w:top w:val="nil"/>
              <w:left w:val="nil"/>
              <w:bottom w:val="single" w:color="auto" w:sz="4" w:space="0"/>
              <w:right w:val="single" w:color="auto" w:sz="4" w:space="0"/>
            </w:tcBorders>
            <w:shd w:val="clear" w:color="auto" w:fill="auto"/>
            <w:noWrap/>
            <w:vAlign w:val="center"/>
          </w:tcPr>
          <w:p w14:paraId="09631633">
            <w:pPr>
              <w:keepNext w:val="0"/>
              <w:keepLines w:val="0"/>
              <w:pageBreakBefore w:val="0"/>
              <w:widowControl/>
              <w:kinsoku/>
              <w:overflowPunct/>
              <w:topLinePunct w:val="0"/>
              <w:autoSpaceDE/>
              <w:autoSpaceDN/>
              <w:bidi w:val="0"/>
              <w:adjustRightInd/>
              <w:snapToGrid/>
              <w:spacing w:line="230" w:lineRule="exact"/>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2802C88A">
        <w:tblPrEx>
          <w:tblCellMar>
            <w:top w:w="0" w:type="dxa"/>
            <w:left w:w="108" w:type="dxa"/>
            <w:bottom w:w="0" w:type="dxa"/>
            <w:right w:w="108" w:type="dxa"/>
          </w:tblCellMar>
        </w:tblPrEx>
        <w:trPr>
          <w:trHeight w:val="255" w:hRule="exact"/>
          <w:jc w:val="center"/>
        </w:trPr>
        <w:tc>
          <w:tcPr>
            <w:tcW w:w="743" w:type="dxa"/>
            <w:tcBorders>
              <w:top w:val="nil"/>
              <w:left w:val="single" w:color="auto" w:sz="4" w:space="0"/>
              <w:bottom w:val="single" w:color="auto" w:sz="4" w:space="0"/>
              <w:right w:val="single" w:color="auto" w:sz="4" w:space="0"/>
            </w:tcBorders>
            <w:shd w:val="clear" w:color="auto" w:fill="auto"/>
            <w:noWrap/>
            <w:vAlign w:val="center"/>
          </w:tcPr>
          <w:p w14:paraId="32727A11">
            <w:pPr>
              <w:keepNext w:val="0"/>
              <w:keepLines w:val="0"/>
              <w:pageBreakBefore w:val="0"/>
              <w:widowControl/>
              <w:kinsoku/>
              <w:overflowPunct/>
              <w:topLinePunct w:val="0"/>
              <w:autoSpaceDE/>
              <w:autoSpaceDN/>
              <w:bidi w:val="0"/>
              <w:adjustRightInd/>
              <w:snapToGrid/>
              <w:spacing w:line="230" w:lineRule="exact"/>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30106</w:t>
            </w:r>
          </w:p>
        </w:tc>
        <w:tc>
          <w:tcPr>
            <w:tcW w:w="3596" w:type="dxa"/>
            <w:tcBorders>
              <w:top w:val="nil"/>
              <w:left w:val="nil"/>
              <w:bottom w:val="single" w:color="auto" w:sz="4" w:space="0"/>
              <w:right w:val="single" w:color="auto" w:sz="4" w:space="0"/>
            </w:tcBorders>
            <w:shd w:val="clear" w:color="auto" w:fill="auto"/>
            <w:noWrap/>
            <w:vAlign w:val="center"/>
          </w:tcPr>
          <w:p w14:paraId="616D9E14">
            <w:pPr>
              <w:keepNext w:val="0"/>
              <w:keepLines w:val="0"/>
              <w:pageBreakBefore w:val="0"/>
              <w:widowControl/>
              <w:kinsoku/>
              <w:overflowPunct/>
              <w:topLinePunct w:val="0"/>
              <w:autoSpaceDE/>
              <w:autoSpaceDN/>
              <w:bidi w:val="0"/>
              <w:adjustRightInd/>
              <w:snapToGrid/>
              <w:spacing w:line="230" w:lineRule="exact"/>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伙食补助费</w:t>
            </w:r>
          </w:p>
        </w:tc>
        <w:tc>
          <w:tcPr>
            <w:tcW w:w="796" w:type="dxa"/>
            <w:tcBorders>
              <w:top w:val="nil"/>
              <w:left w:val="nil"/>
              <w:bottom w:val="single" w:color="auto" w:sz="4" w:space="0"/>
              <w:right w:val="single" w:color="auto" w:sz="4" w:space="0"/>
            </w:tcBorders>
            <w:shd w:val="clear" w:color="auto" w:fill="auto"/>
            <w:noWrap/>
            <w:vAlign w:val="center"/>
          </w:tcPr>
          <w:p w14:paraId="6BE0FB62">
            <w:pPr>
              <w:keepNext w:val="0"/>
              <w:keepLines w:val="0"/>
              <w:pageBreakBefore w:val="0"/>
              <w:widowControl/>
              <w:kinsoku/>
              <w:overflowPunct/>
              <w:topLinePunct w:val="0"/>
              <w:autoSpaceDE/>
              <w:autoSpaceDN/>
              <w:bidi w:val="0"/>
              <w:adjustRightInd/>
              <w:snapToGrid/>
              <w:spacing w:line="230" w:lineRule="exact"/>
              <w:jc w:val="center"/>
              <w:rPr>
                <w:rFonts w:hint="eastAsia" w:ascii="Times New Roman" w:hAnsi="Times New Roman" w:eastAsia="仿宋_GB2312" w:cs="Times New Roman"/>
                <w:color w:val="000000"/>
                <w:kern w:val="0"/>
                <w:szCs w:val="20"/>
                <w:lang w:val="en-US" w:eastAsia="zh-CN"/>
              </w:rPr>
            </w:pPr>
          </w:p>
        </w:tc>
        <w:tc>
          <w:tcPr>
            <w:tcW w:w="980" w:type="dxa"/>
            <w:tcBorders>
              <w:top w:val="nil"/>
              <w:left w:val="nil"/>
              <w:bottom w:val="single" w:color="auto" w:sz="4" w:space="0"/>
              <w:right w:val="single" w:color="auto" w:sz="4" w:space="0"/>
            </w:tcBorders>
            <w:shd w:val="clear" w:color="auto" w:fill="auto"/>
            <w:noWrap/>
            <w:vAlign w:val="center"/>
          </w:tcPr>
          <w:p w14:paraId="499C1743">
            <w:pPr>
              <w:keepNext w:val="0"/>
              <w:keepLines w:val="0"/>
              <w:pageBreakBefore w:val="0"/>
              <w:widowControl/>
              <w:kinsoku/>
              <w:overflowPunct/>
              <w:topLinePunct w:val="0"/>
              <w:autoSpaceDE/>
              <w:autoSpaceDN/>
              <w:bidi w:val="0"/>
              <w:adjustRightInd/>
              <w:snapToGrid/>
              <w:spacing w:line="230" w:lineRule="exact"/>
              <w:jc w:val="left"/>
              <w:rPr>
                <w:rFonts w:hint="eastAsia" w:ascii="Times New Roman" w:hAnsi="Times New Roman" w:eastAsia="仿宋_GB2312" w:cs="Times New Roman"/>
                <w:color w:val="000000"/>
                <w:kern w:val="0"/>
                <w:sz w:val="21"/>
                <w:szCs w:val="20"/>
                <w:lang w:val="en-US" w:eastAsia="zh-CN" w:bidi="ar-SA"/>
              </w:rPr>
            </w:pPr>
            <w:r>
              <w:rPr>
                <w:rFonts w:ascii="Times New Roman" w:hAnsi="Times New Roman" w:eastAsia="仿宋_GB2312" w:cs="Times New Roman"/>
                <w:color w:val="000000"/>
                <w:kern w:val="0"/>
                <w:szCs w:val="20"/>
              </w:rPr>
              <w:t>3020</w:t>
            </w:r>
            <w:r>
              <w:rPr>
                <w:rFonts w:hint="eastAsia" w:ascii="Times New Roman" w:hAnsi="Times New Roman" w:eastAsia="仿宋_GB2312" w:cs="Times New Roman"/>
                <w:color w:val="000000"/>
                <w:kern w:val="0"/>
                <w:szCs w:val="20"/>
                <w:lang w:val="en-US" w:eastAsia="zh-CN"/>
              </w:rPr>
              <w:t>5</w:t>
            </w:r>
          </w:p>
        </w:tc>
        <w:tc>
          <w:tcPr>
            <w:tcW w:w="2072" w:type="dxa"/>
            <w:tcBorders>
              <w:top w:val="nil"/>
              <w:left w:val="nil"/>
              <w:bottom w:val="single" w:color="auto" w:sz="4" w:space="0"/>
              <w:right w:val="single" w:color="auto" w:sz="4" w:space="0"/>
            </w:tcBorders>
            <w:shd w:val="clear" w:color="auto" w:fill="auto"/>
            <w:noWrap/>
            <w:vAlign w:val="center"/>
          </w:tcPr>
          <w:p w14:paraId="1C299C60">
            <w:pPr>
              <w:keepNext w:val="0"/>
              <w:keepLines w:val="0"/>
              <w:pageBreakBefore w:val="0"/>
              <w:widowControl/>
              <w:kinsoku/>
              <w:overflowPunct/>
              <w:topLinePunct w:val="0"/>
              <w:autoSpaceDE/>
              <w:autoSpaceDN/>
              <w:bidi w:val="0"/>
              <w:adjustRightInd/>
              <w:snapToGrid/>
              <w:spacing w:line="230" w:lineRule="exact"/>
              <w:jc w:val="left"/>
              <w:rPr>
                <w:rFonts w:ascii="Times New Roman" w:hAnsi="Times New Roman" w:eastAsia="仿宋_GB2312" w:cs="Times New Roman"/>
                <w:color w:val="000000"/>
                <w:kern w:val="0"/>
                <w:sz w:val="21"/>
                <w:szCs w:val="20"/>
                <w:lang w:val="en-US" w:eastAsia="zh-CN" w:bidi="ar-SA"/>
              </w:rPr>
            </w:pPr>
            <w:r>
              <w:rPr>
                <w:rFonts w:ascii="Times New Roman" w:hAnsi="Times New Roman" w:eastAsia="仿宋_GB2312" w:cs="Times New Roman"/>
                <w:color w:val="000000"/>
                <w:kern w:val="0"/>
                <w:szCs w:val="20"/>
              </w:rPr>
              <w:t xml:space="preserve">  水费</w:t>
            </w:r>
          </w:p>
        </w:tc>
        <w:tc>
          <w:tcPr>
            <w:tcW w:w="777" w:type="dxa"/>
            <w:tcBorders>
              <w:top w:val="nil"/>
              <w:left w:val="nil"/>
              <w:bottom w:val="single" w:color="auto" w:sz="4" w:space="0"/>
              <w:right w:val="single" w:color="auto" w:sz="4" w:space="0"/>
            </w:tcBorders>
            <w:shd w:val="clear" w:color="auto" w:fill="auto"/>
            <w:noWrap/>
            <w:vAlign w:val="center"/>
          </w:tcPr>
          <w:p w14:paraId="547EDBE6">
            <w:pPr>
              <w:keepNext w:val="0"/>
              <w:keepLines w:val="0"/>
              <w:pageBreakBefore w:val="0"/>
              <w:widowControl/>
              <w:kinsoku/>
              <w:overflowPunct/>
              <w:topLinePunct w:val="0"/>
              <w:autoSpaceDE/>
              <w:autoSpaceDN/>
              <w:bidi w:val="0"/>
              <w:adjustRightInd/>
              <w:snapToGrid/>
              <w:spacing w:line="230" w:lineRule="exact"/>
              <w:jc w:val="center"/>
              <w:rPr>
                <w:rFonts w:hint="eastAsia" w:ascii="Times New Roman" w:hAnsi="Times New Roman" w:eastAsia="仿宋_GB2312" w:cs="Times New Roman"/>
                <w:color w:val="000000"/>
                <w:kern w:val="0"/>
                <w:szCs w:val="20"/>
                <w:lang w:val="en-US" w:eastAsia="zh-CN"/>
              </w:rPr>
            </w:pPr>
          </w:p>
        </w:tc>
        <w:tc>
          <w:tcPr>
            <w:tcW w:w="751" w:type="dxa"/>
            <w:tcBorders>
              <w:top w:val="nil"/>
              <w:left w:val="nil"/>
              <w:bottom w:val="single" w:color="auto" w:sz="4" w:space="0"/>
              <w:right w:val="single" w:color="auto" w:sz="4" w:space="0"/>
            </w:tcBorders>
            <w:shd w:val="clear" w:color="auto" w:fill="auto"/>
            <w:noWrap/>
            <w:vAlign w:val="center"/>
          </w:tcPr>
          <w:p w14:paraId="6BB0037A">
            <w:pPr>
              <w:keepNext w:val="0"/>
              <w:keepLines w:val="0"/>
              <w:pageBreakBefore w:val="0"/>
              <w:widowControl/>
              <w:kinsoku/>
              <w:overflowPunct/>
              <w:topLinePunct w:val="0"/>
              <w:autoSpaceDE/>
              <w:autoSpaceDN/>
              <w:bidi w:val="0"/>
              <w:adjustRightInd/>
              <w:snapToGrid/>
              <w:spacing w:line="230" w:lineRule="exact"/>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31001</w:t>
            </w:r>
          </w:p>
        </w:tc>
        <w:tc>
          <w:tcPr>
            <w:tcW w:w="3706" w:type="dxa"/>
            <w:tcBorders>
              <w:top w:val="nil"/>
              <w:left w:val="nil"/>
              <w:bottom w:val="single" w:color="auto" w:sz="4" w:space="0"/>
              <w:right w:val="single" w:color="auto" w:sz="4" w:space="0"/>
            </w:tcBorders>
            <w:shd w:val="clear" w:color="auto" w:fill="auto"/>
            <w:noWrap/>
            <w:vAlign w:val="center"/>
          </w:tcPr>
          <w:p w14:paraId="1ACEF1E3">
            <w:pPr>
              <w:keepNext w:val="0"/>
              <w:keepLines w:val="0"/>
              <w:pageBreakBefore w:val="0"/>
              <w:widowControl/>
              <w:kinsoku/>
              <w:overflowPunct/>
              <w:topLinePunct w:val="0"/>
              <w:autoSpaceDE/>
              <w:autoSpaceDN/>
              <w:bidi w:val="0"/>
              <w:adjustRightInd/>
              <w:snapToGrid/>
              <w:spacing w:line="230" w:lineRule="exact"/>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房屋建筑物购建</w:t>
            </w:r>
          </w:p>
        </w:tc>
        <w:tc>
          <w:tcPr>
            <w:tcW w:w="1002" w:type="dxa"/>
            <w:tcBorders>
              <w:top w:val="nil"/>
              <w:left w:val="nil"/>
              <w:bottom w:val="single" w:color="auto" w:sz="4" w:space="0"/>
              <w:right w:val="single" w:color="auto" w:sz="4" w:space="0"/>
            </w:tcBorders>
            <w:shd w:val="clear" w:color="auto" w:fill="auto"/>
            <w:noWrap/>
            <w:vAlign w:val="center"/>
          </w:tcPr>
          <w:p w14:paraId="1F9E9B9F">
            <w:pPr>
              <w:keepNext w:val="0"/>
              <w:keepLines w:val="0"/>
              <w:pageBreakBefore w:val="0"/>
              <w:widowControl/>
              <w:kinsoku/>
              <w:overflowPunct/>
              <w:topLinePunct w:val="0"/>
              <w:autoSpaceDE/>
              <w:autoSpaceDN/>
              <w:bidi w:val="0"/>
              <w:adjustRightInd/>
              <w:snapToGrid/>
              <w:spacing w:line="230" w:lineRule="exact"/>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39E035CD">
        <w:tblPrEx>
          <w:tblCellMar>
            <w:top w:w="0" w:type="dxa"/>
            <w:left w:w="108" w:type="dxa"/>
            <w:bottom w:w="0" w:type="dxa"/>
            <w:right w:w="108" w:type="dxa"/>
          </w:tblCellMar>
        </w:tblPrEx>
        <w:trPr>
          <w:trHeight w:val="255" w:hRule="exact"/>
          <w:jc w:val="center"/>
        </w:trPr>
        <w:tc>
          <w:tcPr>
            <w:tcW w:w="743" w:type="dxa"/>
            <w:tcBorders>
              <w:top w:val="nil"/>
              <w:left w:val="single" w:color="auto" w:sz="4" w:space="0"/>
              <w:bottom w:val="single" w:color="auto" w:sz="4" w:space="0"/>
              <w:right w:val="single" w:color="auto" w:sz="4" w:space="0"/>
            </w:tcBorders>
            <w:shd w:val="clear" w:color="auto" w:fill="auto"/>
            <w:noWrap/>
            <w:vAlign w:val="center"/>
          </w:tcPr>
          <w:p w14:paraId="792B1078">
            <w:pPr>
              <w:keepNext w:val="0"/>
              <w:keepLines w:val="0"/>
              <w:pageBreakBefore w:val="0"/>
              <w:widowControl/>
              <w:kinsoku/>
              <w:overflowPunct/>
              <w:topLinePunct w:val="0"/>
              <w:autoSpaceDE/>
              <w:autoSpaceDN/>
              <w:bidi w:val="0"/>
              <w:adjustRightInd/>
              <w:snapToGrid/>
              <w:spacing w:line="230" w:lineRule="exact"/>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30107</w:t>
            </w:r>
          </w:p>
        </w:tc>
        <w:tc>
          <w:tcPr>
            <w:tcW w:w="3596" w:type="dxa"/>
            <w:tcBorders>
              <w:top w:val="nil"/>
              <w:left w:val="nil"/>
              <w:bottom w:val="single" w:color="auto" w:sz="4" w:space="0"/>
              <w:right w:val="single" w:color="auto" w:sz="4" w:space="0"/>
            </w:tcBorders>
            <w:shd w:val="clear" w:color="auto" w:fill="auto"/>
            <w:noWrap/>
            <w:vAlign w:val="center"/>
          </w:tcPr>
          <w:p w14:paraId="642CD907">
            <w:pPr>
              <w:keepNext w:val="0"/>
              <w:keepLines w:val="0"/>
              <w:pageBreakBefore w:val="0"/>
              <w:widowControl/>
              <w:kinsoku/>
              <w:overflowPunct/>
              <w:topLinePunct w:val="0"/>
              <w:autoSpaceDE/>
              <w:autoSpaceDN/>
              <w:bidi w:val="0"/>
              <w:adjustRightInd/>
              <w:snapToGrid/>
              <w:spacing w:line="230" w:lineRule="exact"/>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绩效工资</w:t>
            </w:r>
          </w:p>
        </w:tc>
        <w:tc>
          <w:tcPr>
            <w:tcW w:w="796" w:type="dxa"/>
            <w:tcBorders>
              <w:top w:val="nil"/>
              <w:left w:val="nil"/>
              <w:bottom w:val="single" w:color="auto" w:sz="4" w:space="0"/>
              <w:right w:val="single" w:color="auto" w:sz="4" w:space="0"/>
            </w:tcBorders>
            <w:shd w:val="clear" w:color="auto" w:fill="auto"/>
            <w:noWrap/>
            <w:vAlign w:val="center"/>
          </w:tcPr>
          <w:p w14:paraId="0945E1F9">
            <w:pPr>
              <w:keepNext w:val="0"/>
              <w:keepLines w:val="0"/>
              <w:pageBreakBefore w:val="0"/>
              <w:widowControl/>
              <w:kinsoku/>
              <w:overflowPunct/>
              <w:topLinePunct w:val="0"/>
              <w:autoSpaceDE/>
              <w:autoSpaceDN/>
              <w:bidi w:val="0"/>
              <w:adjustRightInd/>
              <w:snapToGrid/>
              <w:spacing w:line="230" w:lineRule="exact"/>
              <w:jc w:val="center"/>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13.59　13.613.61313113131313.59135941</w:t>
            </w:r>
          </w:p>
        </w:tc>
        <w:tc>
          <w:tcPr>
            <w:tcW w:w="980" w:type="dxa"/>
            <w:tcBorders>
              <w:top w:val="nil"/>
              <w:left w:val="nil"/>
              <w:bottom w:val="single" w:color="auto" w:sz="4" w:space="0"/>
              <w:right w:val="single" w:color="auto" w:sz="4" w:space="0"/>
            </w:tcBorders>
            <w:shd w:val="clear" w:color="auto" w:fill="auto"/>
            <w:noWrap/>
            <w:vAlign w:val="center"/>
          </w:tcPr>
          <w:p w14:paraId="00ABE7CA">
            <w:pPr>
              <w:keepNext w:val="0"/>
              <w:keepLines w:val="0"/>
              <w:pageBreakBefore w:val="0"/>
              <w:widowControl/>
              <w:kinsoku/>
              <w:overflowPunct/>
              <w:topLinePunct w:val="0"/>
              <w:autoSpaceDE/>
              <w:autoSpaceDN/>
              <w:bidi w:val="0"/>
              <w:adjustRightInd/>
              <w:snapToGrid/>
              <w:spacing w:line="230" w:lineRule="exact"/>
              <w:jc w:val="left"/>
              <w:rPr>
                <w:rFonts w:hint="eastAsia" w:ascii="Times New Roman" w:hAnsi="Times New Roman" w:eastAsia="仿宋_GB2312" w:cs="Times New Roman"/>
                <w:color w:val="000000"/>
                <w:kern w:val="0"/>
                <w:sz w:val="21"/>
                <w:szCs w:val="20"/>
                <w:lang w:val="en-US" w:eastAsia="zh-CN" w:bidi="ar-SA"/>
              </w:rPr>
            </w:pPr>
            <w:r>
              <w:rPr>
                <w:rFonts w:ascii="Times New Roman" w:hAnsi="Times New Roman" w:eastAsia="仿宋_GB2312" w:cs="Times New Roman"/>
                <w:color w:val="000000"/>
                <w:kern w:val="0"/>
                <w:szCs w:val="20"/>
              </w:rPr>
              <w:t>3020</w:t>
            </w:r>
            <w:r>
              <w:rPr>
                <w:rFonts w:hint="eastAsia" w:ascii="Times New Roman" w:hAnsi="Times New Roman" w:eastAsia="仿宋_GB2312" w:cs="Times New Roman"/>
                <w:color w:val="000000"/>
                <w:kern w:val="0"/>
                <w:szCs w:val="20"/>
                <w:lang w:val="en-US" w:eastAsia="zh-CN"/>
              </w:rPr>
              <w:t>6</w:t>
            </w:r>
          </w:p>
        </w:tc>
        <w:tc>
          <w:tcPr>
            <w:tcW w:w="2072" w:type="dxa"/>
            <w:tcBorders>
              <w:top w:val="nil"/>
              <w:left w:val="nil"/>
              <w:bottom w:val="single" w:color="auto" w:sz="4" w:space="0"/>
              <w:right w:val="single" w:color="auto" w:sz="4" w:space="0"/>
            </w:tcBorders>
            <w:shd w:val="clear" w:color="auto" w:fill="auto"/>
            <w:noWrap/>
            <w:vAlign w:val="center"/>
          </w:tcPr>
          <w:p w14:paraId="10B94AC1">
            <w:pPr>
              <w:keepNext w:val="0"/>
              <w:keepLines w:val="0"/>
              <w:pageBreakBefore w:val="0"/>
              <w:widowControl/>
              <w:kinsoku/>
              <w:overflowPunct/>
              <w:topLinePunct w:val="0"/>
              <w:autoSpaceDE/>
              <w:autoSpaceDN/>
              <w:bidi w:val="0"/>
              <w:adjustRightInd/>
              <w:snapToGrid/>
              <w:spacing w:line="230" w:lineRule="exact"/>
              <w:jc w:val="left"/>
              <w:rPr>
                <w:rFonts w:ascii="Times New Roman" w:hAnsi="Times New Roman" w:eastAsia="仿宋_GB2312" w:cs="Times New Roman"/>
                <w:color w:val="000000"/>
                <w:kern w:val="0"/>
                <w:sz w:val="21"/>
                <w:szCs w:val="20"/>
                <w:lang w:val="en-US" w:eastAsia="zh-CN" w:bidi="ar-SA"/>
              </w:rPr>
            </w:pPr>
            <w:r>
              <w:rPr>
                <w:rFonts w:ascii="Times New Roman" w:hAnsi="Times New Roman" w:eastAsia="仿宋_GB2312" w:cs="Times New Roman"/>
                <w:color w:val="000000"/>
                <w:kern w:val="0"/>
                <w:szCs w:val="20"/>
              </w:rPr>
              <w:t xml:space="preserve">  电费</w:t>
            </w:r>
          </w:p>
        </w:tc>
        <w:tc>
          <w:tcPr>
            <w:tcW w:w="777" w:type="dxa"/>
            <w:tcBorders>
              <w:top w:val="nil"/>
              <w:left w:val="nil"/>
              <w:bottom w:val="single" w:color="auto" w:sz="4" w:space="0"/>
              <w:right w:val="single" w:color="auto" w:sz="4" w:space="0"/>
            </w:tcBorders>
            <w:shd w:val="clear" w:color="auto" w:fill="auto"/>
            <w:noWrap/>
            <w:vAlign w:val="center"/>
          </w:tcPr>
          <w:p w14:paraId="476E6CFF">
            <w:pPr>
              <w:keepNext w:val="0"/>
              <w:keepLines w:val="0"/>
              <w:pageBreakBefore w:val="0"/>
              <w:widowControl/>
              <w:kinsoku/>
              <w:overflowPunct/>
              <w:topLinePunct w:val="0"/>
              <w:autoSpaceDE/>
              <w:autoSpaceDN/>
              <w:bidi w:val="0"/>
              <w:adjustRightInd/>
              <w:snapToGrid/>
              <w:spacing w:line="230" w:lineRule="exact"/>
              <w:jc w:val="center"/>
              <w:rPr>
                <w:rFonts w:hint="eastAsia" w:ascii="Times New Roman" w:hAnsi="Times New Roman" w:eastAsia="仿宋_GB2312" w:cs="Times New Roman"/>
                <w:color w:val="000000"/>
                <w:kern w:val="0"/>
                <w:szCs w:val="20"/>
                <w:lang w:val="en-US" w:eastAsia="zh-CN"/>
              </w:rPr>
            </w:pPr>
          </w:p>
        </w:tc>
        <w:tc>
          <w:tcPr>
            <w:tcW w:w="751" w:type="dxa"/>
            <w:tcBorders>
              <w:top w:val="nil"/>
              <w:left w:val="nil"/>
              <w:bottom w:val="single" w:color="auto" w:sz="4" w:space="0"/>
              <w:right w:val="single" w:color="auto" w:sz="4" w:space="0"/>
            </w:tcBorders>
            <w:shd w:val="clear" w:color="auto" w:fill="auto"/>
            <w:noWrap/>
            <w:vAlign w:val="center"/>
          </w:tcPr>
          <w:p w14:paraId="08972319">
            <w:pPr>
              <w:keepNext w:val="0"/>
              <w:keepLines w:val="0"/>
              <w:pageBreakBefore w:val="0"/>
              <w:widowControl/>
              <w:kinsoku/>
              <w:overflowPunct/>
              <w:topLinePunct w:val="0"/>
              <w:autoSpaceDE/>
              <w:autoSpaceDN/>
              <w:bidi w:val="0"/>
              <w:adjustRightInd/>
              <w:snapToGrid/>
              <w:spacing w:line="230" w:lineRule="exact"/>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31002</w:t>
            </w:r>
          </w:p>
        </w:tc>
        <w:tc>
          <w:tcPr>
            <w:tcW w:w="3706" w:type="dxa"/>
            <w:tcBorders>
              <w:top w:val="nil"/>
              <w:left w:val="nil"/>
              <w:bottom w:val="single" w:color="auto" w:sz="4" w:space="0"/>
              <w:right w:val="single" w:color="auto" w:sz="4" w:space="0"/>
            </w:tcBorders>
            <w:shd w:val="clear" w:color="auto" w:fill="auto"/>
            <w:noWrap/>
            <w:vAlign w:val="center"/>
          </w:tcPr>
          <w:p w14:paraId="2AED6EE0">
            <w:pPr>
              <w:keepNext w:val="0"/>
              <w:keepLines w:val="0"/>
              <w:pageBreakBefore w:val="0"/>
              <w:widowControl/>
              <w:kinsoku/>
              <w:overflowPunct/>
              <w:topLinePunct w:val="0"/>
              <w:autoSpaceDE/>
              <w:autoSpaceDN/>
              <w:bidi w:val="0"/>
              <w:adjustRightInd/>
              <w:snapToGrid/>
              <w:spacing w:line="230" w:lineRule="exact"/>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办公设备购置</w:t>
            </w:r>
          </w:p>
        </w:tc>
        <w:tc>
          <w:tcPr>
            <w:tcW w:w="1002" w:type="dxa"/>
            <w:tcBorders>
              <w:top w:val="nil"/>
              <w:left w:val="nil"/>
              <w:bottom w:val="single" w:color="auto" w:sz="4" w:space="0"/>
              <w:right w:val="single" w:color="auto" w:sz="4" w:space="0"/>
            </w:tcBorders>
            <w:shd w:val="clear" w:color="auto" w:fill="auto"/>
            <w:noWrap/>
            <w:vAlign w:val="center"/>
          </w:tcPr>
          <w:p w14:paraId="649F6568">
            <w:pPr>
              <w:keepNext w:val="0"/>
              <w:keepLines w:val="0"/>
              <w:pageBreakBefore w:val="0"/>
              <w:widowControl/>
              <w:kinsoku/>
              <w:overflowPunct/>
              <w:topLinePunct w:val="0"/>
              <w:autoSpaceDE/>
              <w:autoSpaceDN/>
              <w:bidi w:val="0"/>
              <w:adjustRightInd/>
              <w:snapToGrid/>
              <w:spacing w:line="230" w:lineRule="exact"/>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11096CF4">
        <w:tblPrEx>
          <w:tblCellMar>
            <w:top w:w="0" w:type="dxa"/>
            <w:left w:w="108" w:type="dxa"/>
            <w:bottom w:w="0" w:type="dxa"/>
            <w:right w:w="108" w:type="dxa"/>
          </w:tblCellMar>
        </w:tblPrEx>
        <w:trPr>
          <w:trHeight w:val="255" w:hRule="exact"/>
          <w:jc w:val="center"/>
        </w:trPr>
        <w:tc>
          <w:tcPr>
            <w:tcW w:w="743" w:type="dxa"/>
            <w:tcBorders>
              <w:top w:val="nil"/>
              <w:left w:val="single" w:color="auto" w:sz="4" w:space="0"/>
              <w:bottom w:val="single" w:color="auto" w:sz="4" w:space="0"/>
              <w:right w:val="single" w:color="auto" w:sz="4" w:space="0"/>
            </w:tcBorders>
            <w:shd w:val="clear" w:color="auto" w:fill="auto"/>
            <w:noWrap/>
            <w:vAlign w:val="center"/>
          </w:tcPr>
          <w:p w14:paraId="5868DE1C">
            <w:pPr>
              <w:keepNext w:val="0"/>
              <w:keepLines w:val="0"/>
              <w:pageBreakBefore w:val="0"/>
              <w:widowControl/>
              <w:kinsoku/>
              <w:overflowPunct/>
              <w:topLinePunct w:val="0"/>
              <w:autoSpaceDE/>
              <w:autoSpaceDN/>
              <w:bidi w:val="0"/>
              <w:adjustRightInd/>
              <w:snapToGrid/>
              <w:spacing w:line="230" w:lineRule="exact"/>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30108</w:t>
            </w:r>
          </w:p>
        </w:tc>
        <w:tc>
          <w:tcPr>
            <w:tcW w:w="3596" w:type="dxa"/>
            <w:tcBorders>
              <w:top w:val="nil"/>
              <w:left w:val="nil"/>
              <w:bottom w:val="single" w:color="auto" w:sz="4" w:space="0"/>
              <w:right w:val="single" w:color="auto" w:sz="4" w:space="0"/>
            </w:tcBorders>
            <w:shd w:val="clear" w:color="auto" w:fill="auto"/>
            <w:noWrap/>
            <w:vAlign w:val="center"/>
          </w:tcPr>
          <w:p w14:paraId="28168437">
            <w:pPr>
              <w:keepNext w:val="0"/>
              <w:keepLines w:val="0"/>
              <w:pageBreakBefore w:val="0"/>
              <w:widowControl/>
              <w:kinsoku/>
              <w:overflowPunct/>
              <w:topLinePunct w:val="0"/>
              <w:autoSpaceDE/>
              <w:autoSpaceDN/>
              <w:bidi w:val="0"/>
              <w:adjustRightInd/>
              <w:snapToGrid/>
              <w:spacing w:line="230" w:lineRule="exact"/>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机关事业单位基本养老</w:t>
            </w:r>
            <w:r>
              <w:rPr>
                <w:rFonts w:hint="eastAsia" w:ascii="Times New Roman" w:hAnsi="Times New Roman" w:eastAsia="仿宋_GB2312" w:cs="Times New Roman"/>
                <w:color w:val="000000"/>
                <w:kern w:val="0"/>
                <w:szCs w:val="20"/>
                <w:lang w:eastAsia="zh-CN"/>
              </w:rPr>
              <w:t>保</w:t>
            </w:r>
            <w:r>
              <w:rPr>
                <w:rFonts w:ascii="Times New Roman" w:hAnsi="Times New Roman" w:eastAsia="仿宋_GB2312" w:cs="Times New Roman"/>
                <w:color w:val="000000"/>
                <w:kern w:val="0"/>
                <w:szCs w:val="20"/>
              </w:rPr>
              <w:t>险缴费</w:t>
            </w:r>
          </w:p>
        </w:tc>
        <w:tc>
          <w:tcPr>
            <w:tcW w:w="796" w:type="dxa"/>
            <w:tcBorders>
              <w:top w:val="nil"/>
              <w:left w:val="nil"/>
              <w:bottom w:val="single" w:color="auto" w:sz="4" w:space="0"/>
              <w:right w:val="single" w:color="auto" w:sz="4" w:space="0"/>
            </w:tcBorders>
            <w:shd w:val="clear" w:color="auto" w:fill="auto"/>
            <w:noWrap/>
            <w:vAlign w:val="center"/>
          </w:tcPr>
          <w:p w14:paraId="3B46F50B">
            <w:pPr>
              <w:keepNext w:val="0"/>
              <w:keepLines w:val="0"/>
              <w:pageBreakBefore w:val="0"/>
              <w:widowControl/>
              <w:kinsoku/>
              <w:overflowPunct/>
              <w:topLinePunct w:val="0"/>
              <w:autoSpaceDE/>
              <w:autoSpaceDN/>
              <w:bidi w:val="0"/>
              <w:adjustRightInd/>
              <w:snapToGrid/>
              <w:spacing w:line="230" w:lineRule="exact"/>
              <w:jc w:val="center"/>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7.34</w:t>
            </w:r>
          </w:p>
        </w:tc>
        <w:tc>
          <w:tcPr>
            <w:tcW w:w="980" w:type="dxa"/>
            <w:tcBorders>
              <w:top w:val="nil"/>
              <w:left w:val="nil"/>
              <w:bottom w:val="single" w:color="auto" w:sz="4" w:space="0"/>
              <w:right w:val="single" w:color="auto" w:sz="4" w:space="0"/>
            </w:tcBorders>
            <w:shd w:val="clear" w:color="auto" w:fill="auto"/>
            <w:noWrap/>
            <w:vAlign w:val="center"/>
          </w:tcPr>
          <w:p w14:paraId="21684B17">
            <w:pPr>
              <w:keepNext w:val="0"/>
              <w:keepLines w:val="0"/>
              <w:pageBreakBefore w:val="0"/>
              <w:widowControl/>
              <w:kinsoku/>
              <w:overflowPunct/>
              <w:topLinePunct w:val="0"/>
              <w:autoSpaceDE/>
              <w:autoSpaceDN/>
              <w:bidi w:val="0"/>
              <w:adjustRightInd/>
              <w:snapToGrid/>
              <w:spacing w:line="230" w:lineRule="exact"/>
              <w:jc w:val="left"/>
              <w:rPr>
                <w:rFonts w:hint="eastAsia" w:ascii="Times New Roman" w:hAnsi="Times New Roman" w:eastAsia="仿宋_GB2312" w:cs="Times New Roman"/>
                <w:color w:val="000000"/>
                <w:kern w:val="0"/>
                <w:sz w:val="21"/>
                <w:szCs w:val="20"/>
                <w:lang w:val="en-US" w:eastAsia="zh-CN" w:bidi="ar-SA"/>
              </w:rPr>
            </w:pPr>
            <w:r>
              <w:rPr>
                <w:rFonts w:ascii="Times New Roman" w:hAnsi="Times New Roman" w:eastAsia="仿宋_GB2312" w:cs="Times New Roman"/>
                <w:color w:val="000000"/>
                <w:kern w:val="0"/>
                <w:szCs w:val="20"/>
              </w:rPr>
              <w:t>3020</w:t>
            </w:r>
            <w:r>
              <w:rPr>
                <w:rFonts w:hint="eastAsia" w:ascii="Times New Roman" w:hAnsi="Times New Roman" w:eastAsia="仿宋_GB2312" w:cs="Times New Roman"/>
                <w:color w:val="000000"/>
                <w:kern w:val="0"/>
                <w:szCs w:val="20"/>
                <w:lang w:val="en-US" w:eastAsia="zh-CN"/>
              </w:rPr>
              <w:t>7</w:t>
            </w:r>
          </w:p>
        </w:tc>
        <w:tc>
          <w:tcPr>
            <w:tcW w:w="2072" w:type="dxa"/>
            <w:tcBorders>
              <w:top w:val="nil"/>
              <w:left w:val="nil"/>
              <w:bottom w:val="single" w:color="auto" w:sz="4" w:space="0"/>
              <w:right w:val="single" w:color="auto" w:sz="4" w:space="0"/>
            </w:tcBorders>
            <w:shd w:val="clear" w:color="auto" w:fill="auto"/>
            <w:noWrap/>
            <w:vAlign w:val="center"/>
          </w:tcPr>
          <w:p w14:paraId="3395E37C">
            <w:pPr>
              <w:keepNext w:val="0"/>
              <w:keepLines w:val="0"/>
              <w:pageBreakBefore w:val="0"/>
              <w:widowControl/>
              <w:kinsoku/>
              <w:overflowPunct/>
              <w:topLinePunct w:val="0"/>
              <w:autoSpaceDE/>
              <w:autoSpaceDN/>
              <w:bidi w:val="0"/>
              <w:adjustRightInd/>
              <w:snapToGrid/>
              <w:spacing w:line="230" w:lineRule="exact"/>
              <w:jc w:val="left"/>
              <w:rPr>
                <w:rFonts w:ascii="Times New Roman" w:hAnsi="Times New Roman" w:eastAsia="仿宋_GB2312" w:cs="Times New Roman"/>
                <w:color w:val="000000"/>
                <w:kern w:val="0"/>
                <w:sz w:val="21"/>
                <w:szCs w:val="20"/>
                <w:lang w:val="en-US" w:eastAsia="zh-CN" w:bidi="ar-SA"/>
              </w:rPr>
            </w:pPr>
            <w:r>
              <w:rPr>
                <w:rFonts w:ascii="Times New Roman" w:hAnsi="Times New Roman" w:eastAsia="仿宋_GB2312" w:cs="Times New Roman"/>
                <w:color w:val="000000"/>
                <w:kern w:val="0"/>
                <w:szCs w:val="20"/>
              </w:rPr>
              <w:t xml:space="preserve">  邮电费</w:t>
            </w:r>
          </w:p>
        </w:tc>
        <w:tc>
          <w:tcPr>
            <w:tcW w:w="777" w:type="dxa"/>
            <w:tcBorders>
              <w:top w:val="nil"/>
              <w:left w:val="nil"/>
              <w:bottom w:val="single" w:color="auto" w:sz="4" w:space="0"/>
              <w:right w:val="single" w:color="auto" w:sz="4" w:space="0"/>
            </w:tcBorders>
            <w:shd w:val="clear" w:color="auto" w:fill="auto"/>
            <w:noWrap/>
            <w:vAlign w:val="center"/>
          </w:tcPr>
          <w:p w14:paraId="0C7005E0">
            <w:pPr>
              <w:keepNext w:val="0"/>
              <w:keepLines w:val="0"/>
              <w:pageBreakBefore w:val="0"/>
              <w:widowControl/>
              <w:kinsoku/>
              <w:overflowPunct/>
              <w:topLinePunct w:val="0"/>
              <w:autoSpaceDE/>
              <w:autoSpaceDN/>
              <w:bidi w:val="0"/>
              <w:adjustRightInd/>
              <w:snapToGrid/>
              <w:spacing w:line="230" w:lineRule="exact"/>
              <w:jc w:val="center"/>
              <w:rPr>
                <w:rFonts w:hint="eastAsia" w:ascii="Times New Roman" w:hAnsi="Times New Roman" w:eastAsia="仿宋_GB2312" w:cs="Times New Roman"/>
                <w:color w:val="000000"/>
                <w:kern w:val="0"/>
                <w:szCs w:val="20"/>
                <w:lang w:val="en-US" w:eastAsia="zh-CN"/>
              </w:rPr>
            </w:pPr>
          </w:p>
        </w:tc>
        <w:tc>
          <w:tcPr>
            <w:tcW w:w="751" w:type="dxa"/>
            <w:tcBorders>
              <w:top w:val="nil"/>
              <w:left w:val="nil"/>
              <w:bottom w:val="single" w:color="auto" w:sz="4" w:space="0"/>
              <w:right w:val="single" w:color="auto" w:sz="4" w:space="0"/>
            </w:tcBorders>
            <w:shd w:val="clear" w:color="auto" w:fill="auto"/>
            <w:noWrap/>
            <w:vAlign w:val="center"/>
          </w:tcPr>
          <w:p w14:paraId="68908621">
            <w:pPr>
              <w:keepNext w:val="0"/>
              <w:keepLines w:val="0"/>
              <w:pageBreakBefore w:val="0"/>
              <w:widowControl/>
              <w:kinsoku/>
              <w:overflowPunct/>
              <w:topLinePunct w:val="0"/>
              <w:autoSpaceDE/>
              <w:autoSpaceDN/>
              <w:bidi w:val="0"/>
              <w:adjustRightInd/>
              <w:snapToGrid/>
              <w:spacing w:line="230" w:lineRule="exact"/>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31003</w:t>
            </w:r>
          </w:p>
        </w:tc>
        <w:tc>
          <w:tcPr>
            <w:tcW w:w="3706" w:type="dxa"/>
            <w:tcBorders>
              <w:top w:val="nil"/>
              <w:left w:val="nil"/>
              <w:bottom w:val="single" w:color="auto" w:sz="4" w:space="0"/>
              <w:right w:val="single" w:color="auto" w:sz="4" w:space="0"/>
            </w:tcBorders>
            <w:shd w:val="clear" w:color="auto" w:fill="auto"/>
            <w:noWrap/>
            <w:vAlign w:val="center"/>
          </w:tcPr>
          <w:p w14:paraId="33E10677">
            <w:pPr>
              <w:keepNext w:val="0"/>
              <w:keepLines w:val="0"/>
              <w:pageBreakBefore w:val="0"/>
              <w:widowControl/>
              <w:kinsoku/>
              <w:overflowPunct/>
              <w:topLinePunct w:val="0"/>
              <w:autoSpaceDE/>
              <w:autoSpaceDN/>
              <w:bidi w:val="0"/>
              <w:adjustRightInd/>
              <w:snapToGrid/>
              <w:spacing w:line="230" w:lineRule="exact"/>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专用设备购置</w:t>
            </w:r>
          </w:p>
        </w:tc>
        <w:tc>
          <w:tcPr>
            <w:tcW w:w="1002" w:type="dxa"/>
            <w:tcBorders>
              <w:top w:val="nil"/>
              <w:left w:val="nil"/>
              <w:bottom w:val="single" w:color="auto" w:sz="4" w:space="0"/>
              <w:right w:val="single" w:color="auto" w:sz="4" w:space="0"/>
            </w:tcBorders>
            <w:shd w:val="clear" w:color="auto" w:fill="auto"/>
            <w:noWrap/>
            <w:vAlign w:val="center"/>
          </w:tcPr>
          <w:p w14:paraId="430D5227">
            <w:pPr>
              <w:keepNext w:val="0"/>
              <w:keepLines w:val="0"/>
              <w:pageBreakBefore w:val="0"/>
              <w:widowControl/>
              <w:kinsoku/>
              <w:overflowPunct/>
              <w:topLinePunct w:val="0"/>
              <w:autoSpaceDE/>
              <w:autoSpaceDN/>
              <w:bidi w:val="0"/>
              <w:adjustRightInd/>
              <w:snapToGrid/>
              <w:spacing w:line="230" w:lineRule="exact"/>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51EDE112">
        <w:tblPrEx>
          <w:tblCellMar>
            <w:top w:w="0" w:type="dxa"/>
            <w:left w:w="108" w:type="dxa"/>
            <w:bottom w:w="0" w:type="dxa"/>
            <w:right w:w="108" w:type="dxa"/>
          </w:tblCellMar>
        </w:tblPrEx>
        <w:trPr>
          <w:trHeight w:val="255" w:hRule="exact"/>
          <w:jc w:val="center"/>
        </w:trPr>
        <w:tc>
          <w:tcPr>
            <w:tcW w:w="743" w:type="dxa"/>
            <w:tcBorders>
              <w:top w:val="nil"/>
              <w:left w:val="single" w:color="auto" w:sz="4" w:space="0"/>
              <w:bottom w:val="single" w:color="auto" w:sz="4" w:space="0"/>
              <w:right w:val="single" w:color="auto" w:sz="4" w:space="0"/>
            </w:tcBorders>
            <w:shd w:val="clear" w:color="auto" w:fill="auto"/>
            <w:noWrap/>
            <w:vAlign w:val="center"/>
          </w:tcPr>
          <w:p w14:paraId="4A6437B4">
            <w:pPr>
              <w:keepNext w:val="0"/>
              <w:keepLines w:val="0"/>
              <w:pageBreakBefore w:val="0"/>
              <w:widowControl/>
              <w:kinsoku/>
              <w:overflowPunct/>
              <w:topLinePunct w:val="0"/>
              <w:autoSpaceDE/>
              <w:autoSpaceDN/>
              <w:bidi w:val="0"/>
              <w:adjustRightInd/>
              <w:snapToGrid/>
              <w:spacing w:line="230" w:lineRule="exact"/>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30109</w:t>
            </w:r>
          </w:p>
        </w:tc>
        <w:tc>
          <w:tcPr>
            <w:tcW w:w="3596" w:type="dxa"/>
            <w:tcBorders>
              <w:top w:val="nil"/>
              <w:left w:val="nil"/>
              <w:bottom w:val="single" w:color="auto" w:sz="4" w:space="0"/>
              <w:right w:val="single" w:color="auto" w:sz="4" w:space="0"/>
            </w:tcBorders>
            <w:shd w:val="clear" w:color="auto" w:fill="auto"/>
            <w:noWrap/>
            <w:vAlign w:val="center"/>
          </w:tcPr>
          <w:p w14:paraId="15AD8F62">
            <w:pPr>
              <w:keepNext w:val="0"/>
              <w:keepLines w:val="0"/>
              <w:pageBreakBefore w:val="0"/>
              <w:widowControl/>
              <w:kinsoku/>
              <w:overflowPunct/>
              <w:topLinePunct w:val="0"/>
              <w:autoSpaceDE/>
              <w:autoSpaceDN/>
              <w:bidi w:val="0"/>
              <w:adjustRightInd/>
              <w:snapToGrid/>
              <w:spacing w:line="230" w:lineRule="exact"/>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职业年金缴费</w:t>
            </w:r>
          </w:p>
        </w:tc>
        <w:tc>
          <w:tcPr>
            <w:tcW w:w="796" w:type="dxa"/>
            <w:tcBorders>
              <w:top w:val="nil"/>
              <w:left w:val="nil"/>
              <w:bottom w:val="single" w:color="auto" w:sz="4" w:space="0"/>
              <w:right w:val="single" w:color="auto" w:sz="4" w:space="0"/>
            </w:tcBorders>
            <w:shd w:val="clear" w:color="auto" w:fill="auto"/>
            <w:noWrap/>
            <w:vAlign w:val="center"/>
          </w:tcPr>
          <w:p w14:paraId="70EABB59">
            <w:pPr>
              <w:keepNext w:val="0"/>
              <w:keepLines w:val="0"/>
              <w:pageBreakBefore w:val="0"/>
              <w:widowControl/>
              <w:kinsoku/>
              <w:overflowPunct/>
              <w:topLinePunct w:val="0"/>
              <w:autoSpaceDE/>
              <w:autoSpaceDN/>
              <w:bidi w:val="0"/>
              <w:adjustRightInd/>
              <w:snapToGrid/>
              <w:spacing w:line="230" w:lineRule="exact"/>
              <w:jc w:val="center"/>
              <w:rPr>
                <w:rFonts w:hint="default" w:ascii="Times New Roman" w:hAnsi="Times New Roman" w:eastAsia="仿宋_GB2312" w:cs="Times New Roman"/>
                <w:color w:val="000000"/>
                <w:kern w:val="0"/>
                <w:szCs w:val="20"/>
                <w:lang w:val="en-US" w:eastAsia="zh-CN"/>
              </w:rPr>
            </w:pPr>
          </w:p>
        </w:tc>
        <w:tc>
          <w:tcPr>
            <w:tcW w:w="980" w:type="dxa"/>
            <w:tcBorders>
              <w:top w:val="nil"/>
              <w:left w:val="nil"/>
              <w:bottom w:val="single" w:color="auto" w:sz="4" w:space="0"/>
              <w:right w:val="single" w:color="auto" w:sz="4" w:space="0"/>
            </w:tcBorders>
            <w:shd w:val="clear" w:color="auto" w:fill="auto"/>
            <w:noWrap/>
            <w:vAlign w:val="center"/>
          </w:tcPr>
          <w:p w14:paraId="3A2C2F41">
            <w:pPr>
              <w:keepNext w:val="0"/>
              <w:keepLines w:val="0"/>
              <w:pageBreakBefore w:val="0"/>
              <w:widowControl/>
              <w:kinsoku/>
              <w:overflowPunct/>
              <w:topLinePunct w:val="0"/>
              <w:autoSpaceDE/>
              <w:autoSpaceDN/>
              <w:bidi w:val="0"/>
              <w:adjustRightInd/>
              <w:snapToGrid/>
              <w:spacing w:line="230" w:lineRule="exact"/>
              <w:jc w:val="left"/>
              <w:rPr>
                <w:rFonts w:hint="eastAsia" w:ascii="Times New Roman" w:hAnsi="Times New Roman" w:eastAsia="仿宋_GB2312" w:cs="Times New Roman"/>
                <w:color w:val="000000"/>
                <w:kern w:val="0"/>
                <w:sz w:val="21"/>
                <w:szCs w:val="20"/>
                <w:lang w:val="en-US" w:eastAsia="zh-CN" w:bidi="ar-SA"/>
              </w:rPr>
            </w:pPr>
            <w:r>
              <w:rPr>
                <w:rFonts w:ascii="Times New Roman" w:hAnsi="Times New Roman" w:eastAsia="仿宋_GB2312" w:cs="Times New Roman"/>
                <w:color w:val="000000"/>
                <w:kern w:val="0"/>
                <w:szCs w:val="20"/>
              </w:rPr>
              <w:t>3020</w:t>
            </w:r>
            <w:r>
              <w:rPr>
                <w:rFonts w:hint="eastAsia" w:ascii="Times New Roman" w:hAnsi="Times New Roman" w:eastAsia="仿宋_GB2312" w:cs="Times New Roman"/>
                <w:color w:val="000000"/>
                <w:kern w:val="0"/>
                <w:szCs w:val="20"/>
                <w:lang w:val="en-US" w:eastAsia="zh-CN"/>
              </w:rPr>
              <w:t>8</w:t>
            </w:r>
          </w:p>
        </w:tc>
        <w:tc>
          <w:tcPr>
            <w:tcW w:w="2072" w:type="dxa"/>
            <w:tcBorders>
              <w:top w:val="nil"/>
              <w:left w:val="nil"/>
              <w:bottom w:val="single" w:color="auto" w:sz="4" w:space="0"/>
              <w:right w:val="single" w:color="auto" w:sz="4" w:space="0"/>
            </w:tcBorders>
            <w:shd w:val="clear" w:color="auto" w:fill="auto"/>
            <w:noWrap/>
            <w:vAlign w:val="center"/>
          </w:tcPr>
          <w:p w14:paraId="42688655">
            <w:pPr>
              <w:keepNext w:val="0"/>
              <w:keepLines w:val="0"/>
              <w:pageBreakBefore w:val="0"/>
              <w:widowControl/>
              <w:kinsoku/>
              <w:overflowPunct/>
              <w:topLinePunct w:val="0"/>
              <w:autoSpaceDE/>
              <w:autoSpaceDN/>
              <w:bidi w:val="0"/>
              <w:adjustRightInd/>
              <w:snapToGrid/>
              <w:spacing w:line="230" w:lineRule="exact"/>
              <w:jc w:val="left"/>
              <w:rPr>
                <w:rFonts w:ascii="Times New Roman" w:hAnsi="Times New Roman" w:eastAsia="仿宋_GB2312" w:cs="Times New Roman"/>
                <w:color w:val="000000"/>
                <w:kern w:val="0"/>
                <w:sz w:val="21"/>
                <w:szCs w:val="20"/>
                <w:lang w:val="en-US" w:eastAsia="zh-CN" w:bidi="ar-SA"/>
              </w:rPr>
            </w:pPr>
            <w:r>
              <w:rPr>
                <w:rFonts w:ascii="Times New Roman" w:hAnsi="Times New Roman" w:eastAsia="仿宋_GB2312" w:cs="Times New Roman"/>
                <w:color w:val="000000"/>
                <w:kern w:val="0"/>
                <w:szCs w:val="20"/>
              </w:rPr>
              <w:t xml:space="preserve">  取暖费</w:t>
            </w:r>
          </w:p>
        </w:tc>
        <w:tc>
          <w:tcPr>
            <w:tcW w:w="777" w:type="dxa"/>
            <w:tcBorders>
              <w:top w:val="nil"/>
              <w:left w:val="nil"/>
              <w:bottom w:val="single" w:color="auto" w:sz="4" w:space="0"/>
              <w:right w:val="single" w:color="auto" w:sz="4" w:space="0"/>
            </w:tcBorders>
            <w:shd w:val="clear" w:color="auto" w:fill="auto"/>
            <w:noWrap/>
            <w:vAlign w:val="center"/>
          </w:tcPr>
          <w:p w14:paraId="724ED500">
            <w:pPr>
              <w:keepNext w:val="0"/>
              <w:keepLines w:val="0"/>
              <w:pageBreakBefore w:val="0"/>
              <w:widowControl/>
              <w:kinsoku/>
              <w:overflowPunct/>
              <w:topLinePunct w:val="0"/>
              <w:autoSpaceDE/>
              <w:autoSpaceDN/>
              <w:bidi w:val="0"/>
              <w:adjustRightInd/>
              <w:snapToGrid/>
              <w:spacing w:line="230" w:lineRule="exact"/>
              <w:jc w:val="center"/>
              <w:rPr>
                <w:rFonts w:hint="eastAsia" w:ascii="Times New Roman" w:hAnsi="Times New Roman" w:eastAsia="仿宋_GB2312" w:cs="Times New Roman"/>
                <w:color w:val="000000"/>
                <w:kern w:val="0"/>
                <w:szCs w:val="20"/>
                <w:lang w:val="en-US" w:eastAsia="zh-CN"/>
              </w:rPr>
            </w:pPr>
          </w:p>
        </w:tc>
        <w:tc>
          <w:tcPr>
            <w:tcW w:w="751" w:type="dxa"/>
            <w:tcBorders>
              <w:top w:val="nil"/>
              <w:left w:val="nil"/>
              <w:bottom w:val="single" w:color="auto" w:sz="4" w:space="0"/>
              <w:right w:val="single" w:color="auto" w:sz="4" w:space="0"/>
            </w:tcBorders>
            <w:shd w:val="clear" w:color="auto" w:fill="auto"/>
            <w:noWrap/>
            <w:vAlign w:val="center"/>
          </w:tcPr>
          <w:p w14:paraId="3DE31728">
            <w:pPr>
              <w:keepNext w:val="0"/>
              <w:keepLines w:val="0"/>
              <w:pageBreakBefore w:val="0"/>
              <w:widowControl/>
              <w:kinsoku/>
              <w:overflowPunct/>
              <w:topLinePunct w:val="0"/>
              <w:autoSpaceDE/>
              <w:autoSpaceDN/>
              <w:bidi w:val="0"/>
              <w:adjustRightInd/>
              <w:snapToGrid/>
              <w:spacing w:line="230" w:lineRule="exact"/>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31005</w:t>
            </w:r>
          </w:p>
        </w:tc>
        <w:tc>
          <w:tcPr>
            <w:tcW w:w="3706" w:type="dxa"/>
            <w:tcBorders>
              <w:top w:val="nil"/>
              <w:left w:val="nil"/>
              <w:bottom w:val="single" w:color="auto" w:sz="4" w:space="0"/>
              <w:right w:val="single" w:color="auto" w:sz="4" w:space="0"/>
            </w:tcBorders>
            <w:shd w:val="clear" w:color="auto" w:fill="auto"/>
            <w:noWrap/>
            <w:vAlign w:val="center"/>
          </w:tcPr>
          <w:p w14:paraId="64FA95D0">
            <w:pPr>
              <w:keepNext w:val="0"/>
              <w:keepLines w:val="0"/>
              <w:pageBreakBefore w:val="0"/>
              <w:widowControl/>
              <w:kinsoku/>
              <w:overflowPunct/>
              <w:topLinePunct w:val="0"/>
              <w:autoSpaceDE/>
              <w:autoSpaceDN/>
              <w:bidi w:val="0"/>
              <w:adjustRightInd/>
              <w:snapToGrid/>
              <w:spacing w:line="230" w:lineRule="exact"/>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基础设施建设</w:t>
            </w:r>
          </w:p>
        </w:tc>
        <w:tc>
          <w:tcPr>
            <w:tcW w:w="1002" w:type="dxa"/>
            <w:tcBorders>
              <w:top w:val="nil"/>
              <w:left w:val="nil"/>
              <w:bottom w:val="single" w:color="auto" w:sz="4" w:space="0"/>
              <w:right w:val="single" w:color="auto" w:sz="4" w:space="0"/>
            </w:tcBorders>
            <w:shd w:val="clear" w:color="auto" w:fill="auto"/>
            <w:noWrap/>
            <w:vAlign w:val="center"/>
          </w:tcPr>
          <w:p w14:paraId="2BFDCC0F">
            <w:pPr>
              <w:keepNext w:val="0"/>
              <w:keepLines w:val="0"/>
              <w:pageBreakBefore w:val="0"/>
              <w:widowControl/>
              <w:kinsoku/>
              <w:overflowPunct/>
              <w:topLinePunct w:val="0"/>
              <w:autoSpaceDE/>
              <w:autoSpaceDN/>
              <w:bidi w:val="0"/>
              <w:adjustRightInd/>
              <w:snapToGrid/>
              <w:spacing w:line="230" w:lineRule="exact"/>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547327F7">
        <w:tblPrEx>
          <w:tblCellMar>
            <w:top w:w="0" w:type="dxa"/>
            <w:left w:w="108" w:type="dxa"/>
            <w:bottom w:w="0" w:type="dxa"/>
            <w:right w:w="108" w:type="dxa"/>
          </w:tblCellMar>
        </w:tblPrEx>
        <w:trPr>
          <w:trHeight w:val="255" w:hRule="exact"/>
          <w:jc w:val="center"/>
        </w:trPr>
        <w:tc>
          <w:tcPr>
            <w:tcW w:w="743" w:type="dxa"/>
            <w:tcBorders>
              <w:top w:val="nil"/>
              <w:left w:val="single" w:color="auto" w:sz="4" w:space="0"/>
              <w:bottom w:val="single" w:color="auto" w:sz="4" w:space="0"/>
              <w:right w:val="single" w:color="auto" w:sz="4" w:space="0"/>
            </w:tcBorders>
            <w:shd w:val="clear" w:color="auto" w:fill="auto"/>
            <w:noWrap/>
            <w:vAlign w:val="center"/>
          </w:tcPr>
          <w:p w14:paraId="15903DA4">
            <w:pPr>
              <w:keepNext w:val="0"/>
              <w:keepLines w:val="0"/>
              <w:pageBreakBefore w:val="0"/>
              <w:widowControl/>
              <w:kinsoku/>
              <w:overflowPunct/>
              <w:topLinePunct w:val="0"/>
              <w:autoSpaceDE/>
              <w:autoSpaceDN/>
              <w:bidi w:val="0"/>
              <w:adjustRightInd/>
              <w:snapToGrid/>
              <w:spacing w:line="230" w:lineRule="exact"/>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30110</w:t>
            </w:r>
          </w:p>
        </w:tc>
        <w:tc>
          <w:tcPr>
            <w:tcW w:w="3596" w:type="dxa"/>
            <w:tcBorders>
              <w:top w:val="nil"/>
              <w:left w:val="nil"/>
              <w:bottom w:val="single" w:color="auto" w:sz="4" w:space="0"/>
              <w:right w:val="single" w:color="auto" w:sz="4" w:space="0"/>
            </w:tcBorders>
            <w:shd w:val="clear" w:color="auto" w:fill="auto"/>
            <w:noWrap/>
            <w:vAlign w:val="center"/>
          </w:tcPr>
          <w:p w14:paraId="666F7345">
            <w:pPr>
              <w:keepNext w:val="0"/>
              <w:keepLines w:val="0"/>
              <w:pageBreakBefore w:val="0"/>
              <w:widowControl/>
              <w:kinsoku/>
              <w:overflowPunct/>
              <w:topLinePunct w:val="0"/>
              <w:autoSpaceDE/>
              <w:autoSpaceDN/>
              <w:bidi w:val="0"/>
              <w:adjustRightInd/>
              <w:snapToGrid/>
              <w:spacing w:line="230" w:lineRule="exact"/>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职工基本医疗保险缴费</w:t>
            </w:r>
          </w:p>
        </w:tc>
        <w:tc>
          <w:tcPr>
            <w:tcW w:w="796" w:type="dxa"/>
            <w:tcBorders>
              <w:top w:val="nil"/>
              <w:left w:val="nil"/>
              <w:bottom w:val="single" w:color="auto" w:sz="4" w:space="0"/>
              <w:right w:val="single" w:color="auto" w:sz="4" w:space="0"/>
            </w:tcBorders>
            <w:shd w:val="clear" w:color="auto" w:fill="auto"/>
            <w:noWrap/>
            <w:vAlign w:val="center"/>
          </w:tcPr>
          <w:p w14:paraId="58E0AF10">
            <w:pPr>
              <w:keepNext w:val="0"/>
              <w:keepLines w:val="0"/>
              <w:pageBreakBefore w:val="0"/>
              <w:widowControl/>
              <w:kinsoku/>
              <w:overflowPunct/>
              <w:topLinePunct w:val="0"/>
              <w:autoSpaceDE/>
              <w:autoSpaceDN/>
              <w:bidi w:val="0"/>
              <w:adjustRightInd/>
              <w:snapToGrid/>
              <w:spacing w:line="230" w:lineRule="exact"/>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3.39</w:t>
            </w:r>
          </w:p>
        </w:tc>
        <w:tc>
          <w:tcPr>
            <w:tcW w:w="980" w:type="dxa"/>
            <w:tcBorders>
              <w:top w:val="nil"/>
              <w:left w:val="nil"/>
              <w:bottom w:val="single" w:color="auto" w:sz="4" w:space="0"/>
              <w:right w:val="single" w:color="auto" w:sz="4" w:space="0"/>
            </w:tcBorders>
            <w:shd w:val="clear" w:color="auto" w:fill="auto"/>
            <w:noWrap/>
            <w:vAlign w:val="center"/>
          </w:tcPr>
          <w:p w14:paraId="0A4DF0A8">
            <w:pPr>
              <w:keepNext w:val="0"/>
              <w:keepLines w:val="0"/>
              <w:pageBreakBefore w:val="0"/>
              <w:widowControl/>
              <w:kinsoku/>
              <w:overflowPunct/>
              <w:topLinePunct w:val="0"/>
              <w:autoSpaceDE/>
              <w:autoSpaceDN/>
              <w:bidi w:val="0"/>
              <w:adjustRightInd/>
              <w:snapToGrid/>
              <w:spacing w:line="230" w:lineRule="exact"/>
              <w:jc w:val="left"/>
              <w:rPr>
                <w:rFonts w:hint="eastAsia" w:ascii="Times New Roman" w:hAnsi="Times New Roman" w:eastAsia="仿宋_GB2312" w:cs="Times New Roman"/>
                <w:color w:val="000000"/>
                <w:kern w:val="0"/>
                <w:sz w:val="21"/>
                <w:szCs w:val="20"/>
                <w:lang w:val="en-US" w:eastAsia="zh-CN" w:bidi="ar-SA"/>
              </w:rPr>
            </w:pPr>
            <w:r>
              <w:rPr>
                <w:rFonts w:ascii="Times New Roman" w:hAnsi="Times New Roman" w:eastAsia="仿宋_GB2312" w:cs="Times New Roman"/>
                <w:color w:val="000000"/>
                <w:kern w:val="0"/>
                <w:szCs w:val="20"/>
              </w:rPr>
              <w:t>30209</w:t>
            </w:r>
          </w:p>
        </w:tc>
        <w:tc>
          <w:tcPr>
            <w:tcW w:w="2072" w:type="dxa"/>
            <w:tcBorders>
              <w:top w:val="nil"/>
              <w:left w:val="nil"/>
              <w:bottom w:val="single" w:color="auto" w:sz="4" w:space="0"/>
              <w:right w:val="single" w:color="auto" w:sz="4" w:space="0"/>
            </w:tcBorders>
            <w:shd w:val="clear" w:color="auto" w:fill="auto"/>
            <w:noWrap/>
            <w:vAlign w:val="center"/>
          </w:tcPr>
          <w:p w14:paraId="51752F12">
            <w:pPr>
              <w:keepNext w:val="0"/>
              <w:keepLines w:val="0"/>
              <w:pageBreakBefore w:val="0"/>
              <w:widowControl/>
              <w:kinsoku/>
              <w:overflowPunct/>
              <w:topLinePunct w:val="0"/>
              <w:autoSpaceDE/>
              <w:autoSpaceDN/>
              <w:bidi w:val="0"/>
              <w:adjustRightInd/>
              <w:snapToGrid/>
              <w:spacing w:line="230" w:lineRule="exact"/>
              <w:jc w:val="left"/>
              <w:rPr>
                <w:rFonts w:ascii="Times New Roman" w:hAnsi="Times New Roman" w:eastAsia="仿宋_GB2312" w:cs="Times New Roman"/>
                <w:color w:val="000000"/>
                <w:kern w:val="0"/>
                <w:sz w:val="21"/>
                <w:szCs w:val="20"/>
                <w:lang w:val="en-US" w:eastAsia="zh-CN" w:bidi="ar-SA"/>
              </w:rPr>
            </w:pPr>
            <w:r>
              <w:rPr>
                <w:rFonts w:ascii="Times New Roman" w:hAnsi="Times New Roman" w:eastAsia="仿宋_GB2312" w:cs="Times New Roman"/>
                <w:color w:val="000000"/>
                <w:kern w:val="0"/>
                <w:szCs w:val="20"/>
              </w:rPr>
              <w:t xml:space="preserve">  物业管理费</w:t>
            </w:r>
          </w:p>
        </w:tc>
        <w:tc>
          <w:tcPr>
            <w:tcW w:w="777" w:type="dxa"/>
            <w:tcBorders>
              <w:top w:val="nil"/>
              <w:left w:val="nil"/>
              <w:bottom w:val="single" w:color="auto" w:sz="4" w:space="0"/>
              <w:right w:val="single" w:color="auto" w:sz="4" w:space="0"/>
            </w:tcBorders>
            <w:shd w:val="clear" w:color="auto" w:fill="auto"/>
            <w:noWrap/>
            <w:vAlign w:val="center"/>
          </w:tcPr>
          <w:p w14:paraId="79873BCD">
            <w:pPr>
              <w:keepNext w:val="0"/>
              <w:keepLines w:val="0"/>
              <w:pageBreakBefore w:val="0"/>
              <w:widowControl/>
              <w:kinsoku/>
              <w:overflowPunct/>
              <w:topLinePunct w:val="0"/>
              <w:autoSpaceDE/>
              <w:autoSpaceDN/>
              <w:bidi w:val="0"/>
              <w:adjustRightInd/>
              <w:snapToGrid/>
              <w:spacing w:line="230" w:lineRule="exact"/>
              <w:jc w:val="center"/>
              <w:rPr>
                <w:rFonts w:hint="eastAsia" w:ascii="Times New Roman" w:hAnsi="Times New Roman" w:eastAsia="仿宋_GB2312" w:cs="Times New Roman"/>
                <w:color w:val="000000"/>
                <w:kern w:val="0"/>
                <w:szCs w:val="20"/>
                <w:lang w:val="en-US" w:eastAsia="zh-CN"/>
              </w:rPr>
            </w:pPr>
          </w:p>
        </w:tc>
        <w:tc>
          <w:tcPr>
            <w:tcW w:w="751" w:type="dxa"/>
            <w:tcBorders>
              <w:top w:val="nil"/>
              <w:left w:val="nil"/>
              <w:bottom w:val="single" w:color="auto" w:sz="4" w:space="0"/>
              <w:right w:val="single" w:color="auto" w:sz="4" w:space="0"/>
            </w:tcBorders>
            <w:shd w:val="clear" w:color="auto" w:fill="auto"/>
            <w:noWrap/>
            <w:vAlign w:val="center"/>
          </w:tcPr>
          <w:p w14:paraId="23423690">
            <w:pPr>
              <w:keepNext w:val="0"/>
              <w:keepLines w:val="0"/>
              <w:pageBreakBefore w:val="0"/>
              <w:widowControl/>
              <w:kinsoku/>
              <w:overflowPunct/>
              <w:topLinePunct w:val="0"/>
              <w:autoSpaceDE/>
              <w:autoSpaceDN/>
              <w:bidi w:val="0"/>
              <w:adjustRightInd/>
              <w:snapToGrid/>
              <w:spacing w:line="230" w:lineRule="exact"/>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31006</w:t>
            </w:r>
          </w:p>
        </w:tc>
        <w:tc>
          <w:tcPr>
            <w:tcW w:w="3706" w:type="dxa"/>
            <w:tcBorders>
              <w:top w:val="nil"/>
              <w:left w:val="nil"/>
              <w:bottom w:val="single" w:color="auto" w:sz="4" w:space="0"/>
              <w:right w:val="single" w:color="auto" w:sz="4" w:space="0"/>
            </w:tcBorders>
            <w:shd w:val="clear" w:color="auto" w:fill="auto"/>
            <w:noWrap/>
            <w:vAlign w:val="center"/>
          </w:tcPr>
          <w:p w14:paraId="15FF0CAB">
            <w:pPr>
              <w:keepNext w:val="0"/>
              <w:keepLines w:val="0"/>
              <w:pageBreakBefore w:val="0"/>
              <w:widowControl/>
              <w:kinsoku/>
              <w:overflowPunct/>
              <w:topLinePunct w:val="0"/>
              <w:autoSpaceDE/>
              <w:autoSpaceDN/>
              <w:bidi w:val="0"/>
              <w:adjustRightInd/>
              <w:snapToGrid/>
              <w:spacing w:line="230" w:lineRule="exact"/>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大型修缮</w:t>
            </w:r>
          </w:p>
        </w:tc>
        <w:tc>
          <w:tcPr>
            <w:tcW w:w="1002" w:type="dxa"/>
            <w:tcBorders>
              <w:top w:val="nil"/>
              <w:left w:val="nil"/>
              <w:bottom w:val="single" w:color="auto" w:sz="4" w:space="0"/>
              <w:right w:val="single" w:color="auto" w:sz="4" w:space="0"/>
            </w:tcBorders>
            <w:shd w:val="clear" w:color="auto" w:fill="auto"/>
            <w:noWrap/>
            <w:vAlign w:val="center"/>
          </w:tcPr>
          <w:p w14:paraId="4AC52587">
            <w:pPr>
              <w:keepNext w:val="0"/>
              <w:keepLines w:val="0"/>
              <w:pageBreakBefore w:val="0"/>
              <w:widowControl/>
              <w:kinsoku/>
              <w:overflowPunct/>
              <w:topLinePunct w:val="0"/>
              <w:autoSpaceDE/>
              <w:autoSpaceDN/>
              <w:bidi w:val="0"/>
              <w:adjustRightInd/>
              <w:snapToGrid/>
              <w:spacing w:line="230" w:lineRule="exact"/>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717324DC">
        <w:tblPrEx>
          <w:tblCellMar>
            <w:top w:w="0" w:type="dxa"/>
            <w:left w:w="108" w:type="dxa"/>
            <w:bottom w:w="0" w:type="dxa"/>
            <w:right w:w="108" w:type="dxa"/>
          </w:tblCellMar>
        </w:tblPrEx>
        <w:trPr>
          <w:trHeight w:val="255" w:hRule="exact"/>
          <w:jc w:val="center"/>
        </w:trPr>
        <w:tc>
          <w:tcPr>
            <w:tcW w:w="743" w:type="dxa"/>
            <w:tcBorders>
              <w:top w:val="nil"/>
              <w:left w:val="single" w:color="auto" w:sz="4" w:space="0"/>
              <w:bottom w:val="single" w:color="auto" w:sz="4" w:space="0"/>
              <w:right w:val="single" w:color="auto" w:sz="4" w:space="0"/>
            </w:tcBorders>
            <w:shd w:val="clear" w:color="auto" w:fill="auto"/>
            <w:noWrap/>
            <w:vAlign w:val="center"/>
          </w:tcPr>
          <w:p w14:paraId="54D2BB37">
            <w:pPr>
              <w:keepNext w:val="0"/>
              <w:keepLines w:val="0"/>
              <w:pageBreakBefore w:val="0"/>
              <w:widowControl/>
              <w:kinsoku/>
              <w:overflowPunct/>
              <w:topLinePunct w:val="0"/>
              <w:autoSpaceDE/>
              <w:autoSpaceDN/>
              <w:bidi w:val="0"/>
              <w:adjustRightInd/>
              <w:snapToGrid/>
              <w:spacing w:line="230" w:lineRule="exact"/>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30111</w:t>
            </w:r>
          </w:p>
        </w:tc>
        <w:tc>
          <w:tcPr>
            <w:tcW w:w="3596" w:type="dxa"/>
            <w:tcBorders>
              <w:top w:val="nil"/>
              <w:left w:val="nil"/>
              <w:bottom w:val="single" w:color="auto" w:sz="4" w:space="0"/>
              <w:right w:val="single" w:color="auto" w:sz="4" w:space="0"/>
            </w:tcBorders>
            <w:shd w:val="clear" w:color="auto" w:fill="auto"/>
            <w:noWrap/>
            <w:vAlign w:val="center"/>
          </w:tcPr>
          <w:p w14:paraId="6028839C">
            <w:pPr>
              <w:keepNext w:val="0"/>
              <w:keepLines w:val="0"/>
              <w:pageBreakBefore w:val="0"/>
              <w:widowControl/>
              <w:kinsoku/>
              <w:overflowPunct/>
              <w:topLinePunct w:val="0"/>
              <w:autoSpaceDE/>
              <w:autoSpaceDN/>
              <w:bidi w:val="0"/>
              <w:adjustRightInd/>
              <w:snapToGrid/>
              <w:spacing w:line="230" w:lineRule="exact"/>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公务员医疗补助缴费</w:t>
            </w:r>
          </w:p>
        </w:tc>
        <w:tc>
          <w:tcPr>
            <w:tcW w:w="796" w:type="dxa"/>
            <w:tcBorders>
              <w:top w:val="nil"/>
              <w:left w:val="nil"/>
              <w:bottom w:val="single" w:color="auto" w:sz="4" w:space="0"/>
              <w:right w:val="single" w:color="auto" w:sz="4" w:space="0"/>
            </w:tcBorders>
            <w:shd w:val="clear" w:color="auto" w:fill="auto"/>
            <w:noWrap/>
            <w:vAlign w:val="center"/>
          </w:tcPr>
          <w:p w14:paraId="17203A00">
            <w:pPr>
              <w:keepNext w:val="0"/>
              <w:keepLines w:val="0"/>
              <w:pageBreakBefore w:val="0"/>
              <w:widowControl/>
              <w:kinsoku/>
              <w:overflowPunct/>
              <w:topLinePunct w:val="0"/>
              <w:autoSpaceDE/>
              <w:autoSpaceDN/>
              <w:bidi w:val="0"/>
              <w:adjustRightInd/>
              <w:snapToGrid/>
              <w:spacing w:line="230" w:lineRule="exact"/>
              <w:jc w:val="center"/>
              <w:rPr>
                <w:rFonts w:hint="eastAsia" w:ascii="Times New Roman" w:hAnsi="Times New Roman" w:eastAsia="仿宋_GB2312" w:cs="Times New Roman"/>
                <w:color w:val="000000"/>
                <w:kern w:val="0"/>
                <w:szCs w:val="20"/>
                <w:lang w:val="en-US" w:eastAsia="zh-CN"/>
              </w:rPr>
            </w:pPr>
          </w:p>
        </w:tc>
        <w:tc>
          <w:tcPr>
            <w:tcW w:w="980" w:type="dxa"/>
            <w:tcBorders>
              <w:top w:val="nil"/>
              <w:left w:val="nil"/>
              <w:bottom w:val="single" w:color="auto" w:sz="4" w:space="0"/>
              <w:right w:val="single" w:color="auto" w:sz="4" w:space="0"/>
            </w:tcBorders>
            <w:shd w:val="clear" w:color="auto" w:fill="auto"/>
            <w:noWrap/>
            <w:vAlign w:val="center"/>
          </w:tcPr>
          <w:p w14:paraId="0F84EFA6">
            <w:pPr>
              <w:keepNext w:val="0"/>
              <w:keepLines w:val="0"/>
              <w:pageBreakBefore w:val="0"/>
              <w:widowControl/>
              <w:kinsoku/>
              <w:overflowPunct/>
              <w:topLinePunct w:val="0"/>
              <w:autoSpaceDE/>
              <w:autoSpaceDN/>
              <w:bidi w:val="0"/>
              <w:adjustRightInd/>
              <w:snapToGrid/>
              <w:spacing w:line="230" w:lineRule="exact"/>
              <w:jc w:val="left"/>
              <w:rPr>
                <w:rFonts w:ascii="Times New Roman" w:hAnsi="Times New Roman" w:eastAsia="仿宋_GB2312" w:cs="Times New Roman"/>
                <w:color w:val="000000"/>
                <w:kern w:val="0"/>
                <w:sz w:val="21"/>
                <w:szCs w:val="20"/>
                <w:lang w:val="en-US" w:eastAsia="zh-CN" w:bidi="ar-SA"/>
              </w:rPr>
            </w:pPr>
            <w:r>
              <w:rPr>
                <w:rFonts w:ascii="Times New Roman" w:hAnsi="Times New Roman" w:eastAsia="仿宋_GB2312" w:cs="Times New Roman"/>
                <w:color w:val="000000"/>
                <w:kern w:val="0"/>
                <w:szCs w:val="20"/>
              </w:rPr>
              <w:t>30211</w:t>
            </w:r>
          </w:p>
        </w:tc>
        <w:tc>
          <w:tcPr>
            <w:tcW w:w="2072" w:type="dxa"/>
            <w:tcBorders>
              <w:top w:val="nil"/>
              <w:left w:val="nil"/>
              <w:bottom w:val="single" w:color="auto" w:sz="4" w:space="0"/>
              <w:right w:val="single" w:color="auto" w:sz="4" w:space="0"/>
            </w:tcBorders>
            <w:shd w:val="clear" w:color="auto" w:fill="auto"/>
            <w:noWrap/>
            <w:vAlign w:val="center"/>
          </w:tcPr>
          <w:p w14:paraId="4105BC87">
            <w:pPr>
              <w:keepNext w:val="0"/>
              <w:keepLines w:val="0"/>
              <w:pageBreakBefore w:val="0"/>
              <w:widowControl/>
              <w:kinsoku/>
              <w:overflowPunct/>
              <w:topLinePunct w:val="0"/>
              <w:autoSpaceDE/>
              <w:autoSpaceDN/>
              <w:bidi w:val="0"/>
              <w:adjustRightInd/>
              <w:snapToGrid/>
              <w:spacing w:line="230" w:lineRule="exact"/>
              <w:jc w:val="left"/>
              <w:rPr>
                <w:rFonts w:ascii="Times New Roman" w:hAnsi="Times New Roman" w:eastAsia="仿宋_GB2312" w:cs="Times New Roman"/>
                <w:color w:val="000000"/>
                <w:kern w:val="0"/>
                <w:sz w:val="21"/>
                <w:szCs w:val="20"/>
                <w:lang w:val="en-US" w:eastAsia="zh-CN" w:bidi="ar-SA"/>
              </w:rPr>
            </w:pPr>
            <w:r>
              <w:rPr>
                <w:rFonts w:ascii="Times New Roman" w:hAnsi="Times New Roman" w:eastAsia="仿宋_GB2312" w:cs="Times New Roman"/>
                <w:color w:val="000000"/>
                <w:kern w:val="0"/>
                <w:szCs w:val="20"/>
              </w:rPr>
              <w:t xml:space="preserve">  差旅费</w:t>
            </w:r>
          </w:p>
        </w:tc>
        <w:tc>
          <w:tcPr>
            <w:tcW w:w="777" w:type="dxa"/>
            <w:tcBorders>
              <w:top w:val="nil"/>
              <w:left w:val="nil"/>
              <w:bottom w:val="single" w:color="auto" w:sz="4" w:space="0"/>
              <w:right w:val="single" w:color="auto" w:sz="4" w:space="0"/>
            </w:tcBorders>
            <w:shd w:val="clear" w:color="auto" w:fill="auto"/>
            <w:noWrap/>
            <w:vAlign w:val="center"/>
          </w:tcPr>
          <w:p w14:paraId="18B7866D">
            <w:pPr>
              <w:keepNext w:val="0"/>
              <w:keepLines w:val="0"/>
              <w:pageBreakBefore w:val="0"/>
              <w:widowControl/>
              <w:kinsoku/>
              <w:overflowPunct/>
              <w:topLinePunct w:val="0"/>
              <w:autoSpaceDE/>
              <w:autoSpaceDN/>
              <w:bidi w:val="0"/>
              <w:adjustRightInd/>
              <w:snapToGrid/>
              <w:spacing w:line="230" w:lineRule="exact"/>
              <w:jc w:val="center"/>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0.80　0.80</w:t>
            </w:r>
          </w:p>
        </w:tc>
        <w:tc>
          <w:tcPr>
            <w:tcW w:w="751" w:type="dxa"/>
            <w:tcBorders>
              <w:top w:val="nil"/>
              <w:left w:val="nil"/>
              <w:bottom w:val="single" w:color="auto" w:sz="4" w:space="0"/>
              <w:right w:val="single" w:color="auto" w:sz="4" w:space="0"/>
            </w:tcBorders>
            <w:shd w:val="clear" w:color="auto" w:fill="auto"/>
            <w:noWrap/>
            <w:vAlign w:val="center"/>
          </w:tcPr>
          <w:p w14:paraId="50CED191">
            <w:pPr>
              <w:keepNext w:val="0"/>
              <w:keepLines w:val="0"/>
              <w:pageBreakBefore w:val="0"/>
              <w:widowControl/>
              <w:kinsoku/>
              <w:overflowPunct/>
              <w:topLinePunct w:val="0"/>
              <w:autoSpaceDE/>
              <w:autoSpaceDN/>
              <w:bidi w:val="0"/>
              <w:adjustRightInd/>
              <w:snapToGrid/>
              <w:spacing w:line="230" w:lineRule="exact"/>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31007</w:t>
            </w:r>
          </w:p>
        </w:tc>
        <w:tc>
          <w:tcPr>
            <w:tcW w:w="3706" w:type="dxa"/>
            <w:tcBorders>
              <w:top w:val="nil"/>
              <w:left w:val="nil"/>
              <w:bottom w:val="single" w:color="auto" w:sz="4" w:space="0"/>
              <w:right w:val="single" w:color="auto" w:sz="4" w:space="0"/>
            </w:tcBorders>
            <w:shd w:val="clear" w:color="auto" w:fill="auto"/>
            <w:noWrap/>
            <w:vAlign w:val="center"/>
          </w:tcPr>
          <w:p w14:paraId="733F5D7F">
            <w:pPr>
              <w:keepNext w:val="0"/>
              <w:keepLines w:val="0"/>
              <w:pageBreakBefore w:val="0"/>
              <w:widowControl/>
              <w:kinsoku/>
              <w:overflowPunct/>
              <w:topLinePunct w:val="0"/>
              <w:autoSpaceDE/>
              <w:autoSpaceDN/>
              <w:bidi w:val="0"/>
              <w:adjustRightInd/>
              <w:snapToGrid/>
              <w:spacing w:line="230" w:lineRule="exact"/>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信息网络及软件购置更新</w:t>
            </w:r>
          </w:p>
        </w:tc>
        <w:tc>
          <w:tcPr>
            <w:tcW w:w="1002" w:type="dxa"/>
            <w:tcBorders>
              <w:top w:val="nil"/>
              <w:left w:val="nil"/>
              <w:bottom w:val="single" w:color="auto" w:sz="4" w:space="0"/>
              <w:right w:val="single" w:color="auto" w:sz="4" w:space="0"/>
            </w:tcBorders>
            <w:shd w:val="clear" w:color="auto" w:fill="auto"/>
            <w:noWrap/>
            <w:vAlign w:val="center"/>
          </w:tcPr>
          <w:p w14:paraId="1FA32F35">
            <w:pPr>
              <w:keepNext w:val="0"/>
              <w:keepLines w:val="0"/>
              <w:pageBreakBefore w:val="0"/>
              <w:widowControl/>
              <w:kinsoku/>
              <w:overflowPunct/>
              <w:topLinePunct w:val="0"/>
              <w:autoSpaceDE/>
              <w:autoSpaceDN/>
              <w:bidi w:val="0"/>
              <w:adjustRightInd/>
              <w:snapToGrid/>
              <w:spacing w:line="230" w:lineRule="exact"/>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3A1554F5">
        <w:tblPrEx>
          <w:tblCellMar>
            <w:top w:w="0" w:type="dxa"/>
            <w:left w:w="108" w:type="dxa"/>
            <w:bottom w:w="0" w:type="dxa"/>
            <w:right w:w="108" w:type="dxa"/>
          </w:tblCellMar>
        </w:tblPrEx>
        <w:trPr>
          <w:trHeight w:val="255" w:hRule="exact"/>
          <w:jc w:val="center"/>
        </w:trPr>
        <w:tc>
          <w:tcPr>
            <w:tcW w:w="743" w:type="dxa"/>
            <w:tcBorders>
              <w:top w:val="nil"/>
              <w:left w:val="single" w:color="auto" w:sz="4" w:space="0"/>
              <w:bottom w:val="single" w:color="auto" w:sz="4" w:space="0"/>
              <w:right w:val="single" w:color="auto" w:sz="4" w:space="0"/>
            </w:tcBorders>
            <w:shd w:val="clear" w:color="auto" w:fill="auto"/>
            <w:noWrap/>
            <w:vAlign w:val="center"/>
          </w:tcPr>
          <w:p w14:paraId="5A4A2683">
            <w:pPr>
              <w:keepNext w:val="0"/>
              <w:keepLines w:val="0"/>
              <w:pageBreakBefore w:val="0"/>
              <w:widowControl/>
              <w:kinsoku/>
              <w:overflowPunct/>
              <w:topLinePunct w:val="0"/>
              <w:autoSpaceDE/>
              <w:autoSpaceDN/>
              <w:bidi w:val="0"/>
              <w:adjustRightInd/>
              <w:snapToGrid/>
              <w:spacing w:line="230" w:lineRule="exact"/>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30112</w:t>
            </w:r>
          </w:p>
        </w:tc>
        <w:tc>
          <w:tcPr>
            <w:tcW w:w="3596" w:type="dxa"/>
            <w:tcBorders>
              <w:top w:val="nil"/>
              <w:left w:val="nil"/>
              <w:bottom w:val="single" w:color="auto" w:sz="4" w:space="0"/>
              <w:right w:val="single" w:color="auto" w:sz="4" w:space="0"/>
            </w:tcBorders>
            <w:shd w:val="clear" w:color="auto" w:fill="auto"/>
            <w:noWrap/>
            <w:vAlign w:val="center"/>
          </w:tcPr>
          <w:p w14:paraId="0A34EE8B">
            <w:pPr>
              <w:keepNext w:val="0"/>
              <w:keepLines w:val="0"/>
              <w:pageBreakBefore w:val="0"/>
              <w:widowControl/>
              <w:kinsoku/>
              <w:overflowPunct/>
              <w:topLinePunct w:val="0"/>
              <w:autoSpaceDE/>
              <w:autoSpaceDN/>
              <w:bidi w:val="0"/>
              <w:adjustRightInd/>
              <w:snapToGrid/>
              <w:spacing w:line="230" w:lineRule="exact"/>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其他社会保障缴费</w:t>
            </w:r>
          </w:p>
        </w:tc>
        <w:tc>
          <w:tcPr>
            <w:tcW w:w="796" w:type="dxa"/>
            <w:tcBorders>
              <w:top w:val="nil"/>
              <w:left w:val="nil"/>
              <w:bottom w:val="single" w:color="auto" w:sz="4" w:space="0"/>
              <w:right w:val="single" w:color="auto" w:sz="4" w:space="0"/>
            </w:tcBorders>
            <w:shd w:val="clear" w:color="auto" w:fill="auto"/>
            <w:noWrap/>
            <w:vAlign w:val="center"/>
          </w:tcPr>
          <w:p w14:paraId="5C3D73B0">
            <w:pPr>
              <w:keepNext w:val="0"/>
              <w:keepLines w:val="0"/>
              <w:pageBreakBefore w:val="0"/>
              <w:widowControl/>
              <w:kinsoku/>
              <w:overflowPunct/>
              <w:topLinePunct w:val="0"/>
              <w:autoSpaceDE/>
              <w:autoSpaceDN/>
              <w:bidi w:val="0"/>
              <w:adjustRightInd/>
              <w:snapToGrid/>
              <w:spacing w:line="230" w:lineRule="exact"/>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0.51</w:t>
            </w:r>
          </w:p>
        </w:tc>
        <w:tc>
          <w:tcPr>
            <w:tcW w:w="980" w:type="dxa"/>
            <w:tcBorders>
              <w:top w:val="nil"/>
              <w:left w:val="nil"/>
              <w:bottom w:val="single" w:color="auto" w:sz="4" w:space="0"/>
              <w:right w:val="single" w:color="auto" w:sz="4" w:space="0"/>
            </w:tcBorders>
            <w:shd w:val="clear" w:color="auto" w:fill="auto"/>
            <w:noWrap/>
            <w:vAlign w:val="center"/>
          </w:tcPr>
          <w:p w14:paraId="4ECDA9C3">
            <w:pPr>
              <w:keepNext w:val="0"/>
              <w:keepLines w:val="0"/>
              <w:pageBreakBefore w:val="0"/>
              <w:widowControl/>
              <w:kinsoku/>
              <w:overflowPunct/>
              <w:topLinePunct w:val="0"/>
              <w:autoSpaceDE/>
              <w:autoSpaceDN/>
              <w:bidi w:val="0"/>
              <w:adjustRightInd/>
              <w:snapToGrid/>
              <w:spacing w:line="230" w:lineRule="exact"/>
              <w:jc w:val="left"/>
              <w:rPr>
                <w:rFonts w:ascii="Times New Roman" w:hAnsi="Times New Roman" w:eastAsia="仿宋_GB2312" w:cs="Times New Roman"/>
                <w:color w:val="000000"/>
                <w:kern w:val="0"/>
                <w:sz w:val="21"/>
                <w:szCs w:val="20"/>
                <w:lang w:val="en-US" w:eastAsia="zh-CN" w:bidi="ar-SA"/>
              </w:rPr>
            </w:pPr>
            <w:r>
              <w:rPr>
                <w:rFonts w:ascii="Times New Roman" w:hAnsi="Times New Roman" w:eastAsia="仿宋_GB2312" w:cs="Times New Roman"/>
                <w:color w:val="000000"/>
                <w:kern w:val="0"/>
                <w:szCs w:val="20"/>
              </w:rPr>
              <w:t>30212</w:t>
            </w:r>
          </w:p>
        </w:tc>
        <w:tc>
          <w:tcPr>
            <w:tcW w:w="2072" w:type="dxa"/>
            <w:tcBorders>
              <w:top w:val="nil"/>
              <w:left w:val="nil"/>
              <w:bottom w:val="single" w:color="auto" w:sz="4" w:space="0"/>
              <w:right w:val="single" w:color="auto" w:sz="4" w:space="0"/>
            </w:tcBorders>
            <w:shd w:val="clear" w:color="auto" w:fill="auto"/>
            <w:noWrap/>
            <w:vAlign w:val="center"/>
          </w:tcPr>
          <w:p w14:paraId="0CE934A5">
            <w:pPr>
              <w:keepNext w:val="0"/>
              <w:keepLines w:val="0"/>
              <w:pageBreakBefore w:val="0"/>
              <w:widowControl/>
              <w:kinsoku/>
              <w:overflowPunct/>
              <w:topLinePunct w:val="0"/>
              <w:autoSpaceDE/>
              <w:autoSpaceDN/>
              <w:bidi w:val="0"/>
              <w:adjustRightInd/>
              <w:snapToGrid/>
              <w:spacing w:line="230" w:lineRule="exact"/>
              <w:jc w:val="left"/>
              <w:rPr>
                <w:rFonts w:ascii="Times New Roman" w:hAnsi="Times New Roman" w:eastAsia="仿宋_GB2312" w:cs="Times New Roman"/>
                <w:color w:val="000000"/>
                <w:kern w:val="0"/>
                <w:sz w:val="21"/>
                <w:szCs w:val="20"/>
                <w:lang w:val="en-US" w:eastAsia="zh-CN" w:bidi="ar-SA"/>
              </w:rPr>
            </w:pPr>
            <w:r>
              <w:rPr>
                <w:rFonts w:ascii="Times New Roman" w:hAnsi="Times New Roman" w:eastAsia="仿宋_GB2312" w:cs="Times New Roman"/>
                <w:color w:val="000000"/>
                <w:kern w:val="0"/>
                <w:szCs w:val="20"/>
              </w:rPr>
              <w:t xml:space="preserve">  因公出国（境）费用</w:t>
            </w:r>
          </w:p>
        </w:tc>
        <w:tc>
          <w:tcPr>
            <w:tcW w:w="777" w:type="dxa"/>
            <w:tcBorders>
              <w:top w:val="nil"/>
              <w:left w:val="nil"/>
              <w:bottom w:val="single" w:color="auto" w:sz="4" w:space="0"/>
              <w:right w:val="single" w:color="auto" w:sz="4" w:space="0"/>
            </w:tcBorders>
            <w:shd w:val="clear" w:color="auto" w:fill="auto"/>
            <w:noWrap/>
            <w:vAlign w:val="center"/>
          </w:tcPr>
          <w:p w14:paraId="01BCB94F">
            <w:pPr>
              <w:keepNext w:val="0"/>
              <w:keepLines w:val="0"/>
              <w:pageBreakBefore w:val="0"/>
              <w:widowControl/>
              <w:kinsoku/>
              <w:overflowPunct/>
              <w:topLinePunct w:val="0"/>
              <w:autoSpaceDE/>
              <w:autoSpaceDN/>
              <w:bidi w:val="0"/>
              <w:adjustRightInd/>
              <w:snapToGrid/>
              <w:spacing w:line="230" w:lineRule="exact"/>
              <w:jc w:val="center"/>
              <w:rPr>
                <w:rFonts w:hint="default" w:ascii="Times New Roman" w:hAnsi="Times New Roman" w:eastAsia="仿宋_GB2312" w:cs="Times New Roman"/>
                <w:color w:val="000000"/>
                <w:kern w:val="0"/>
                <w:szCs w:val="20"/>
                <w:lang w:val="en-US" w:eastAsia="zh-CN"/>
              </w:rPr>
            </w:pPr>
          </w:p>
        </w:tc>
        <w:tc>
          <w:tcPr>
            <w:tcW w:w="751" w:type="dxa"/>
            <w:tcBorders>
              <w:top w:val="nil"/>
              <w:left w:val="nil"/>
              <w:bottom w:val="single" w:color="auto" w:sz="4" w:space="0"/>
              <w:right w:val="single" w:color="auto" w:sz="4" w:space="0"/>
            </w:tcBorders>
            <w:shd w:val="clear" w:color="auto" w:fill="auto"/>
            <w:noWrap/>
            <w:vAlign w:val="center"/>
          </w:tcPr>
          <w:p w14:paraId="39777FB7">
            <w:pPr>
              <w:keepNext w:val="0"/>
              <w:keepLines w:val="0"/>
              <w:pageBreakBefore w:val="0"/>
              <w:widowControl/>
              <w:kinsoku/>
              <w:overflowPunct/>
              <w:topLinePunct w:val="0"/>
              <w:autoSpaceDE/>
              <w:autoSpaceDN/>
              <w:bidi w:val="0"/>
              <w:adjustRightInd/>
              <w:snapToGrid/>
              <w:spacing w:line="230" w:lineRule="exact"/>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31008</w:t>
            </w:r>
          </w:p>
        </w:tc>
        <w:tc>
          <w:tcPr>
            <w:tcW w:w="3706" w:type="dxa"/>
            <w:tcBorders>
              <w:top w:val="nil"/>
              <w:left w:val="nil"/>
              <w:bottom w:val="single" w:color="auto" w:sz="4" w:space="0"/>
              <w:right w:val="single" w:color="auto" w:sz="4" w:space="0"/>
            </w:tcBorders>
            <w:shd w:val="clear" w:color="auto" w:fill="auto"/>
            <w:noWrap/>
            <w:vAlign w:val="center"/>
          </w:tcPr>
          <w:p w14:paraId="518DB58C">
            <w:pPr>
              <w:keepNext w:val="0"/>
              <w:keepLines w:val="0"/>
              <w:pageBreakBefore w:val="0"/>
              <w:widowControl/>
              <w:kinsoku/>
              <w:overflowPunct/>
              <w:topLinePunct w:val="0"/>
              <w:autoSpaceDE/>
              <w:autoSpaceDN/>
              <w:bidi w:val="0"/>
              <w:adjustRightInd/>
              <w:snapToGrid/>
              <w:spacing w:line="230" w:lineRule="exact"/>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物资储备</w:t>
            </w:r>
          </w:p>
        </w:tc>
        <w:tc>
          <w:tcPr>
            <w:tcW w:w="1002" w:type="dxa"/>
            <w:tcBorders>
              <w:top w:val="nil"/>
              <w:left w:val="nil"/>
              <w:bottom w:val="single" w:color="auto" w:sz="4" w:space="0"/>
              <w:right w:val="single" w:color="auto" w:sz="4" w:space="0"/>
            </w:tcBorders>
            <w:shd w:val="clear" w:color="auto" w:fill="auto"/>
            <w:noWrap/>
            <w:vAlign w:val="center"/>
          </w:tcPr>
          <w:p w14:paraId="3966C746">
            <w:pPr>
              <w:keepNext w:val="0"/>
              <w:keepLines w:val="0"/>
              <w:pageBreakBefore w:val="0"/>
              <w:widowControl/>
              <w:kinsoku/>
              <w:overflowPunct/>
              <w:topLinePunct w:val="0"/>
              <w:autoSpaceDE/>
              <w:autoSpaceDN/>
              <w:bidi w:val="0"/>
              <w:adjustRightInd/>
              <w:snapToGrid/>
              <w:spacing w:line="230" w:lineRule="exact"/>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747ACF45">
        <w:tblPrEx>
          <w:tblCellMar>
            <w:top w:w="0" w:type="dxa"/>
            <w:left w:w="108" w:type="dxa"/>
            <w:bottom w:w="0" w:type="dxa"/>
            <w:right w:w="108" w:type="dxa"/>
          </w:tblCellMar>
        </w:tblPrEx>
        <w:trPr>
          <w:trHeight w:val="255" w:hRule="exact"/>
          <w:jc w:val="center"/>
        </w:trPr>
        <w:tc>
          <w:tcPr>
            <w:tcW w:w="743" w:type="dxa"/>
            <w:tcBorders>
              <w:top w:val="nil"/>
              <w:left w:val="single" w:color="auto" w:sz="4" w:space="0"/>
              <w:bottom w:val="single" w:color="auto" w:sz="4" w:space="0"/>
              <w:right w:val="single" w:color="auto" w:sz="4" w:space="0"/>
            </w:tcBorders>
            <w:shd w:val="clear" w:color="auto" w:fill="auto"/>
            <w:noWrap/>
            <w:vAlign w:val="center"/>
          </w:tcPr>
          <w:p w14:paraId="18EEE1E7">
            <w:pPr>
              <w:keepNext w:val="0"/>
              <w:keepLines w:val="0"/>
              <w:pageBreakBefore w:val="0"/>
              <w:widowControl/>
              <w:kinsoku/>
              <w:overflowPunct/>
              <w:topLinePunct w:val="0"/>
              <w:autoSpaceDE/>
              <w:autoSpaceDN/>
              <w:bidi w:val="0"/>
              <w:adjustRightInd/>
              <w:snapToGrid/>
              <w:spacing w:line="230" w:lineRule="exact"/>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30113</w:t>
            </w:r>
          </w:p>
        </w:tc>
        <w:tc>
          <w:tcPr>
            <w:tcW w:w="3596" w:type="dxa"/>
            <w:tcBorders>
              <w:top w:val="nil"/>
              <w:left w:val="nil"/>
              <w:bottom w:val="single" w:color="auto" w:sz="4" w:space="0"/>
              <w:right w:val="single" w:color="auto" w:sz="4" w:space="0"/>
            </w:tcBorders>
            <w:shd w:val="clear" w:color="auto" w:fill="auto"/>
            <w:noWrap/>
            <w:vAlign w:val="center"/>
          </w:tcPr>
          <w:p w14:paraId="3C7C0CEE">
            <w:pPr>
              <w:keepNext w:val="0"/>
              <w:keepLines w:val="0"/>
              <w:pageBreakBefore w:val="0"/>
              <w:widowControl/>
              <w:kinsoku/>
              <w:overflowPunct/>
              <w:topLinePunct w:val="0"/>
              <w:autoSpaceDE/>
              <w:autoSpaceDN/>
              <w:bidi w:val="0"/>
              <w:adjustRightInd/>
              <w:snapToGrid/>
              <w:spacing w:line="230" w:lineRule="exact"/>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住房公积金</w:t>
            </w:r>
          </w:p>
        </w:tc>
        <w:tc>
          <w:tcPr>
            <w:tcW w:w="796" w:type="dxa"/>
            <w:tcBorders>
              <w:top w:val="nil"/>
              <w:left w:val="nil"/>
              <w:bottom w:val="single" w:color="auto" w:sz="4" w:space="0"/>
              <w:right w:val="single" w:color="auto" w:sz="4" w:space="0"/>
            </w:tcBorders>
            <w:shd w:val="clear" w:color="auto" w:fill="auto"/>
            <w:noWrap/>
            <w:vAlign w:val="center"/>
          </w:tcPr>
          <w:p w14:paraId="23E89BE6">
            <w:pPr>
              <w:keepNext w:val="0"/>
              <w:keepLines w:val="0"/>
              <w:pageBreakBefore w:val="0"/>
              <w:widowControl/>
              <w:kinsoku/>
              <w:overflowPunct/>
              <w:topLinePunct w:val="0"/>
              <w:autoSpaceDE/>
              <w:autoSpaceDN/>
              <w:bidi w:val="0"/>
              <w:adjustRightInd/>
              <w:snapToGrid/>
              <w:spacing w:line="230" w:lineRule="exact"/>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5.58</w:t>
            </w:r>
          </w:p>
        </w:tc>
        <w:tc>
          <w:tcPr>
            <w:tcW w:w="980" w:type="dxa"/>
            <w:tcBorders>
              <w:top w:val="nil"/>
              <w:left w:val="nil"/>
              <w:bottom w:val="single" w:color="auto" w:sz="4" w:space="0"/>
              <w:right w:val="single" w:color="auto" w:sz="4" w:space="0"/>
            </w:tcBorders>
            <w:shd w:val="clear" w:color="auto" w:fill="auto"/>
            <w:noWrap/>
            <w:vAlign w:val="center"/>
          </w:tcPr>
          <w:p w14:paraId="60ECABEB">
            <w:pPr>
              <w:keepNext w:val="0"/>
              <w:keepLines w:val="0"/>
              <w:pageBreakBefore w:val="0"/>
              <w:widowControl/>
              <w:kinsoku/>
              <w:overflowPunct/>
              <w:topLinePunct w:val="0"/>
              <w:autoSpaceDE/>
              <w:autoSpaceDN/>
              <w:bidi w:val="0"/>
              <w:adjustRightInd/>
              <w:snapToGrid/>
              <w:spacing w:line="230" w:lineRule="exact"/>
              <w:jc w:val="left"/>
              <w:rPr>
                <w:rFonts w:ascii="Times New Roman" w:hAnsi="Times New Roman" w:eastAsia="仿宋_GB2312" w:cs="Times New Roman"/>
                <w:color w:val="000000"/>
                <w:kern w:val="0"/>
                <w:sz w:val="21"/>
                <w:szCs w:val="20"/>
                <w:lang w:val="en-US" w:eastAsia="zh-CN" w:bidi="ar-SA"/>
              </w:rPr>
            </w:pPr>
            <w:r>
              <w:rPr>
                <w:rFonts w:ascii="Times New Roman" w:hAnsi="Times New Roman" w:eastAsia="仿宋_GB2312" w:cs="Times New Roman"/>
                <w:color w:val="000000"/>
                <w:kern w:val="0"/>
                <w:szCs w:val="20"/>
              </w:rPr>
              <w:t>30213</w:t>
            </w:r>
          </w:p>
        </w:tc>
        <w:tc>
          <w:tcPr>
            <w:tcW w:w="2072" w:type="dxa"/>
            <w:tcBorders>
              <w:top w:val="nil"/>
              <w:left w:val="nil"/>
              <w:bottom w:val="single" w:color="auto" w:sz="4" w:space="0"/>
              <w:right w:val="single" w:color="auto" w:sz="4" w:space="0"/>
            </w:tcBorders>
            <w:shd w:val="clear" w:color="auto" w:fill="auto"/>
            <w:noWrap/>
            <w:vAlign w:val="center"/>
          </w:tcPr>
          <w:p w14:paraId="176F14E3">
            <w:pPr>
              <w:keepNext w:val="0"/>
              <w:keepLines w:val="0"/>
              <w:pageBreakBefore w:val="0"/>
              <w:widowControl/>
              <w:kinsoku/>
              <w:overflowPunct/>
              <w:topLinePunct w:val="0"/>
              <w:autoSpaceDE/>
              <w:autoSpaceDN/>
              <w:bidi w:val="0"/>
              <w:adjustRightInd/>
              <w:snapToGrid/>
              <w:spacing w:line="230" w:lineRule="exact"/>
              <w:jc w:val="left"/>
              <w:rPr>
                <w:rFonts w:ascii="Times New Roman" w:hAnsi="Times New Roman" w:eastAsia="仿宋_GB2312" w:cs="Times New Roman"/>
                <w:color w:val="000000"/>
                <w:kern w:val="0"/>
                <w:sz w:val="21"/>
                <w:szCs w:val="20"/>
                <w:lang w:val="en-US" w:eastAsia="zh-CN" w:bidi="ar-SA"/>
              </w:rPr>
            </w:pPr>
            <w:r>
              <w:rPr>
                <w:rFonts w:ascii="Times New Roman" w:hAnsi="Times New Roman" w:eastAsia="仿宋_GB2312" w:cs="Times New Roman"/>
                <w:color w:val="000000"/>
                <w:kern w:val="0"/>
                <w:szCs w:val="20"/>
              </w:rPr>
              <w:t xml:space="preserve">  维修（护）费</w:t>
            </w:r>
          </w:p>
        </w:tc>
        <w:tc>
          <w:tcPr>
            <w:tcW w:w="777" w:type="dxa"/>
            <w:tcBorders>
              <w:top w:val="nil"/>
              <w:left w:val="nil"/>
              <w:bottom w:val="single" w:color="auto" w:sz="4" w:space="0"/>
              <w:right w:val="single" w:color="auto" w:sz="4" w:space="0"/>
            </w:tcBorders>
            <w:shd w:val="clear" w:color="auto" w:fill="auto"/>
            <w:noWrap/>
            <w:vAlign w:val="center"/>
          </w:tcPr>
          <w:p w14:paraId="4A55F4EE">
            <w:pPr>
              <w:keepNext w:val="0"/>
              <w:keepLines w:val="0"/>
              <w:pageBreakBefore w:val="0"/>
              <w:widowControl/>
              <w:kinsoku/>
              <w:overflowPunct/>
              <w:topLinePunct w:val="0"/>
              <w:autoSpaceDE/>
              <w:autoSpaceDN/>
              <w:bidi w:val="0"/>
              <w:adjustRightInd/>
              <w:snapToGrid/>
              <w:spacing w:line="230" w:lineRule="exact"/>
              <w:jc w:val="center"/>
              <w:rPr>
                <w:rFonts w:hint="eastAsia" w:ascii="Times New Roman" w:hAnsi="Times New Roman" w:eastAsia="仿宋_GB2312" w:cs="Times New Roman"/>
                <w:color w:val="000000"/>
                <w:kern w:val="0"/>
                <w:szCs w:val="20"/>
                <w:lang w:val="en-US" w:eastAsia="zh-CN"/>
              </w:rPr>
            </w:pPr>
          </w:p>
        </w:tc>
        <w:tc>
          <w:tcPr>
            <w:tcW w:w="751" w:type="dxa"/>
            <w:tcBorders>
              <w:top w:val="nil"/>
              <w:left w:val="nil"/>
              <w:bottom w:val="single" w:color="auto" w:sz="4" w:space="0"/>
              <w:right w:val="single" w:color="auto" w:sz="4" w:space="0"/>
            </w:tcBorders>
            <w:shd w:val="clear" w:color="auto" w:fill="auto"/>
            <w:noWrap/>
            <w:vAlign w:val="center"/>
          </w:tcPr>
          <w:p w14:paraId="38C8B63E">
            <w:pPr>
              <w:keepNext w:val="0"/>
              <w:keepLines w:val="0"/>
              <w:pageBreakBefore w:val="0"/>
              <w:widowControl/>
              <w:kinsoku/>
              <w:overflowPunct/>
              <w:topLinePunct w:val="0"/>
              <w:autoSpaceDE/>
              <w:autoSpaceDN/>
              <w:bidi w:val="0"/>
              <w:adjustRightInd/>
              <w:snapToGrid/>
              <w:spacing w:line="230" w:lineRule="exact"/>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31009</w:t>
            </w:r>
          </w:p>
        </w:tc>
        <w:tc>
          <w:tcPr>
            <w:tcW w:w="3706" w:type="dxa"/>
            <w:tcBorders>
              <w:top w:val="nil"/>
              <w:left w:val="nil"/>
              <w:bottom w:val="single" w:color="auto" w:sz="4" w:space="0"/>
              <w:right w:val="single" w:color="auto" w:sz="4" w:space="0"/>
            </w:tcBorders>
            <w:shd w:val="clear" w:color="auto" w:fill="auto"/>
            <w:noWrap/>
            <w:vAlign w:val="center"/>
          </w:tcPr>
          <w:p w14:paraId="3BD4C3BF">
            <w:pPr>
              <w:keepNext w:val="0"/>
              <w:keepLines w:val="0"/>
              <w:pageBreakBefore w:val="0"/>
              <w:widowControl/>
              <w:kinsoku/>
              <w:overflowPunct/>
              <w:topLinePunct w:val="0"/>
              <w:autoSpaceDE/>
              <w:autoSpaceDN/>
              <w:bidi w:val="0"/>
              <w:adjustRightInd/>
              <w:snapToGrid/>
              <w:spacing w:line="230" w:lineRule="exact"/>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土地补偿</w:t>
            </w:r>
          </w:p>
        </w:tc>
        <w:tc>
          <w:tcPr>
            <w:tcW w:w="1002" w:type="dxa"/>
            <w:tcBorders>
              <w:top w:val="nil"/>
              <w:left w:val="nil"/>
              <w:bottom w:val="single" w:color="auto" w:sz="4" w:space="0"/>
              <w:right w:val="single" w:color="auto" w:sz="4" w:space="0"/>
            </w:tcBorders>
            <w:shd w:val="clear" w:color="auto" w:fill="auto"/>
            <w:noWrap/>
            <w:vAlign w:val="center"/>
          </w:tcPr>
          <w:p w14:paraId="7AB46FF9">
            <w:pPr>
              <w:keepNext w:val="0"/>
              <w:keepLines w:val="0"/>
              <w:pageBreakBefore w:val="0"/>
              <w:widowControl/>
              <w:kinsoku/>
              <w:overflowPunct/>
              <w:topLinePunct w:val="0"/>
              <w:autoSpaceDE/>
              <w:autoSpaceDN/>
              <w:bidi w:val="0"/>
              <w:adjustRightInd/>
              <w:snapToGrid/>
              <w:spacing w:line="230" w:lineRule="exact"/>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2F0FCD95">
        <w:tblPrEx>
          <w:tblCellMar>
            <w:top w:w="0" w:type="dxa"/>
            <w:left w:w="108" w:type="dxa"/>
            <w:bottom w:w="0" w:type="dxa"/>
            <w:right w:w="108" w:type="dxa"/>
          </w:tblCellMar>
        </w:tblPrEx>
        <w:trPr>
          <w:trHeight w:val="255" w:hRule="exact"/>
          <w:jc w:val="center"/>
        </w:trPr>
        <w:tc>
          <w:tcPr>
            <w:tcW w:w="743" w:type="dxa"/>
            <w:tcBorders>
              <w:top w:val="nil"/>
              <w:left w:val="single" w:color="auto" w:sz="4" w:space="0"/>
              <w:bottom w:val="single" w:color="auto" w:sz="4" w:space="0"/>
              <w:right w:val="single" w:color="auto" w:sz="4" w:space="0"/>
            </w:tcBorders>
            <w:shd w:val="clear" w:color="auto" w:fill="auto"/>
            <w:noWrap/>
            <w:vAlign w:val="center"/>
          </w:tcPr>
          <w:p w14:paraId="67074BF7">
            <w:pPr>
              <w:keepNext w:val="0"/>
              <w:keepLines w:val="0"/>
              <w:pageBreakBefore w:val="0"/>
              <w:widowControl/>
              <w:kinsoku/>
              <w:overflowPunct/>
              <w:topLinePunct w:val="0"/>
              <w:autoSpaceDE/>
              <w:autoSpaceDN/>
              <w:bidi w:val="0"/>
              <w:adjustRightInd/>
              <w:snapToGrid/>
              <w:spacing w:line="230" w:lineRule="exact"/>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30114</w:t>
            </w:r>
          </w:p>
        </w:tc>
        <w:tc>
          <w:tcPr>
            <w:tcW w:w="3596" w:type="dxa"/>
            <w:tcBorders>
              <w:top w:val="nil"/>
              <w:left w:val="nil"/>
              <w:bottom w:val="single" w:color="auto" w:sz="4" w:space="0"/>
              <w:right w:val="single" w:color="auto" w:sz="4" w:space="0"/>
            </w:tcBorders>
            <w:shd w:val="clear" w:color="auto" w:fill="auto"/>
            <w:noWrap/>
            <w:vAlign w:val="center"/>
          </w:tcPr>
          <w:p w14:paraId="572CD8F4">
            <w:pPr>
              <w:keepNext w:val="0"/>
              <w:keepLines w:val="0"/>
              <w:pageBreakBefore w:val="0"/>
              <w:widowControl/>
              <w:kinsoku/>
              <w:overflowPunct/>
              <w:topLinePunct w:val="0"/>
              <w:autoSpaceDE/>
              <w:autoSpaceDN/>
              <w:bidi w:val="0"/>
              <w:adjustRightInd/>
              <w:snapToGrid/>
              <w:spacing w:line="230" w:lineRule="exact"/>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医疗费</w:t>
            </w:r>
          </w:p>
        </w:tc>
        <w:tc>
          <w:tcPr>
            <w:tcW w:w="796" w:type="dxa"/>
            <w:tcBorders>
              <w:top w:val="nil"/>
              <w:left w:val="nil"/>
              <w:bottom w:val="single" w:color="auto" w:sz="4" w:space="0"/>
              <w:right w:val="single" w:color="auto" w:sz="4" w:space="0"/>
            </w:tcBorders>
            <w:shd w:val="clear" w:color="auto" w:fill="auto"/>
            <w:noWrap/>
            <w:vAlign w:val="center"/>
          </w:tcPr>
          <w:p w14:paraId="31C1AC55">
            <w:pPr>
              <w:keepNext w:val="0"/>
              <w:keepLines w:val="0"/>
              <w:pageBreakBefore w:val="0"/>
              <w:widowControl/>
              <w:kinsoku/>
              <w:overflowPunct/>
              <w:topLinePunct w:val="0"/>
              <w:autoSpaceDE/>
              <w:autoSpaceDN/>
              <w:bidi w:val="0"/>
              <w:adjustRightInd/>
              <w:snapToGrid/>
              <w:spacing w:line="230" w:lineRule="exact"/>
              <w:jc w:val="center"/>
              <w:rPr>
                <w:rFonts w:ascii="Times New Roman" w:hAnsi="Times New Roman" w:eastAsia="仿宋_GB2312" w:cs="Times New Roman"/>
                <w:color w:val="000000"/>
                <w:kern w:val="0"/>
                <w:szCs w:val="20"/>
              </w:rPr>
            </w:pPr>
          </w:p>
        </w:tc>
        <w:tc>
          <w:tcPr>
            <w:tcW w:w="980" w:type="dxa"/>
            <w:tcBorders>
              <w:top w:val="nil"/>
              <w:left w:val="nil"/>
              <w:bottom w:val="single" w:color="auto" w:sz="4" w:space="0"/>
              <w:right w:val="single" w:color="auto" w:sz="4" w:space="0"/>
            </w:tcBorders>
            <w:shd w:val="clear" w:color="auto" w:fill="auto"/>
            <w:noWrap/>
            <w:vAlign w:val="center"/>
          </w:tcPr>
          <w:p w14:paraId="64151815">
            <w:pPr>
              <w:keepNext w:val="0"/>
              <w:keepLines w:val="0"/>
              <w:pageBreakBefore w:val="0"/>
              <w:widowControl/>
              <w:kinsoku/>
              <w:overflowPunct/>
              <w:topLinePunct w:val="0"/>
              <w:autoSpaceDE/>
              <w:autoSpaceDN/>
              <w:bidi w:val="0"/>
              <w:adjustRightInd/>
              <w:snapToGrid/>
              <w:spacing w:line="230" w:lineRule="exact"/>
              <w:jc w:val="left"/>
              <w:rPr>
                <w:rFonts w:ascii="Times New Roman" w:hAnsi="Times New Roman" w:eastAsia="仿宋_GB2312" w:cs="Times New Roman"/>
                <w:color w:val="000000"/>
                <w:kern w:val="0"/>
                <w:sz w:val="21"/>
                <w:szCs w:val="20"/>
                <w:lang w:val="en-US" w:eastAsia="zh-CN" w:bidi="ar-SA"/>
              </w:rPr>
            </w:pPr>
            <w:r>
              <w:rPr>
                <w:rFonts w:ascii="Times New Roman" w:hAnsi="Times New Roman" w:eastAsia="仿宋_GB2312" w:cs="Times New Roman"/>
                <w:color w:val="000000"/>
                <w:kern w:val="0"/>
                <w:szCs w:val="20"/>
              </w:rPr>
              <w:t>30214</w:t>
            </w:r>
          </w:p>
        </w:tc>
        <w:tc>
          <w:tcPr>
            <w:tcW w:w="2072" w:type="dxa"/>
            <w:tcBorders>
              <w:top w:val="nil"/>
              <w:left w:val="nil"/>
              <w:bottom w:val="single" w:color="auto" w:sz="4" w:space="0"/>
              <w:right w:val="single" w:color="auto" w:sz="4" w:space="0"/>
            </w:tcBorders>
            <w:shd w:val="clear" w:color="auto" w:fill="auto"/>
            <w:noWrap/>
            <w:vAlign w:val="center"/>
          </w:tcPr>
          <w:p w14:paraId="6BE61CD4">
            <w:pPr>
              <w:keepNext w:val="0"/>
              <w:keepLines w:val="0"/>
              <w:pageBreakBefore w:val="0"/>
              <w:widowControl/>
              <w:kinsoku/>
              <w:overflowPunct/>
              <w:topLinePunct w:val="0"/>
              <w:autoSpaceDE/>
              <w:autoSpaceDN/>
              <w:bidi w:val="0"/>
              <w:adjustRightInd/>
              <w:snapToGrid/>
              <w:spacing w:line="230" w:lineRule="exact"/>
              <w:jc w:val="left"/>
              <w:rPr>
                <w:rFonts w:ascii="Times New Roman" w:hAnsi="Times New Roman" w:eastAsia="仿宋_GB2312" w:cs="Times New Roman"/>
                <w:color w:val="000000"/>
                <w:kern w:val="0"/>
                <w:sz w:val="21"/>
                <w:szCs w:val="20"/>
                <w:lang w:val="en-US" w:eastAsia="zh-CN" w:bidi="ar-SA"/>
              </w:rPr>
            </w:pPr>
            <w:r>
              <w:rPr>
                <w:rFonts w:ascii="Times New Roman" w:hAnsi="Times New Roman" w:eastAsia="仿宋_GB2312" w:cs="Times New Roman"/>
                <w:color w:val="000000"/>
                <w:kern w:val="0"/>
                <w:szCs w:val="20"/>
              </w:rPr>
              <w:t xml:space="preserve">  租赁费</w:t>
            </w:r>
          </w:p>
        </w:tc>
        <w:tc>
          <w:tcPr>
            <w:tcW w:w="777" w:type="dxa"/>
            <w:tcBorders>
              <w:top w:val="nil"/>
              <w:left w:val="nil"/>
              <w:bottom w:val="single" w:color="auto" w:sz="4" w:space="0"/>
              <w:right w:val="single" w:color="auto" w:sz="4" w:space="0"/>
            </w:tcBorders>
            <w:shd w:val="clear" w:color="auto" w:fill="auto"/>
            <w:noWrap/>
            <w:vAlign w:val="center"/>
          </w:tcPr>
          <w:p w14:paraId="13CA8966">
            <w:pPr>
              <w:keepNext w:val="0"/>
              <w:keepLines w:val="0"/>
              <w:pageBreakBefore w:val="0"/>
              <w:widowControl/>
              <w:kinsoku/>
              <w:overflowPunct/>
              <w:topLinePunct w:val="0"/>
              <w:autoSpaceDE/>
              <w:autoSpaceDN/>
              <w:bidi w:val="0"/>
              <w:adjustRightInd/>
              <w:snapToGrid/>
              <w:spacing w:line="230" w:lineRule="exact"/>
              <w:jc w:val="center"/>
              <w:rPr>
                <w:rFonts w:hint="eastAsia" w:ascii="Times New Roman" w:hAnsi="Times New Roman" w:eastAsia="仿宋_GB2312" w:cs="Times New Roman"/>
                <w:color w:val="000000"/>
                <w:kern w:val="0"/>
                <w:szCs w:val="20"/>
                <w:lang w:val="en-US" w:eastAsia="zh-CN"/>
              </w:rPr>
            </w:pPr>
          </w:p>
        </w:tc>
        <w:tc>
          <w:tcPr>
            <w:tcW w:w="751" w:type="dxa"/>
            <w:tcBorders>
              <w:top w:val="nil"/>
              <w:left w:val="nil"/>
              <w:bottom w:val="single" w:color="auto" w:sz="4" w:space="0"/>
              <w:right w:val="single" w:color="auto" w:sz="4" w:space="0"/>
            </w:tcBorders>
            <w:shd w:val="clear" w:color="auto" w:fill="auto"/>
            <w:noWrap/>
            <w:vAlign w:val="center"/>
          </w:tcPr>
          <w:p w14:paraId="6B376E15">
            <w:pPr>
              <w:keepNext w:val="0"/>
              <w:keepLines w:val="0"/>
              <w:pageBreakBefore w:val="0"/>
              <w:widowControl/>
              <w:kinsoku/>
              <w:overflowPunct/>
              <w:topLinePunct w:val="0"/>
              <w:autoSpaceDE/>
              <w:autoSpaceDN/>
              <w:bidi w:val="0"/>
              <w:adjustRightInd/>
              <w:snapToGrid/>
              <w:spacing w:line="230" w:lineRule="exact"/>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31010</w:t>
            </w:r>
          </w:p>
        </w:tc>
        <w:tc>
          <w:tcPr>
            <w:tcW w:w="3706" w:type="dxa"/>
            <w:tcBorders>
              <w:top w:val="nil"/>
              <w:left w:val="nil"/>
              <w:bottom w:val="single" w:color="auto" w:sz="4" w:space="0"/>
              <w:right w:val="single" w:color="auto" w:sz="4" w:space="0"/>
            </w:tcBorders>
            <w:shd w:val="clear" w:color="auto" w:fill="auto"/>
            <w:noWrap/>
            <w:vAlign w:val="center"/>
          </w:tcPr>
          <w:p w14:paraId="3D3D127A">
            <w:pPr>
              <w:keepNext w:val="0"/>
              <w:keepLines w:val="0"/>
              <w:pageBreakBefore w:val="0"/>
              <w:widowControl/>
              <w:kinsoku/>
              <w:overflowPunct/>
              <w:topLinePunct w:val="0"/>
              <w:autoSpaceDE/>
              <w:autoSpaceDN/>
              <w:bidi w:val="0"/>
              <w:adjustRightInd/>
              <w:snapToGrid/>
              <w:spacing w:line="230" w:lineRule="exact"/>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安置补助</w:t>
            </w:r>
          </w:p>
        </w:tc>
        <w:tc>
          <w:tcPr>
            <w:tcW w:w="1002" w:type="dxa"/>
            <w:tcBorders>
              <w:top w:val="nil"/>
              <w:left w:val="nil"/>
              <w:bottom w:val="single" w:color="auto" w:sz="4" w:space="0"/>
              <w:right w:val="single" w:color="auto" w:sz="4" w:space="0"/>
            </w:tcBorders>
            <w:shd w:val="clear" w:color="auto" w:fill="auto"/>
            <w:noWrap/>
            <w:vAlign w:val="center"/>
          </w:tcPr>
          <w:p w14:paraId="74E75206">
            <w:pPr>
              <w:keepNext w:val="0"/>
              <w:keepLines w:val="0"/>
              <w:pageBreakBefore w:val="0"/>
              <w:widowControl/>
              <w:kinsoku/>
              <w:overflowPunct/>
              <w:topLinePunct w:val="0"/>
              <w:autoSpaceDE/>
              <w:autoSpaceDN/>
              <w:bidi w:val="0"/>
              <w:adjustRightInd/>
              <w:snapToGrid/>
              <w:spacing w:line="230" w:lineRule="exact"/>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09D5E71D">
        <w:tblPrEx>
          <w:tblCellMar>
            <w:top w:w="0" w:type="dxa"/>
            <w:left w:w="108" w:type="dxa"/>
            <w:bottom w:w="0" w:type="dxa"/>
            <w:right w:w="108" w:type="dxa"/>
          </w:tblCellMar>
        </w:tblPrEx>
        <w:trPr>
          <w:trHeight w:val="255" w:hRule="exact"/>
          <w:jc w:val="center"/>
        </w:trPr>
        <w:tc>
          <w:tcPr>
            <w:tcW w:w="743" w:type="dxa"/>
            <w:tcBorders>
              <w:top w:val="nil"/>
              <w:left w:val="single" w:color="auto" w:sz="4" w:space="0"/>
              <w:bottom w:val="single" w:color="auto" w:sz="4" w:space="0"/>
              <w:right w:val="single" w:color="auto" w:sz="4" w:space="0"/>
            </w:tcBorders>
            <w:shd w:val="clear" w:color="auto" w:fill="auto"/>
            <w:noWrap/>
            <w:vAlign w:val="center"/>
          </w:tcPr>
          <w:p w14:paraId="19AF28CF">
            <w:pPr>
              <w:keepNext w:val="0"/>
              <w:keepLines w:val="0"/>
              <w:pageBreakBefore w:val="0"/>
              <w:widowControl/>
              <w:kinsoku/>
              <w:overflowPunct/>
              <w:topLinePunct w:val="0"/>
              <w:autoSpaceDE/>
              <w:autoSpaceDN/>
              <w:bidi w:val="0"/>
              <w:adjustRightInd/>
              <w:snapToGrid/>
              <w:spacing w:line="230" w:lineRule="exact"/>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30199</w:t>
            </w:r>
          </w:p>
        </w:tc>
        <w:tc>
          <w:tcPr>
            <w:tcW w:w="3596" w:type="dxa"/>
            <w:tcBorders>
              <w:top w:val="nil"/>
              <w:left w:val="nil"/>
              <w:bottom w:val="single" w:color="auto" w:sz="4" w:space="0"/>
              <w:right w:val="single" w:color="auto" w:sz="4" w:space="0"/>
            </w:tcBorders>
            <w:shd w:val="clear" w:color="auto" w:fill="auto"/>
            <w:noWrap/>
            <w:vAlign w:val="center"/>
          </w:tcPr>
          <w:p w14:paraId="09004883">
            <w:pPr>
              <w:keepNext w:val="0"/>
              <w:keepLines w:val="0"/>
              <w:pageBreakBefore w:val="0"/>
              <w:widowControl/>
              <w:kinsoku/>
              <w:overflowPunct/>
              <w:topLinePunct w:val="0"/>
              <w:autoSpaceDE/>
              <w:autoSpaceDN/>
              <w:bidi w:val="0"/>
              <w:adjustRightInd/>
              <w:snapToGrid/>
              <w:spacing w:line="230" w:lineRule="exact"/>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其他工资福利支出</w:t>
            </w:r>
          </w:p>
        </w:tc>
        <w:tc>
          <w:tcPr>
            <w:tcW w:w="796" w:type="dxa"/>
            <w:tcBorders>
              <w:top w:val="nil"/>
              <w:left w:val="nil"/>
              <w:bottom w:val="single" w:color="auto" w:sz="4" w:space="0"/>
              <w:right w:val="single" w:color="auto" w:sz="4" w:space="0"/>
            </w:tcBorders>
            <w:shd w:val="clear" w:color="auto" w:fill="auto"/>
            <w:noWrap/>
            <w:vAlign w:val="center"/>
          </w:tcPr>
          <w:p w14:paraId="1A82A412">
            <w:pPr>
              <w:keepNext w:val="0"/>
              <w:keepLines w:val="0"/>
              <w:pageBreakBefore w:val="0"/>
              <w:widowControl/>
              <w:kinsoku/>
              <w:overflowPunct/>
              <w:topLinePunct w:val="0"/>
              <w:autoSpaceDE/>
              <w:autoSpaceDN/>
              <w:bidi w:val="0"/>
              <w:adjustRightInd/>
              <w:snapToGrid/>
              <w:spacing w:line="230" w:lineRule="exact"/>
              <w:jc w:val="center"/>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0.01</w:t>
            </w:r>
          </w:p>
        </w:tc>
        <w:tc>
          <w:tcPr>
            <w:tcW w:w="980" w:type="dxa"/>
            <w:tcBorders>
              <w:top w:val="nil"/>
              <w:left w:val="nil"/>
              <w:bottom w:val="single" w:color="auto" w:sz="4" w:space="0"/>
              <w:right w:val="single" w:color="auto" w:sz="4" w:space="0"/>
            </w:tcBorders>
            <w:shd w:val="clear" w:color="auto" w:fill="auto"/>
            <w:noWrap/>
            <w:vAlign w:val="center"/>
          </w:tcPr>
          <w:p w14:paraId="74BB0E1A">
            <w:pPr>
              <w:keepNext w:val="0"/>
              <w:keepLines w:val="0"/>
              <w:pageBreakBefore w:val="0"/>
              <w:widowControl/>
              <w:kinsoku/>
              <w:overflowPunct/>
              <w:topLinePunct w:val="0"/>
              <w:autoSpaceDE/>
              <w:autoSpaceDN/>
              <w:bidi w:val="0"/>
              <w:adjustRightInd/>
              <w:snapToGrid/>
              <w:spacing w:line="230" w:lineRule="exact"/>
              <w:jc w:val="left"/>
              <w:rPr>
                <w:rFonts w:ascii="Times New Roman" w:hAnsi="Times New Roman" w:eastAsia="仿宋_GB2312" w:cs="Times New Roman"/>
                <w:color w:val="000000"/>
                <w:kern w:val="0"/>
                <w:sz w:val="21"/>
                <w:szCs w:val="20"/>
                <w:lang w:val="en-US" w:eastAsia="zh-CN" w:bidi="ar-SA"/>
              </w:rPr>
            </w:pPr>
            <w:r>
              <w:rPr>
                <w:rFonts w:ascii="Times New Roman" w:hAnsi="Times New Roman" w:eastAsia="仿宋_GB2312" w:cs="Times New Roman"/>
                <w:color w:val="000000"/>
                <w:kern w:val="0"/>
                <w:szCs w:val="20"/>
              </w:rPr>
              <w:t>30215</w:t>
            </w:r>
          </w:p>
        </w:tc>
        <w:tc>
          <w:tcPr>
            <w:tcW w:w="2072" w:type="dxa"/>
            <w:tcBorders>
              <w:top w:val="nil"/>
              <w:left w:val="nil"/>
              <w:bottom w:val="single" w:color="auto" w:sz="4" w:space="0"/>
              <w:right w:val="single" w:color="auto" w:sz="4" w:space="0"/>
            </w:tcBorders>
            <w:shd w:val="clear" w:color="auto" w:fill="auto"/>
            <w:noWrap/>
            <w:vAlign w:val="center"/>
          </w:tcPr>
          <w:p w14:paraId="46236862">
            <w:pPr>
              <w:keepNext w:val="0"/>
              <w:keepLines w:val="0"/>
              <w:pageBreakBefore w:val="0"/>
              <w:widowControl/>
              <w:kinsoku/>
              <w:overflowPunct/>
              <w:topLinePunct w:val="0"/>
              <w:autoSpaceDE/>
              <w:autoSpaceDN/>
              <w:bidi w:val="0"/>
              <w:adjustRightInd/>
              <w:snapToGrid/>
              <w:spacing w:line="230" w:lineRule="exact"/>
              <w:jc w:val="left"/>
              <w:rPr>
                <w:rFonts w:ascii="Times New Roman" w:hAnsi="Times New Roman" w:eastAsia="仿宋_GB2312" w:cs="Times New Roman"/>
                <w:color w:val="000000"/>
                <w:kern w:val="0"/>
                <w:sz w:val="21"/>
                <w:szCs w:val="20"/>
                <w:lang w:val="en-US" w:eastAsia="zh-CN" w:bidi="ar-SA"/>
              </w:rPr>
            </w:pPr>
            <w:r>
              <w:rPr>
                <w:rFonts w:ascii="Times New Roman" w:hAnsi="Times New Roman" w:eastAsia="仿宋_GB2312" w:cs="Times New Roman"/>
                <w:color w:val="000000"/>
                <w:kern w:val="0"/>
                <w:szCs w:val="20"/>
              </w:rPr>
              <w:t xml:space="preserve">  会议费</w:t>
            </w:r>
          </w:p>
        </w:tc>
        <w:tc>
          <w:tcPr>
            <w:tcW w:w="777" w:type="dxa"/>
            <w:tcBorders>
              <w:top w:val="nil"/>
              <w:left w:val="nil"/>
              <w:bottom w:val="single" w:color="auto" w:sz="4" w:space="0"/>
              <w:right w:val="single" w:color="auto" w:sz="4" w:space="0"/>
            </w:tcBorders>
            <w:shd w:val="clear" w:color="auto" w:fill="auto"/>
            <w:noWrap/>
            <w:vAlign w:val="center"/>
          </w:tcPr>
          <w:p w14:paraId="3EDE990A">
            <w:pPr>
              <w:keepNext w:val="0"/>
              <w:keepLines w:val="0"/>
              <w:pageBreakBefore w:val="0"/>
              <w:widowControl/>
              <w:kinsoku/>
              <w:overflowPunct/>
              <w:topLinePunct w:val="0"/>
              <w:autoSpaceDE/>
              <w:autoSpaceDN/>
              <w:bidi w:val="0"/>
              <w:adjustRightInd/>
              <w:snapToGrid/>
              <w:spacing w:line="230" w:lineRule="exact"/>
              <w:jc w:val="center"/>
              <w:rPr>
                <w:rFonts w:hint="eastAsia" w:ascii="Times New Roman" w:hAnsi="Times New Roman" w:eastAsia="仿宋_GB2312" w:cs="Times New Roman"/>
                <w:color w:val="000000"/>
                <w:kern w:val="0"/>
                <w:szCs w:val="20"/>
                <w:lang w:val="en-US" w:eastAsia="zh-CN"/>
              </w:rPr>
            </w:pPr>
          </w:p>
        </w:tc>
        <w:tc>
          <w:tcPr>
            <w:tcW w:w="751" w:type="dxa"/>
            <w:tcBorders>
              <w:top w:val="nil"/>
              <w:left w:val="nil"/>
              <w:bottom w:val="single" w:color="auto" w:sz="4" w:space="0"/>
              <w:right w:val="single" w:color="auto" w:sz="4" w:space="0"/>
            </w:tcBorders>
            <w:shd w:val="clear" w:color="auto" w:fill="auto"/>
            <w:noWrap/>
            <w:vAlign w:val="center"/>
          </w:tcPr>
          <w:p w14:paraId="539C1851">
            <w:pPr>
              <w:keepNext w:val="0"/>
              <w:keepLines w:val="0"/>
              <w:pageBreakBefore w:val="0"/>
              <w:widowControl/>
              <w:kinsoku/>
              <w:overflowPunct/>
              <w:topLinePunct w:val="0"/>
              <w:autoSpaceDE/>
              <w:autoSpaceDN/>
              <w:bidi w:val="0"/>
              <w:adjustRightInd/>
              <w:snapToGrid/>
              <w:spacing w:line="230" w:lineRule="exact"/>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31011</w:t>
            </w:r>
          </w:p>
        </w:tc>
        <w:tc>
          <w:tcPr>
            <w:tcW w:w="3706" w:type="dxa"/>
            <w:tcBorders>
              <w:top w:val="nil"/>
              <w:left w:val="nil"/>
              <w:bottom w:val="single" w:color="auto" w:sz="4" w:space="0"/>
              <w:right w:val="single" w:color="auto" w:sz="4" w:space="0"/>
            </w:tcBorders>
            <w:shd w:val="clear" w:color="auto" w:fill="auto"/>
            <w:noWrap/>
            <w:vAlign w:val="center"/>
          </w:tcPr>
          <w:p w14:paraId="36DBA6CF">
            <w:pPr>
              <w:keepNext w:val="0"/>
              <w:keepLines w:val="0"/>
              <w:pageBreakBefore w:val="0"/>
              <w:widowControl/>
              <w:kinsoku/>
              <w:overflowPunct/>
              <w:topLinePunct w:val="0"/>
              <w:autoSpaceDE/>
              <w:autoSpaceDN/>
              <w:bidi w:val="0"/>
              <w:adjustRightInd/>
              <w:snapToGrid/>
              <w:spacing w:line="230" w:lineRule="exact"/>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地上附着物和青苗补偿</w:t>
            </w:r>
          </w:p>
        </w:tc>
        <w:tc>
          <w:tcPr>
            <w:tcW w:w="1002" w:type="dxa"/>
            <w:tcBorders>
              <w:top w:val="nil"/>
              <w:left w:val="nil"/>
              <w:bottom w:val="single" w:color="auto" w:sz="4" w:space="0"/>
              <w:right w:val="single" w:color="auto" w:sz="4" w:space="0"/>
            </w:tcBorders>
            <w:shd w:val="clear" w:color="auto" w:fill="auto"/>
            <w:noWrap/>
            <w:vAlign w:val="center"/>
          </w:tcPr>
          <w:p w14:paraId="1E7AE889">
            <w:pPr>
              <w:keepNext w:val="0"/>
              <w:keepLines w:val="0"/>
              <w:pageBreakBefore w:val="0"/>
              <w:widowControl/>
              <w:kinsoku/>
              <w:overflowPunct/>
              <w:topLinePunct w:val="0"/>
              <w:autoSpaceDE/>
              <w:autoSpaceDN/>
              <w:bidi w:val="0"/>
              <w:adjustRightInd/>
              <w:snapToGrid/>
              <w:spacing w:line="230" w:lineRule="exact"/>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627E6C26">
        <w:tblPrEx>
          <w:tblCellMar>
            <w:top w:w="0" w:type="dxa"/>
            <w:left w:w="108" w:type="dxa"/>
            <w:bottom w:w="0" w:type="dxa"/>
            <w:right w:w="108" w:type="dxa"/>
          </w:tblCellMar>
        </w:tblPrEx>
        <w:trPr>
          <w:trHeight w:val="255" w:hRule="exact"/>
          <w:jc w:val="center"/>
        </w:trPr>
        <w:tc>
          <w:tcPr>
            <w:tcW w:w="743" w:type="dxa"/>
            <w:tcBorders>
              <w:top w:val="nil"/>
              <w:left w:val="single" w:color="auto" w:sz="4" w:space="0"/>
              <w:bottom w:val="single" w:color="auto" w:sz="4" w:space="0"/>
              <w:right w:val="single" w:color="auto" w:sz="4" w:space="0"/>
            </w:tcBorders>
            <w:shd w:val="clear" w:color="auto" w:fill="auto"/>
            <w:noWrap/>
            <w:vAlign w:val="center"/>
          </w:tcPr>
          <w:p w14:paraId="014DBE38">
            <w:pPr>
              <w:keepNext w:val="0"/>
              <w:keepLines w:val="0"/>
              <w:pageBreakBefore w:val="0"/>
              <w:widowControl/>
              <w:kinsoku/>
              <w:overflowPunct/>
              <w:topLinePunct w:val="0"/>
              <w:autoSpaceDE/>
              <w:autoSpaceDN/>
              <w:bidi w:val="0"/>
              <w:adjustRightInd/>
              <w:snapToGrid/>
              <w:spacing w:line="230" w:lineRule="exact"/>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w:t>
            </w:r>
          </w:p>
        </w:tc>
        <w:tc>
          <w:tcPr>
            <w:tcW w:w="3596" w:type="dxa"/>
            <w:tcBorders>
              <w:top w:val="nil"/>
              <w:left w:val="nil"/>
              <w:bottom w:val="single" w:color="auto" w:sz="4" w:space="0"/>
              <w:right w:val="single" w:color="auto" w:sz="4" w:space="0"/>
            </w:tcBorders>
            <w:shd w:val="clear" w:color="auto" w:fill="auto"/>
            <w:noWrap/>
            <w:vAlign w:val="center"/>
          </w:tcPr>
          <w:p w14:paraId="52B4B22A">
            <w:pPr>
              <w:keepNext w:val="0"/>
              <w:keepLines w:val="0"/>
              <w:pageBreakBefore w:val="0"/>
              <w:widowControl/>
              <w:kinsoku/>
              <w:overflowPunct/>
              <w:topLinePunct w:val="0"/>
              <w:autoSpaceDE/>
              <w:autoSpaceDN/>
              <w:bidi w:val="0"/>
              <w:adjustRightInd/>
              <w:snapToGrid/>
              <w:spacing w:line="230" w:lineRule="exact"/>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对个人和家庭的补助</w:t>
            </w:r>
          </w:p>
        </w:tc>
        <w:tc>
          <w:tcPr>
            <w:tcW w:w="796" w:type="dxa"/>
            <w:tcBorders>
              <w:top w:val="nil"/>
              <w:left w:val="nil"/>
              <w:bottom w:val="single" w:color="auto" w:sz="4" w:space="0"/>
              <w:right w:val="single" w:color="auto" w:sz="4" w:space="0"/>
            </w:tcBorders>
            <w:shd w:val="clear" w:color="auto" w:fill="auto"/>
            <w:noWrap/>
            <w:vAlign w:val="center"/>
          </w:tcPr>
          <w:p w14:paraId="00BA3903">
            <w:pPr>
              <w:keepNext w:val="0"/>
              <w:keepLines w:val="0"/>
              <w:pageBreakBefore w:val="0"/>
              <w:widowControl/>
              <w:kinsoku/>
              <w:overflowPunct/>
              <w:topLinePunct w:val="0"/>
              <w:autoSpaceDE/>
              <w:autoSpaceDN/>
              <w:bidi w:val="0"/>
              <w:adjustRightInd/>
              <w:snapToGrid/>
              <w:spacing w:line="230" w:lineRule="exact"/>
              <w:jc w:val="center"/>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1.03</w:t>
            </w:r>
          </w:p>
        </w:tc>
        <w:tc>
          <w:tcPr>
            <w:tcW w:w="980" w:type="dxa"/>
            <w:tcBorders>
              <w:top w:val="nil"/>
              <w:left w:val="nil"/>
              <w:bottom w:val="single" w:color="auto" w:sz="4" w:space="0"/>
              <w:right w:val="single" w:color="auto" w:sz="4" w:space="0"/>
            </w:tcBorders>
            <w:shd w:val="clear" w:color="auto" w:fill="auto"/>
            <w:noWrap/>
            <w:vAlign w:val="center"/>
          </w:tcPr>
          <w:p w14:paraId="4B00320E">
            <w:pPr>
              <w:keepNext w:val="0"/>
              <w:keepLines w:val="0"/>
              <w:pageBreakBefore w:val="0"/>
              <w:widowControl/>
              <w:kinsoku/>
              <w:overflowPunct/>
              <w:topLinePunct w:val="0"/>
              <w:autoSpaceDE/>
              <w:autoSpaceDN/>
              <w:bidi w:val="0"/>
              <w:adjustRightInd/>
              <w:snapToGrid/>
              <w:spacing w:line="230" w:lineRule="exact"/>
              <w:jc w:val="left"/>
              <w:rPr>
                <w:rFonts w:ascii="Times New Roman" w:hAnsi="Times New Roman" w:eastAsia="仿宋_GB2312" w:cs="Times New Roman"/>
                <w:color w:val="000000"/>
                <w:kern w:val="0"/>
                <w:sz w:val="21"/>
                <w:szCs w:val="20"/>
                <w:lang w:val="en-US" w:eastAsia="zh-CN" w:bidi="ar-SA"/>
              </w:rPr>
            </w:pPr>
            <w:r>
              <w:rPr>
                <w:rFonts w:ascii="Times New Roman" w:hAnsi="Times New Roman" w:eastAsia="仿宋_GB2312" w:cs="Times New Roman"/>
                <w:color w:val="000000"/>
                <w:kern w:val="0"/>
                <w:szCs w:val="20"/>
              </w:rPr>
              <w:t>30216</w:t>
            </w:r>
          </w:p>
        </w:tc>
        <w:tc>
          <w:tcPr>
            <w:tcW w:w="2072" w:type="dxa"/>
            <w:tcBorders>
              <w:top w:val="nil"/>
              <w:left w:val="nil"/>
              <w:bottom w:val="single" w:color="auto" w:sz="4" w:space="0"/>
              <w:right w:val="single" w:color="auto" w:sz="4" w:space="0"/>
            </w:tcBorders>
            <w:shd w:val="clear" w:color="auto" w:fill="auto"/>
            <w:noWrap/>
            <w:vAlign w:val="center"/>
          </w:tcPr>
          <w:p w14:paraId="71F98DE7">
            <w:pPr>
              <w:keepNext w:val="0"/>
              <w:keepLines w:val="0"/>
              <w:pageBreakBefore w:val="0"/>
              <w:widowControl/>
              <w:kinsoku/>
              <w:overflowPunct/>
              <w:topLinePunct w:val="0"/>
              <w:autoSpaceDE/>
              <w:autoSpaceDN/>
              <w:bidi w:val="0"/>
              <w:adjustRightInd/>
              <w:snapToGrid/>
              <w:spacing w:line="230" w:lineRule="exact"/>
              <w:jc w:val="left"/>
              <w:rPr>
                <w:rFonts w:ascii="Times New Roman" w:hAnsi="Times New Roman" w:eastAsia="仿宋_GB2312" w:cs="Times New Roman"/>
                <w:color w:val="000000"/>
                <w:kern w:val="0"/>
                <w:sz w:val="21"/>
                <w:szCs w:val="20"/>
                <w:lang w:val="en-US" w:eastAsia="zh-CN" w:bidi="ar-SA"/>
              </w:rPr>
            </w:pPr>
            <w:r>
              <w:rPr>
                <w:rFonts w:ascii="Times New Roman" w:hAnsi="Times New Roman" w:eastAsia="仿宋_GB2312" w:cs="Times New Roman"/>
                <w:color w:val="000000"/>
                <w:kern w:val="0"/>
                <w:szCs w:val="20"/>
              </w:rPr>
              <w:t xml:space="preserve">  培训费</w:t>
            </w:r>
          </w:p>
        </w:tc>
        <w:tc>
          <w:tcPr>
            <w:tcW w:w="777" w:type="dxa"/>
            <w:tcBorders>
              <w:top w:val="nil"/>
              <w:left w:val="nil"/>
              <w:bottom w:val="single" w:color="auto" w:sz="4" w:space="0"/>
              <w:right w:val="single" w:color="auto" w:sz="4" w:space="0"/>
            </w:tcBorders>
            <w:shd w:val="clear" w:color="auto" w:fill="auto"/>
            <w:noWrap/>
            <w:vAlign w:val="center"/>
          </w:tcPr>
          <w:p w14:paraId="334A36D1">
            <w:pPr>
              <w:keepNext w:val="0"/>
              <w:keepLines w:val="0"/>
              <w:pageBreakBefore w:val="0"/>
              <w:widowControl/>
              <w:kinsoku/>
              <w:overflowPunct/>
              <w:topLinePunct w:val="0"/>
              <w:autoSpaceDE/>
              <w:autoSpaceDN/>
              <w:bidi w:val="0"/>
              <w:adjustRightInd/>
              <w:snapToGrid/>
              <w:spacing w:line="230" w:lineRule="exact"/>
              <w:jc w:val="center"/>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0.07　0.07</w:t>
            </w:r>
          </w:p>
        </w:tc>
        <w:tc>
          <w:tcPr>
            <w:tcW w:w="751" w:type="dxa"/>
            <w:tcBorders>
              <w:top w:val="nil"/>
              <w:left w:val="nil"/>
              <w:bottom w:val="single" w:color="auto" w:sz="4" w:space="0"/>
              <w:right w:val="single" w:color="auto" w:sz="4" w:space="0"/>
            </w:tcBorders>
            <w:shd w:val="clear" w:color="auto" w:fill="auto"/>
            <w:noWrap/>
            <w:vAlign w:val="center"/>
          </w:tcPr>
          <w:p w14:paraId="6E4F9F96">
            <w:pPr>
              <w:keepNext w:val="0"/>
              <w:keepLines w:val="0"/>
              <w:pageBreakBefore w:val="0"/>
              <w:widowControl/>
              <w:kinsoku/>
              <w:overflowPunct/>
              <w:topLinePunct w:val="0"/>
              <w:autoSpaceDE/>
              <w:autoSpaceDN/>
              <w:bidi w:val="0"/>
              <w:adjustRightInd/>
              <w:snapToGrid/>
              <w:spacing w:line="230" w:lineRule="exact"/>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31012</w:t>
            </w:r>
          </w:p>
        </w:tc>
        <w:tc>
          <w:tcPr>
            <w:tcW w:w="3706" w:type="dxa"/>
            <w:tcBorders>
              <w:top w:val="nil"/>
              <w:left w:val="nil"/>
              <w:bottom w:val="single" w:color="auto" w:sz="4" w:space="0"/>
              <w:right w:val="single" w:color="auto" w:sz="4" w:space="0"/>
            </w:tcBorders>
            <w:shd w:val="clear" w:color="auto" w:fill="auto"/>
            <w:noWrap/>
            <w:vAlign w:val="center"/>
          </w:tcPr>
          <w:p w14:paraId="3B904416">
            <w:pPr>
              <w:keepNext w:val="0"/>
              <w:keepLines w:val="0"/>
              <w:pageBreakBefore w:val="0"/>
              <w:widowControl/>
              <w:kinsoku/>
              <w:overflowPunct/>
              <w:topLinePunct w:val="0"/>
              <w:autoSpaceDE/>
              <w:autoSpaceDN/>
              <w:bidi w:val="0"/>
              <w:adjustRightInd/>
              <w:snapToGrid/>
              <w:spacing w:line="230" w:lineRule="exact"/>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拆迁补偿</w:t>
            </w:r>
          </w:p>
        </w:tc>
        <w:tc>
          <w:tcPr>
            <w:tcW w:w="1002" w:type="dxa"/>
            <w:tcBorders>
              <w:top w:val="nil"/>
              <w:left w:val="nil"/>
              <w:bottom w:val="single" w:color="auto" w:sz="4" w:space="0"/>
              <w:right w:val="single" w:color="auto" w:sz="4" w:space="0"/>
            </w:tcBorders>
            <w:shd w:val="clear" w:color="auto" w:fill="auto"/>
            <w:noWrap/>
            <w:vAlign w:val="center"/>
          </w:tcPr>
          <w:p w14:paraId="3E754B5E">
            <w:pPr>
              <w:keepNext w:val="0"/>
              <w:keepLines w:val="0"/>
              <w:pageBreakBefore w:val="0"/>
              <w:widowControl/>
              <w:kinsoku/>
              <w:overflowPunct/>
              <w:topLinePunct w:val="0"/>
              <w:autoSpaceDE/>
              <w:autoSpaceDN/>
              <w:bidi w:val="0"/>
              <w:adjustRightInd/>
              <w:snapToGrid/>
              <w:spacing w:line="230" w:lineRule="exact"/>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406C306A">
        <w:tblPrEx>
          <w:tblCellMar>
            <w:top w:w="0" w:type="dxa"/>
            <w:left w:w="108" w:type="dxa"/>
            <w:bottom w:w="0" w:type="dxa"/>
            <w:right w:w="108" w:type="dxa"/>
          </w:tblCellMar>
        </w:tblPrEx>
        <w:trPr>
          <w:trHeight w:val="255" w:hRule="exact"/>
          <w:jc w:val="center"/>
        </w:trPr>
        <w:tc>
          <w:tcPr>
            <w:tcW w:w="743" w:type="dxa"/>
            <w:tcBorders>
              <w:top w:val="nil"/>
              <w:left w:val="single" w:color="auto" w:sz="4" w:space="0"/>
              <w:bottom w:val="single" w:color="auto" w:sz="4" w:space="0"/>
              <w:right w:val="single" w:color="auto" w:sz="4" w:space="0"/>
            </w:tcBorders>
            <w:shd w:val="clear" w:color="auto" w:fill="auto"/>
            <w:noWrap/>
            <w:vAlign w:val="center"/>
          </w:tcPr>
          <w:p w14:paraId="3C6AF5D2">
            <w:pPr>
              <w:keepNext w:val="0"/>
              <w:keepLines w:val="0"/>
              <w:pageBreakBefore w:val="0"/>
              <w:widowControl/>
              <w:kinsoku/>
              <w:overflowPunct/>
              <w:topLinePunct w:val="0"/>
              <w:autoSpaceDE/>
              <w:autoSpaceDN/>
              <w:bidi w:val="0"/>
              <w:adjustRightInd/>
              <w:snapToGrid/>
              <w:spacing w:line="230" w:lineRule="exact"/>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30301</w:t>
            </w:r>
          </w:p>
        </w:tc>
        <w:tc>
          <w:tcPr>
            <w:tcW w:w="3596" w:type="dxa"/>
            <w:tcBorders>
              <w:top w:val="nil"/>
              <w:left w:val="nil"/>
              <w:bottom w:val="single" w:color="auto" w:sz="4" w:space="0"/>
              <w:right w:val="single" w:color="auto" w:sz="4" w:space="0"/>
            </w:tcBorders>
            <w:shd w:val="clear" w:color="auto" w:fill="auto"/>
            <w:noWrap/>
            <w:vAlign w:val="center"/>
          </w:tcPr>
          <w:p w14:paraId="2D1AC36A">
            <w:pPr>
              <w:keepNext w:val="0"/>
              <w:keepLines w:val="0"/>
              <w:pageBreakBefore w:val="0"/>
              <w:widowControl/>
              <w:kinsoku/>
              <w:overflowPunct/>
              <w:topLinePunct w:val="0"/>
              <w:autoSpaceDE/>
              <w:autoSpaceDN/>
              <w:bidi w:val="0"/>
              <w:adjustRightInd/>
              <w:snapToGrid/>
              <w:spacing w:line="230" w:lineRule="exact"/>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离休费</w:t>
            </w:r>
          </w:p>
        </w:tc>
        <w:tc>
          <w:tcPr>
            <w:tcW w:w="796" w:type="dxa"/>
            <w:tcBorders>
              <w:top w:val="nil"/>
              <w:left w:val="nil"/>
              <w:bottom w:val="single" w:color="auto" w:sz="4" w:space="0"/>
              <w:right w:val="single" w:color="auto" w:sz="4" w:space="0"/>
            </w:tcBorders>
            <w:shd w:val="clear" w:color="auto" w:fill="auto"/>
            <w:noWrap/>
            <w:vAlign w:val="center"/>
          </w:tcPr>
          <w:p w14:paraId="7FCDE577">
            <w:pPr>
              <w:keepNext w:val="0"/>
              <w:keepLines w:val="0"/>
              <w:pageBreakBefore w:val="0"/>
              <w:widowControl/>
              <w:kinsoku/>
              <w:overflowPunct/>
              <w:topLinePunct w:val="0"/>
              <w:autoSpaceDE/>
              <w:autoSpaceDN/>
              <w:bidi w:val="0"/>
              <w:adjustRightInd/>
              <w:snapToGrid/>
              <w:spacing w:line="230" w:lineRule="exact"/>
              <w:jc w:val="center"/>
              <w:rPr>
                <w:rFonts w:ascii="Times New Roman" w:hAnsi="Times New Roman" w:eastAsia="仿宋_GB2312" w:cs="Times New Roman"/>
                <w:color w:val="000000"/>
                <w:kern w:val="0"/>
                <w:szCs w:val="20"/>
              </w:rPr>
            </w:pPr>
          </w:p>
        </w:tc>
        <w:tc>
          <w:tcPr>
            <w:tcW w:w="980" w:type="dxa"/>
            <w:tcBorders>
              <w:top w:val="nil"/>
              <w:left w:val="nil"/>
              <w:bottom w:val="single" w:color="auto" w:sz="4" w:space="0"/>
              <w:right w:val="single" w:color="auto" w:sz="4" w:space="0"/>
            </w:tcBorders>
            <w:shd w:val="clear" w:color="auto" w:fill="auto"/>
            <w:noWrap/>
            <w:vAlign w:val="center"/>
          </w:tcPr>
          <w:p w14:paraId="3555C9FB">
            <w:pPr>
              <w:keepNext w:val="0"/>
              <w:keepLines w:val="0"/>
              <w:pageBreakBefore w:val="0"/>
              <w:widowControl/>
              <w:kinsoku/>
              <w:overflowPunct/>
              <w:topLinePunct w:val="0"/>
              <w:autoSpaceDE/>
              <w:autoSpaceDN/>
              <w:bidi w:val="0"/>
              <w:adjustRightInd/>
              <w:snapToGrid/>
              <w:spacing w:line="230" w:lineRule="exact"/>
              <w:jc w:val="left"/>
              <w:rPr>
                <w:rFonts w:ascii="Times New Roman" w:hAnsi="Times New Roman" w:eastAsia="仿宋_GB2312" w:cs="Times New Roman"/>
                <w:color w:val="000000"/>
                <w:kern w:val="0"/>
                <w:sz w:val="21"/>
                <w:szCs w:val="20"/>
                <w:lang w:val="en-US" w:eastAsia="zh-CN" w:bidi="ar-SA"/>
              </w:rPr>
            </w:pPr>
            <w:r>
              <w:rPr>
                <w:rFonts w:ascii="Times New Roman" w:hAnsi="Times New Roman" w:eastAsia="仿宋_GB2312" w:cs="Times New Roman"/>
                <w:color w:val="000000"/>
                <w:kern w:val="0"/>
                <w:szCs w:val="20"/>
              </w:rPr>
              <w:t>30217</w:t>
            </w:r>
          </w:p>
        </w:tc>
        <w:tc>
          <w:tcPr>
            <w:tcW w:w="2072" w:type="dxa"/>
            <w:tcBorders>
              <w:top w:val="nil"/>
              <w:left w:val="nil"/>
              <w:bottom w:val="single" w:color="auto" w:sz="4" w:space="0"/>
              <w:right w:val="single" w:color="auto" w:sz="4" w:space="0"/>
            </w:tcBorders>
            <w:shd w:val="clear" w:color="auto" w:fill="auto"/>
            <w:noWrap/>
            <w:vAlign w:val="center"/>
          </w:tcPr>
          <w:p w14:paraId="78B3DAD6">
            <w:pPr>
              <w:keepNext w:val="0"/>
              <w:keepLines w:val="0"/>
              <w:pageBreakBefore w:val="0"/>
              <w:widowControl/>
              <w:kinsoku/>
              <w:overflowPunct/>
              <w:topLinePunct w:val="0"/>
              <w:autoSpaceDE/>
              <w:autoSpaceDN/>
              <w:bidi w:val="0"/>
              <w:adjustRightInd/>
              <w:snapToGrid/>
              <w:spacing w:line="230" w:lineRule="exact"/>
              <w:jc w:val="left"/>
              <w:rPr>
                <w:rFonts w:ascii="Times New Roman" w:hAnsi="Times New Roman" w:eastAsia="仿宋_GB2312" w:cs="Times New Roman"/>
                <w:color w:val="000000"/>
                <w:kern w:val="0"/>
                <w:sz w:val="21"/>
                <w:szCs w:val="20"/>
                <w:lang w:val="en-US" w:eastAsia="zh-CN" w:bidi="ar-SA"/>
              </w:rPr>
            </w:pPr>
            <w:r>
              <w:rPr>
                <w:rFonts w:ascii="Times New Roman" w:hAnsi="Times New Roman" w:eastAsia="仿宋_GB2312" w:cs="Times New Roman"/>
                <w:color w:val="000000"/>
                <w:kern w:val="0"/>
                <w:szCs w:val="20"/>
              </w:rPr>
              <w:t xml:space="preserve">  公务接待费</w:t>
            </w:r>
          </w:p>
        </w:tc>
        <w:tc>
          <w:tcPr>
            <w:tcW w:w="777" w:type="dxa"/>
            <w:tcBorders>
              <w:top w:val="nil"/>
              <w:left w:val="nil"/>
              <w:bottom w:val="single" w:color="auto" w:sz="4" w:space="0"/>
              <w:right w:val="single" w:color="auto" w:sz="4" w:space="0"/>
            </w:tcBorders>
            <w:shd w:val="clear" w:color="auto" w:fill="auto"/>
            <w:noWrap/>
            <w:vAlign w:val="center"/>
          </w:tcPr>
          <w:p w14:paraId="19570707">
            <w:pPr>
              <w:keepNext w:val="0"/>
              <w:keepLines w:val="0"/>
              <w:pageBreakBefore w:val="0"/>
              <w:widowControl/>
              <w:kinsoku/>
              <w:overflowPunct/>
              <w:topLinePunct w:val="0"/>
              <w:autoSpaceDE/>
              <w:autoSpaceDN/>
              <w:bidi w:val="0"/>
              <w:adjustRightInd/>
              <w:snapToGrid/>
              <w:spacing w:line="230" w:lineRule="exact"/>
              <w:jc w:val="center"/>
              <w:rPr>
                <w:rFonts w:hint="default" w:ascii="Times New Roman" w:hAnsi="Times New Roman" w:eastAsia="仿宋_GB2312" w:cs="Times New Roman"/>
                <w:color w:val="000000"/>
                <w:kern w:val="0"/>
                <w:szCs w:val="20"/>
                <w:lang w:val="en-US" w:eastAsia="zh-CN"/>
              </w:rPr>
            </w:pPr>
          </w:p>
        </w:tc>
        <w:tc>
          <w:tcPr>
            <w:tcW w:w="751" w:type="dxa"/>
            <w:tcBorders>
              <w:top w:val="nil"/>
              <w:left w:val="nil"/>
              <w:bottom w:val="single" w:color="auto" w:sz="4" w:space="0"/>
              <w:right w:val="single" w:color="auto" w:sz="4" w:space="0"/>
            </w:tcBorders>
            <w:shd w:val="clear" w:color="auto" w:fill="auto"/>
            <w:noWrap/>
            <w:vAlign w:val="center"/>
          </w:tcPr>
          <w:p w14:paraId="1AAA01A6">
            <w:pPr>
              <w:keepNext w:val="0"/>
              <w:keepLines w:val="0"/>
              <w:pageBreakBefore w:val="0"/>
              <w:widowControl/>
              <w:kinsoku/>
              <w:overflowPunct/>
              <w:topLinePunct w:val="0"/>
              <w:autoSpaceDE/>
              <w:autoSpaceDN/>
              <w:bidi w:val="0"/>
              <w:adjustRightInd/>
              <w:snapToGrid/>
              <w:spacing w:line="230" w:lineRule="exact"/>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31013</w:t>
            </w:r>
          </w:p>
        </w:tc>
        <w:tc>
          <w:tcPr>
            <w:tcW w:w="3706" w:type="dxa"/>
            <w:tcBorders>
              <w:top w:val="nil"/>
              <w:left w:val="nil"/>
              <w:bottom w:val="single" w:color="auto" w:sz="4" w:space="0"/>
              <w:right w:val="single" w:color="auto" w:sz="4" w:space="0"/>
            </w:tcBorders>
            <w:shd w:val="clear" w:color="auto" w:fill="auto"/>
            <w:noWrap/>
            <w:vAlign w:val="center"/>
          </w:tcPr>
          <w:p w14:paraId="15EE2783">
            <w:pPr>
              <w:keepNext w:val="0"/>
              <w:keepLines w:val="0"/>
              <w:pageBreakBefore w:val="0"/>
              <w:widowControl/>
              <w:kinsoku/>
              <w:overflowPunct/>
              <w:topLinePunct w:val="0"/>
              <w:autoSpaceDE/>
              <w:autoSpaceDN/>
              <w:bidi w:val="0"/>
              <w:adjustRightInd/>
              <w:snapToGrid/>
              <w:spacing w:line="230" w:lineRule="exact"/>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公务用车购置</w:t>
            </w:r>
          </w:p>
        </w:tc>
        <w:tc>
          <w:tcPr>
            <w:tcW w:w="1002" w:type="dxa"/>
            <w:tcBorders>
              <w:top w:val="nil"/>
              <w:left w:val="nil"/>
              <w:bottom w:val="single" w:color="auto" w:sz="4" w:space="0"/>
              <w:right w:val="single" w:color="auto" w:sz="4" w:space="0"/>
            </w:tcBorders>
            <w:shd w:val="clear" w:color="auto" w:fill="auto"/>
            <w:noWrap/>
            <w:vAlign w:val="center"/>
          </w:tcPr>
          <w:p w14:paraId="232E1B7F">
            <w:pPr>
              <w:keepNext w:val="0"/>
              <w:keepLines w:val="0"/>
              <w:pageBreakBefore w:val="0"/>
              <w:widowControl/>
              <w:kinsoku/>
              <w:overflowPunct/>
              <w:topLinePunct w:val="0"/>
              <w:autoSpaceDE/>
              <w:autoSpaceDN/>
              <w:bidi w:val="0"/>
              <w:adjustRightInd/>
              <w:snapToGrid/>
              <w:spacing w:line="230" w:lineRule="exact"/>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49038B69">
        <w:tblPrEx>
          <w:tblCellMar>
            <w:top w:w="0" w:type="dxa"/>
            <w:left w:w="108" w:type="dxa"/>
            <w:bottom w:w="0" w:type="dxa"/>
            <w:right w:w="108" w:type="dxa"/>
          </w:tblCellMar>
        </w:tblPrEx>
        <w:trPr>
          <w:trHeight w:val="255" w:hRule="exact"/>
          <w:jc w:val="center"/>
        </w:trPr>
        <w:tc>
          <w:tcPr>
            <w:tcW w:w="743" w:type="dxa"/>
            <w:tcBorders>
              <w:top w:val="nil"/>
              <w:left w:val="single" w:color="auto" w:sz="4" w:space="0"/>
              <w:bottom w:val="single" w:color="auto" w:sz="4" w:space="0"/>
              <w:right w:val="single" w:color="auto" w:sz="4" w:space="0"/>
            </w:tcBorders>
            <w:shd w:val="clear" w:color="auto" w:fill="auto"/>
            <w:noWrap/>
            <w:vAlign w:val="center"/>
          </w:tcPr>
          <w:p w14:paraId="0E732C01">
            <w:pPr>
              <w:keepNext w:val="0"/>
              <w:keepLines w:val="0"/>
              <w:pageBreakBefore w:val="0"/>
              <w:widowControl/>
              <w:kinsoku/>
              <w:overflowPunct/>
              <w:topLinePunct w:val="0"/>
              <w:autoSpaceDE/>
              <w:autoSpaceDN/>
              <w:bidi w:val="0"/>
              <w:adjustRightInd/>
              <w:snapToGrid/>
              <w:spacing w:line="230" w:lineRule="exact"/>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30302</w:t>
            </w:r>
          </w:p>
        </w:tc>
        <w:tc>
          <w:tcPr>
            <w:tcW w:w="3596" w:type="dxa"/>
            <w:tcBorders>
              <w:top w:val="nil"/>
              <w:left w:val="nil"/>
              <w:bottom w:val="single" w:color="auto" w:sz="4" w:space="0"/>
              <w:right w:val="single" w:color="auto" w:sz="4" w:space="0"/>
            </w:tcBorders>
            <w:shd w:val="clear" w:color="auto" w:fill="auto"/>
            <w:noWrap/>
            <w:vAlign w:val="center"/>
          </w:tcPr>
          <w:p w14:paraId="1CF07713">
            <w:pPr>
              <w:keepNext w:val="0"/>
              <w:keepLines w:val="0"/>
              <w:pageBreakBefore w:val="0"/>
              <w:widowControl/>
              <w:kinsoku/>
              <w:overflowPunct/>
              <w:topLinePunct w:val="0"/>
              <w:autoSpaceDE/>
              <w:autoSpaceDN/>
              <w:bidi w:val="0"/>
              <w:adjustRightInd/>
              <w:snapToGrid/>
              <w:spacing w:line="230" w:lineRule="exact"/>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退休费</w:t>
            </w:r>
          </w:p>
        </w:tc>
        <w:tc>
          <w:tcPr>
            <w:tcW w:w="796" w:type="dxa"/>
            <w:tcBorders>
              <w:top w:val="nil"/>
              <w:left w:val="nil"/>
              <w:bottom w:val="single" w:color="auto" w:sz="4" w:space="0"/>
              <w:right w:val="single" w:color="auto" w:sz="4" w:space="0"/>
            </w:tcBorders>
            <w:shd w:val="clear" w:color="auto" w:fill="auto"/>
            <w:noWrap/>
            <w:vAlign w:val="center"/>
          </w:tcPr>
          <w:p w14:paraId="5267E9F9">
            <w:pPr>
              <w:keepNext w:val="0"/>
              <w:keepLines w:val="0"/>
              <w:pageBreakBefore w:val="0"/>
              <w:widowControl/>
              <w:kinsoku/>
              <w:overflowPunct/>
              <w:topLinePunct w:val="0"/>
              <w:autoSpaceDE/>
              <w:autoSpaceDN/>
              <w:bidi w:val="0"/>
              <w:adjustRightInd/>
              <w:snapToGrid/>
              <w:spacing w:line="230" w:lineRule="exact"/>
              <w:jc w:val="center"/>
              <w:rPr>
                <w:rFonts w:ascii="Times New Roman" w:hAnsi="Times New Roman" w:eastAsia="仿宋_GB2312" w:cs="Times New Roman"/>
                <w:color w:val="000000"/>
                <w:kern w:val="0"/>
                <w:szCs w:val="20"/>
              </w:rPr>
            </w:pPr>
          </w:p>
        </w:tc>
        <w:tc>
          <w:tcPr>
            <w:tcW w:w="980" w:type="dxa"/>
            <w:tcBorders>
              <w:top w:val="nil"/>
              <w:left w:val="nil"/>
              <w:bottom w:val="single" w:color="auto" w:sz="4" w:space="0"/>
              <w:right w:val="single" w:color="auto" w:sz="4" w:space="0"/>
            </w:tcBorders>
            <w:shd w:val="clear" w:color="auto" w:fill="auto"/>
            <w:noWrap/>
            <w:vAlign w:val="center"/>
          </w:tcPr>
          <w:p w14:paraId="1B268353">
            <w:pPr>
              <w:keepNext w:val="0"/>
              <w:keepLines w:val="0"/>
              <w:pageBreakBefore w:val="0"/>
              <w:widowControl/>
              <w:kinsoku/>
              <w:overflowPunct/>
              <w:topLinePunct w:val="0"/>
              <w:autoSpaceDE/>
              <w:autoSpaceDN/>
              <w:bidi w:val="0"/>
              <w:adjustRightInd/>
              <w:snapToGrid/>
              <w:spacing w:line="230" w:lineRule="exact"/>
              <w:jc w:val="left"/>
              <w:rPr>
                <w:rFonts w:ascii="Times New Roman" w:hAnsi="Times New Roman" w:eastAsia="仿宋_GB2312" w:cs="Times New Roman"/>
                <w:color w:val="000000"/>
                <w:kern w:val="0"/>
                <w:sz w:val="21"/>
                <w:szCs w:val="20"/>
                <w:lang w:val="en-US" w:eastAsia="zh-CN" w:bidi="ar-SA"/>
              </w:rPr>
            </w:pPr>
            <w:r>
              <w:rPr>
                <w:rFonts w:ascii="Times New Roman" w:hAnsi="Times New Roman" w:eastAsia="仿宋_GB2312" w:cs="Times New Roman"/>
                <w:color w:val="000000"/>
                <w:kern w:val="0"/>
                <w:szCs w:val="20"/>
              </w:rPr>
              <w:t>30218</w:t>
            </w:r>
          </w:p>
        </w:tc>
        <w:tc>
          <w:tcPr>
            <w:tcW w:w="2072" w:type="dxa"/>
            <w:tcBorders>
              <w:top w:val="nil"/>
              <w:left w:val="nil"/>
              <w:bottom w:val="single" w:color="auto" w:sz="4" w:space="0"/>
              <w:right w:val="single" w:color="auto" w:sz="4" w:space="0"/>
            </w:tcBorders>
            <w:shd w:val="clear" w:color="auto" w:fill="auto"/>
            <w:noWrap/>
            <w:vAlign w:val="center"/>
          </w:tcPr>
          <w:p w14:paraId="768FF158">
            <w:pPr>
              <w:keepNext w:val="0"/>
              <w:keepLines w:val="0"/>
              <w:pageBreakBefore w:val="0"/>
              <w:widowControl/>
              <w:kinsoku/>
              <w:overflowPunct/>
              <w:topLinePunct w:val="0"/>
              <w:autoSpaceDE/>
              <w:autoSpaceDN/>
              <w:bidi w:val="0"/>
              <w:adjustRightInd/>
              <w:snapToGrid/>
              <w:spacing w:line="230" w:lineRule="exact"/>
              <w:jc w:val="left"/>
              <w:rPr>
                <w:rFonts w:ascii="Times New Roman" w:hAnsi="Times New Roman" w:eastAsia="仿宋_GB2312" w:cs="Times New Roman"/>
                <w:color w:val="000000"/>
                <w:kern w:val="0"/>
                <w:sz w:val="21"/>
                <w:szCs w:val="20"/>
                <w:lang w:val="en-US" w:eastAsia="zh-CN" w:bidi="ar-SA"/>
              </w:rPr>
            </w:pPr>
            <w:r>
              <w:rPr>
                <w:rFonts w:ascii="Times New Roman" w:hAnsi="Times New Roman" w:eastAsia="仿宋_GB2312" w:cs="Times New Roman"/>
                <w:color w:val="000000"/>
                <w:kern w:val="0"/>
                <w:szCs w:val="20"/>
              </w:rPr>
              <w:t xml:space="preserve">  专用材料费</w:t>
            </w:r>
          </w:p>
        </w:tc>
        <w:tc>
          <w:tcPr>
            <w:tcW w:w="777" w:type="dxa"/>
            <w:tcBorders>
              <w:top w:val="nil"/>
              <w:left w:val="nil"/>
              <w:bottom w:val="single" w:color="auto" w:sz="4" w:space="0"/>
              <w:right w:val="single" w:color="auto" w:sz="4" w:space="0"/>
            </w:tcBorders>
            <w:shd w:val="clear" w:color="auto" w:fill="auto"/>
            <w:noWrap/>
            <w:vAlign w:val="center"/>
          </w:tcPr>
          <w:p w14:paraId="73F1D474">
            <w:pPr>
              <w:keepNext w:val="0"/>
              <w:keepLines w:val="0"/>
              <w:pageBreakBefore w:val="0"/>
              <w:widowControl/>
              <w:kinsoku/>
              <w:overflowPunct/>
              <w:topLinePunct w:val="0"/>
              <w:autoSpaceDE/>
              <w:autoSpaceDN/>
              <w:bidi w:val="0"/>
              <w:adjustRightInd/>
              <w:snapToGrid/>
              <w:spacing w:line="230" w:lineRule="exact"/>
              <w:jc w:val="center"/>
              <w:rPr>
                <w:rFonts w:hint="eastAsia" w:ascii="Times New Roman" w:hAnsi="Times New Roman" w:eastAsia="仿宋_GB2312" w:cs="Times New Roman"/>
                <w:color w:val="000000"/>
                <w:kern w:val="0"/>
                <w:szCs w:val="20"/>
                <w:lang w:val="en-US" w:eastAsia="zh-CN"/>
              </w:rPr>
            </w:pPr>
          </w:p>
        </w:tc>
        <w:tc>
          <w:tcPr>
            <w:tcW w:w="751" w:type="dxa"/>
            <w:tcBorders>
              <w:top w:val="nil"/>
              <w:left w:val="nil"/>
              <w:bottom w:val="single" w:color="auto" w:sz="4" w:space="0"/>
              <w:right w:val="single" w:color="auto" w:sz="4" w:space="0"/>
            </w:tcBorders>
            <w:shd w:val="clear" w:color="auto" w:fill="auto"/>
            <w:noWrap/>
            <w:vAlign w:val="center"/>
          </w:tcPr>
          <w:p w14:paraId="26851708">
            <w:pPr>
              <w:keepNext w:val="0"/>
              <w:keepLines w:val="0"/>
              <w:pageBreakBefore w:val="0"/>
              <w:widowControl/>
              <w:kinsoku/>
              <w:overflowPunct/>
              <w:topLinePunct w:val="0"/>
              <w:autoSpaceDE/>
              <w:autoSpaceDN/>
              <w:bidi w:val="0"/>
              <w:adjustRightInd/>
              <w:snapToGrid/>
              <w:spacing w:line="230" w:lineRule="exact"/>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31019</w:t>
            </w:r>
          </w:p>
        </w:tc>
        <w:tc>
          <w:tcPr>
            <w:tcW w:w="3706" w:type="dxa"/>
            <w:tcBorders>
              <w:top w:val="nil"/>
              <w:left w:val="nil"/>
              <w:bottom w:val="single" w:color="auto" w:sz="4" w:space="0"/>
              <w:right w:val="single" w:color="auto" w:sz="4" w:space="0"/>
            </w:tcBorders>
            <w:shd w:val="clear" w:color="auto" w:fill="auto"/>
            <w:noWrap/>
            <w:vAlign w:val="center"/>
          </w:tcPr>
          <w:p w14:paraId="57CEE2AD">
            <w:pPr>
              <w:keepNext w:val="0"/>
              <w:keepLines w:val="0"/>
              <w:pageBreakBefore w:val="0"/>
              <w:widowControl/>
              <w:kinsoku/>
              <w:overflowPunct/>
              <w:topLinePunct w:val="0"/>
              <w:autoSpaceDE/>
              <w:autoSpaceDN/>
              <w:bidi w:val="0"/>
              <w:adjustRightInd/>
              <w:snapToGrid/>
              <w:spacing w:line="230" w:lineRule="exact"/>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其他交通工具购置</w:t>
            </w:r>
          </w:p>
        </w:tc>
        <w:tc>
          <w:tcPr>
            <w:tcW w:w="1002" w:type="dxa"/>
            <w:tcBorders>
              <w:top w:val="nil"/>
              <w:left w:val="nil"/>
              <w:bottom w:val="single" w:color="auto" w:sz="4" w:space="0"/>
              <w:right w:val="single" w:color="auto" w:sz="4" w:space="0"/>
            </w:tcBorders>
            <w:shd w:val="clear" w:color="auto" w:fill="auto"/>
            <w:noWrap/>
            <w:vAlign w:val="center"/>
          </w:tcPr>
          <w:p w14:paraId="448C22B8">
            <w:pPr>
              <w:keepNext w:val="0"/>
              <w:keepLines w:val="0"/>
              <w:pageBreakBefore w:val="0"/>
              <w:widowControl/>
              <w:kinsoku/>
              <w:overflowPunct/>
              <w:topLinePunct w:val="0"/>
              <w:autoSpaceDE/>
              <w:autoSpaceDN/>
              <w:bidi w:val="0"/>
              <w:adjustRightInd/>
              <w:snapToGrid/>
              <w:spacing w:line="230" w:lineRule="exact"/>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26E783E2">
        <w:tblPrEx>
          <w:tblCellMar>
            <w:top w:w="0" w:type="dxa"/>
            <w:left w:w="108" w:type="dxa"/>
            <w:bottom w:w="0" w:type="dxa"/>
            <w:right w:w="108" w:type="dxa"/>
          </w:tblCellMar>
        </w:tblPrEx>
        <w:trPr>
          <w:trHeight w:val="255" w:hRule="exact"/>
          <w:jc w:val="center"/>
        </w:trPr>
        <w:tc>
          <w:tcPr>
            <w:tcW w:w="743" w:type="dxa"/>
            <w:tcBorders>
              <w:top w:val="nil"/>
              <w:left w:val="single" w:color="auto" w:sz="4" w:space="0"/>
              <w:bottom w:val="single" w:color="auto" w:sz="4" w:space="0"/>
              <w:right w:val="single" w:color="auto" w:sz="4" w:space="0"/>
            </w:tcBorders>
            <w:shd w:val="clear" w:color="auto" w:fill="auto"/>
            <w:noWrap/>
            <w:vAlign w:val="center"/>
          </w:tcPr>
          <w:p w14:paraId="5C0A8FAF">
            <w:pPr>
              <w:keepNext w:val="0"/>
              <w:keepLines w:val="0"/>
              <w:pageBreakBefore w:val="0"/>
              <w:widowControl/>
              <w:kinsoku/>
              <w:overflowPunct/>
              <w:topLinePunct w:val="0"/>
              <w:autoSpaceDE/>
              <w:autoSpaceDN/>
              <w:bidi w:val="0"/>
              <w:adjustRightInd/>
              <w:snapToGrid/>
              <w:spacing w:line="230" w:lineRule="exact"/>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30303</w:t>
            </w:r>
          </w:p>
        </w:tc>
        <w:tc>
          <w:tcPr>
            <w:tcW w:w="3596" w:type="dxa"/>
            <w:tcBorders>
              <w:top w:val="nil"/>
              <w:left w:val="nil"/>
              <w:bottom w:val="single" w:color="auto" w:sz="4" w:space="0"/>
              <w:right w:val="single" w:color="auto" w:sz="4" w:space="0"/>
            </w:tcBorders>
            <w:shd w:val="clear" w:color="auto" w:fill="auto"/>
            <w:noWrap/>
            <w:vAlign w:val="center"/>
          </w:tcPr>
          <w:p w14:paraId="129F4709">
            <w:pPr>
              <w:keepNext w:val="0"/>
              <w:keepLines w:val="0"/>
              <w:pageBreakBefore w:val="0"/>
              <w:widowControl/>
              <w:kinsoku/>
              <w:overflowPunct/>
              <w:topLinePunct w:val="0"/>
              <w:autoSpaceDE/>
              <w:autoSpaceDN/>
              <w:bidi w:val="0"/>
              <w:adjustRightInd/>
              <w:snapToGrid/>
              <w:spacing w:line="230" w:lineRule="exact"/>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退职（役）费</w:t>
            </w:r>
          </w:p>
        </w:tc>
        <w:tc>
          <w:tcPr>
            <w:tcW w:w="796" w:type="dxa"/>
            <w:tcBorders>
              <w:top w:val="nil"/>
              <w:left w:val="nil"/>
              <w:bottom w:val="single" w:color="auto" w:sz="4" w:space="0"/>
              <w:right w:val="single" w:color="auto" w:sz="4" w:space="0"/>
            </w:tcBorders>
            <w:shd w:val="clear" w:color="auto" w:fill="auto"/>
            <w:noWrap/>
            <w:vAlign w:val="center"/>
          </w:tcPr>
          <w:p w14:paraId="03C97F31">
            <w:pPr>
              <w:keepNext w:val="0"/>
              <w:keepLines w:val="0"/>
              <w:pageBreakBefore w:val="0"/>
              <w:widowControl/>
              <w:kinsoku/>
              <w:overflowPunct/>
              <w:topLinePunct w:val="0"/>
              <w:autoSpaceDE/>
              <w:autoSpaceDN/>
              <w:bidi w:val="0"/>
              <w:adjustRightInd/>
              <w:snapToGrid/>
              <w:spacing w:line="230" w:lineRule="exact"/>
              <w:jc w:val="center"/>
              <w:rPr>
                <w:rFonts w:ascii="Times New Roman" w:hAnsi="Times New Roman" w:eastAsia="仿宋_GB2312" w:cs="Times New Roman"/>
                <w:color w:val="000000"/>
                <w:kern w:val="0"/>
                <w:szCs w:val="20"/>
              </w:rPr>
            </w:pPr>
          </w:p>
        </w:tc>
        <w:tc>
          <w:tcPr>
            <w:tcW w:w="980" w:type="dxa"/>
            <w:tcBorders>
              <w:top w:val="nil"/>
              <w:left w:val="nil"/>
              <w:bottom w:val="single" w:color="auto" w:sz="4" w:space="0"/>
              <w:right w:val="single" w:color="auto" w:sz="4" w:space="0"/>
            </w:tcBorders>
            <w:shd w:val="clear" w:color="auto" w:fill="auto"/>
            <w:noWrap/>
            <w:vAlign w:val="center"/>
          </w:tcPr>
          <w:p w14:paraId="4CFD62A7">
            <w:pPr>
              <w:keepNext w:val="0"/>
              <w:keepLines w:val="0"/>
              <w:pageBreakBefore w:val="0"/>
              <w:widowControl/>
              <w:kinsoku/>
              <w:overflowPunct/>
              <w:topLinePunct w:val="0"/>
              <w:autoSpaceDE/>
              <w:autoSpaceDN/>
              <w:bidi w:val="0"/>
              <w:adjustRightInd/>
              <w:snapToGrid/>
              <w:spacing w:line="230" w:lineRule="exact"/>
              <w:jc w:val="left"/>
              <w:rPr>
                <w:rFonts w:ascii="Times New Roman" w:hAnsi="Times New Roman" w:eastAsia="仿宋_GB2312" w:cs="Times New Roman"/>
                <w:color w:val="000000"/>
                <w:kern w:val="0"/>
                <w:sz w:val="21"/>
                <w:szCs w:val="20"/>
                <w:lang w:val="en-US" w:eastAsia="zh-CN" w:bidi="ar-SA"/>
              </w:rPr>
            </w:pPr>
            <w:r>
              <w:rPr>
                <w:rFonts w:ascii="Times New Roman" w:hAnsi="Times New Roman" w:eastAsia="仿宋_GB2312" w:cs="Times New Roman"/>
                <w:color w:val="000000"/>
                <w:kern w:val="0"/>
                <w:szCs w:val="20"/>
              </w:rPr>
              <w:t>30224</w:t>
            </w:r>
          </w:p>
        </w:tc>
        <w:tc>
          <w:tcPr>
            <w:tcW w:w="2072" w:type="dxa"/>
            <w:tcBorders>
              <w:top w:val="nil"/>
              <w:left w:val="nil"/>
              <w:bottom w:val="single" w:color="auto" w:sz="4" w:space="0"/>
              <w:right w:val="single" w:color="auto" w:sz="4" w:space="0"/>
            </w:tcBorders>
            <w:shd w:val="clear" w:color="auto" w:fill="auto"/>
            <w:noWrap/>
            <w:vAlign w:val="center"/>
          </w:tcPr>
          <w:p w14:paraId="0E4550C0">
            <w:pPr>
              <w:keepNext w:val="0"/>
              <w:keepLines w:val="0"/>
              <w:pageBreakBefore w:val="0"/>
              <w:widowControl/>
              <w:kinsoku/>
              <w:overflowPunct/>
              <w:topLinePunct w:val="0"/>
              <w:autoSpaceDE/>
              <w:autoSpaceDN/>
              <w:bidi w:val="0"/>
              <w:adjustRightInd/>
              <w:snapToGrid/>
              <w:spacing w:line="230" w:lineRule="exact"/>
              <w:jc w:val="left"/>
              <w:rPr>
                <w:rFonts w:ascii="Times New Roman" w:hAnsi="Times New Roman" w:eastAsia="仿宋_GB2312" w:cs="Times New Roman"/>
                <w:color w:val="000000"/>
                <w:kern w:val="0"/>
                <w:sz w:val="21"/>
                <w:szCs w:val="20"/>
                <w:lang w:val="en-US" w:eastAsia="zh-CN" w:bidi="ar-SA"/>
              </w:rPr>
            </w:pPr>
            <w:r>
              <w:rPr>
                <w:rFonts w:ascii="Times New Roman" w:hAnsi="Times New Roman" w:eastAsia="仿宋_GB2312" w:cs="Times New Roman"/>
                <w:color w:val="000000"/>
                <w:kern w:val="0"/>
                <w:szCs w:val="20"/>
              </w:rPr>
              <w:t xml:space="preserve">  被装购置费</w:t>
            </w:r>
          </w:p>
        </w:tc>
        <w:tc>
          <w:tcPr>
            <w:tcW w:w="777" w:type="dxa"/>
            <w:tcBorders>
              <w:top w:val="nil"/>
              <w:left w:val="nil"/>
              <w:bottom w:val="single" w:color="auto" w:sz="4" w:space="0"/>
              <w:right w:val="single" w:color="auto" w:sz="4" w:space="0"/>
            </w:tcBorders>
            <w:shd w:val="clear" w:color="auto" w:fill="auto"/>
            <w:noWrap/>
            <w:vAlign w:val="center"/>
          </w:tcPr>
          <w:p w14:paraId="4508083C">
            <w:pPr>
              <w:keepNext w:val="0"/>
              <w:keepLines w:val="0"/>
              <w:pageBreakBefore w:val="0"/>
              <w:widowControl/>
              <w:kinsoku/>
              <w:overflowPunct/>
              <w:topLinePunct w:val="0"/>
              <w:autoSpaceDE/>
              <w:autoSpaceDN/>
              <w:bidi w:val="0"/>
              <w:adjustRightInd/>
              <w:snapToGrid/>
              <w:spacing w:line="230" w:lineRule="exact"/>
              <w:jc w:val="center"/>
              <w:rPr>
                <w:rFonts w:hint="eastAsia" w:ascii="Times New Roman" w:hAnsi="Times New Roman" w:eastAsia="仿宋_GB2312" w:cs="Times New Roman"/>
                <w:color w:val="000000"/>
                <w:kern w:val="0"/>
                <w:szCs w:val="20"/>
                <w:lang w:val="en-US" w:eastAsia="zh-CN"/>
              </w:rPr>
            </w:pPr>
          </w:p>
        </w:tc>
        <w:tc>
          <w:tcPr>
            <w:tcW w:w="751" w:type="dxa"/>
            <w:tcBorders>
              <w:top w:val="nil"/>
              <w:left w:val="nil"/>
              <w:bottom w:val="single" w:color="auto" w:sz="4" w:space="0"/>
              <w:right w:val="single" w:color="auto" w:sz="4" w:space="0"/>
            </w:tcBorders>
            <w:shd w:val="clear" w:color="auto" w:fill="auto"/>
            <w:noWrap/>
            <w:vAlign w:val="center"/>
          </w:tcPr>
          <w:p w14:paraId="27E6AFCB">
            <w:pPr>
              <w:keepNext w:val="0"/>
              <w:keepLines w:val="0"/>
              <w:pageBreakBefore w:val="0"/>
              <w:widowControl/>
              <w:kinsoku/>
              <w:overflowPunct/>
              <w:topLinePunct w:val="0"/>
              <w:autoSpaceDE/>
              <w:autoSpaceDN/>
              <w:bidi w:val="0"/>
              <w:adjustRightInd/>
              <w:snapToGrid/>
              <w:spacing w:line="230" w:lineRule="exact"/>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31021</w:t>
            </w:r>
          </w:p>
        </w:tc>
        <w:tc>
          <w:tcPr>
            <w:tcW w:w="3706" w:type="dxa"/>
            <w:tcBorders>
              <w:top w:val="nil"/>
              <w:left w:val="nil"/>
              <w:bottom w:val="single" w:color="auto" w:sz="4" w:space="0"/>
              <w:right w:val="single" w:color="auto" w:sz="4" w:space="0"/>
            </w:tcBorders>
            <w:shd w:val="clear" w:color="auto" w:fill="auto"/>
            <w:noWrap/>
            <w:vAlign w:val="center"/>
          </w:tcPr>
          <w:p w14:paraId="0AD16E4E">
            <w:pPr>
              <w:keepNext w:val="0"/>
              <w:keepLines w:val="0"/>
              <w:pageBreakBefore w:val="0"/>
              <w:widowControl/>
              <w:kinsoku/>
              <w:overflowPunct/>
              <w:topLinePunct w:val="0"/>
              <w:autoSpaceDE/>
              <w:autoSpaceDN/>
              <w:bidi w:val="0"/>
              <w:adjustRightInd/>
              <w:snapToGrid/>
              <w:spacing w:line="230" w:lineRule="exact"/>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文物和陈列品购置</w:t>
            </w:r>
          </w:p>
        </w:tc>
        <w:tc>
          <w:tcPr>
            <w:tcW w:w="1002" w:type="dxa"/>
            <w:tcBorders>
              <w:top w:val="nil"/>
              <w:left w:val="nil"/>
              <w:bottom w:val="single" w:color="auto" w:sz="4" w:space="0"/>
              <w:right w:val="single" w:color="auto" w:sz="4" w:space="0"/>
            </w:tcBorders>
            <w:shd w:val="clear" w:color="auto" w:fill="auto"/>
            <w:noWrap/>
            <w:vAlign w:val="center"/>
          </w:tcPr>
          <w:p w14:paraId="71F4BAD6">
            <w:pPr>
              <w:keepNext w:val="0"/>
              <w:keepLines w:val="0"/>
              <w:pageBreakBefore w:val="0"/>
              <w:widowControl/>
              <w:kinsoku/>
              <w:overflowPunct/>
              <w:topLinePunct w:val="0"/>
              <w:autoSpaceDE/>
              <w:autoSpaceDN/>
              <w:bidi w:val="0"/>
              <w:adjustRightInd/>
              <w:snapToGrid/>
              <w:spacing w:line="230" w:lineRule="exact"/>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0A8C9C24">
        <w:tblPrEx>
          <w:tblCellMar>
            <w:top w:w="0" w:type="dxa"/>
            <w:left w:w="108" w:type="dxa"/>
            <w:bottom w:w="0" w:type="dxa"/>
            <w:right w:w="108" w:type="dxa"/>
          </w:tblCellMar>
        </w:tblPrEx>
        <w:trPr>
          <w:trHeight w:val="255" w:hRule="exact"/>
          <w:jc w:val="center"/>
        </w:trPr>
        <w:tc>
          <w:tcPr>
            <w:tcW w:w="743" w:type="dxa"/>
            <w:tcBorders>
              <w:top w:val="nil"/>
              <w:left w:val="single" w:color="auto" w:sz="4" w:space="0"/>
              <w:bottom w:val="single" w:color="auto" w:sz="4" w:space="0"/>
              <w:right w:val="single" w:color="auto" w:sz="4" w:space="0"/>
            </w:tcBorders>
            <w:shd w:val="clear" w:color="auto" w:fill="auto"/>
            <w:noWrap/>
            <w:vAlign w:val="center"/>
          </w:tcPr>
          <w:p w14:paraId="7A6CC1B1">
            <w:pPr>
              <w:keepNext w:val="0"/>
              <w:keepLines w:val="0"/>
              <w:pageBreakBefore w:val="0"/>
              <w:widowControl/>
              <w:kinsoku/>
              <w:overflowPunct/>
              <w:topLinePunct w:val="0"/>
              <w:autoSpaceDE/>
              <w:autoSpaceDN/>
              <w:bidi w:val="0"/>
              <w:adjustRightInd/>
              <w:snapToGrid/>
              <w:spacing w:line="230" w:lineRule="exact"/>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30304</w:t>
            </w:r>
          </w:p>
        </w:tc>
        <w:tc>
          <w:tcPr>
            <w:tcW w:w="3596" w:type="dxa"/>
            <w:tcBorders>
              <w:top w:val="nil"/>
              <w:left w:val="nil"/>
              <w:bottom w:val="single" w:color="auto" w:sz="4" w:space="0"/>
              <w:right w:val="single" w:color="auto" w:sz="4" w:space="0"/>
            </w:tcBorders>
            <w:shd w:val="clear" w:color="auto" w:fill="auto"/>
            <w:noWrap/>
            <w:vAlign w:val="center"/>
          </w:tcPr>
          <w:p w14:paraId="53554053">
            <w:pPr>
              <w:keepNext w:val="0"/>
              <w:keepLines w:val="0"/>
              <w:pageBreakBefore w:val="0"/>
              <w:widowControl/>
              <w:kinsoku/>
              <w:overflowPunct/>
              <w:topLinePunct w:val="0"/>
              <w:autoSpaceDE/>
              <w:autoSpaceDN/>
              <w:bidi w:val="0"/>
              <w:adjustRightInd/>
              <w:snapToGrid/>
              <w:spacing w:line="230" w:lineRule="exact"/>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抚恤金</w:t>
            </w:r>
          </w:p>
        </w:tc>
        <w:tc>
          <w:tcPr>
            <w:tcW w:w="796" w:type="dxa"/>
            <w:tcBorders>
              <w:top w:val="nil"/>
              <w:left w:val="nil"/>
              <w:bottom w:val="single" w:color="auto" w:sz="4" w:space="0"/>
              <w:right w:val="single" w:color="auto" w:sz="4" w:space="0"/>
            </w:tcBorders>
            <w:shd w:val="clear" w:color="auto" w:fill="auto"/>
            <w:noWrap/>
            <w:vAlign w:val="center"/>
          </w:tcPr>
          <w:p w14:paraId="759DAC99">
            <w:pPr>
              <w:keepNext w:val="0"/>
              <w:keepLines w:val="0"/>
              <w:pageBreakBefore w:val="0"/>
              <w:widowControl/>
              <w:kinsoku/>
              <w:overflowPunct/>
              <w:topLinePunct w:val="0"/>
              <w:autoSpaceDE/>
              <w:autoSpaceDN/>
              <w:bidi w:val="0"/>
              <w:adjustRightInd/>
              <w:snapToGrid/>
              <w:spacing w:line="230" w:lineRule="exact"/>
              <w:jc w:val="center"/>
              <w:rPr>
                <w:rFonts w:ascii="Times New Roman" w:hAnsi="Times New Roman" w:eastAsia="仿宋_GB2312" w:cs="Times New Roman"/>
                <w:color w:val="000000"/>
                <w:kern w:val="0"/>
                <w:szCs w:val="20"/>
              </w:rPr>
            </w:pPr>
          </w:p>
        </w:tc>
        <w:tc>
          <w:tcPr>
            <w:tcW w:w="980" w:type="dxa"/>
            <w:tcBorders>
              <w:top w:val="nil"/>
              <w:left w:val="nil"/>
              <w:bottom w:val="single" w:color="auto" w:sz="4" w:space="0"/>
              <w:right w:val="single" w:color="auto" w:sz="4" w:space="0"/>
            </w:tcBorders>
            <w:shd w:val="clear" w:color="auto" w:fill="auto"/>
            <w:noWrap/>
            <w:vAlign w:val="center"/>
          </w:tcPr>
          <w:p w14:paraId="163A741D">
            <w:pPr>
              <w:keepNext w:val="0"/>
              <w:keepLines w:val="0"/>
              <w:pageBreakBefore w:val="0"/>
              <w:widowControl/>
              <w:kinsoku/>
              <w:overflowPunct/>
              <w:topLinePunct w:val="0"/>
              <w:autoSpaceDE/>
              <w:autoSpaceDN/>
              <w:bidi w:val="0"/>
              <w:adjustRightInd/>
              <w:snapToGrid/>
              <w:spacing w:line="230" w:lineRule="exact"/>
              <w:jc w:val="left"/>
              <w:rPr>
                <w:rFonts w:ascii="Times New Roman" w:hAnsi="Times New Roman" w:eastAsia="仿宋_GB2312" w:cs="Times New Roman"/>
                <w:color w:val="000000"/>
                <w:kern w:val="0"/>
                <w:sz w:val="21"/>
                <w:szCs w:val="20"/>
                <w:lang w:val="en-US" w:eastAsia="zh-CN" w:bidi="ar-SA"/>
              </w:rPr>
            </w:pPr>
            <w:r>
              <w:rPr>
                <w:rFonts w:ascii="Times New Roman" w:hAnsi="Times New Roman" w:eastAsia="仿宋_GB2312" w:cs="Times New Roman"/>
                <w:color w:val="000000"/>
                <w:kern w:val="0"/>
                <w:szCs w:val="20"/>
              </w:rPr>
              <w:t>30225</w:t>
            </w:r>
          </w:p>
        </w:tc>
        <w:tc>
          <w:tcPr>
            <w:tcW w:w="2072" w:type="dxa"/>
            <w:tcBorders>
              <w:top w:val="nil"/>
              <w:left w:val="nil"/>
              <w:bottom w:val="single" w:color="auto" w:sz="4" w:space="0"/>
              <w:right w:val="single" w:color="auto" w:sz="4" w:space="0"/>
            </w:tcBorders>
            <w:shd w:val="clear" w:color="auto" w:fill="auto"/>
            <w:noWrap/>
            <w:vAlign w:val="center"/>
          </w:tcPr>
          <w:p w14:paraId="0953673D">
            <w:pPr>
              <w:keepNext w:val="0"/>
              <w:keepLines w:val="0"/>
              <w:pageBreakBefore w:val="0"/>
              <w:widowControl/>
              <w:kinsoku/>
              <w:overflowPunct/>
              <w:topLinePunct w:val="0"/>
              <w:autoSpaceDE/>
              <w:autoSpaceDN/>
              <w:bidi w:val="0"/>
              <w:adjustRightInd/>
              <w:snapToGrid/>
              <w:spacing w:line="230" w:lineRule="exact"/>
              <w:jc w:val="left"/>
              <w:rPr>
                <w:rFonts w:ascii="Times New Roman" w:hAnsi="Times New Roman" w:eastAsia="仿宋_GB2312" w:cs="Times New Roman"/>
                <w:color w:val="000000"/>
                <w:kern w:val="0"/>
                <w:sz w:val="21"/>
                <w:szCs w:val="20"/>
                <w:lang w:val="en-US" w:eastAsia="zh-CN" w:bidi="ar-SA"/>
              </w:rPr>
            </w:pPr>
            <w:r>
              <w:rPr>
                <w:rFonts w:ascii="Times New Roman" w:hAnsi="Times New Roman" w:eastAsia="仿宋_GB2312" w:cs="Times New Roman"/>
                <w:color w:val="000000"/>
                <w:kern w:val="0"/>
                <w:szCs w:val="20"/>
              </w:rPr>
              <w:t xml:space="preserve">  专用燃料费</w:t>
            </w:r>
          </w:p>
        </w:tc>
        <w:tc>
          <w:tcPr>
            <w:tcW w:w="777" w:type="dxa"/>
            <w:tcBorders>
              <w:top w:val="nil"/>
              <w:left w:val="nil"/>
              <w:bottom w:val="single" w:color="auto" w:sz="4" w:space="0"/>
              <w:right w:val="single" w:color="auto" w:sz="4" w:space="0"/>
            </w:tcBorders>
            <w:shd w:val="clear" w:color="auto" w:fill="auto"/>
            <w:noWrap/>
            <w:vAlign w:val="center"/>
          </w:tcPr>
          <w:p w14:paraId="46F1F296">
            <w:pPr>
              <w:keepNext w:val="0"/>
              <w:keepLines w:val="0"/>
              <w:pageBreakBefore w:val="0"/>
              <w:widowControl/>
              <w:kinsoku/>
              <w:overflowPunct/>
              <w:topLinePunct w:val="0"/>
              <w:autoSpaceDE/>
              <w:autoSpaceDN/>
              <w:bidi w:val="0"/>
              <w:adjustRightInd/>
              <w:snapToGrid/>
              <w:spacing w:line="230" w:lineRule="exact"/>
              <w:jc w:val="center"/>
              <w:rPr>
                <w:rFonts w:hint="eastAsia" w:ascii="Times New Roman" w:hAnsi="Times New Roman" w:eastAsia="仿宋_GB2312" w:cs="Times New Roman"/>
                <w:color w:val="000000"/>
                <w:kern w:val="0"/>
                <w:szCs w:val="20"/>
                <w:lang w:val="en-US" w:eastAsia="zh-CN"/>
              </w:rPr>
            </w:pPr>
          </w:p>
        </w:tc>
        <w:tc>
          <w:tcPr>
            <w:tcW w:w="751" w:type="dxa"/>
            <w:tcBorders>
              <w:top w:val="nil"/>
              <w:left w:val="nil"/>
              <w:bottom w:val="single" w:color="auto" w:sz="4" w:space="0"/>
              <w:right w:val="single" w:color="auto" w:sz="4" w:space="0"/>
            </w:tcBorders>
            <w:shd w:val="clear" w:color="auto" w:fill="auto"/>
            <w:noWrap/>
            <w:vAlign w:val="center"/>
          </w:tcPr>
          <w:p w14:paraId="5B9AC18A">
            <w:pPr>
              <w:keepNext w:val="0"/>
              <w:keepLines w:val="0"/>
              <w:pageBreakBefore w:val="0"/>
              <w:widowControl/>
              <w:kinsoku/>
              <w:overflowPunct/>
              <w:topLinePunct w:val="0"/>
              <w:autoSpaceDE/>
              <w:autoSpaceDN/>
              <w:bidi w:val="0"/>
              <w:adjustRightInd/>
              <w:snapToGrid/>
              <w:spacing w:line="230" w:lineRule="exact"/>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31022</w:t>
            </w:r>
          </w:p>
        </w:tc>
        <w:tc>
          <w:tcPr>
            <w:tcW w:w="3706" w:type="dxa"/>
            <w:tcBorders>
              <w:top w:val="nil"/>
              <w:left w:val="nil"/>
              <w:bottom w:val="single" w:color="auto" w:sz="4" w:space="0"/>
              <w:right w:val="single" w:color="auto" w:sz="4" w:space="0"/>
            </w:tcBorders>
            <w:shd w:val="clear" w:color="auto" w:fill="auto"/>
            <w:noWrap/>
            <w:vAlign w:val="center"/>
          </w:tcPr>
          <w:p w14:paraId="2FA9F704">
            <w:pPr>
              <w:keepNext w:val="0"/>
              <w:keepLines w:val="0"/>
              <w:pageBreakBefore w:val="0"/>
              <w:widowControl/>
              <w:kinsoku/>
              <w:overflowPunct/>
              <w:topLinePunct w:val="0"/>
              <w:autoSpaceDE/>
              <w:autoSpaceDN/>
              <w:bidi w:val="0"/>
              <w:adjustRightInd/>
              <w:snapToGrid/>
              <w:spacing w:line="230" w:lineRule="exact"/>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无形资产购置</w:t>
            </w:r>
          </w:p>
        </w:tc>
        <w:tc>
          <w:tcPr>
            <w:tcW w:w="1002" w:type="dxa"/>
            <w:tcBorders>
              <w:top w:val="nil"/>
              <w:left w:val="nil"/>
              <w:bottom w:val="single" w:color="auto" w:sz="4" w:space="0"/>
              <w:right w:val="single" w:color="auto" w:sz="4" w:space="0"/>
            </w:tcBorders>
            <w:shd w:val="clear" w:color="auto" w:fill="auto"/>
            <w:noWrap/>
            <w:vAlign w:val="center"/>
          </w:tcPr>
          <w:p w14:paraId="129D600F">
            <w:pPr>
              <w:keepNext w:val="0"/>
              <w:keepLines w:val="0"/>
              <w:pageBreakBefore w:val="0"/>
              <w:widowControl/>
              <w:kinsoku/>
              <w:overflowPunct/>
              <w:topLinePunct w:val="0"/>
              <w:autoSpaceDE/>
              <w:autoSpaceDN/>
              <w:bidi w:val="0"/>
              <w:adjustRightInd/>
              <w:snapToGrid/>
              <w:spacing w:line="230" w:lineRule="exact"/>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68DC2CE4">
        <w:tblPrEx>
          <w:tblCellMar>
            <w:top w:w="0" w:type="dxa"/>
            <w:left w:w="108" w:type="dxa"/>
            <w:bottom w:w="0" w:type="dxa"/>
            <w:right w:w="108" w:type="dxa"/>
          </w:tblCellMar>
        </w:tblPrEx>
        <w:trPr>
          <w:trHeight w:val="255" w:hRule="exact"/>
          <w:jc w:val="center"/>
        </w:trPr>
        <w:tc>
          <w:tcPr>
            <w:tcW w:w="743" w:type="dxa"/>
            <w:tcBorders>
              <w:top w:val="nil"/>
              <w:left w:val="single" w:color="auto" w:sz="4" w:space="0"/>
              <w:bottom w:val="single" w:color="auto" w:sz="4" w:space="0"/>
              <w:right w:val="single" w:color="auto" w:sz="4" w:space="0"/>
            </w:tcBorders>
            <w:shd w:val="clear" w:color="auto" w:fill="auto"/>
            <w:noWrap/>
            <w:vAlign w:val="center"/>
          </w:tcPr>
          <w:p w14:paraId="4AA502FA">
            <w:pPr>
              <w:keepNext w:val="0"/>
              <w:keepLines w:val="0"/>
              <w:pageBreakBefore w:val="0"/>
              <w:widowControl/>
              <w:kinsoku/>
              <w:overflowPunct/>
              <w:topLinePunct w:val="0"/>
              <w:autoSpaceDE/>
              <w:autoSpaceDN/>
              <w:bidi w:val="0"/>
              <w:adjustRightInd/>
              <w:snapToGrid/>
              <w:spacing w:line="230" w:lineRule="exact"/>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30305</w:t>
            </w:r>
          </w:p>
        </w:tc>
        <w:tc>
          <w:tcPr>
            <w:tcW w:w="3596" w:type="dxa"/>
            <w:tcBorders>
              <w:top w:val="nil"/>
              <w:left w:val="nil"/>
              <w:bottom w:val="single" w:color="auto" w:sz="4" w:space="0"/>
              <w:right w:val="single" w:color="auto" w:sz="4" w:space="0"/>
            </w:tcBorders>
            <w:shd w:val="clear" w:color="auto" w:fill="auto"/>
            <w:noWrap/>
            <w:vAlign w:val="center"/>
          </w:tcPr>
          <w:p w14:paraId="7643B52F">
            <w:pPr>
              <w:keepNext w:val="0"/>
              <w:keepLines w:val="0"/>
              <w:pageBreakBefore w:val="0"/>
              <w:widowControl/>
              <w:kinsoku/>
              <w:overflowPunct/>
              <w:topLinePunct w:val="0"/>
              <w:autoSpaceDE/>
              <w:autoSpaceDN/>
              <w:bidi w:val="0"/>
              <w:adjustRightInd/>
              <w:snapToGrid/>
              <w:spacing w:line="230" w:lineRule="exact"/>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生活补助</w:t>
            </w:r>
          </w:p>
        </w:tc>
        <w:tc>
          <w:tcPr>
            <w:tcW w:w="796" w:type="dxa"/>
            <w:tcBorders>
              <w:top w:val="nil"/>
              <w:left w:val="nil"/>
              <w:bottom w:val="single" w:color="auto" w:sz="4" w:space="0"/>
              <w:right w:val="single" w:color="auto" w:sz="4" w:space="0"/>
            </w:tcBorders>
            <w:shd w:val="clear" w:color="auto" w:fill="auto"/>
            <w:noWrap/>
            <w:vAlign w:val="center"/>
          </w:tcPr>
          <w:p w14:paraId="49D4A806">
            <w:pPr>
              <w:keepNext w:val="0"/>
              <w:keepLines w:val="0"/>
              <w:pageBreakBefore w:val="0"/>
              <w:widowControl/>
              <w:kinsoku/>
              <w:overflowPunct/>
              <w:topLinePunct w:val="0"/>
              <w:autoSpaceDE/>
              <w:autoSpaceDN/>
              <w:bidi w:val="0"/>
              <w:adjustRightInd/>
              <w:snapToGrid/>
              <w:spacing w:line="230" w:lineRule="exact"/>
              <w:jc w:val="center"/>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1.03</w:t>
            </w:r>
          </w:p>
        </w:tc>
        <w:tc>
          <w:tcPr>
            <w:tcW w:w="980" w:type="dxa"/>
            <w:tcBorders>
              <w:top w:val="nil"/>
              <w:left w:val="nil"/>
              <w:bottom w:val="single" w:color="auto" w:sz="4" w:space="0"/>
              <w:right w:val="single" w:color="auto" w:sz="4" w:space="0"/>
            </w:tcBorders>
            <w:shd w:val="clear" w:color="auto" w:fill="auto"/>
            <w:noWrap/>
            <w:vAlign w:val="center"/>
          </w:tcPr>
          <w:p w14:paraId="3EE98A4B">
            <w:pPr>
              <w:keepNext w:val="0"/>
              <w:keepLines w:val="0"/>
              <w:pageBreakBefore w:val="0"/>
              <w:widowControl/>
              <w:kinsoku/>
              <w:overflowPunct/>
              <w:topLinePunct w:val="0"/>
              <w:autoSpaceDE/>
              <w:autoSpaceDN/>
              <w:bidi w:val="0"/>
              <w:adjustRightInd/>
              <w:snapToGrid/>
              <w:spacing w:line="230" w:lineRule="exact"/>
              <w:jc w:val="left"/>
              <w:rPr>
                <w:rFonts w:ascii="Times New Roman" w:hAnsi="Times New Roman" w:eastAsia="仿宋_GB2312" w:cs="Times New Roman"/>
                <w:color w:val="000000"/>
                <w:kern w:val="0"/>
                <w:sz w:val="21"/>
                <w:szCs w:val="20"/>
                <w:lang w:val="en-US" w:eastAsia="zh-CN" w:bidi="ar-SA"/>
              </w:rPr>
            </w:pPr>
            <w:r>
              <w:rPr>
                <w:rFonts w:ascii="Times New Roman" w:hAnsi="Times New Roman" w:eastAsia="仿宋_GB2312" w:cs="Times New Roman"/>
                <w:color w:val="000000"/>
                <w:kern w:val="0"/>
                <w:szCs w:val="20"/>
              </w:rPr>
              <w:t>30226</w:t>
            </w:r>
          </w:p>
        </w:tc>
        <w:tc>
          <w:tcPr>
            <w:tcW w:w="2072" w:type="dxa"/>
            <w:tcBorders>
              <w:top w:val="nil"/>
              <w:left w:val="nil"/>
              <w:bottom w:val="single" w:color="auto" w:sz="4" w:space="0"/>
              <w:right w:val="single" w:color="auto" w:sz="4" w:space="0"/>
            </w:tcBorders>
            <w:shd w:val="clear" w:color="auto" w:fill="auto"/>
            <w:noWrap/>
            <w:vAlign w:val="center"/>
          </w:tcPr>
          <w:p w14:paraId="2A53367A">
            <w:pPr>
              <w:keepNext w:val="0"/>
              <w:keepLines w:val="0"/>
              <w:pageBreakBefore w:val="0"/>
              <w:widowControl/>
              <w:kinsoku/>
              <w:overflowPunct/>
              <w:topLinePunct w:val="0"/>
              <w:autoSpaceDE/>
              <w:autoSpaceDN/>
              <w:bidi w:val="0"/>
              <w:adjustRightInd/>
              <w:snapToGrid/>
              <w:spacing w:line="230" w:lineRule="exact"/>
              <w:jc w:val="left"/>
              <w:rPr>
                <w:rFonts w:ascii="Times New Roman" w:hAnsi="Times New Roman" w:eastAsia="仿宋_GB2312" w:cs="Times New Roman"/>
                <w:color w:val="000000"/>
                <w:kern w:val="0"/>
                <w:sz w:val="21"/>
                <w:szCs w:val="20"/>
                <w:lang w:val="en-US" w:eastAsia="zh-CN" w:bidi="ar-SA"/>
              </w:rPr>
            </w:pPr>
            <w:r>
              <w:rPr>
                <w:rFonts w:ascii="Times New Roman" w:hAnsi="Times New Roman" w:eastAsia="仿宋_GB2312" w:cs="Times New Roman"/>
                <w:color w:val="000000"/>
                <w:kern w:val="0"/>
                <w:szCs w:val="20"/>
              </w:rPr>
              <w:t xml:space="preserve">  劳务费</w:t>
            </w:r>
          </w:p>
        </w:tc>
        <w:tc>
          <w:tcPr>
            <w:tcW w:w="777" w:type="dxa"/>
            <w:tcBorders>
              <w:top w:val="nil"/>
              <w:left w:val="nil"/>
              <w:bottom w:val="single" w:color="auto" w:sz="4" w:space="0"/>
              <w:right w:val="single" w:color="auto" w:sz="4" w:space="0"/>
            </w:tcBorders>
            <w:shd w:val="clear" w:color="auto" w:fill="auto"/>
            <w:noWrap/>
            <w:vAlign w:val="center"/>
          </w:tcPr>
          <w:p w14:paraId="5D56CB18">
            <w:pPr>
              <w:keepNext w:val="0"/>
              <w:keepLines w:val="0"/>
              <w:pageBreakBefore w:val="0"/>
              <w:widowControl/>
              <w:kinsoku/>
              <w:overflowPunct/>
              <w:topLinePunct w:val="0"/>
              <w:autoSpaceDE/>
              <w:autoSpaceDN/>
              <w:bidi w:val="0"/>
              <w:adjustRightInd/>
              <w:snapToGrid/>
              <w:spacing w:line="230" w:lineRule="exact"/>
              <w:jc w:val="center"/>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0.20</w:t>
            </w:r>
          </w:p>
        </w:tc>
        <w:tc>
          <w:tcPr>
            <w:tcW w:w="751" w:type="dxa"/>
            <w:tcBorders>
              <w:top w:val="nil"/>
              <w:left w:val="nil"/>
              <w:bottom w:val="single" w:color="auto" w:sz="4" w:space="0"/>
              <w:right w:val="single" w:color="auto" w:sz="4" w:space="0"/>
            </w:tcBorders>
            <w:shd w:val="clear" w:color="auto" w:fill="auto"/>
            <w:noWrap/>
            <w:vAlign w:val="center"/>
          </w:tcPr>
          <w:p w14:paraId="4B3394C7">
            <w:pPr>
              <w:keepNext w:val="0"/>
              <w:keepLines w:val="0"/>
              <w:pageBreakBefore w:val="0"/>
              <w:widowControl/>
              <w:kinsoku/>
              <w:overflowPunct/>
              <w:topLinePunct w:val="0"/>
              <w:autoSpaceDE/>
              <w:autoSpaceDN/>
              <w:bidi w:val="0"/>
              <w:adjustRightInd/>
              <w:snapToGrid/>
              <w:spacing w:line="230" w:lineRule="exact"/>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31099</w:t>
            </w:r>
          </w:p>
        </w:tc>
        <w:tc>
          <w:tcPr>
            <w:tcW w:w="3706" w:type="dxa"/>
            <w:tcBorders>
              <w:top w:val="nil"/>
              <w:left w:val="nil"/>
              <w:bottom w:val="single" w:color="auto" w:sz="4" w:space="0"/>
              <w:right w:val="single" w:color="auto" w:sz="4" w:space="0"/>
            </w:tcBorders>
            <w:shd w:val="clear" w:color="auto" w:fill="auto"/>
            <w:noWrap/>
            <w:vAlign w:val="center"/>
          </w:tcPr>
          <w:p w14:paraId="43C5DA89">
            <w:pPr>
              <w:keepNext w:val="0"/>
              <w:keepLines w:val="0"/>
              <w:pageBreakBefore w:val="0"/>
              <w:widowControl/>
              <w:kinsoku/>
              <w:overflowPunct/>
              <w:topLinePunct w:val="0"/>
              <w:autoSpaceDE/>
              <w:autoSpaceDN/>
              <w:bidi w:val="0"/>
              <w:adjustRightInd/>
              <w:snapToGrid/>
              <w:spacing w:line="230" w:lineRule="exact"/>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其他资本性支出</w:t>
            </w:r>
          </w:p>
        </w:tc>
        <w:tc>
          <w:tcPr>
            <w:tcW w:w="1002" w:type="dxa"/>
            <w:tcBorders>
              <w:top w:val="nil"/>
              <w:left w:val="nil"/>
              <w:bottom w:val="single" w:color="auto" w:sz="4" w:space="0"/>
              <w:right w:val="single" w:color="auto" w:sz="4" w:space="0"/>
            </w:tcBorders>
            <w:shd w:val="clear" w:color="auto" w:fill="auto"/>
            <w:noWrap/>
            <w:vAlign w:val="center"/>
          </w:tcPr>
          <w:p w14:paraId="5830E440">
            <w:pPr>
              <w:keepNext w:val="0"/>
              <w:keepLines w:val="0"/>
              <w:pageBreakBefore w:val="0"/>
              <w:widowControl/>
              <w:kinsoku/>
              <w:overflowPunct/>
              <w:topLinePunct w:val="0"/>
              <w:autoSpaceDE/>
              <w:autoSpaceDN/>
              <w:bidi w:val="0"/>
              <w:adjustRightInd/>
              <w:snapToGrid/>
              <w:spacing w:line="230" w:lineRule="exact"/>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1AF3AFB9">
        <w:tblPrEx>
          <w:tblCellMar>
            <w:top w:w="0" w:type="dxa"/>
            <w:left w:w="108" w:type="dxa"/>
            <w:bottom w:w="0" w:type="dxa"/>
            <w:right w:w="108" w:type="dxa"/>
          </w:tblCellMar>
        </w:tblPrEx>
        <w:trPr>
          <w:trHeight w:val="255" w:hRule="exact"/>
          <w:jc w:val="center"/>
        </w:trPr>
        <w:tc>
          <w:tcPr>
            <w:tcW w:w="743" w:type="dxa"/>
            <w:tcBorders>
              <w:top w:val="nil"/>
              <w:left w:val="single" w:color="auto" w:sz="4" w:space="0"/>
              <w:bottom w:val="single" w:color="auto" w:sz="4" w:space="0"/>
              <w:right w:val="single" w:color="auto" w:sz="4" w:space="0"/>
            </w:tcBorders>
            <w:shd w:val="clear" w:color="auto" w:fill="auto"/>
            <w:noWrap/>
            <w:vAlign w:val="center"/>
          </w:tcPr>
          <w:p w14:paraId="5153F453">
            <w:pPr>
              <w:keepNext w:val="0"/>
              <w:keepLines w:val="0"/>
              <w:pageBreakBefore w:val="0"/>
              <w:widowControl/>
              <w:kinsoku/>
              <w:overflowPunct/>
              <w:topLinePunct w:val="0"/>
              <w:autoSpaceDE/>
              <w:autoSpaceDN/>
              <w:bidi w:val="0"/>
              <w:adjustRightInd/>
              <w:snapToGrid/>
              <w:spacing w:line="230" w:lineRule="exact"/>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30306</w:t>
            </w:r>
          </w:p>
        </w:tc>
        <w:tc>
          <w:tcPr>
            <w:tcW w:w="3596" w:type="dxa"/>
            <w:tcBorders>
              <w:top w:val="nil"/>
              <w:left w:val="nil"/>
              <w:bottom w:val="single" w:color="auto" w:sz="4" w:space="0"/>
              <w:right w:val="single" w:color="auto" w:sz="4" w:space="0"/>
            </w:tcBorders>
            <w:shd w:val="clear" w:color="auto" w:fill="auto"/>
            <w:noWrap/>
            <w:vAlign w:val="center"/>
          </w:tcPr>
          <w:p w14:paraId="37FB6EDF">
            <w:pPr>
              <w:keepNext w:val="0"/>
              <w:keepLines w:val="0"/>
              <w:pageBreakBefore w:val="0"/>
              <w:widowControl/>
              <w:kinsoku/>
              <w:overflowPunct/>
              <w:topLinePunct w:val="0"/>
              <w:autoSpaceDE/>
              <w:autoSpaceDN/>
              <w:bidi w:val="0"/>
              <w:adjustRightInd/>
              <w:snapToGrid/>
              <w:spacing w:line="230" w:lineRule="exact"/>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救济费</w:t>
            </w:r>
          </w:p>
        </w:tc>
        <w:tc>
          <w:tcPr>
            <w:tcW w:w="796" w:type="dxa"/>
            <w:tcBorders>
              <w:top w:val="nil"/>
              <w:left w:val="nil"/>
              <w:bottom w:val="single" w:color="auto" w:sz="4" w:space="0"/>
              <w:right w:val="single" w:color="auto" w:sz="4" w:space="0"/>
            </w:tcBorders>
            <w:shd w:val="clear" w:color="auto" w:fill="auto"/>
            <w:noWrap/>
            <w:vAlign w:val="center"/>
          </w:tcPr>
          <w:p w14:paraId="3BB4BE8D">
            <w:pPr>
              <w:keepNext w:val="0"/>
              <w:keepLines w:val="0"/>
              <w:pageBreakBefore w:val="0"/>
              <w:widowControl/>
              <w:kinsoku/>
              <w:overflowPunct/>
              <w:topLinePunct w:val="0"/>
              <w:autoSpaceDE/>
              <w:autoSpaceDN/>
              <w:bidi w:val="0"/>
              <w:adjustRightInd/>
              <w:snapToGrid/>
              <w:spacing w:line="230" w:lineRule="exact"/>
              <w:jc w:val="center"/>
              <w:rPr>
                <w:rFonts w:ascii="Times New Roman" w:hAnsi="Times New Roman" w:eastAsia="仿宋_GB2312" w:cs="Times New Roman"/>
                <w:color w:val="000000"/>
                <w:kern w:val="0"/>
                <w:szCs w:val="20"/>
              </w:rPr>
            </w:pPr>
          </w:p>
        </w:tc>
        <w:tc>
          <w:tcPr>
            <w:tcW w:w="980" w:type="dxa"/>
            <w:tcBorders>
              <w:top w:val="nil"/>
              <w:left w:val="nil"/>
              <w:bottom w:val="single" w:color="auto" w:sz="4" w:space="0"/>
              <w:right w:val="single" w:color="auto" w:sz="4" w:space="0"/>
            </w:tcBorders>
            <w:shd w:val="clear" w:color="auto" w:fill="auto"/>
            <w:noWrap/>
            <w:vAlign w:val="center"/>
          </w:tcPr>
          <w:p w14:paraId="4D594864">
            <w:pPr>
              <w:keepNext w:val="0"/>
              <w:keepLines w:val="0"/>
              <w:pageBreakBefore w:val="0"/>
              <w:widowControl/>
              <w:kinsoku/>
              <w:overflowPunct/>
              <w:topLinePunct w:val="0"/>
              <w:autoSpaceDE/>
              <w:autoSpaceDN/>
              <w:bidi w:val="0"/>
              <w:adjustRightInd/>
              <w:snapToGrid/>
              <w:spacing w:line="230" w:lineRule="exact"/>
              <w:jc w:val="left"/>
              <w:rPr>
                <w:rFonts w:ascii="Times New Roman" w:hAnsi="Times New Roman" w:eastAsia="仿宋_GB2312" w:cs="Times New Roman"/>
                <w:color w:val="000000"/>
                <w:kern w:val="0"/>
                <w:sz w:val="21"/>
                <w:szCs w:val="20"/>
                <w:lang w:val="en-US" w:eastAsia="zh-CN" w:bidi="ar-SA"/>
              </w:rPr>
            </w:pPr>
            <w:r>
              <w:rPr>
                <w:rFonts w:ascii="Times New Roman" w:hAnsi="Times New Roman" w:eastAsia="仿宋_GB2312" w:cs="Times New Roman"/>
                <w:color w:val="000000"/>
                <w:kern w:val="0"/>
                <w:szCs w:val="20"/>
              </w:rPr>
              <w:t>30227</w:t>
            </w:r>
          </w:p>
        </w:tc>
        <w:tc>
          <w:tcPr>
            <w:tcW w:w="2072" w:type="dxa"/>
            <w:tcBorders>
              <w:top w:val="nil"/>
              <w:left w:val="nil"/>
              <w:bottom w:val="single" w:color="auto" w:sz="4" w:space="0"/>
              <w:right w:val="single" w:color="auto" w:sz="4" w:space="0"/>
            </w:tcBorders>
            <w:shd w:val="clear" w:color="auto" w:fill="auto"/>
            <w:noWrap/>
            <w:vAlign w:val="center"/>
          </w:tcPr>
          <w:p w14:paraId="2E20610D">
            <w:pPr>
              <w:keepNext w:val="0"/>
              <w:keepLines w:val="0"/>
              <w:pageBreakBefore w:val="0"/>
              <w:widowControl/>
              <w:kinsoku/>
              <w:overflowPunct/>
              <w:topLinePunct w:val="0"/>
              <w:autoSpaceDE/>
              <w:autoSpaceDN/>
              <w:bidi w:val="0"/>
              <w:adjustRightInd/>
              <w:snapToGrid/>
              <w:spacing w:line="230" w:lineRule="exact"/>
              <w:jc w:val="left"/>
              <w:rPr>
                <w:rFonts w:ascii="Times New Roman" w:hAnsi="Times New Roman" w:eastAsia="仿宋_GB2312" w:cs="Times New Roman"/>
                <w:color w:val="000000"/>
                <w:kern w:val="0"/>
                <w:sz w:val="21"/>
                <w:szCs w:val="20"/>
                <w:lang w:val="en-US" w:eastAsia="zh-CN" w:bidi="ar-SA"/>
              </w:rPr>
            </w:pPr>
            <w:r>
              <w:rPr>
                <w:rFonts w:ascii="Times New Roman" w:hAnsi="Times New Roman" w:eastAsia="仿宋_GB2312" w:cs="Times New Roman"/>
                <w:color w:val="000000"/>
                <w:kern w:val="0"/>
                <w:szCs w:val="20"/>
              </w:rPr>
              <w:t xml:space="preserve">  委托业务费</w:t>
            </w:r>
          </w:p>
        </w:tc>
        <w:tc>
          <w:tcPr>
            <w:tcW w:w="777" w:type="dxa"/>
            <w:tcBorders>
              <w:top w:val="nil"/>
              <w:left w:val="nil"/>
              <w:bottom w:val="single" w:color="auto" w:sz="4" w:space="0"/>
              <w:right w:val="single" w:color="auto" w:sz="4" w:space="0"/>
            </w:tcBorders>
            <w:shd w:val="clear" w:color="auto" w:fill="auto"/>
            <w:noWrap/>
            <w:vAlign w:val="center"/>
          </w:tcPr>
          <w:p w14:paraId="222C33CC">
            <w:pPr>
              <w:keepNext w:val="0"/>
              <w:keepLines w:val="0"/>
              <w:pageBreakBefore w:val="0"/>
              <w:widowControl/>
              <w:kinsoku/>
              <w:overflowPunct/>
              <w:topLinePunct w:val="0"/>
              <w:autoSpaceDE/>
              <w:autoSpaceDN/>
              <w:bidi w:val="0"/>
              <w:adjustRightInd/>
              <w:snapToGrid/>
              <w:spacing w:line="230" w:lineRule="exact"/>
              <w:jc w:val="center"/>
              <w:rPr>
                <w:rFonts w:hint="default" w:ascii="Times New Roman" w:hAnsi="Times New Roman" w:eastAsia="仿宋_GB2312" w:cs="Times New Roman"/>
                <w:color w:val="000000"/>
                <w:kern w:val="0"/>
                <w:szCs w:val="20"/>
                <w:lang w:val="en-US" w:eastAsia="zh-CN"/>
              </w:rPr>
            </w:pPr>
          </w:p>
        </w:tc>
        <w:tc>
          <w:tcPr>
            <w:tcW w:w="751" w:type="dxa"/>
            <w:tcBorders>
              <w:top w:val="nil"/>
              <w:left w:val="nil"/>
              <w:bottom w:val="single" w:color="auto" w:sz="4" w:space="0"/>
              <w:right w:val="single" w:color="auto" w:sz="4" w:space="0"/>
            </w:tcBorders>
            <w:shd w:val="clear" w:color="auto" w:fill="auto"/>
            <w:noWrap/>
            <w:vAlign w:val="center"/>
          </w:tcPr>
          <w:p w14:paraId="631D8591">
            <w:pPr>
              <w:keepNext w:val="0"/>
              <w:keepLines w:val="0"/>
              <w:pageBreakBefore w:val="0"/>
              <w:widowControl/>
              <w:kinsoku/>
              <w:overflowPunct/>
              <w:topLinePunct w:val="0"/>
              <w:autoSpaceDE/>
              <w:autoSpaceDN/>
              <w:bidi w:val="0"/>
              <w:adjustRightInd/>
              <w:snapToGrid/>
              <w:spacing w:line="230" w:lineRule="exact"/>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w:t>
            </w:r>
          </w:p>
        </w:tc>
        <w:tc>
          <w:tcPr>
            <w:tcW w:w="3706" w:type="dxa"/>
            <w:tcBorders>
              <w:top w:val="nil"/>
              <w:left w:val="nil"/>
              <w:bottom w:val="single" w:color="auto" w:sz="4" w:space="0"/>
              <w:right w:val="single" w:color="auto" w:sz="4" w:space="0"/>
            </w:tcBorders>
            <w:shd w:val="clear" w:color="auto" w:fill="auto"/>
            <w:noWrap/>
            <w:vAlign w:val="center"/>
          </w:tcPr>
          <w:p w14:paraId="1E3EB4B4">
            <w:pPr>
              <w:keepNext w:val="0"/>
              <w:keepLines w:val="0"/>
              <w:pageBreakBefore w:val="0"/>
              <w:widowControl/>
              <w:kinsoku/>
              <w:overflowPunct/>
              <w:topLinePunct w:val="0"/>
              <w:autoSpaceDE/>
              <w:autoSpaceDN/>
              <w:bidi w:val="0"/>
              <w:adjustRightInd/>
              <w:snapToGrid/>
              <w:spacing w:line="230" w:lineRule="exact"/>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其他支出</w:t>
            </w:r>
          </w:p>
        </w:tc>
        <w:tc>
          <w:tcPr>
            <w:tcW w:w="1002" w:type="dxa"/>
            <w:tcBorders>
              <w:top w:val="nil"/>
              <w:left w:val="nil"/>
              <w:bottom w:val="single" w:color="auto" w:sz="4" w:space="0"/>
              <w:right w:val="single" w:color="auto" w:sz="4" w:space="0"/>
            </w:tcBorders>
            <w:shd w:val="clear" w:color="auto" w:fill="auto"/>
            <w:noWrap/>
            <w:vAlign w:val="center"/>
          </w:tcPr>
          <w:p w14:paraId="0E56E960">
            <w:pPr>
              <w:keepNext w:val="0"/>
              <w:keepLines w:val="0"/>
              <w:pageBreakBefore w:val="0"/>
              <w:widowControl/>
              <w:kinsoku/>
              <w:overflowPunct/>
              <w:topLinePunct w:val="0"/>
              <w:autoSpaceDE/>
              <w:autoSpaceDN/>
              <w:bidi w:val="0"/>
              <w:adjustRightInd/>
              <w:snapToGrid/>
              <w:spacing w:line="230" w:lineRule="exact"/>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7A0C373E">
        <w:tblPrEx>
          <w:tblCellMar>
            <w:top w:w="0" w:type="dxa"/>
            <w:left w:w="108" w:type="dxa"/>
            <w:bottom w:w="0" w:type="dxa"/>
            <w:right w:w="108" w:type="dxa"/>
          </w:tblCellMar>
        </w:tblPrEx>
        <w:trPr>
          <w:trHeight w:val="255" w:hRule="exact"/>
          <w:jc w:val="center"/>
        </w:trPr>
        <w:tc>
          <w:tcPr>
            <w:tcW w:w="743" w:type="dxa"/>
            <w:tcBorders>
              <w:top w:val="nil"/>
              <w:left w:val="single" w:color="auto" w:sz="4" w:space="0"/>
              <w:bottom w:val="single" w:color="auto" w:sz="4" w:space="0"/>
              <w:right w:val="single" w:color="auto" w:sz="4" w:space="0"/>
            </w:tcBorders>
            <w:shd w:val="clear" w:color="auto" w:fill="auto"/>
            <w:noWrap/>
            <w:vAlign w:val="center"/>
          </w:tcPr>
          <w:p w14:paraId="40374C15">
            <w:pPr>
              <w:keepNext w:val="0"/>
              <w:keepLines w:val="0"/>
              <w:pageBreakBefore w:val="0"/>
              <w:widowControl/>
              <w:kinsoku/>
              <w:overflowPunct/>
              <w:topLinePunct w:val="0"/>
              <w:autoSpaceDE/>
              <w:autoSpaceDN/>
              <w:bidi w:val="0"/>
              <w:adjustRightInd/>
              <w:snapToGrid/>
              <w:spacing w:line="230" w:lineRule="exact"/>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30307</w:t>
            </w:r>
          </w:p>
        </w:tc>
        <w:tc>
          <w:tcPr>
            <w:tcW w:w="3596" w:type="dxa"/>
            <w:tcBorders>
              <w:top w:val="nil"/>
              <w:left w:val="nil"/>
              <w:bottom w:val="single" w:color="auto" w:sz="4" w:space="0"/>
              <w:right w:val="single" w:color="auto" w:sz="4" w:space="0"/>
            </w:tcBorders>
            <w:shd w:val="clear" w:color="auto" w:fill="auto"/>
            <w:noWrap/>
            <w:vAlign w:val="center"/>
          </w:tcPr>
          <w:p w14:paraId="7180F800">
            <w:pPr>
              <w:keepNext w:val="0"/>
              <w:keepLines w:val="0"/>
              <w:pageBreakBefore w:val="0"/>
              <w:widowControl/>
              <w:kinsoku/>
              <w:overflowPunct/>
              <w:topLinePunct w:val="0"/>
              <w:autoSpaceDE/>
              <w:autoSpaceDN/>
              <w:bidi w:val="0"/>
              <w:adjustRightInd/>
              <w:snapToGrid/>
              <w:spacing w:line="230" w:lineRule="exact"/>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医疗费补助</w:t>
            </w:r>
          </w:p>
        </w:tc>
        <w:tc>
          <w:tcPr>
            <w:tcW w:w="796" w:type="dxa"/>
            <w:tcBorders>
              <w:top w:val="nil"/>
              <w:left w:val="nil"/>
              <w:bottom w:val="single" w:color="auto" w:sz="4" w:space="0"/>
              <w:right w:val="single" w:color="auto" w:sz="4" w:space="0"/>
            </w:tcBorders>
            <w:shd w:val="clear" w:color="auto" w:fill="auto"/>
            <w:noWrap/>
            <w:vAlign w:val="center"/>
          </w:tcPr>
          <w:p w14:paraId="38B61598">
            <w:pPr>
              <w:keepNext w:val="0"/>
              <w:keepLines w:val="0"/>
              <w:pageBreakBefore w:val="0"/>
              <w:widowControl/>
              <w:kinsoku/>
              <w:overflowPunct/>
              <w:topLinePunct w:val="0"/>
              <w:autoSpaceDE/>
              <w:autoSpaceDN/>
              <w:bidi w:val="0"/>
              <w:adjustRightInd/>
              <w:snapToGrid/>
              <w:spacing w:line="230" w:lineRule="exact"/>
              <w:jc w:val="center"/>
              <w:rPr>
                <w:rFonts w:ascii="Times New Roman" w:hAnsi="Times New Roman" w:eastAsia="仿宋_GB2312" w:cs="Times New Roman"/>
                <w:color w:val="000000"/>
                <w:kern w:val="0"/>
                <w:szCs w:val="20"/>
              </w:rPr>
            </w:pPr>
          </w:p>
        </w:tc>
        <w:tc>
          <w:tcPr>
            <w:tcW w:w="980" w:type="dxa"/>
            <w:tcBorders>
              <w:top w:val="nil"/>
              <w:left w:val="nil"/>
              <w:bottom w:val="single" w:color="auto" w:sz="4" w:space="0"/>
              <w:right w:val="single" w:color="auto" w:sz="4" w:space="0"/>
            </w:tcBorders>
            <w:shd w:val="clear" w:color="auto" w:fill="auto"/>
            <w:noWrap/>
            <w:vAlign w:val="center"/>
          </w:tcPr>
          <w:p w14:paraId="0687BBAC">
            <w:pPr>
              <w:keepNext w:val="0"/>
              <w:keepLines w:val="0"/>
              <w:pageBreakBefore w:val="0"/>
              <w:widowControl/>
              <w:kinsoku/>
              <w:overflowPunct/>
              <w:topLinePunct w:val="0"/>
              <w:autoSpaceDE/>
              <w:autoSpaceDN/>
              <w:bidi w:val="0"/>
              <w:adjustRightInd/>
              <w:snapToGrid/>
              <w:spacing w:line="230" w:lineRule="exact"/>
              <w:jc w:val="left"/>
              <w:rPr>
                <w:rFonts w:ascii="Times New Roman" w:hAnsi="Times New Roman" w:eastAsia="仿宋_GB2312" w:cs="Times New Roman"/>
                <w:color w:val="000000"/>
                <w:kern w:val="0"/>
                <w:sz w:val="21"/>
                <w:szCs w:val="20"/>
                <w:lang w:val="en-US" w:eastAsia="zh-CN" w:bidi="ar-SA"/>
              </w:rPr>
            </w:pPr>
            <w:r>
              <w:rPr>
                <w:rFonts w:ascii="Times New Roman" w:hAnsi="Times New Roman" w:eastAsia="仿宋_GB2312" w:cs="Times New Roman"/>
                <w:color w:val="000000"/>
                <w:kern w:val="0"/>
                <w:szCs w:val="20"/>
              </w:rPr>
              <w:t>30228</w:t>
            </w:r>
          </w:p>
        </w:tc>
        <w:tc>
          <w:tcPr>
            <w:tcW w:w="2072" w:type="dxa"/>
            <w:tcBorders>
              <w:top w:val="nil"/>
              <w:left w:val="nil"/>
              <w:bottom w:val="single" w:color="auto" w:sz="4" w:space="0"/>
              <w:right w:val="single" w:color="auto" w:sz="4" w:space="0"/>
            </w:tcBorders>
            <w:shd w:val="clear" w:color="auto" w:fill="auto"/>
            <w:noWrap/>
            <w:vAlign w:val="center"/>
          </w:tcPr>
          <w:p w14:paraId="0507561C">
            <w:pPr>
              <w:keepNext w:val="0"/>
              <w:keepLines w:val="0"/>
              <w:pageBreakBefore w:val="0"/>
              <w:widowControl/>
              <w:kinsoku/>
              <w:overflowPunct/>
              <w:topLinePunct w:val="0"/>
              <w:autoSpaceDE/>
              <w:autoSpaceDN/>
              <w:bidi w:val="0"/>
              <w:adjustRightInd/>
              <w:snapToGrid/>
              <w:spacing w:line="230" w:lineRule="exact"/>
              <w:jc w:val="left"/>
              <w:rPr>
                <w:rFonts w:ascii="Times New Roman" w:hAnsi="Times New Roman" w:eastAsia="仿宋_GB2312" w:cs="Times New Roman"/>
                <w:color w:val="000000"/>
                <w:kern w:val="0"/>
                <w:sz w:val="21"/>
                <w:szCs w:val="20"/>
                <w:lang w:val="en-US" w:eastAsia="zh-CN" w:bidi="ar-SA"/>
              </w:rPr>
            </w:pPr>
            <w:r>
              <w:rPr>
                <w:rFonts w:ascii="Times New Roman" w:hAnsi="Times New Roman" w:eastAsia="仿宋_GB2312" w:cs="Times New Roman"/>
                <w:color w:val="000000"/>
                <w:kern w:val="0"/>
                <w:szCs w:val="20"/>
              </w:rPr>
              <w:t xml:space="preserve">  工会经费</w:t>
            </w:r>
          </w:p>
        </w:tc>
        <w:tc>
          <w:tcPr>
            <w:tcW w:w="777" w:type="dxa"/>
            <w:tcBorders>
              <w:top w:val="nil"/>
              <w:left w:val="nil"/>
              <w:bottom w:val="single" w:color="auto" w:sz="4" w:space="0"/>
              <w:right w:val="single" w:color="auto" w:sz="4" w:space="0"/>
            </w:tcBorders>
            <w:shd w:val="clear" w:color="auto" w:fill="auto"/>
            <w:noWrap/>
            <w:vAlign w:val="center"/>
          </w:tcPr>
          <w:p w14:paraId="7AA413A1">
            <w:pPr>
              <w:keepNext w:val="0"/>
              <w:keepLines w:val="0"/>
              <w:pageBreakBefore w:val="0"/>
              <w:widowControl/>
              <w:kinsoku/>
              <w:overflowPunct/>
              <w:topLinePunct w:val="0"/>
              <w:autoSpaceDE/>
              <w:autoSpaceDN/>
              <w:bidi w:val="0"/>
              <w:adjustRightInd/>
              <w:snapToGrid/>
              <w:spacing w:line="230" w:lineRule="exact"/>
              <w:jc w:val="center"/>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1.50</w:t>
            </w:r>
          </w:p>
        </w:tc>
        <w:tc>
          <w:tcPr>
            <w:tcW w:w="751" w:type="dxa"/>
            <w:tcBorders>
              <w:top w:val="nil"/>
              <w:left w:val="nil"/>
              <w:bottom w:val="single" w:color="auto" w:sz="4" w:space="0"/>
              <w:right w:val="single" w:color="auto" w:sz="4" w:space="0"/>
            </w:tcBorders>
            <w:shd w:val="clear" w:color="auto" w:fill="auto"/>
            <w:noWrap/>
            <w:vAlign w:val="center"/>
          </w:tcPr>
          <w:p w14:paraId="3E2B1159">
            <w:pPr>
              <w:keepNext w:val="0"/>
              <w:keepLines w:val="0"/>
              <w:pageBreakBefore w:val="0"/>
              <w:widowControl/>
              <w:kinsoku/>
              <w:overflowPunct/>
              <w:topLinePunct w:val="0"/>
              <w:autoSpaceDE/>
              <w:autoSpaceDN/>
              <w:bidi w:val="0"/>
              <w:adjustRightInd/>
              <w:snapToGrid/>
              <w:spacing w:line="230" w:lineRule="exact"/>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39907</w:t>
            </w:r>
          </w:p>
        </w:tc>
        <w:tc>
          <w:tcPr>
            <w:tcW w:w="3706" w:type="dxa"/>
            <w:tcBorders>
              <w:top w:val="nil"/>
              <w:left w:val="nil"/>
              <w:bottom w:val="single" w:color="auto" w:sz="4" w:space="0"/>
              <w:right w:val="single" w:color="auto" w:sz="4" w:space="0"/>
            </w:tcBorders>
            <w:shd w:val="clear" w:color="auto" w:fill="auto"/>
            <w:noWrap/>
            <w:vAlign w:val="center"/>
          </w:tcPr>
          <w:p w14:paraId="0A990732">
            <w:pPr>
              <w:keepNext w:val="0"/>
              <w:keepLines w:val="0"/>
              <w:pageBreakBefore w:val="0"/>
              <w:widowControl/>
              <w:kinsoku/>
              <w:overflowPunct/>
              <w:topLinePunct w:val="0"/>
              <w:autoSpaceDE/>
              <w:autoSpaceDN/>
              <w:bidi w:val="0"/>
              <w:adjustRightInd/>
              <w:snapToGrid/>
              <w:spacing w:line="230" w:lineRule="exact"/>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国家赔偿费用支出</w:t>
            </w:r>
          </w:p>
        </w:tc>
        <w:tc>
          <w:tcPr>
            <w:tcW w:w="1002" w:type="dxa"/>
            <w:tcBorders>
              <w:top w:val="nil"/>
              <w:left w:val="nil"/>
              <w:bottom w:val="single" w:color="auto" w:sz="4" w:space="0"/>
              <w:right w:val="single" w:color="auto" w:sz="4" w:space="0"/>
            </w:tcBorders>
            <w:shd w:val="clear" w:color="auto" w:fill="auto"/>
            <w:noWrap/>
            <w:vAlign w:val="center"/>
          </w:tcPr>
          <w:p w14:paraId="343C2F38">
            <w:pPr>
              <w:keepNext w:val="0"/>
              <w:keepLines w:val="0"/>
              <w:pageBreakBefore w:val="0"/>
              <w:widowControl/>
              <w:kinsoku/>
              <w:overflowPunct/>
              <w:topLinePunct w:val="0"/>
              <w:autoSpaceDE/>
              <w:autoSpaceDN/>
              <w:bidi w:val="0"/>
              <w:adjustRightInd/>
              <w:snapToGrid/>
              <w:spacing w:line="230" w:lineRule="exact"/>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12A8592D">
        <w:tblPrEx>
          <w:tblCellMar>
            <w:top w:w="0" w:type="dxa"/>
            <w:left w:w="108" w:type="dxa"/>
            <w:bottom w:w="0" w:type="dxa"/>
            <w:right w:w="108" w:type="dxa"/>
          </w:tblCellMar>
        </w:tblPrEx>
        <w:trPr>
          <w:trHeight w:val="255" w:hRule="exact"/>
          <w:jc w:val="center"/>
        </w:trPr>
        <w:tc>
          <w:tcPr>
            <w:tcW w:w="743" w:type="dxa"/>
            <w:tcBorders>
              <w:top w:val="nil"/>
              <w:left w:val="single" w:color="auto" w:sz="4" w:space="0"/>
              <w:bottom w:val="single" w:color="auto" w:sz="4" w:space="0"/>
              <w:right w:val="single" w:color="auto" w:sz="4" w:space="0"/>
            </w:tcBorders>
            <w:shd w:val="clear" w:color="auto" w:fill="auto"/>
            <w:noWrap/>
            <w:vAlign w:val="center"/>
          </w:tcPr>
          <w:p w14:paraId="472E331C">
            <w:pPr>
              <w:keepNext w:val="0"/>
              <w:keepLines w:val="0"/>
              <w:pageBreakBefore w:val="0"/>
              <w:widowControl/>
              <w:kinsoku/>
              <w:overflowPunct/>
              <w:topLinePunct w:val="0"/>
              <w:autoSpaceDE/>
              <w:autoSpaceDN/>
              <w:bidi w:val="0"/>
              <w:adjustRightInd/>
              <w:snapToGrid/>
              <w:spacing w:line="230" w:lineRule="exact"/>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30308</w:t>
            </w:r>
          </w:p>
        </w:tc>
        <w:tc>
          <w:tcPr>
            <w:tcW w:w="3596" w:type="dxa"/>
            <w:tcBorders>
              <w:top w:val="nil"/>
              <w:left w:val="nil"/>
              <w:bottom w:val="single" w:color="auto" w:sz="4" w:space="0"/>
              <w:right w:val="single" w:color="auto" w:sz="4" w:space="0"/>
            </w:tcBorders>
            <w:shd w:val="clear" w:color="auto" w:fill="auto"/>
            <w:noWrap/>
            <w:vAlign w:val="center"/>
          </w:tcPr>
          <w:p w14:paraId="05B207BC">
            <w:pPr>
              <w:keepNext w:val="0"/>
              <w:keepLines w:val="0"/>
              <w:pageBreakBefore w:val="0"/>
              <w:widowControl/>
              <w:kinsoku/>
              <w:overflowPunct/>
              <w:topLinePunct w:val="0"/>
              <w:autoSpaceDE/>
              <w:autoSpaceDN/>
              <w:bidi w:val="0"/>
              <w:adjustRightInd/>
              <w:snapToGrid/>
              <w:spacing w:line="230" w:lineRule="exact"/>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助学金</w:t>
            </w:r>
          </w:p>
        </w:tc>
        <w:tc>
          <w:tcPr>
            <w:tcW w:w="796" w:type="dxa"/>
            <w:tcBorders>
              <w:top w:val="nil"/>
              <w:left w:val="nil"/>
              <w:bottom w:val="single" w:color="auto" w:sz="4" w:space="0"/>
              <w:right w:val="single" w:color="auto" w:sz="4" w:space="0"/>
            </w:tcBorders>
            <w:shd w:val="clear" w:color="auto" w:fill="auto"/>
            <w:noWrap/>
            <w:vAlign w:val="center"/>
          </w:tcPr>
          <w:p w14:paraId="0A983F45">
            <w:pPr>
              <w:keepNext w:val="0"/>
              <w:keepLines w:val="0"/>
              <w:pageBreakBefore w:val="0"/>
              <w:widowControl/>
              <w:kinsoku/>
              <w:overflowPunct/>
              <w:topLinePunct w:val="0"/>
              <w:autoSpaceDE/>
              <w:autoSpaceDN/>
              <w:bidi w:val="0"/>
              <w:adjustRightInd/>
              <w:snapToGrid/>
              <w:spacing w:line="230" w:lineRule="exact"/>
              <w:jc w:val="center"/>
              <w:rPr>
                <w:rFonts w:ascii="Times New Roman" w:hAnsi="Times New Roman" w:eastAsia="仿宋_GB2312" w:cs="Times New Roman"/>
                <w:color w:val="000000"/>
                <w:kern w:val="0"/>
                <w:szCs w:val="20"/>
              </w:rPr>
            </w:pPr>
          </w:p>
        </w:tc>
        <w:tc>
          <w:tcPr>
            <w:tcW w:w="980" w:type="dxa"/>
            <w:tcBorders>
              <w:top w:val="nil"/>
              <w:left w:val="nil"/>
              <w:bottom w:val="single" w:color="auto" w:sz="4" w:space="0"/>
              <w:right w:val="single" w:color="auto" w:sz="4" w:space="0"/>
            </w:tcBorders>
            <w:shd w:val="clear" w:color="auto" w:fill="auto"/>
            <w:noWrap/>
            <w:vAlign w:val="center"/>
          </w:tcPr>
          <w:p w14:paraId="0F318C26">
            <w:pPr>
              <w:keepNext w:val="0"/>
              <w:keepLines w:val="0"/>
              <w:pageBreakBefore w:val="0"/>
              <w:widowControl/>
              <w:kinsoku/>
              <w:overflowPunct/>
              <w:topLinePunct w:val="0"/>
              <w:autoSpaceDE/>
              <w:autoSpaceDN/>
              <w:bidi w:val="0"/>
              <w:adjustRightInd/>
              <w:snapToGrid/>
              <w:spacing w:line="230" w:lineRule="exact"/>
              <w:jc w:val="left"/>
              <w:rPr>
                <w:rFonts w:ascii="Times New Roman" w:hAnsi="Times New Roman" w:eastAsia="仿宋_GB2312" w:cs="Times New Roman"/>
                <w:color w:val="000000"/>
                <w:kern w:val="0"/>
                <w:sz w:val="21"/>
                <w:szCs w:val="20"/>
                <w:lang w:val="en-US" w:eastAsia="zh-CN" w:bidi="ar-SA"/>
              </w:rPr>
            </w:pPr>
            <w:r>
              <w:rPr>
                <w:rFonts w:ascii="Times New Roman" w:hAnsi="Times New Roman" w:eastAsia="仿宋_GB2312" w:cs="Times New Roman"/>
                <w:color w:val="000000"/>
                <w:kern w:val="0"/>
                <w:szCs w:val="20"/>
              </w:rPr>
              <w:t>30229</w:t>
            </w:r>
          </w:p>
        </w:tc>
        <w:tc>
          <w:tcPr>
            <w:tcW w:w="2072" w:type="dxa"/>
            <w:tcBorders>
              <w:top w:val="nil"/>
              <w:left w:val="nil"/>
              <w:bottom w:val="single" w:color="auto" w:sz="4" w:space="0"/>
              <w:right w:val="single" w:color="auto" w:sz="4" w:space="0"/>
            </w:tcBorders>
            <w:shd w:val="clear" w:color="auto" w:fill="auto"/>
            <w:noWrap/>
            <w:vAlign w:val="center"/>
          </w:tcPr>
          <w:p w14:paraId="7D4A3027">
            <w:pPr>
              <w:keepNext w:val="0"/>
              <w:keepLines w:val="0"/>
              <w:pageBreakBefore w:val="0"/>
              <w:widowControl/>
              <w:kinsoku/>
              <w:overflowPunct/>
              <w:topLinePunct w:val="0"/>
              <w:autoSpaceDE/>
              <w:autoSpaceDN/>
              <w:bidi w:val="0"/>
              <w:adjustRightInd/>
              <w:snapToGrid/>
              <w:spacing w:line="230" w:lineRule="exact"/>
              <w:jc w:val="left"/>
              <w:rPr>
                <w:rFonts w:ascii="Times New Roman" w:hAnsi="Times New Roman" w:eastAsia="仿宋_GB2312" w:cs="Times New Roman"/>
                <w:color w:val="000000"/>
                <w:kern w:val="0"/>
                <w:sz w:val="21"/>
                <w:szCs w:val="20"/>
                <w:lang w:val="en-US" w:eastAsia="zh-CN" w:bidi="ar-SA"/>
              </w:rPr>
            </w:pPr>
            <w:r>
              <w:rPr>
                <w:rFonts w:ascii="Times New Roman" w:hAnsi="Times New Roman" w:eastAsia="仿宋_GB2312" w:cs="Times New Roman"/>
                <w:color w:val="000000"/>
                <w:kern w:val="0"/>
                <w:szCs w:val="20"/>
              </w:rPr>
              <w:t xml:space="preserve">  福利费</w:t>
            </w:r>
          </w:p>
        </w:tc>
        <w:tc>
          <w:tcPr>
            <w:tcW w:w="777" w:type="dxa"/>
            <w:tcBorders>
              <w:top w:val="nil"/>
              <w:left w:val="nil"/>
              <w:bottom w:val="single" w:color="auto" w:sz="4" w:space="0"/>
              <w:right w:val="single" w:color="auto" w:sz="4" w:space="0"/>
            </w:tcBorders>
            <w:shd w:val="clear" w:color="auto" w:fill="auto"/>
            <w:noWrap/>
            <w:vAlign w:val="center"/>
          </w:tcPr>
          <w:p w14:paraId="161755CC">
            <w:pPr>
              <w:keepNext w:val="0"/>
              <w:keepLines w:val="0"/>
              <w:pageBreakBefore w:val="0"/>
              <w:widowControl/>
              <w:kinsoku/>
              <w:overflowPunct/>
              <w:topLinePunct w:val="0"/>
              <w:autoSpaceDE/>
              <w:autoSpaceDN/>
              <w:bidi w:val="0"/>
              <w:adjustRightInd/>
              <w:snapToGrid/>
              <w:spacing w:line="230" w:lineRule="exact"/>
              <w:jc w:val="center"/>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0.30</w:t>
            </w:r>
          </w:p>
        </w:tc>
        <w:tc>
          <w:tcPr>
            <w:tcW w:w="751" w:type="dxa"/>
            <w:tcBorders>
              <w:top w:val="nil"/>
              <w:left w:val="nil"/>
              <w:bottom w:val="single" w:color="auto" w:sz="4" w:space="0"/>
              <w:right w:val="single" w:color="auto" w:sz="4" w:space="0"/>
            </w:tcBorders>
            <w:shd w:val="clear" w:color="auto" w:fill="auto"/>
            <w:noWrap/>
            <w:vAlign w:val="center"/>
          </w:tcPr>
          <w:p w14:paraId="3590B9EE">
            <w:pPr>
              <w:keepNext w:val="0"/>
              <w:keepLines w:val="0"/>
              <w:pageBreakBefore w:val="0"/>
              <w:widowControl/>
              <w:kinsoku/>
              <w:overflowPunct/>
              <w:topLinePunct w:val="0"/>
              <w:autoSpaceDE/>
              <w:autoSpaceDN/>
              <w:bidi w:val="0"/>
              <w:adjustRightInd/>
              <w:snapToGrid/>
              <w:spacing w:line="230" w:lineRule="exact"/>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39908</w:t>
            </w:r>
          </w:p>
        </w:tc>
        <w:tc>
          <w:tcPr>
            <w:tcW w:w="3706" w:type="dxa"/>
            <w:tcBorders>
              <w:top w:val="nil"/>
              <w:left w:val="nil"/>
              <w:bottom w:val="single" w:color="auto" w:sz="4" w:space="0"/>
              <w:right w:val="single" w:color="auto" w:sz="4" w:space="0"/>
            </w:tcBorders>
            <w:shd w:val="clear" w:color="auto" w:fill="auto"/>
            <w:noWrap/>
            <w:vAlign w:val="center"/>
          </w:tcPr>
          <w:p w14:paraId="34965E40">
            <w:pPr>
              <w:keepNext w:val="0"/>
              <w:keepLines w:val="0"/>
              <w:pageBreakBefore w:val="0"/>
              <w:widowControl/>
              <w:kinsoku/>
              <w:overflowPunct/>
              <w:topLinePunct w:val="0"/>
              <w:autoSpaceDE/>
              <w:autoSpaceDN/>
              <w:bidi w:val="0"/>
              <w:adjustRightInd/>
              <w:snapToGrid/>
              <w:spacing w:line="230" w:lineRule="exact"/>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w:t>
            </w:r>
            <w:r>
              <w:rPr>
                <w:rFonts w:ascii="Times New Roman" w:hAnsi="Times New Roman" w:eastAsia="仿宋_GB2312" w:cs="Times New Roman"/>
                <w:color w:val="000000"/>
                <w:kern w:val="0"/>
                <w:sz w:val="18"/>
                <w:szCs w:val="18"/>
              </w:rPr>
              <w:t>对民间非营利组织和群众性自治组织补贴</w:t>
            </w:r>
          </w:p>
        </w:tc>
        <w:tc>
          <w:tcPr>
            <w:tcW w:w="1002" w:type="dxa"/>
            <w:tcBorders>
              <w:top w:val="nil"/>
              <w:left w:val="nil"/>
              <w:bottom w:val="single" w:color="auto" w:sz="4" w:space="0"/>
              <w:right w:val="single" w:color="auto" w:sz="4" w:space="0"/>
            </w:tcBorders>
            <w:shd w:val="clear" w:color="auto" w:fill="auto"/>
            <w:noWrap/>
            <w:vAlign w:val="center"/>
          </w:tcPr>
          <w:p w14:paraId="0FD0E6ED">
            <w:pPr>
              <w:keepNext w:val="0"/>
              <w:keepLines w:val="0"/>
              <w:pageBreakBefore w:val="0"/>
              <w:widowControl/>
              <w:kinsoku/>
              <w:overflowPunct/>
              <w:topLinePunct w:val="0"/>
              <w:autoSpaceDE/>
              <w:autoSpaceDN/>
              <w:bidi w:val="0"/>
              <w:adjustRightInd/>
              <w:snapToGrid/>
              <w:spacing w:line="230" w:lineRule="exact"/>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6AAF2156">
        <w:tblPrEx>
          <w:tblCellMar>
            <w:top w:w="0" w:type="dxa"/>
            <w:left w:w="108" w:type="dxa"/>
            <w:bottom w:w="0" w:type="dxa"/>
            <w:right w:w="108" w:type="dxa"/>
          </w:tblCellMar>
        </w:tblPrEx>
        <w:trPr>
          <w:trHeight w:val="255" w:hRule="exact"/>
          <w:jc w:val="center"/>
        </w:trPr>
        <w:tc>
          <w:tcPr>
            <w:tcW w:w="74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0AD6D5C">
            <w:pPr>
              <w:keepNext w:val="0"/>
              <w:keepLines w:val="0"/>
              <w:pageBreakBefore w:val="0"/>
              <w:widowControl/>
              <w:kinsoku/>
              <w:overflowPunct/>
              <w:topLinePunct w:val="0"/>
              <w:autoSpaceDE/>
              <w:autoSpaceDN/>
              <w:bidi w:val="0"/>
              <w:adjustRightInd/>
              <w:snapToGrid/>
              <w:spacing w:line="230" w:lineRule="exact"/>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30309</w:t>
            </w:r>
          </w:p>
        </w:tc>
        <w:tc>
          <w:tcPr>
            <w:tcW w:w="359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1DF2597">
            <w:pPr>
              <w:keepNext w:val="0"/>
              <w:keepLines w:val="0"/>
              <w:pageBreakBefore w:val="0"/>
              <w:widowControl/>
              <w:kinsoku/>
              <w:overflowPunct/>
              <w:topLinePunct w:val="0"/>
              <w:autoSpaceDE/>
              <w:autoSpaceDN/>
              <w:bidi w:val="0"/>
              <w:adjustRightInd/>
              <w:snapToGrid/>
              <w:spacing w:line="230" w:lineRule="exact"/>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奖励金</w:t>
            </w:r>
          </w:p>
        </w:tc>
        <w:tc>
          <w:tcPr>
            <w:tcW w:w="79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2E80596">
            <w:pPr>
              <w:keepNext w:val="0"/>
              <w:keepLines w:val="0"/>
              <w:pageBreakBefore w:val="0"/>
              <w:widowControl/>
              <w:kinsoku/>
              <w:overflowPunct/>
              <w:topLinePunct w:val="0"/>
              <w:autoSpaceDE/>
              <w:autoSpaceDN/>
              <w:bidi w:val="0"/>
              <w:adjustRightInd/>
              <w:snapToGrid/>
              <w:spacing w:line="230" w:lineRule="exact"/>
              <w:jc w:val="center"/>
              <w:rPr>
                <w:rFonts w:ascii="Times New Roman" w:hAnsi="Times New Roman" w:eastAsia="仿宋_GB2312" w:cs="Times New Roman"/>
                <w:color w:val="000000"/>
                <w:kern w:val="0"/>
                <w:szCs w:val="20"/>
              </w:rPr>
            </w:pPr>
          </w:p>
        </w:tc>
        <w:tc>
          <w:tcPr>
            <w:tcW w:w="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461C138">
            <w:pPr>
              <w:keepNext w:val="0"/>
              <w:keepLines w:val="0"/>
              <w:pageBreakBefore w:val="0"/>
              <w:widowControl/>
              <w:kinsoku/>
              <w:overflowPunct/>
              <w:topLinePunct w:val="0"/>
              <w:autoSpaceDE/>
              <w:autoSpaceDN/>
              <w:bidi w:val="0"/>
              <w:adjustRightInd/>
              <w:snapToGrid/>
              <w:spacing w:line="230" w:lineRule="exact"/>
              <w:jc w:val="left"/>
              <w:rPr>
                <w:rFonts w:ascii="Times New Roman" w:hAnsi="Times New Roman" w:eastAsia="仿宋_GB2312" w:cs="Times New Roman"/>
                <w:color w:val="000000"/>
                <w:kern w:val="0"/>
                <w:sz w:val="21"/>
                <w:szCs w:val="20"/>
                <w:lang w:val="en-US" w:eastAsia="zh-CN" w:bidi="ar-SA"/>
              </w:rPr>
            </w:pPr>
            <w:r>
              <w:rPr>
                <w:rFonts w:ascii="Times New Roman" w:hAnsi="Times New Roman" w:eastAsia="仿宋_GB2312" w:cs="Times New Roman"/>
                <w:color w:val="000000"/>
                <w:kern w:val="0"/>
                <w:szCs w:val="20"/>
              </w:rPr>
              <w:t>30231</w:t>
            </w:r>
          </w:p>
        </w:tc>
        <w:tc>
          <w:tcPr>
            <w:tcW w:w="207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68AF4CE">
            <w:pPr>
              <w:keepNext w:val="0"/>
              <w:keepLines w:val="0"/>
              <w:pageBreakBefore w:val="0"/>
              <w:widowControl/>
              <w:kinsoku/>
              <w:overflowPunct/>
              <w:topLinePunct w:val="0"/>
              <w:autoSpaceDE/>
              <w:autoSpaceDN/>
              <w:bidi w:val="0"/>
              <w:adjustRightInd/>
              <w:snapToGrid/>
              <w:spacing w:line="230" w:lineRule="exact"/>
              <w:jc w:val="left"/>
              <w:rPr>
                <w:rFonts w:ascii="Times New Roman" w:hAnsi="Times New Roman" w:eastAsia="仿宋_GB2312" w:cs="Times New Roman"/>
                <w:color w:val="000000"/>
                <w:kern w:val="0"/>
                <w:sz w:val="21"/>
                <w:szCs w:val="20"/>
                <w:lang w:val="en-US" w:eastAsia="zh-CN" w:bidi="ar-SA"/>
              </w:rPr>
            </w:pPr>
            <w:r>
              <w:rPr>
                <w:rFonts w:ascii="Times New Roman" w:hAnsi="Times New Roman" w:eastAsia="仿宋_GB2312" w:cs="Times New Roman"/>
                <w:color w:val="000000"/>
                <w:kern w:val="0"/>
                <w:szCs w:val="20"/>
              </w:rPr>
              <w:t xml:space="preserve"> </w:t>
            </w:r>
            <w:r>
              <w:rPr>
                <w:rFonts w:ascii="Times New Roman" w:hAnsi="Times New Roman" w:eastAsia="仿宋_GB2312" w:cs="Times New Roman"/>
                <w:color w:val="000000"/>
                <w:kern w:val="0"/>
                <w:sz w:val="18"/>
                <w:szCs w:val="18"/>
              </w:rPr>
              <w:t xml:space="preserve"> 公务用车运行维护费</w:t>
            </w:r>
          </w:p>
        </w:tc>
        <w:tc>
          <w:tcPr>
            <w:tcW w:w="77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823E7C0">
            <w:pPr>
              <w:keepNext w:val="0"/>
              <w:keepLines w:val="0"/>
              <w:pageBreakBefore w:val="0"/>
              <w:widowControl/>
              <w:kinsoku/>
              <w:overflowPunct/>
              <w:topLinePunct w:val="0"/>
              <w:autoSpaceDE/>
              <w:autoSpaceDN/>
              <w:bidi w:val="0"/>
              <w:adjustRightInd/>
              <w:snapToGrid/>
              <w:spacing w:line="230" w:lineRule="exact"/>
              <w:jc w:val="center"/>
              <w:rPr>
                <w:rFonts w:hint="default" w:ascii="Times New Roman" w:hAnsi="Times New Roman" w:eastAsia="仿宋_GB2312" w:cs="Times New Roman"/>
                <w:color w:val="000000"/>
                <w:kern w:val="0"/>
                <w:szCs w:val="20"/>
                <w:lang w:val="en-US" w:eastAsia="zh-CN"/>
              </w:rPr>
            </w:pPr>
          </w:p>
        </w:tc>
        <w:tc>
          <w:tcPr>
            <w:tcW w:w="75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B12E116">
            <w:pPr>
              <w:keepNext w:val="0"/>
              <w:keepLines w:val="0"/>
              <w:pageBreakBefore w:val="0"/>
              <w:widowControl/>
              <w:kinsoku/>
              <w:overflowPunct/>
              <w:topLinePunct w:val="0"/>
              <w:autoSpaceDE/>
              <w:autoSpaceDN/>
              <w:bidi w:val="0"/>
              <w:adjustRightInd/>
              <w:snapToGrid/>
              <w:spacing w:line="230" w:lineRule="exact"/>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39909</w:t>
            </w:r>
          </w:p>
        </w:tc>
        <w:tc>
          <w:tcPr>
            <w:tcW w:w="370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CBF8F82">
            <w:pPr>
              <w:keepNext w:val="0"/>
              <w:keepLines w:val="0"/>
              <w:pageBreakBefore w:val="0"/>
              <w:widowControl/>
              <w:kinsoku/>
              <w:overflowPunct/>
              <w:topLinePunct w:val="0"/>
              <w:autoSpaceDE/>
              <w:autoSpaceDN/>
              <w:bidi w:val="0"/>
              <w:adjustRightInd/>
              <w:snapToGrid/>
              <w:spacing w:line="230" w:lineRule="exact"/>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经常性赠与</w:t>
            </w:r>
          </w:p>
          <w:p w14:paraId="2A5AC971">
            <w:pPr>
              <w:keepNext w:val="0"/>
              <w:keepLines w:val="0"/>
              <w:pageBreakBefore w:val="0"/>
              <w:widowControl/>
              <w:kinsoku/>
              <w:overflowPunct/>
              <w:topLinePunct w:val="0"/>
              <w:autoSpaceDE/>
              <w:autoSpaceDN/>
              <w:bidi w:val="0"/>
              <w:adjustRightInd/>
              <w:snapToGrid/>
              <w:spacing w:line="230" w:lineRule="exact"/>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资本性赠与</w:t>
            </w:r>
          </w:p>
          <w:p w14:paraId="3AA77F7D">
            <w:pPr>
              <w:keepNext w:val="0"/>
              <w:keepLines w:val="0"/>
              <w:pageBreakBefore w:val="0"/>
              <w:widowControl/>
              <w:kinsoku/>
              <w:overflowPunct/>
              <w:topLinePunct w:val="0"/>
              <w:autoSpaceDE/>
              <w:autoSpaceDN/>
              <w:bidi w:val="0"/>
              <w:adjustRightInd/>
              <w:snapToGrid/>
              <w:spacing w:line="230" w:lineRule="exact"/>
              <w:jc w:val="left"/>
              <w:rPr>
                <w:rFonts w:ascii="Times New Roman" w:hAnsi="Times New Roman" w:eastAsia="仿宋_GB2312" w:cs="Times New Roman"/>
                <w:color w:val="000000"/>
                <w:kern w:val="0"/>
                <w:szCs w:val="20"/>
              </w:rPr>
            </w:pPr>
          </w:p>
          <w:tbl>
            <w:tblPr>
              <w:tblStyle w:val="13"/>
              <w:tblW w:w="3946" w:type="dxa"/>
              <w:tblInd w:w="0" w:type="dxa"/>
              <w:tblLayout w:type="fixed"/>
              <w:tblCellMar>
                <w:top w:w="0" w:type="dxa"/>
                <w:left w:w="108" w:type="dxa"/>
                <w:bottom w:w="0" w:type="dxa"/>
                <w:right w:w="108" w:type="dxa"/>
              </w:tblCellMar>
            </w:tblPr>
            <w:tblGrid>
              <w:gridCol w:w="3946"/>
            </w:tblGrid>
            <w:tr w14:paraId="4214ECDF">
              <w:tblPrEx>
                <w:tblCellMar>
                  <w:top w:w="0" w:type="dxa"/>
                  <w:left w:w="108" w:type="dxa"/>
                  <w:bottom w:w="0" w:type="dxa"/>
                  <w:right w:w="108" w:type="dxa"/>
                </w:tblCellMar>
              </w:tblPrEx>
              <w:trPr>
                <w:trHeight w:val="252" w:hRule="atLeast"/>
              </w:trPr>
              <w:tc>
                <w:tcPr>
                  <w:tcW w:w="3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51CC35">
                  <w:pPr>
                    <w:keepNext w:val="0"/>
                    <w:keepLines w:val="0"/>
                    <w:pageBreakBefore w:val="0"/>
                    <w:widowControl/>
                    <w:kinsoku/>
                    <w:overflowPunct/>
                    <w:topLinePunct w:val="0"/>
                    <w:autoSpaceDE/>
                    <w:autoSpaceDN/>
                    <w:bidi w:val="0"/>
                    <w:adjustRightInd/>
                    <w:snapToGrid/>
                    <w:spacing w:line="230" w:lineRule="exact"/>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经常性赠与</w:t>
                  </w:r>
                </w:p>
              </w:tc>
            </w:tr>
            <w:tr w14:paraId="5B2A155D">
              <w:tblPrEx>
                <w:tblCellMar>
                  <w:top w:w="0" w:type="dxa"/>
                  <w:left w:w="108" w:type="dxa"/>
                  <w:bottom w:w="0" w:type="dxa"/>
                  <w:right w:w="108" w:type="dxa"/>
                </w:tblCellMar>
              </w:tblPrEx>
              <w:trPr>
                <w:trHeight w:val="252" w:hRule="atLeast"/>
              </w:trPr>
              <w:tc>
                <w:tcPr>
                  <w:tcW w:w="39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66D783">
                  <w:pPr>
                    <w:keepNext w:val="0"/>
                    <w:keepLines w:val="0"/>
                    <w:pageBreakBefore w:val="0"/>
                    <w:widowControl/>
                    <w:kinsoku/>
                    <w:overflowPunct/>
                    <w:topLinePunct w:val="0"/>
                    <w:autoSpaceDE/>
                    <w:autoSpaceDN/>
                    <w:bidi w:val="0"/>
                    <w:adjustRightInd/>
                    <w:snapToGrid/>
                    <w:spacing w:line="230" w:lineRule="exact"/>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资本性赠与</w:t>
                  </w:r>
                </w:p>
              </w:tc>
            </w:tr>
          </w:tbl>
          <w:p w14:paraId="370565EB">
            <w:pPr>
              <w:keepNext w:val="0"/>
              <w:keepLines w:val="0"/>
              <w:pageBreakBefore w:val="0"/>
              <w:widowControl/>
              <w:kinsoku/>
              <w:overflowPunct/>
              <w:topLinePunct w:val="0"/>
              <w:autoSpaceDE/>
              <w:autoSpaceDN/>
              <w:bidi w:val="0"/>
              <w:adjustRightInd/>
              <w:snapToGrid/>
              <w:spacing w:line="230" w:lineRule="exact"/>
              <w:jc w:val="left"/>
              <w:rPr>
                <w:rFonts w:ascii="Times New Roman" w:hAnsi="Times New Roman" w:eastAsia="仿宋_GB2312" w:cs="Times New Roman"/>
                <w:color w:val="000000"/>
                <w:kern w:val="0"/>
                <w:szCs w:val="20"/>
              </w:rPr>
            </w:pPr>
          </w:p>
          <w:tbl>
            <w:tblPr>
              <w:tblStyle w:val="13"/>
              <w:tblW w:w="3946" w:type="dxa"/>
              <w:tblInd w:w="0" w:type="dxa"/>
              <w:tblLayout w:type="fixed"/>
              <w:tblCellMar>
                <w:top w:w="0" w:type="dxa"/>
                <w:left w:w="108" w:type="dxa"/>
                <w:bottom w:w="0" w:type="dxa"/>
                <w:right w:w="108" w:type="dxa"/>
              </w:tblCellMar>
            </w:tblPr>
            <w:tblGrid>
              <w:gridCol w:w="3946"/>
            </w:tblGrid>
            <w:tr w14:paraId="3DA3EF05">
              <w:tblPrEx>
                <w:tblCellMar>
                  <w:top w:w="0" w:type="dxa"/>
                  <w:left w:w="108" w:type="dxa"/>
                  <w:bottom w:w="0" w:type="dxa"/>
                  <w:right w:w="108" w:type="dxa"/>
                </w:tblCellMar>
              </w:tblPrEx>
              <w:trPr>
                <w:trHeight w:val="252" w:hRule="atLeast"/>
              </w:trPr>
              <w:tc>
                <w:tcPr>
                  <w:tcW w:w="3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50D1E6">
                  <w:pPr>
                    <w:keepNext w:val="0"/>
                    <w:keepLines w:val="0"/>
                    <w:pageBreakBefore w:val="0"/>
                    <w:widowControl/>
                    <w:kinsoku/>
                    <w:overflowPunct/>
                    <w:topLinePunct w:val="0"/>
                    <w:autoSpaceDE/>
                    <w:autoSpaceDN/>
                    <w:bidi w:val="0"/>
                    <w:adjustRightInd/>
                    <w:snapToGrid/>
                    <w:spacing w:line="230" w:lineRule="exact"/>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经常性赠与</w:t>
                  </w:r>
                </w:p>
              </w:tc>
            </w:tr>
            <w:tr w14:paraId="3129EC39">
              <w:tblPrEx>
                <w:tblCellMar>
                  <w:top w:w="0" w:type="dxa"/>
                  <w:left w:w="108" w:type="dxa"/>
                  <w:bottom w:w="0" w:type="dxa"/>
                  <w:right w:w="108" w:type="dxa"/>
                </w:tblCellMar>
              </w:tblPrEx>
              <w:trPr>
                <w:trHeight w:val="252" w:hRule="atLeast"/>
              </w:trPr>
              <w:tc>
                <w:tcPr>
                  <w:tcW w:w="39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213D80">
                  <w:pPr>
                    <w:keepNext w:val="0"/>
                    <w:keepLines w:val="0"/>
                    <w:pageBreakBefore w:val="0"/>
                    <w:widowControl/>
                    <w:kinsoku/>
                    <w:overflowPunct/>
                    <w:topLinePunct w:val="0"/>
                    <w:autoSpaceDE/>
                    <w:autoSpaceDN/>
                    <w:bidi w:val="0"/>
                    <w:adjustRightInd/>
                    <w:snapToGrid/>
                    <w:spacing w:line="230" w:lineRule="exact"/>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资本性赠与</w:t>
                  </w:r>
                </w:p>
              </w:tc>
            </w:tr>
          </w:tbl>
          <w:p w14:paraId="62FF2E3B">
            <w:pPr>
              <w:keepNext w:val="0"/>
              <w:keepLines w:val="0"/>
              <w:pageBreakBefore w:val="0"/>
              <w:widowControl/>
              <w:kinsoku/>
              <w:overflowPunct/>
              <w:topLinePunct w:val="0"/>
              <w:autoSpaceDE/>
              <w:autoSpaceDN/>
              <w:bidi w:val="0"/>
              <w:adjustRightInd/>
              <w:snapToGrid/>
              <w:spacing w:line="230" w:lineRule="exact"/>
              <w:jc w:val="left"/>
              <w:rPr>
                <w:rFonts w:ascii="Times New Roman" w:hAnsi="Times New Roman" w:eastAsia="仿宋_GB2312" w:cs="Times New Roman"/>
                <w:color w:val="000000"/>
                <w:kern w:val="0"/>
                <w:szCs w:val="20"/>
              </w:rPr>
            </w:pPr>
          </w:p>
        </w:tc>
        <w:tc>
          <w:tcPr>
            <w:tcW w:w="100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BBE4417">
            <w:pPr>
              <w:keepNext w:val="0"/>
              <w:keepLines w:val="0"/>
              <w:pageBreakBefore w:val="0"/>
              <w:widowControl/>
              <w:kinsoku/>
              <w:overflowPunct/>
              <w:topLinePunct w:val="0"/>
              <w:autoSpaceDE/>
              <w:autoSpaceDN/>
              <w:bidi w:val="0"/>
              <w:adjustRightInd/>
              <w:snapToGrid/>
              <w:spacing w:line="230" w:lineRule="exact"/>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3F0E78DE">
        <w:tblPrEx>
          <w:tblCellMar>
            <w:top w:w="0" w:type="dxa"/>
            <w:left w:w="108" w:type="dxa"/>
            <w:bottom w:w="0" w:type="dxa"/>
            <w:right w:w="108" w:type="dxa"/>
          </w:tblCellMar>
        </w:tblPrEx>
        <w:trPr>
          <w:trHeight w:val="255" w:hRule="exact"/>
          <w:jc w:val="center"/>
        </w:trPr>
        <w:tc>
          <w:tcPr>
            <w:tcW w:w="74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4393D6E">
            <w:pPr>
              <w:keepNext w:val="0"/>
              <w:keepLines w:val="0"/>
              <w:pageBreakBefore w:val="0"/>
              <w:widowControl/>
              <w:kinsoku/>
              <w:overflowPunct/>
              <w:topLinePunct w:val="0"/>
              <w:autoSpaceDE/>
              <w:autoSpaceDN/>
              <w:bidi w:val="0"/>
              <w:adjustRightInd/>
              <w:snapToGrid/>
              <w:spacing w:line="230" w:lineRule="exact"/>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30310</w:t>
            </w:r>
          </w:p>
        </w:tc>
        <w:tc>
          <w:tcPr>
            <w:tcW w:w="359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41F78BC">
            <w:pPr>
              <w:keepNext w:val="0"/>
              <w:keepLines w:val="0"/>
              <w:pageBreakBefore w:val="0"/>
              <w:widowControl/>
              <w:kinsoku/>
              <w:overflowPunct/>
              <w:topLinePunct w:val="0"/>
              <w:autoSpaceDE/>
              <w:autoSpaceDN/>
              <w:bidi w:val="0"/>
              <w:adjustRightInd/>
              <w:snapToGrid/>
              <w:spacing w:line="230" w:lineRule="exact"/>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个人农业生产补贴</w:t>
            </w:r>
          </w:p>
        </w:tc>
        <w:tc>
          <w:tcPr>
            <w:tcW w:w="79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FCF5F2C">
            <w:pPr>
              <w:keepNext w:val="0"/>
              <w:keepLines w:val="0"/>
              <w:pageBreakBefore w:val="0"/>
              <w:widowControl/>
              <w:kinsoku/>
              <w:overflowPunct/>
              <w:topLinePunct w:val="0"/>
              <w:autoSpaceDE/>
              <w:autoSpaceDN/>
              <w:bidi w:val="0"/>
              <w:adjustRightInd/>
              <w:snapToGrid/>
              <w:spacing w:line="230" w:lineRule="exact"/>
              <w:jc w:val="center"/>
              <w:rPr>
                <w:rFonts w:ascii="Times New Roman" w:hAnsi="Times New Roman" w:eastAsia="仿宋_GB2312" w:cs="Times New Roman"/>
                <w:color w:val="000000"/>
                <w:kern w:val="0"/>
                <w:szCs w:val="20"/>
              </w:rPr>
            </w:pPr>
          </w:p>
        </w:tc>
        <w:tc>
          <w:tcPr>
            <w:tcW w:w="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30F24C0">
            <w:pPr>
              <w:keepNext w:val="0"/>
              <w:keepLines w:val="0"/>
              <w:pageBreakBefore w:val="0"/>
              <w:widowControl/>
              <w:kinsoku/>
              <w:overflowPunct/>
              <w:topLinePunct w:val="0"/>
              <w:autoSpaceDE/>
              <w:autoSpaceDN/>
              <w:bidi w:val="0"/>
              <w:adjustRightInd/>
              <w:snapToGrid/>
              <w:spacing w:line="230" w:lineRule="exact"/>
              <w:jc w:val="left"/>
              <w:rPr>
                <w:rFonts w:ascii="Times New Roman" w:hAnsi="Times New Roman" w:eastAsia="仿宋_GB2312" w:cs="Times New Roman"/>
                <w:color w:val="000000"/>
                <w:kern w:val="0"/>
                <w:sz w:val="21"/>
                <w:szCs w:val="20"/>
                <w:lang w:val="en-US" w:eastAsia="zh-CN" w:bidi="ar-SA"/>
              </w:rPr>
            </w:pPr>
            <w:r>
              <w:rPr>
                <w:rFonts w:ascii="Times New Roman" w:hAnsi="Times New Roman" w:eastAsia="仿宋_GB2312" w:cs="Times New Roman"/>
                <w:color w:val="000000"/>
                <w:kern w:val="0"/>
                <w:szCs w:val="20"/>
              </w:rPr>
              <w:t>30239</w:t>
            </w:r>
          </w:p>
        </w:tc>
        <w:tc>
          <w:tcPr>
            <w:tcW w:w="207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14D2D5D">
            <w:pPr>
              <w:keepNext w:val="0"/>
              <w:keepLines w:val="0"/>
              <w:pageBreakBefore w:val="0"/>
              <w:widowControl/>
              <w:kinsoku/>
              <w:overflowPunct/>
              <w:topLinePunct w:val="0"/>
              <w:autoSpaceDE/>
              <w:autoSpaceDN/>
              <w:bidi w:val="0"/>
              <w:adjustRightInd/>
              <w:snapToGrid/>
              <w:spacing w:line="230" w:lineRule="exact"/>
              <w:jc w:val="left"/>
              <w:rPr>
                <w:rFonts w:ascii="Times New Roman" w:hAnsi="Times New Roman" w:eastAsia="仿宋_GB2312" w:cs="Times New Roman"/>
                <w:color w:val="000000"/>
                <w:kern w:val="0"/>
                <w:sz w:val="21"/>
                <w:szCs w:val="20"/>
                <w:lang w:val="en-US" w:eastAsia="zh-CN" w:bidi="ar-SA"/>
              </w:rPr>
            </w:pPr>
            <w:r>
              <w:rPr>
                <w:rFonts w:ascii="Times New Roman" w:hAnsi="Times New Roman" w:eastAsia="仿宋_GB2312" w:cs="Times New Roman"/>
                <w:color w:val="000000"/>
                <w:kern w:val="0"/>
                <w:szCs w:val="20"/>
              </w:rPr>
              <w:t xml:space="preserve">  其他交通费用</w:t>
            </w:r>
          </w:p>
        </w:tc>
        <w:tc>
          <w:tcPr>
            <w:tcW w:w="77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182C2DB">
            <w:pPr>
              <w:keepNext w:val="0"/>
              <w:keepLines w:val="0"/>
              <w:pageBreakBefore w:val="0"/>
              <w:widowControl/>
              <w:kinsoku/>
              <w:overflowPunct/>
              <w:topLinePunct w:val="0"/>
              <w:autoSpaceDE/>
              <w:autoSpaceDN/>
              <w:bidi w:val="0"/>
              <w:adjustRightInd/>
              <w:snapToGrid/>
              <w:spacing w:line="230" w:lineRule="exact"/>
              <w:jc w:val="center"/>
              <w:rPr>
                <w:rFonts w:hint="eastAsia" w:ascii="Times New Roman" w:hAnsi="Times New Roman" w:eastAsia="仿宋_GB2312" w:cs="Times New Roman"/>
                <w:color w:val="000000"/>
                <w:kern w:val="0"/>
                <w:szCs w:val="20"/>
                <w:lang w:val="en-US" w:eastAsia="zh-CN"/>
              </w:rPr>
            </w:pPr>
          </w:p>
        </w:tc>
        <w:tc>
          <w:tcPr>
            <w:tcW w:w="75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1AC009E">
            <w:pPr>
              <w:keepNext w:val="0"/>
              <w:keepLines w:val="0"/>
              <w:pageBreakBefore w:val="0"/>
              <w:widowControl/>
              <w:kinsoku/>
              <w:overflowPunct/>
              <w:topLinePunct w:val="0"/>
              <w:autoSpaceDE/>
              <w:autoSpaceDN/>
              <w:bidi w:val="0"/>
              <w:adjustRightInd/>
              <w:snapToGrid/>
              <w:spacing w:line="230" w:lineRule="exact"/>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39910</w:t>
            </w:r>
          </w:p>
        </w:tc>
        <w:tc>
          <w:tcPr>
            <w:tcW w:w="370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C79EE50">
            <w:pPr>
              <w:keepNext w:val="0"/>
              <w:keepLines w:val="0"/>
              <w:pageBreakBefore w:val="0"/>
              <w:widowControl/>
              <w:kinsoku/>
              <w:overflowPunct/>
              <w:topLinePunct w:val="0"/>
              <w:autoSpaceDE/>
              <w:autoSpaceDN/>
              <w:bidi w:val="0"/>
              <w:adjustRightInd/>
              <w:snapToGrid/>
              <w:spacing w:line="230" w:lineRule="exact"/>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资本性赠与</w:t>
            </w:r>
          </w:p>
        </w:tc>
        <w:tc>
          <w:tcPr>
            <w:tcW w:w="100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DE09BA5">
            <w:pPr>
              <w:keepNext w:val="0"/>
              <w:keepLines w:val="0"/>
              <w:pageBreakBefore w:val="0"/>
              <w:widowControl/>
              <w:kinsoku/>
              <w:overflowPunct/>
              <w:topLinePunct w:val="0"/>
              <w:autoSpaceDE/>
              <w:autoSpaceDN/>
              <w:bidi w:val="0"/>
              <w:adjustRightInd/>
              <w:snapToGrid/>
              <w:spacing w:line="230" w:lineRule="exact"/>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208750AB">
        <w:tblPrEx>
          <w:tblCellMar>
            <w:top w:w="0" w:type="dxa"/>
            <w:left w:w="108" w:type="dxa"/>
            <w:bottom w:w="0" w:type="dxa"/>
            <w:right w:w="108" w:type="dxa"/>
          </w:tblCellMar>
        </w:tblPrEx>
        <w:trPr>
          <w:trHeight w:val="255" w:hRule="exact"/>
          <w:jc w:val="center"/>
        </w:trPr>
        <w:tc>
          <w:tcPr>
            <w:tcW w:w="74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41735B3">
            <w:pPr>
              <w:keepNext w:val="0"/>
              <w:keepLines w:val="0"/>
              <w:pageBreakBefore w:val="0"/>
              <w:widowControl/>
              <w:kinsoku/>
              <w:overflowPunct/>
              <w:topLinePunct w:val="0"/>
              <w:autoSpaceDE/>
              <w:autoSpaceDN/>
              <w:bidi w:val="0"/>
              <w:adjustRightInd/>
              <w:snapToGrid/>
              <w:spacing w:line="230" w:lineRule="exact"/>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30311</w:t>
            </w:r>
          </w:p>
        </w:tc>
        <w:tc>
          <w:tcPr>
            <w:tcW w:w="359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CE716E0">
            <w:pPr>
              <w:keepNext w:val="0"/>
              <w:keepLines w:val="0"/>
              <w:pageBreakBefore w:val="0"/>
              <w:widowControl/>
              <w:kinsoku/>
              <w:overflowPunct/>
              <w:topLinePunct w:val="0"/>
              <w:autoSpaceDE/>
              <w:autoSpaceDN/>
              <w:bidi w:val="0"/>
              <w:adjustRightInd/>
              <w:snapToGrid/>
              <w:spacing w:line="230" w:lineRule="exact"/>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代缴社会保险费</w:t>
            </w:r>
          </w:p>
        </w:tc>
        <w:tc>
          <w:tcPr>
            <w:tcW w:w="79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50904BE">
            <w:pPr>
              <w:keepNext w:val="0"/>
              <w:keepLines w:val="0"/>
              <w:pageBreakBefore w:val="0"/>
              <w:widowControl/>
              <w:kinsoku/>
              <w:overflowPunct/>
              <w:topLinePunct w:val="0"/>
              <w:autoSpaceDE/>
              <w:autoSpaceDN/>
              <w:bidi w:val="0"/>
              <w:adjustRightInd/>
              <w:snapToGrid/>
              <w:spacing w:line="230" w:lineRule="exact"/>
              <w:jc w:val="center"/>
              <w:rPr>
                <w:rFonts w:ascii="Times New Roman" w:hAnsi="Times New Roman" w:eastAsia="仿宋_GB2312" w:cs="Times New Roman"/>
                <w:color w:val="000000"/>
                <w:kern w:val="0"/>
                <w:szCs w:val="20"/>
              </w:rPr>
            </w:pPr>
          </w:p>
        </w:tc>
        <w:tc>
          <w:tcPr>
            <w:tcW w:w="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B054469">
            <w:pPr>
              <w:keepNext w:val="0"/>
              <w:keepLines w:val="0"/>
              <w:pageBreakBefore w:val="0"/>
              <w:widowControl/>
              <w:kinsoku/>
              <w:overflowPunct/>
              <w:topLinePunct w:val="0"/>
              <w:autoSpaceDE/>
              <w:autoSpaceDN/>
              <w:bidi w:val="0"/>
              <w:adjustRightInd/>
              <w:snapToGrid/>
              <w:spacing w:line="230" w:lineRule="exact"/>
              <w:jc w:val="left"/>
              <w:rPr>
                <w:rFonts w:ascii="Times New Roman" w:hAnsi="Times New Roman" w:eastAsia="仿宋_GB2312" w:cs="Times New Roman"/>
                <w:color w:val="000000"/>
                <w:kern w:val="0"/>
                <w:sz w:val="21"/>
                <w:szCs w:val="20"/>
                <w:lang w:val="en-US" w:eastAsia="zh-CN" w:bidi="ar-SA"/>
              </w:rPr>
            </w:pPr>
            <w:r>
              <w:rPr>
                <w:rFonts w:ascii="Times New Roman" w:hAnsi="Times New Roman" w:eastAsia="仿宋_GB2312" w:cs="Times New Roman"/>
                <w:color w:val="000000"/>
                <w:kern w:val="0"/>
                <w:szCs w:val="20"/>
              </w:rPr>
              <w:t>30240</w:t>
            </w:r>
          </w:p>
        </w:tc>
        <w:tc>
          <w:tcPr>
            <w:tcW w:w="207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539EC99">
            <w:pPr>
              <w:keepNext w:val="0"/>
              <w:keepLines w:val="0"/>
              <w:pageBreakBefore w:val="0"/>
              <w:widowControl/>
              <w:kinsoku/>
              <w:overflowPunct/>
              <w:topLinePunct w:val="0"/>
              <w:autoSpaceDE/>
              <w:autoSpaceDN/>
              <w:bidi w:val="0"/>
              <w:adjustRightInd/>
              <w:snapToGrid/>
              <w:spacing w:line="230" w:lineRule="exact"/>
              <w:jc w:val="left"/>
              <w:rPr>
                <w:rFonts w:ascii="Times New Roman" w:hAnsi="Times New Roman" w:eastAsia="仿宋_GB2312" w:cs="Times New Roman"/>
                <w:color w:val="000000"/>
                <w:kern w:val="0"/>
                <w:sz w:val="21"/>
                <w:szCs w:val="20"/>
                <w:lang w:val="en-US" w:eastAsia="zh-CN" w:bidi="ar-SA"/>
              </w:rPr>
            </w:pPr>
            <w:r>
              <w:rPr>
                <w:rFonts w:ascii="Times New Roman" w:hAnsi="Times New Roman" w:eastAsia="仿宋_GB2312" w:cs="Times New Roman"/>
                <w:color w:val="000000"/>
                <w:kern w:val="0"/>
                <w:szCs w:val="20"/>
              </w:rPr>
              <w:t xml:space="preserve">  税金及附加费用</w:t>
            </w:r>
          </w:p>
        </w:tc>
        <w:tc>
          <w:tcPr>
            <w:tcW w:w="77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0DCD9BF">
            <w:pPr>
              <w:keepNext w:val="0"/>
              <w:keepLines w:val="0"/>
              <w:pageBreakBefore w:val="0"/>
              <w:widowControl/>
              <w:kinsoku/>
              <w:overflowPunct/>
              <w:topLinePunct w:val="0"/>
              <w:autoSpaceDE/>
              <w:autoSpaceDN/>
              <w:bidi w:val="0"/>
              <w:adjustRightInd/>
              <w:snapToGrid/>
              <w:spacing w:line="230" w:lineRule="exact"/>
              <w:jc w:val="center"/>
              <w:rPr>
                <w:rFonts w:hint="eastAsia" w:ascii="Times New Roman" w:hAnsi="Times New Roman" w:eastAsia="仿宋_GB2312" w:cs="Times New Roman"/>
                <w:color w:val="000000"/>
                <w:kern w:val="0"/>
                <w:szCs w:val="20"/>
                <w:lang w:val="en-US" w:eastAsia="zh-CN"/>
              </w:rPr>
            </w:pPr>
          </w:p>
        </w:tc>
        <w:tc>
          <w:tcPr>
            <w:tcW w:w="75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99AB322">
            <w:pPr>
              <w:keepNext w:val="0"/>
              <w:keepLines w:val="0"/>
              <w:pageBreakBefore w:val="0"/>
              <w:widowControl/>
              <w:kinsoku/>
              <w:overflowPunct/>
              <w:topLinePunct w:val="0"/>
              <w:autoSpaceDE/>
              <w:autoSpaceDN/>
              <w:bidi w:val="0"/>
              <w:adjustRightInd/>
              <w:snapToGrid/>
              <w:spacing w:line="230" w:lineRule="exact"/>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39999</w:t>
            </w:r>
          </w:p>
        </w:tc>
        <w:tc>
          <w:tcPr>
            <w:tcW w:w="370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45E3BB5">
            <w:pPr>
              <w:keepNext w:val="0"/>
              <w:keepLines w:val="0"/>
              <w:pageBreakBefore w:val="0"/>
              <w:widowControl/>
              <w:kinsoku/>
              <w:overflowPunct/>
              <w:topLinePunct w:val="0"/>
              <w:autoSpaceDE/>
              <w:autoSpaceDN/>
              <w:bidi w:val="0"/>
              <w:adjustRightInd/>
              <w:snapToGrid/>
              <w:spacing w:line="230" w:lineRule="exact"/>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其他支出</w:t>
            </w:r>
          </w:p>
        </w:tc>
        <w:tc>
          <w:tcPr>
            <w:tcW w:w="100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1FEAD17">
            <w:pPr>
              <w:keepNext w:val="0"/>
              <w:keepLines w:val="0"/>
              <w:pageBreakBefore w:val="0"/>
              <w:widowControl/>
              <w:kinsoku/>
              <w:overflowPunct/>
              <w:topLinePunct w:val="0"/>
              <w:autoSpaceDE/>
              <w:autoSpaceDN/>
              <w:bidi w:val="0"/>
              <w:adjustRightInd/>
              <w:snapToGrid/>
              <w:spacing w:line="230" w:lineRule="exact"/>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5F649B50">
        <w:tblPrEx>
          <w:tblCellMar>
            <w:top w:w="0" w:type="dxa"/>
            <w:left w:w="108" w:type="dxa"/>
            <w:bottom w:w="0" w:type="dxa"/>
            <w:right w:w="108" w:type="dxa"/>
          </w:tblCellMar>
        </w:tblPrEx>
        <w:trPr>
          <w:trHeight w:val="255" w:hRule="exact"/>
          <w:jc w:val="center"/>
        </w:trPr>
        <w:tc>
          <w:tcPr>
            <w:tcW w:w="74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B1618E8">
            <w:pPr>
              <w:keepNext w:val="0"/>
              <w:keepLines w:val="0"/>
              <w:pageBreakBefore w:val="0"/>
              <w:widowControl/>
              <w:kinsoku/>
              <w:overflowPunct/>
              <w:topLinePunct w:val="0"/>
              <w:autoSpaceDE/>
              <w:autoSpaceDN/>
              <w:bidi w:val="0"/>
              <w:adjustRightInd/>
              <w:snapToGrid/>
              <w:spacing w:line="230" w:lineRule="exact"/>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30399</w:t>
            </w:r>
          </w:p>
        </w:tc>
        <w:tc>
          <w:tcPr>
            <w:tcW w:w="359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06BF2D9">
            <w:pPr>
              <w:keepNext w:val="0"/>
              <w:keepLines w:val="0"/>
              <w:pageBreakBefore w:val="0"/>
              <w:widowControl/>
              <w:kinsoku/>
              <w:overflowPunct/>
              <w:topLinePunct w:val="0"/>
              <w:autoSpaceDE/>
              <w:autoSpaceDN/>
              <w:bidi w:val="0"/>
              <w:adjustRightInd/>
              <w:snapToGrid/>
              <w:spacing w:line="230" w:lineRule="exact"/>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其他对个人和家庭的补助</w:t>
            </w:r>
          </w:p>
        </w:tc>
        <w:tc>
          <w:tcPr>
            <w:tcW w:w="79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4BF9BF3">
            <w:pPr>
              <w:keepNext w:val="0"/>
              <w:keepLines w:val="0"/>
              <w:pageBreakBefore w:val="0"/>
              <w:widowControl/>
              <w:kinsoku/>
              <w:overflowPunct/>
              <w:topLinePunct w:val="0"/>
              <w:autoSpaceDE/>
              <w:autoSpaceDN/>
              <w:bidi w:val="0"/>
              <w:adjustRightInd/>
              <w:snapToGrid/>
              <w:spacing w:line="230" w:lineRule="exact"/>
              <w:jc w:val="center"/>
              <w:rPr>
                <w:rFonts w:ascii="Times New Roman" w:hAnsi="Times New Roman" w:eastAsia="仿宋_GB2312" w:cs="Times New Roman"/>
                <w:color w:val="000000"/>
                <w:kern w:val="0"/>
                <w:szCs w:val="20"/>
              </w:rPr>
            </w:pPr>
          </w:p>
        </w:tc>
        <w:tc>
          <w:tcPr>
            <w:tcW w:w="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D2B0456">
            <w:pPr>
              <w:keepNext w:val="0"/>
              <w:keepLines w:val="0"/>
              <w:pageBreakBefore w:val="0"/>
              <w:widowControl/>
              <w:kinsoku/>
              <w:overflowPunct/>
              <w:topLinePunct w:val="0"/>
              <w:autoSpaceDE/>
              <w:autoSpaceDN/>
              <w:bidi w:val="0"/>
              <w:adjustRightInd/>
              <w:snapToGrid/>
              <w:spacing w:line="230" w:lineRule="exact"/>
              <w:jc w:val="left"/>
              <w:rPr>
                <w:rFonts w:ascii="Times New Roman" w:hAnsi="Times New Roman" w:eastAsia="仿宋_GB2312" w:cs="Times New Roman"/>
                <w:color w:val="000000"/>
                <w:kern w:val="0"/>
                <w:sz w:val="21"/>
                <w:szCs w:val="20"/>
                <w:lang w:val="en-US" w:eastAsia="zh-CN" w:bidi="ar-SA"/>
              </w:rPr>
            </w:pPr>
            <w:r>
              <w:rPr>
                <w:rFonts w:ascii="Times New Roman" w:hAnsi="Times New Roman" w:eastAsia="仿宋_GB2312" w:cs="Times New Roman"/>
                <w:color w:val="000000"/>
                <w:kern w:val="0"/>
                <w:szCs w:val="20"/>
              </w:rPr>
              <w:t>30299</w:t>
            </w:r>
          </w:p>
        </w:tc>
        <w:tc>
          <w:tcPr>
            <w:tcW w:w="207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7DEDF17">
            <w:pPr>
              <w:keepNext w:val="0"/>
              <w:keepLines w:val="0"/>
              <w:pageBreakBefore w:val="0"/>
              <w:widowControl/>
              <w:kinsoku/>
              <w:overflowPunct/>
              <w:topLinePunct w:val="0"/>
              <w:autoSpaceDE/>
              <w:autoSpaceDN/>
              <w:bidi w:val="0"/>
              <w:adjustRightInd/>
              <w:snapToGrid/>
              <w:spacing w:line="230" w:lineRule="exact"/>
              <w:jc w:val="left"/>
              <w:rPr>
                <w:rFonts w:ascii="Times New Roman" w:hAnsi="Times New Roman" w:eastAsia="仿宋_GB2312" w:cs="Times New Roman"/>
                <w:color w:val="000000"/>
                <w:kern w:val="0"/>
                <w:sz w:val="21"/>
                <w:szCs w:val="20"/>
                <w:lang w:val="en-US" w:eastAsia="zh-CN" w:bidi="ar-SA"/>
              </w:rPr>
            </w:pPr>
            <w:r>
              <w:rPr>
                <w:rFonts w:ascii="Times New Roman" w:hAnsi="Times New Roman" w:eastAsia="仿宋_GB2312" w:cs="Times New Roman"/>
                <w:color w:val="000000"/>
                <w:kern w:val="0"/>
                <w:sz w:val="18"/>
                <w:szCs w:val="18"/>
              </w:rPr>
              <w:t xml:space="preserve">  其他商品和服务支出</w:t>
            </w:r>
          </w:p>
        </w:tc>
        <w:tc>
          <w:tcPr>
            <w:tcW w:w="77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2880A79">
            <w:pPr>
              <w:keepNext w:val="0"/>
              <w:keepLines w:val="0"/>
              <w:pageBreakBefore w:val="0"/>
              <w:widowControl/>
              <w:kinsoku/>
              <w:overflowPunct/>
              <w:topLinePunct w:val="0"/>
              <w:autoSpaceDE/>
              <w:autoSpaceDN/>
              <w:bidi w:val="0"/>
              <w:adjustRightInd/>
              <w:snapToGrid/>
              <w:spacing w:line="230" w:lineRule="exact"/>
              <w:jc w:val="center"/>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1.32　1.32</w:t>
            </w:r>
          </w:p>
        </w:tc>
        <w:tc>
          <w:tcPr>
            <w:tcW w:w="75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7A74767">
            <w:pPr>
              <w:keepNext w:val="0"/>
              <w:keepLines w:val="0"/>
              <w:pageBreakBefore w:val="0"/>
              <w:widowControl/>
              <w:kinsoku/>
              <w:overflowPunct/>
              <w:topLinePunct w:val="0"/>
              <w:autoSpaceDE/>
              <w:autoSpaceDN/>
              <w:bidi w:val="0"/>
              <w:adjustRightInd/>
              <w:snapToGrid/>
              <w:spacing w:line="230" w:lineRule="exact"/>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370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3A7BC18">
            <w:pPr>
              <w:keepNext w:val="0"/>
              <w:keepLines w:val="0"/>
              <w:pageBreakBefore w:val="0"/>
              <w:widowControl/>
              <w:kinsoku/>
              <w:overflowPunct/>
              <w:topLinePunct w:val="0"/>
              <w:autoSpaceDE/>
              <w:autoSpaceDN/>
              <w:bidi w:val="0"/>
              <w:adjustRightInd/>
              <w:snapToGrid/>
              <w:spacing w:line="230" w:lineRule="exact"/>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100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F8C6E03">
            <w:pPr>
              <w:keepNext w:val="0"/>
              <w:keepLines w:val="0"/>
              <w:pageBreakBefore w:val="0"/>
              <w:widowControl/>
              <w:kinsoku/>
              <w:overflowPunct/>
              <w:topLinePunct w:val="0"/>
              <w:autoSpaceDE/>
              <w:autoSpaceDN/>
              <w:bidi w:val="0"/>
              <w:adjustRightInd/>
              <w:snapToGrid/>
              <w:spacing w:line="230" w:lineRule="exact"/>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194C0B89">
        <w:tblPrEx>
          <w:tblCellMar>
            <w:top w:w="0" w:type="dxa"/>
            <w:left w:w="108" w:type="dxa"/>
            <w:bottom w:w="0" w:type="dxa"/>
            <w:right w:w="108" w:type="dxa"/>
          </w:tblCellMar>
        </w:tblPrEx>
        <w:trPr>
          <w:trHeight w:val="255" w:hRule="exact"/>
          <w:jc w:val="center"/>
        </w:trPr>
        <w:tc>
          <w:tcPr>
            <w:tcW w:w="4339"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23506755">
            <w:pPr>
              <w:keepNext w:val="0"/>
              <w:keepLines w:val="0"/>
              <w:pageBreakBefore w:val="0"/>
              <w:widowControl/>
              <w:kinsoku/>
              <w:overflowPunct/>
              <w:topLinePunct w:val="0"/>
              <w:autoSpaceDE/>
              <w:autoSpaceDN/>
              <w:bidi w:val="0"/>
              <w:adjustRightInd/>
              <w:snapToGrid/>
              <w:spacing w:line="230" w:lineRule="exact"/>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人员经费合计</w:t>
            </w:r>
          </w:p>
        </w:tc>
        <w:tc>
          <w:tcPr>
            <w:tcW w:w="79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B0354D8">
            <w:pPr>
              <w:keepNext w:val="0"/>
              <w:keepLines w:val="0"/>
              <w:pageBreakBefore w:val="0"/>
              <w:widowControl/>
              <w:kinsoku/>
              <w:overflowPunct/>
              <w:topLinePunct w:val="0"/>
              <w:autoSpaceDE/>
              <w:autoSpaceDN/>
              <w:bidi w:val="0"/>
              <w:adjustRightInd/>
              <w:snapToGrid/>
              <w:spacing w:line="230" w:lineRule="exact"/>
              <w:jc w:val="center"/>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70.06</w:t>
            </w:r>
          </w:p>
        </w:tc>
        <w:tc>
          <w:tcPr>
            <w:tcW w:w="8286" w:type="dxa"/>
            <w:gridSpan w:val="5"/>
            <w:tcBorders>
              <w:top w:val="single" w:color="auto" w:sz="4" w:space="0"/>
              <w:left w:val="single" w:color="auto" w:sz="4" w:space="0"/>
              <w:bottom w:val="single" w:color="auto" w:sz="4" w:space="0"/>
              <w:right w:val="single" w:color="auto" w:sz="4" w:space="0"/>
            </w:tcBorders>
            <w:shd w:val="clear" w:color="auto" w:fill="auto"/>
            <w:noWrap/>
            <w:vAlign w:val="center"/>
          </w:tcPr>
          <w:p w14:paraId="476D1D31">
            <w:pPr>
              <w:keepNext w:val="0"/>
              <w:keepLines w:val="0"/>
              <w:pageBreakBefore w:val="0"/>
              <w:widowControl/>
              <w:kinsoku/>
              <w:overflowPunct/>
              <w:topLinePunct w:val="0"/>
              <w:autoSpaceDE/>
              <w:autoSpaceDN/>
              <w:bidi w:val="0"/>
              <w:adjustRightInd/>
              <w:snapToGrid/>
              <w:spacing w:line="230" w:lineRule="exact"/>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公用经费合计</w:t>
            </w:r>
          </w:p>
        </w:tc>
        <w:tc>
          <w:tcPr>
            <w:tcW w:w="100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9A48C19">
            <w:pPr>
              <w:keepNext w:val="0"/>
              <w:keepLines w:val="0"/>
              <w:pageBreakBefore w:val="0"/>
              <w:widowControl/>
              <w:kinsoku/>
              <w:overflowPunct/>
              <w:topLinePunct w:val="0"/>
              <w:autoSpaceDE/>
              <w:autoSpaceDN/>
              <w:bidi w:val="0"/>
              <w:adjustRightInd/>
              <w:snapToGrid/>
              <w:spacing w:line="230" w:lineRule="exact"/>
              <w:jc w:val="left"/>
              <w:rPr>
                <w:rFonts w:hint="default" w:ascii="Times New Roman" w:hAnsi="Times New Roman" w:eastAsia="仿宋_GB2312" w:cs="Times New Roman"/>
                <w:color w:val="000000"/>
                <w:kern w:val="0"/>
                <w:szCs w:val="18"/>
                <w:lang w:val="en-US" w:eastAsia="zh-CN"/>
              </w:rPr>
            </w:pPr>
            <w:r>
              <w:rPr>
                <w:rFonts w:ascii="Times New Roman" w:hAnsi="Times New Roman" w:eastAsia="仿宋_GB2312" w:cs="Times New Roman"/>
                <w:color w:val="000000"/>
                <w:kern w:val="0"/>
                <w:szCs w:val="18"/>
              </w:rPr>
              <w:t>　</w:t>
            </w:r>
            <w:r>
              <w:rPr>
                <w:rFonts w:hint="eastAsia" w:ascii="Times New Roman" w:hAnsi="Times New Roman" w:eastAsia="仿宋_GB2312" w:cs="Times New Roman"/>
                <w:color w:val="000000"/>
                <w:kern w:val="0"/>
                <w:szCs w:val="18"/>
                <w:lang w:val="en-US" w:eastAsia="zh-CN"/>
              </w:rPr>
              <w:t>4.47</w:t>
            </w:r>
          </w:p>
        </w:tc>
      </w:tr>
    </w:tbl>
    <w:p w14:paraId="7F569A5A">
      <w:pPr>
        <w:keepNext w:val="0"/>
        <w:keepLines w:val="0"/>
        <w:pageBreakBefore w:val="0"/>
        <w:widowControl/>
        <w:kinsoku/>
        <w:overflowPunct/>
        <w:topLinePunct w:val="0"/>
        <w:autoSpaceDE/>
        <w:autoSpaceDN/>
        <w:bidi w:val="0"/>
        <w:adjustRightInd/>
        <w:snapToGrid/>
        <w:spacing w:line="230" w:lineRule="exact"/>
        <w:jc w:val="left"/>
        <w:rPr>
          <w:rFonts w:ascii="Times New Roman" w:hAnsi="Times New Roman" w:eastAsia="黑体" w:cs="Times New Roman"/>
          <w:color w:val="000000"/>
          <w:kern w:val="0"/>
          <w:sz w:val="36"/>
          <w:szCs w:val="36"/>
          <w:lang w:bidi="ar"/>
        </w:rPr>
      </w:pPr>
      <w:r>
        <w:rPr>
          <w:rFonts w:ascii="Times New Roman" w:hAnsi="Times New Roman" w:eastAsia="仿宋_GB2312" w:cs="Times New Roman"/>
          <w:color w:val="000000"/>
          <w:kern w:val="0"/>
          <w:szCs w:val="24"/>
        </w:rPr>
        <w:t>注：本表反映部门本年度一般公共预算财政拨款基本支出明细情况。</w:t>
      </w:r>
    </w:p>
    <w:p w14:paraId="165136D6">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政府性基金预算财政拨款收入支出决算表</w:t>
      </w:r>
    </w:p>
    <w:p w14:paraId="28B619E9">
      <w:pPr>
        <w:widowControl/>
        <w:tabs>
          <w:tab w:val="left" w:pos="920"/>
          <w:tab w:val="left" w:pos="1157"/>
          <w:tab w:val="left" w:pos="2434"/>
          <w:tab w:val="left" w:pos="4352"/>
          <w:tab w:val="left" w:pos="6295"/>
          <w:tab w:val="left" w:pos="8214"/>
          <w:tab w:val="left" w:pos="10149"/>
          <w:tab w:val="left" w:pos="12067"/>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lang w:bidi="ar"/>
        </w:rPr>
        <w:t>公开07表</w:t>
      </w:r>
    </w:p>
    <w:p w14:paraId="1D629E0C">
      <w:pPr>
        <w:widowControl/>
        <w:tabs>
          <w:tab w:val="left" w:pos="920"/>
          <w:tab w:val="left" w:pos="1157"/>
          <w:tab w:val="left" w:pos="2434"/>
          <w:tab w:val="left" w:pos="4352"/>
          <w:tab w:val="left" w:pos="6295"/>
          <w:tab w:val="left" w:pos="8214"/>
          <w:tab w:val="left" w:pos="10149"/>
          <w:tab w:val="left" w:pos="12067"/>
        </w:tabs>
        <w:jc w:val="both"/>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部门：</w:t>
      </w:r>
      <w:r>
        <w:rPr>
          <w:rFonts w:hint="eastAsia" w:ascii="Times New Roman" w:hAnsi="Times New Roman" w:eastAsia="仿宋_GB2312" w:cs="Times New Roman"/>
          <w:color w:val="000000"/>
          <w:kern w:val="0"/>
          <w:sz w:val="20"/>
          <w:szCs w:val="20"/>
          <w:lang w:bidi="ar"/>
        </w:rPr>
        <w:t>祁阳现代农业产业园区管理委员会</w:t>
      </w:r>
      <w:r>
        <w:rPr>
          <w:rFonts w:hint="eastAsia" w:ascii="Times New Roman" w:hAnsi="Times New Roman" w:eastAsia="仿宋_GB2312" w:cs="Times New Roman"/>
          <w:color w:val="000000"/>
          <w:kern w:val="0"/>
          <w:szCs w:val="21"/>
          <w:lang w:val="en-US" w:eastAsia="zh-CN"/>
        </w:rPr>
        <w:t xml:space="preserve">  </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lang w:bidi="ar"/>
        </w:rPr>
        <w:t>单位：万元</w:t>
      </w:r>
    </w:p>
    <w:tbl>
      <w:tblPr>
        <w:tblStyle w:val="13"/>
        <w:tblW w:w="14326" w:type="dxa"/>
        <w:jc w:val="center"/>
        <w:tblLayout w:type="fixed"/>
        <w:tblCellMar>
          <w:top w:w="0" w:type="dxa"/>
          <w:left w:w="108" w:type="dxa"/>
          <w:bottom w:w="0" w:type="dxa"/>
          <w:right w:w="108" w:type="dxa"/>
        </w:tblCellMar>
      </w:tblPr>
      <w:tblGrid>
        <w:gridCol w:w="915"/>
        <w:gridCol w:w="1939"/>
        <w:gridCol w:w="1838"/>
        <w:gridCol w:w="1943"/>
        <w:gridCol w:w="1919"/>
        <w:gridCol w:w="1935"/>
        <w:gridCol w:w="1918"/>
        <w:gridCol w:w="1919"/>
      </w:tblGrid>
      <w:tr w14:paraId="0DA2D67F">
        <w:tblPrEx>
          <w:tblCellMar>
            <w:top w:w="0" w:type="dxa"/>
            <w:left w:w="108" w:type="dxa"/>
            <w:bottom w:w="0" w:type="dxa"/>
            <w:right w:w="108" w:type="dxa"/>
          </w:tblCellMar>
        </w:tblPrEx>
        <w:trPr>
          <w:trHeight w:val="459" w:hRule="atLeast"/>
          <w:jc w:val="center"/>
        </w:trPr>
        <w:tc>
          <w:tcPr>
            <w:tcW w:w="285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00F1E56">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项 </w:t>
            </w:r>
            <w:r>
              <w:rPr>
                <w:rStyle w:val="20"/>
                <w:rFonts w:hint="default" w:ascii="Times New Roman" w:hAnsi="Times New Roman" w:eastAsia="仿宋_GB2312" w:cs="Times New Roman"/>
                <w:b/>
                <w:bCs/>
                <w:lang w:bidi="ar"/>
              </w:rPr>
              <w:t xml:space="preserve">   </w:t>
            </w:r>
            <w:r>
              <w:rPr>
                <w:rStyle w:val="21"/>
                <w:rFonts w:hint="default" w:ascii="Times New Roman" w:hAnsi="Times New Roman" w:eastAsia="仿宋_GB2312" w:cs="Times New Roman"/>
                <w:b/>
                <w:bCs/>
                <w:lang w:bidi="ar"/>
              </w:rPr>
              <w:t>目</w:t>
            </w:r>
          </w:p>
        </w:tc>
        <w:tc>
          <w:tcPr>
            <w:tcW w:w="183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F970911">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年初结转和结余</w:t>
            </w:r>
          </w:p>
        </w:tc>
        <w:tc>
          <w:tcPr>
            <w:tcW w:w="194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43A0D9D">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本年收入</w:t>
            </w:r>
          </w:p>
        </w:tc>
        <w:tc>
          <w:tcPr>
            <w:tcW w:w="577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F43B976">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本年支出</w:t>
            </w:r>
          </w:p>
        </w:tc>
        <w:tc>
          <w:tcPr>
            <w:tcW w:w="19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886B9CC">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年末结转和结余</w:t>
            </w:r>
          </w:p>
        </w:tc>
      </w:tr>
      <w:tr w14:paraId="346DCE84">
        <w:tblPrEx>
          <w:tblCellMar>
            <w:top w:w="0" w:type="dxa"/>
            <w:left w:w="108" w:type="dxa"/>
            <w:bottom w:w="0" w:type="dxa"/>
            <w:right w:w="108" w:type="dxa"/>
          </w:tblCellMar>
        </w:tblPrEx>
        <w:trPr>
          <w:trHeight w:val="312" w:hRule="exact"/>
          <w:jc w:val="center"/>
        </w:trPr>
        <w:tc>
          <w:tcPr>
            <w:tcW w:w="91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64911F2">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科目代码</w:t>
            </w:r>
          </w:p>
        </w:tc>
        <w:tc>
          <w:tcPr>
            <w:tcW w:w="193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113D1FF">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科目名称</w:t>
            </w:r>
          </w:p>
        </w:tc>
        <w:tc>
          <w:tcPr>
            <w:tcW w:w="183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CD6278">
            <w:pPr>
              <w:widowControl/>
              <w:jc w:val="center"/>
              <w:rPr>
                <w:rFonts w:ascii="Times New Roman" w:hAnsi="Times New Roman" w:eastAsia="仿宋_GB2312" w:cs="Times New Roman"/>
                <w:b/>
                <w:bCs/>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F4BB56">
            <w:pPr>
              <w:widowControl/>
              <w:jc w:val="center"/>
              <w:rPr>
                <w:rFonts w:ascii="Times New Roman" w:hAnsi="Times New Roman" w:eastAsia="仿宋_GB2312" w:cs="Times New Roman"/>
                <w:b/>
                <w:bCs/>
                <w:color w:val="000000"/>
                <w:sz w:val="24"/>
                <w:szCs w:val="24"/>
              </w:rPr>
            </w:pPr>
          </w:p>
        </w:tc>
        <w:tc>
          <w:tcPr>
            <w:tcW w:w="19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2BEE51B">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小计</w:t>
            </w:r>
          </w:p>
        </w:tc>
        <w:tc>
          <w:tcPr>
            <w:tcW w:w="193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DB7C81C">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基本支出  </w:t>
            </w:r>
          </w:p>
        </w:tc>
        <w:tc>
          <w:tcPr>
            <w:tcW w:w="191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B307974">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项目支出</w:t>
            </w: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1B8B24">
            <w:pPr>
              <w:widowControl/>
              <w:jc w:val="center"/>
              <w:rPr>
                <w:rFonts w:ascii="Times New Roman" w:hAnsi="Times New Roman" w:eastAsia="仿宋_GB2312" w:cs="Times New Roman"/>
                <w:color w:val="000000"/>
                <w:sz w:val="24"/>
                <w:szCs w:val="24"/>
              </w:rPr>
            </w:pPr>
          </w:p>
        </w:tc>
      </w:tr>
      <w:tr w14:paraId="5DEA460E">
        <w:tblPrEx>
          <w:tblCellMar>
            <w:top w:w="0" w:type="dxa"/>
            <w:left w:w="108" w:type="dxa"/>
            <w:bottom w:w="0" w:type="dxa"/>
            <w:right w:w="108" w:type="dxa"/>
          </w:tblCellMar>
        </w:tblPrEx>
        <w:trPr>
          <w:trHeight w:val="409" w:hRule="atLeast"/>
          <w:jc w:val="center"/>
        </w:trPr>
        <w:tc>
          <w:tcPr>
            <w:tcW w:w="9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42BAC9">
            <w:pPr>
              <w:jc w:val="center"/>
              <w:rPr>
                <w:rFonts w:ascii="Times New Roman" w:hAnsi="Times New Roman" w:eastAsia="仿宋_GB2312" w:cs="Times New Roman"/>
                <w:color w:val="000000"/>
                <w:sz w:val="24"/>
                <w:szCs w:val="24"/>
              </w:rPr>
            </w:pPr>
          </w:p>
        </w:tc>
        <w:tc>
          <w:tcPr>
            <w:tcW w:w="193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49F28E">
            <w:pPr>
              <w:jc w:val="center"/>
              <w:rPr>
                <w:rFonts w:ascii="Times New Roman" w:hAnsi="Times New Roman" w:eastAsia="仿宋_GB2312" w:cs="Times New Roman"/>
                <w:color w:val="000000"/>
                <w:sz w:val="24"/>
                <w:szCs w:val="24"/>
              </w:rPr>
            </w:pPr>
          </w:p>
        </w:tc>
        <w:tc>
          <w:tcPr>
            <w:tcW w:w="183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4ED96F">
            <w:pPr>
              <w:jc w:val="center"/>
              <w:rPr>
                <w:rFonts w:ascii="Times New Roman" w:hAnsi="Times New Roman" w:eastAsia="仿宋_GB2312" w:cs="Times New Roman"/>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BAAF1A">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2A2583">
            <w:pPr>
              <w:jc w:val="center"/>
              <w:rPr>
                <w:rFonts w:ascii="Times New Roman" w:hAnsi="Times New Roman" w:eastAsia="仿宋_GB2312" w:cs="Times New Roman"/>
                <w:color w:val="000000"/>
                <w:sz w:val="24"/>
                <w:szCs w:val="24"/>
              </w:rPr>
            </w:pPr>
          </w:p>
        </w:tc>
        <w:tc>
          <w:tcPr>
            <w:tcW w:w="19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5F20F4">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86D14B">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039BCF">
            <w:pPr>
              <w:jc w:val="center"/>
              <w:rPr>
                <w:rFonts w:ascii="Times New Roman" w:hAnsi="Times New Roman" w:eastAsia="仿宋_GB2312" w:cs="Times New Roman"/>
                <w:color w:val="000000"/>
                <w:sz w:val="24"/>
                <w:szCs w:val="24"/>
              </w:rPr>
            </w:pPr>
          </w:p>
        </w:tc>
      </w:tr>
      <w:tr w14:paraId="56215E3D">
        <w:tblPrEx>
          <w:tblCellMar>
            <w:top w:w="0" w:type="dxa"/>
            <w:left w:w="108" w:type="dxa"/>
            <w:bottom w:w="0" w:type="dxa"/>
            <w:right w:w="108" w:type="dxa"/>
          </w:tblCellMar>
        </w:tblPrEx>
        <w:trPr>
          <w:trHeight w:val="312" w:hRule="atLeast"/>
          <w:jc w:val="center"/>
        </w:trPr>
        <w:tc>
          <w:tcPr>
            <w:tcW w:w="9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8936B6">
            <w:pPr>
              <w:jc w:val="center"/>
              <w:rPr>
                <w:rFonts w:ascii="Times New Roman" w:hAnsi="Times New Roman" w:eastAsia="仿宋_GB2312" w:cs="Times New Roman"/>
                <w:color w:val="000000"/>
                <w:sz w:val="24"/>
                <w:szCs w:val="24"/>
              </w:rPr>
            </w:pPr>
          </w:p>
        </w:tc>
        <w:tc>
          <w:tcPr>
            <w:tcW w:w="193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971A8D">
            <w:pPr>
              <w:jc w:val="center"/>
              <w:rPr>
                <w:rFonts w:ascii="Times New Roman" w:hAnsi="Times New Roman" w:eastAsia="仿宋_GB2312" w:cs="Times New Roman"/>
                <w:color w:val="000000"/>
                <w:sz w:val="24"/>
                <w:szCs w:val="24"/>
              </w:rPr>
            </w:pPr>
          </w:p>
        </w:tc>
        <w:tc>
          <w:tcPr>
            <w:tcW w:w="183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834B3B">
            <w:pPr>
              <w:jc w:val="center"/>
              <w:rPr>
                <w:rFonts w:ascii="Times New Roman" w:hAnsi="Times New Roman" w:eastAsia="仿宋_GB2312" w:cs="Times New Roman"/>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DDB79C">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978AAF">
            <w:pPr>
              <w:jc w:val="center"/>
              <w:rPr>
                <w:rFonts w:ascii="Times New Roman" w:hAnsi="Times New Roman" w:eastAsia="仿宋_GB2312" w:cs="Times New Roman"/>
                <w:color w:val="000000"/>
                <w:sz w:val="24"/>
                <w:szCs w:val="24"/>
              </w:rPr>
            </w:pPr>
          </w:p>
        </w:tc>
        <w:tc>
          <w:tcPr>
            <w:tcW w:w="19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354E6B">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546698">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5615F2">
            <w:pPr>
              <w:jc w:val="center"/>
              <w:rPr>
                <w:rFonts w:ascii="Times New Roman" w:hAnsi="Times New Roman" w:eastAsia="仿宋_GB2312" w:cs="Times New Roman"/>
                <w:color w:val="000000"/>
                <w:sz w:val="24"/>
                <w:szCs w:val="24"/>
              </w:rPr>
            </w:pPr>
          </w:p>
        </w:tc>
      </w:tr>
      <w:tr w14:paraId="12804709">
        <w:tblPrEx>
          <w:tblCellMar>
            <w:top w:w="0" w:type="dxa"/>
            <w:left w:w="108" w:type="dxa"/>
            <w:bottom w:w="0" w:type="dxa"/>
            <w:right w:w="108" w:type="dxa"/>
          </w:tblCellMar>
        </w:tblPrEx>
        <w:trPr>
          <w:trHeight w:val="509" w:hRule="atLeast"/>
          <w:jc w:val="center"/>
        </w:trPr>
        <w:tc>
          <w:tcPr>
            <w:tcW w:w="285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1018D8A">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栏次</w:t>
            </w:r>
          </w:p>
        </w:tc>
        <w:tc>
          <w:tcPr>
            <w:tcW w:w="18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F667E2">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1</w:t>
            </w: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BB9F25">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2</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649B51">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3</w:t>
            </w: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E2A35C">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4</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C5B4AB">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5</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F5B965">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6</w:t>
            </w:r>
          </w:p>
        </w:tc>
      </w:tr>
      <w:tr w14:paraId="6873E7FD">
        <w:tblPrEx>
          <w:tblCellMar>
            <w:top w:w="0" w:type="dxa"/>
            <w:left w:w="108" w:type="dxa"/>
            <w:bottom w:w="0" w:type="dxa"/>
            <w:right w:w="108" w:type="dxa"/>
          </w:tblCellMar>
        </w:tblPrEx>
        <w:trPr>
          <w:trHeight w:val="509" w:hRule="atLeast"/>
          <w:jc w:val="center"/>
        </w:trPr>
        <w:tc>
          <w:tcPr>
            <w:tcW w:w="285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5C9762C">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合计</w:t>
            </w:r>
          </w:p>
        </w:tc>
        <w:tc>
          <w:tcPr>
            <w:tcW w:w="18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0A9DF2">
            <w:pPr>
              <w:jc w:val="cente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3C2E72">
            <w:pPr>
              <w:jc w:val="center"/>
              <w:rPr>
                <w:rFonts w:hint="default" w:ascii="Times New Roman" w:hAnsi="Times New Roman" w:eastAsia="仿宋_GB2312" w:cs="Times New Roman"/>
                <w:color w:val="000000"/>
                <w:sz w:val="24"/>
                <w:szCs w:val="24"/>
                <w:lang w:val="en-US" w:eastAsia="zh-CN"/>
              </w:rPr>
            </w:pPr>
            <w:r>
              <w:rPr>
                <w:rFonts w:hint="eastAsia" w:ascii="Times New Roman" w:hAnsi="Times New Roman" w:eastAsia="仿宋_GB2312" w:cs="Times New Roman"/>
                <w:color w:val="000000"/>
                <w:sz w:val="24"/>
                <w:szCs w:val="24"/>
                <w:lang w:val="en-US" w:eastAsia="zh-CN"/>
              </w:rPr>
              <w:t>3020.72</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7BE34D">
            <w:pPr>
              <w:jc w:val="center"/>
              <w:rPr>
                <w:rFonts w:hint="default" w:ascii="Times New Roman" w:hAnsi="Times New Roman" w:eastAsia="仿宋_GB2312" w:cs="Times New Roman"/>
                <w:color w:val="000000"/>
                <w:kern w:val="2"/>
                <w:sz w:val="24"/>
                <w:szCs w:val="24"/>
                <w:lang w:val="en-US" w:eastAsia="zh-CN" w:bidi="ar-SA"/>
              </w:rPr>
            </w:pPr>
            <w:r>
              <w:rPr>
                <w:rFonts w:hint="eastAsia" w:ascii="Times New Roman" w:hAnsi="Times New Roman" w:eastAsia="仿宋_GB2312" w:cs="Times New Roman"/>
                <w:color w:val="000000"/>
                <w:sz w:val="24"/>
                <w:szCs w:val="24"/>
                <w:lang w:val="en-US" w:eastAsia="zh-CN"/>
              </w:rPr>
              <w:t>3020.72</w:t>
            </w: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89D849">
            <w:pPr>
              <w:jc w:val="cente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DB2079">
            <w:pPr>
              <w:jc w:val="center"/>
              <w:rPr>
                <w:rFonts w:hint="default" w:ascii="Times New Roman" w:hAnsi="Times New Roman" w:eastAsia="仿宋_GB2312" w:cs="Times New Roman"/>
                <w:color w:val="000000"/>
                <w:sz w:val="24"/>
                <w:szCs w:val="24"/>
                <w:lang w:val="en-US" w:eastAsia="zh-CN"/>
              </w:rPr>
            </w:pPr>
            <w:r>
              <w:rPr>
                <w:rFonts w:hint="eastAsia" w:ascii="Times New Roman" w:hAnsi="Times New Roman" w:eastAsia="仿宋_GB2312" w:cs="Times New Roman"/>
                <w:color w:val="000000"/>
                <w:sz w:val="24"/>
                <w:szCs w:val="24"/>
                <w:lang w:val="en-US" w:eastAsia="zh-CN"/>
              </w:rPr>
              <w:t>3020.72</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72B731">
            <w:pPr>
              <w:jc w:val="center"/>
              <w:rPr>
                <w:rFonts w:ascii="Times New Roman" w:hAnsi="Times New Roman" w:eastAsia="仿宋_GB2312" w:cs="Times New Roman"/>
                <w:color w:val="000000"/>
                <w:sz w:val="24"/>
                <w:szCs w:val="24"/>
              </w:rPr>
            </w:pPr>
          </w:p>
        </w:tc>
      </w:tr>
      <w:tr w14:paraId="71AB865A">
        <w:tblPrEx>
          <w:tblCellMar>
            <w:top w:w="0" w:type="dxa"/>
            <w:left w:w="108" w:type="dxa"/>
            <w:bottom w:w="0" w:type="dxa"/>
            <w:right w:w="108" w:type="dxa"/>
          </w:tblCellMar>
        </w:tblPrEx>
        <w:trPr>
          <w:trHeight w:val="509" w:hRule="atLeast"/>
          <w:jc w:val="center"/>
        </w:trPr>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95DD6C">
            <w:pPr>
              <w:jc w:val="left"/>
              <w:rPr>
                <w:rFonts w:hint="eastAsia" w:ascii="仿宋_GB2312" w:hAnsi="仿宋_GB2312" w:eastAsia="仿宋_GB2312" w:cs="仿宋_GB2312"/>
                <w:color w:val="000000"/>
                <w:kern w:val="2"/>
                <w:sz w:val="24"/>
                <w:szCs w:val="24"/>
                <w:lang w:val="en-US" w:eastAsia="zh-CN" w:bidi="ar-SA"/>
              </w:rPr>
            </w:pPr>
            <w:r>
              <w:rPr>
                <w:rFonts w:hint="eastAsia" w:ascii="仿宋_GB2312" w:hAnsi="仿宋_GB2312" w:eastAsia="仿宋_GB2312" w:cs="仿宋_GB2312"/>
                <w:color w:val="000000"/>
                <w:sz w:val="24"/>
                <w:szCs w:val="24"/>
              </w:rPr>
              <w:t>212</w:t>
            </w:r>
          </w:p>
        </w:tc>
        <w:tc>
          <w:tcPr>
            <w:tcW w:w="1939" w:type="dxa"/>
            <w:tcBorders>
              <w:top w:val="single" w:color="000000" w:sz="4" w:space="0"/>
              <w:left w:val="single" w:color="000000" w:sz="4" w:space="0"/>
              <w:bottom w:val="single" w:color="000000" w:sz="4" w:space="0"/>
              <w:right w:val="single" w:color="000000" w:sz="4" w:space="0"/>
            </w:tcBorders>
            <w:shd w:val="clear" w:color="000000" w:fill="FFFFFF"/>
            <w:vAlign w:val="center"/>
          </w:tcPr>
          <w:p w14:paraId="01345E28">
            <w:pPr>
              <w:rPr>
                <w:rFonts w:hint="eastAsia" w:ascii="仿宋_GB2312" w:hAnsi="仿宋_GB2312" w:eastAsia="仿宋_GB2312" w:cs="仿宋_GB2312"/>
                <w:kern w:val="2"/>
                <w:sz w:val="24"/>
                <w:szCs w:val="24"/>
                <w:lang w:val="en-US" w:eastAsia="zh-CN" w:bidi="ar-SA"/>
              </w:rPr>
            </w:pPr>
            <w:r>
              <w:rPr>
                <w:rFonts w:hint="eastAsia" w:ascii="仿宋_GB2312" w:hAnsi="仿宋_GB2312" w:eastAsia="仿宋_GB2312" w:cs="仿宋_GB2312"/>
              </w:rPr>
              <w:t>城乡社区支出</w:t>
            </w:r>
          </w:p>
        </w:tc>
        <w:tc>
          <w:tcPr>
            <w:tcW w:w="18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6F933F">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068490">
            <w:pPr>
              <w:jc w:val="center"/>
              <w:rPr>
                <w:rFonts w:hint="default" w:ascii="Times New Roman" w:hAnsi="Times New Roman" w:eastAsia="仿宋_GB2312" w:cs="Times New Roman"/>
                <w:color w:val="000000"/>
                <w:kern w:val="2"/>
                <w:sz w:val="24"/>
                <w:szCs w:val="24"/>
                <w:lang w:val="en-US" w:eastAsia="zh-CN" w:bidi="ar-SA"/>
              </w:rPr>
            </w:pPr>
            <w:r>
              <w:rPr>
                <w:rFonts w:hint="eastAsia" w:ascii="Times New Roman" w:hAnsi="Times New Roman" w:eastAsia="仿宋_GB2312" w:cs="Times New Roman"/>
                <w:color w:val="000000"/>
                <w:sz w:val="24"/>
                <w:szCs w:val="24"/>
                <w:lang w:val="en-US" w:eastAsia="zh-CN"/>
              </w:rPr>
              <w:t>2935.47</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36F3F8">
            <w:pPr>
              <w:jc w:val="center"/>
              <w:rPr>
                <w:rFonts w:hint="default" w:ascii="Times New Roman" w:hAnsi="Times New Roman" w:eastAsia="仿宋_GB2312" w:cs="Times New Roman"/>
                <w:color w:val="000000"/>
                <w:sz w:val="24"/>
                <w:szCs w:val="24"/>
                <w:lang w:val="en-US" w:eastAsia="zh-CN"/>
              </w:rPr>
            </w:pPr>
            <w:r>
              <w:rPr>
                <w:rFonts w:hint="eastAsia" w:ascii="Times New Roman" w:hAnsi="Times New Roman" w:eastAsia="仿宋_GB2312" w:cs="Times New Roman"/>
                <w:color w:val="000000"/>
                <w:sz w:val="24"/>
                <w:szCs w:val="24"/>
                <w:lang w:val="en-US" w:eastAsia="zh-CN"/>
              </w:rPr>
              <w:t>2935.47</w:t>
            </w: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50DEE3">
            <w:pPr>
              <w:jc w:val="cente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376842">
            <w:pPr>
              <w:jc w:val="center"/>
              <w:rPr>
                <w:rFonts w:hint="default" w:ascii="Times New Roman" w:hAnsi="Times New Roman" w:eastAsia="仿宋_GB2312" w:cs="Times New Roman"/>
                <w:color w:val="000000"/>
                <w:sz w:val="24"/>
                <w:szCs w:val="24"/>
                <w:lang w:val="en-US" w:eastAsia="zh-CN"/>
              </w:rPr>
            </w:pPr>
            <w:r>
              <w:rPr>
                <w:rFonts w:hint="eastAsia" w:ascii="Times New Roman" w:hAnsi="Times New Roman" w:eastAsia="仿宋_GB2312" w:cs="Times New Roman"/>
                <w:color w:val="000000"/>
                <w:sz w:val="24"/>
                <w:szCs w:val="24"/>
                <w:lang w:val="en-US" w:eastAsia="zh-CN"/>
              </w:rPr>
              <w:t>2935.47</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CA6CE0">
            <w:pPr>
              <w:rPr>
                <w:rFonts w:ascii="Times New Roman" w:hAnsi="Times New Roman" w:eastAsia="仿宋_GB2312" w:cs="Times New Roman"/>
                <w:color w:val="000000"/>
                <w:sz w:val="24"/>
                <w:szCs w:val="24"/>
              </w:rPr>
            </w:pPr>
          </w:p>
        </w:tc>
      </w:tr>
      <w:tr w14:paraId="3E746156">
        <w:tblPrEx>
          <w:tblCellMar>
            <w:top w:w="0" w:type="dxa"/>
            <w:left w:w="108" w:type="dxa"/>
            <w:bottom w:w="0" w:type="dxa"/>
            <w:right w:w="108" w:type="dxa"/>
          </w:tblCellMar>
        </w:tblPrEx>
        <w:trPr>
          <w:trHeight w:val="509" w:hRule="atLeast"/>
          <w:jc w:val="center"/>
        </w:trPr>
        <w:tc>
          <w:tcPr>
            <w:tcW w:w="915" w:type="dxa"/>
            <w:tcBorders>
              <w:top w:val="single" w:color="000000" w:sz="4" w:space="0"/>
              <w:left w:val="single" w:color="000000" w:sz="4" w:space="0"/>
              <w:bottom w:val="single" w:color="000000" w:sz="4" w:space="0"/>
              <w:right w:val="single" w:color="000000" w:sz="4" w:space="0"/>
            </w:tcBorders>
            <w:shd w:val="clear" w:color="000000" w:fill="FFFFFF"/>
            <w:vAlign w:val="center"/>
          </w:tcPr>
          <w:p w14:paraId="2738AC15">
            <w:pPr>
              <w:rPr>
                <w:rFonts w:hint="eastAsia" w:ascii="仿宋_GB2312" w:hAnsi="仿宋_GB2312" w:eastAsia="仿宋_GB2312" w:cs="仿宋_GB2312"/>
                <w:kern w:val="2"/>
                <w:sz w:val="21"/>
                <w:szCs w:val="22"/>
                <w:lang w:val="en-US" w:eastAsia="zh-CN" w:bidi="ar-SA"/>
              </w:rPr>
            </w:pPr>
            <w:r>
              <w:rPr>
                <w:rFonts w:hint="eastAsia" w:ascii="仿宋_GB2312" w:hAnsi="仿宋_GB2312" w:eastAsia="仿宋_GB2312" w:cs="仿宋_GB2312"/>
              </w:rPr>
              <w:t>21208</w:t>
            </w:r>
          </w:p>
        </w:tc>
        <w:tc>
          <w:tcPr>
            <w:tcW w:w="1939" w:type="dxa"/>
            <w:tcBorders>
              <w:top w:val="single" w:color="000000" w:sz="4" w:space="0"/>
              <w:left w:val="single" w:color="000000" w:sz="4" w:space="0"/>
              <w:bottom w:val="single" w:color="000000" w:sz="4" w:space="0"/>
              <w:right w:val="single" w:color="000000" w:sz="4" w:space="0"/>
            </w:tcBorders>
            <w:shd w:val="clear" w:color="000000" w:fill="FFFFFF"/>
            <w:vAlign w:val="center"/>
          </w:tcPr>
          <w:p w14:paraId="02E84BDB">
            <w:pPr>
              <w:jc w:val="left"/>
              <w:rPr>
                <w:rFonts w:hint="eastAsia" w:ascii="仿宋_GB2312" w:hAnsi="仿宋_GB2312" w:eastAsia="仿宋_GB2312" w:cs="仿宋_GB2312"/>
                <w:kern w:val="2"/>
                <w:sz w:val="21"/>
                <w:szCs w:val="22"/>
                <w:lang w:val="en-US" w:eastAsia="zh-CN" w:bidi="ar-SA"/>
              </w:rPr>
            </w:pPr>
            <w:r>
              <w:rPr>
                <w:rFonts w:hint="eastAsia" w:ascii="仿宋_GB2312" w:hAnsi="仿宋_GB2312" w:eastAsia="仿宋_GB2312" w:cs="仿宋_GB2312"/>
              </w:rPr>
              <w:t>国有土地使用权出让收入安排的支出</w:t>
            </w:r>
          </w:p>
        </w:tc>
        <w:tc>
          <w:tcPr>
            <w:tcW w:w="18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3CA967">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C7E45C">
            <w:pPr>
              <w:jc w:val="center"/>
              <w:rPr>
                <w:rFonts w:hint="default" w:ascii="Times New Roman" w:hAnsi="Times New Roman" w:eastAsia="仿宋_GB2312" w:cs="Times New Roman"/>
                <w:color w:val="000000"/>
                <w:kern w:val="2"/>
                <w:sz w:val="24"/>
                <w:szCs w:val="24"/>
                <w:lang w:val="en-US" w:eastAsia="zh-CN" w:bidi="ar-SA"/>
              </w:rPr>
            </w:pPr>
            <w:r>
              <w:rPr>
                <w:rFonts w:hint="eastAsia" w:ascii="Times New Roman" w:hAnsi="Times New Roman" w:eastAsia="仿宋_GB2312" w:cs="Times New Roman"/>
                <w:color w:val="000000"/>
                <w:sz w:val="24"/>
                <w:szCs w:val="24"/>
                <w:lang w:val="en-US" w:eastAsia="zh-CN"/>
              </w:rPr>
              <w:t>2935.47</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D43E9C">
            <w:pPr>
              <w:jc w:val="center"/>
              <w:rPr>
                <w:rFonts w:hint="default" w:ascii="Times New Roman" w:hAnsi="Times New Roman" w:eastAsia="仿宋_GB2312" w:cs="Times New Roman"/>
                <w:color w:val="000000"/>
                <w:sz w:val="24"/>
                <w:szCs w:val="24"/>
                <w:lang w:val="en-US" w:eastAsia="zh-CN"/>
              </w:rPr>
            </w:pPr>
            <w:r>
              <w:rPr>
                <w:rFonts w:hint="eastAsia" w:ascii="Times New Roman" w:hAnsi="Times New Roman" w:eastAsia="仿宋_GB2312" w:cs="Times New Roman"/>
                <w:color w:val="000000"/>
                <w:sz w:val="24"/>
                <w:szCs w:val="24"/>
                <w:lang w:val="en-US" w:eastAsia="zh-CN"/>
              </w:rPr>
              <w:t>2935.47</w:t>
            </w: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BF5679">
            <w:pPr>
              <w:jc w:val="cente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4B9C80">
            <w:pPr>
              <w:jc w:val="center"/>
              <w:rPr>
                <w:rFonts w:hint="default" w:ascii="Times New Roman" w:hAnsi="Times New Roman" w:eastAsia="仿宋_GB2312" w:cs="Times New Roman"/>
                <w:color w:val="000000"/>
                <w:sz w:val="24"/>
                <w:szCs w:val="24"/>
                <w:lang w:val="en-US" w:eastAsia="zh-CN"/>
              </w:rPr>
            </w:pPr>
            <w:r>
              <w:rPr>
                <w:rFonts w:hint="eastAsia" w:ascii="Times New Roman" w:hAnsi="Times New Roman" w:eastAsia="仿宋_GB2312" w:cs="Times New Roman"/>
                <w:color w:val="000000"/>
                <w:sz w:val="24"/>
                <w:szCs w:val="24"/>
                <w:lang w:val="en-US" w:eastAsia="zh-CN"/>
              </w:rPr>
              <w:t>2935.47</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416829">
            <w:pPr>
              <w:rPr>
                <w:rFonts w:ascii="Times New Roman" w:hAnsi="Times New Roman" w:eastAsia="仿宋_GB2312" w:cs="Times New Roman"/>
                <w:color w:val="000000"/>
                <w:sz w:val="24"/>
                <w:szCs w:val="24"/>
              </w:rPr>
            </w:pPr>
          </w:p>
        </w:tc>
      </w:tr>
      <w:tr w14:paraId="34008E56">
        <w:tblPrEx>
          <w:tblCellMar>
            <w:top w:w="0" w:type="dxa"/>
            <w:left w:w="108" w:type="dxa"/>
            <w:bottom w:w="0" w:type="dxa"/>
            <w:right w:w="108" w:type="dxa"/>
          </w:tblCellMar>
        </w:tblPrEx>
        <w:trPr>
          <w:trHeight w:val="509" w:hRule="atLeast"/>
          <w:jc w:val="center"/>
        </w:trPr>
        <w:tc>
          <w:tcPr>
            <w:tcW w:w="915" w:type="dxa"/>
            <w:tcBorders>
              <w:top w:val="single" w:color="000000" w:sz="4" w:space="0"/>
              <w:left w:val="single" w:color="000000" w:sz="4" w:space="0"/>
              <w:bottom w:val="single" w:color="000000" w:sz="4" w:space="0"/>
              <w:right w:val="single" w:color="000000" w:sz="4" w:space="0"/>
            </w:tcBorders>
            <w:shd w:val="clear" w:color="000000" w:fill="FFFFFF"/>
            <w:vAlign w:val="center"/>
          </w:tcPr>
          <w:p w14:paraId="5DEB74F8">
            <w:pPr>
              <w:rPr>
                <w:rFonts w:hint="default" w:ascii="仿宋_GB2312" w:hAnsi="仿宋_GB2312" w:eastAsia="仿宋_GB2312" w:cs="仿宋_GB2312"/>
                <w:kern w:val="2"/>
                <w:sz w:val="21"/>
                <w:szCs w:val="22"/>
                <w:lang w:val="en-US" w:eastAsia="zh-CN" w:bidi="ar-SA"/>
              </w:rPr>
            </w:pPr>
            <w:r>
              <w:rPr>
                <w:rFonts w:hint="eastAsia" w:ascii="仿宋_GB2312" w:hAnsi="仿宋_GB2312" w:eastAsia="仿宋_GB2312" w:cs="仿宋_GB2312"/>
              </w:rPr>
              <w:t>21208</w:t>
            </w:r>
            <w:r>
              <w:rPr>
                <w:rFonts w:hint="eastAsia" w:ascii="仿宋_GB2312" w:hAnsi="仿宋_GB2312" w:eastAsia="仿宋_GB2312" w:cs="仿宋_GB2312"/>
                <w:lang w:val="en-US" w:eastAsia="zh-CN"/>
              </w:rPr>
              <w:t>14</w:t>
            </w:r>
          </w:p>
        </w:tc>
        <w:tc>
          <w:tcPr>
            <w:tcW w:w="1939" w:type="dxa"/>
            <w:tcBorders>
              <w:top w:val="single" w:color="000000" w:sz="4" w:space="0"/>
              <w:left w:val="single" w:color="000000" w:sz="4" w:space="0"/>
              <w:bottom w:val="single" w:color="000000" w:sz="4" w:space="0"/>
              <w:right w:val="single" w:color="000000" w:sz="4" w:space="0"/>
            </w:tcBorders>
            <w:shd w:val="clear" w:color="000000" w:fill="FFFFFF"/>
            <w:vAlign w:val="center"/>
          </w:tcPr>
          <w:p w14:paraId="3AA9E78C">
            <w:pPr>
              <w:rPr>
                <w:rFonts w:hint="eastAsia" w:ascii="仿宋_GB2312" w:hAnsi="仿宋_GB2312" w:eastAsia="仿宋_GB2312" w:cs="仿宋_GB2312"/>
                <w:kern w:val="2"/>
                <w:sz w:val="21"/>
                <w:szCs w:val="22"/>
                <w:lang w:val="en-US" w:eastAsia="zh-CN" w:bidi="ar-SA"/>
              </w:rPr>
            </w:pPr>
            <w:r>
              <w:rPr>
                <w:rFonts w:hint="eastAsia" w:ascii="仿宋_GB2312" w:hAnsi="仿宋_GB2312" w:eastAsia="仿宋_GB2312" w:cs="仿宋_GB2312"/>
              </w:rPr>
              <w:t>农业生产发展支出</w:t>
            </w:r>
          </w:p>
        </w:tc>
        <w:tc>
          <w:tcPr>
            <w:tcW w:w="18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206BB2">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DC88D4">
            <w:pPr>
              <w:jc w:val="center"/>
              <w:rPr>
                <w:rFonts w:hint="default" w:ascii="Times New Roman" w:hAnsi="Times New Roman" w:eastAsia="仿宋_GB2312" w:cs="Times New Roman"/>
                <w:color w:val="000000"/>
                <w:kern w:val="2"/>
                <w:sz w:val="24"/>
                <w:szCs w:val="24"/>
                <w:lang w:val="en-US" w:eastAsia="zh-CN" w:bidi="ar-SA"/>
              </w:rPr>
            </w:pPr>
            <w:r>
              <w:rPr>
                <w:rFonts w:hint="eastAsia" w:ascii="Times New Roman" w:hAnsi="Times New Roman" w:eastAsia="仿宋_GB2312" w:cs="Times New Roman"/>
                <w:color w:val="000000"/>
                <w:sz w:val="24"/>
                <w:szCs w:val="24"/>
                <w:lang w:val="en-US" w:eastAsia="zh-CN"/>
              </w:rPr>
              <w:t>2449.98</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C794B1">
            <w:pPr>
              <w:jc w:val="center"/>
              <w:rPr>
                <w:rFonts w:hint="default" w:ascii="Times New Roman" w:hAnsi="Times New Roman" w:eastAsia="仿宋_GB2312" w:cs="Times New Roman"/>
                <w:color w:val="000000"/>
                <w:sz w:val="24"/>
                <w:szCs w:val="24"/>
                <w:lang w:val="en-US" w:eastAsia="zh-CN"/>
              </w:rPr>
            </w:pPr>
            <w:r>
              <w:rPr>
                <w:rFonts w:hint="eastAsia" w:ascii="Times New Roman" w:hAnsi="Times New Roman" w:eastAsia="仿宋_GB2312" w:cs="Times New Roman"/>
                <w:color w:val="000000"/>
                <w:sz w:val="24"/>
                <w:szCs w:val="24"/>
                <w:lang w:val="en-US" w:eastAsia="zh-CN"/>
              </w:rPr>
              <w:t>2449.98</w:t>
            </w: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53A582">
            <w:pPr>
              <w:jc w:val="cente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158BF4">
            <w:pPr>
              <w:jc w:val="center"/>
              <w:rPr>
                <w:rFonts w:hint="default" w:ascii="Times New Roman" w:hAnsi="Times New Roman" w:eastAsia="仿宋_GB2312" w:cs="Times New Roman"/>
                <w:color w:val="000000"/>
                <w:sz w:val="24"/>
                <w:szCs w:val="24"/>
                <w:lang w:val="en-US" w:eastAsia="zh-CN"/>
              </w:rPr>
            </w:pPr>
            <w:r>
              <w:rPr>
                <w:rFonts w:hint="eastAsia" w:ascii="Times New Roman" w:hAnsi="Times New Roman" w:eastAsia="仿宋_GB2312" w:cs="Times New Roman"/>
                <w:color w:val="000000"/>
                <w:sz w:val="24"/>
                <w:szCs w:val="24"/>
                <w:lang w:val="en-US" w:eastAsia="zh-CN"/>
              </w:rPr>
              <w:t>2449.98</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0580B0">
            <w:pPr>
              <w:rPr>
                <w:rFonts w:ascii="Times New Roman" w:hAnsi="Times New Roman" w:eastAsia="仿宋_GB2312" w:cs="Times New Roman"/>
                <w:color w:val="000000"/>
                <w:sz w:val="24"/>
                <w:szCs w:val="24"/>
              </w:rPr>
            </w:pPr>
          </w:p>
        </w:tc>
      </w:tr>
      <w:tr w14:paraId="0A538F24">
        <w:tblPrEx>
          <w:tblCellMar>
            <w:top w:w="0" w:type="dxa"/>
            <w:left w:w="108" w:type="dxa"/>
            <w:bottom w:w="0" w:type="dxa"/>
            <w:right w:w="108" w:type="dxa"/>
          </w:tblCellMar>
        </w:tblPrEx>
        <w:trPr>
          <w:trHeight w:val="509" w:hRule="atLeast"/>
          <w:jc w:val="center"/>
        </w:trPr>
        <w:tc>
          <w:tcPr>
            <w:tcW w:w="915" w:type="dxa"/>
            <w:tcBorders>
              <w:top w:val="single" w:color="000000" w:sz="4" w:space="0"/>
              <w:left w:val="single" w:color="000000" w:sz="4" w:space="0"/>
              <w:bottom w:val="single" w:color="000000" w:sz="4" w:space="0"/>
              <w:right w:val="single" w:color="000000" w:sz="4" w:space="0"/>
            </w:tcBorders>
            <w:shd w:val="clear" w:color="000000" w:fill="FFFFFF"/>
            <w:vAlign w:val="center"/>
          </w:tcPr>
          <w:p w14:paraId="005245C2">
            <w:pPr>
              <w:rPr>
                <w:rFonts w:hint="default" w:ascii="仿宋_GB2312" w:hAnsi="仿宋_GB2312" w:eastAsia="仿宋_GB2312" w:cs="仿宋_GB2312"/>
                <w:kern w:val="2"/>
                <w:sz w:val="21"/>
                <w:szCs w:val="22"/>
                <w:lang w:val="en-US" w:eastAsia="zh-CN" w:bidi="ar-SA"/>
              </w:rPr>
            </w:pPr>
            <w:r>
              <w:rPr>
                <w:rFonts w:hint="eastAsia" w:ascii="仿宋_GB2312" w:hAnsi="仿宋_GB2312" w:eastAsia="仿宋_GB2312" w:cs="仿宋_GB2312"/>
              </w:rPr>
              <w:t>212</w:t>
            </w:r>
            <w:r>
              <w:rPr>
                <w:rFonts w:hint="eastAsia" w:ascii="仿宋_GB2312" w:hAnsi="仿宋_GB2312" w:eastAsia="仿宋_GB2312" w:cs="仿宋_GB2312"/>
                <w:lang w:val="en-US" w:eastAsia="zh-CN"/>
              </w:rPr>
              <w:t>0899</w:t>
            </w:r>
          </w:p>
        </w:tc>
        <w:tc>
          <w:tcPr>
            <w:tcW w:w="1939" w:type="dxa"/>
            <w:tcBorders>
              <w:top w:val="single" w:color="000000" w:sz="4" w:space="0"/>
              <w:left w:val="single" w:color="000000" w:sz="4" w:space="0"/>
              <w:bottom w:val="single" w:color="000000" w:sz="4" w:space="0"/>
              <w:right w:val="single" w:color="000000" w:sz="4" w:space="0"/>
            </w:tcBorders>
            <w:shd w:val="clear" w:color="000000" w:fill="FFFFFF"/>
            <w:vAlign w:val="center"/>
          </w:tcPr>
          <w:p w14:paraId="0BC4940A">
            <w:pPr>
              <w:rPr>
                <w:rFonts w:hint="eastAsia" w:ascii="仿宋_GB2312" w:hAnsi="仿宋_GB2312" w:eastAsia="仿宋_GB2312" w:cs="仿宋_GB2312"/>
                <w:kern w:val="2"/>
                <w:sz w:val="21"/>
                <w:szCs w:val="22"/>
                <w:lang w:val="en-US" w:eastAsia="zh-CN" w:bidi="ar-SA"/>
              </w:rPr>
            </w:pPr>
            <w:r>
              <w:rPr>
                <w:rFonts w:hint="eastAsia" w:ascii="仿宋_GB2312" w:hAnsi="仿宋_GB2312" w:eastAsia="仿宋_GB2312" w:cs="仿宋_GB2312"/>
                <w:lang w:eastAsia="zh-CN"/>
              </w:rPr>
              <w:t>其他国有土地使用权出让收入安排的</w:t>
            </w:r>
            <w:r>
              <w:rPr>
                <w:rFonts w:hint="eastAsia" w:ascii="仿宋_GB2312" w:hAnsi="仿宋_GB2312" w:eastAsia="仿宋_GB2312" w:cs="仿宋_GB2312"/>
              </w:rPr>
              <w:t>支出</w:t>
            </w:r>
          </w:p>
        </w:tc>
        <w:tc>
          <w:tcPr>
            <w:tcW w:w="18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69E5E4">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E46CE2">
            <w:pPr>
              <w:jc w:val="center"/>
              <w:rPr>
                <w:rFonts w:hint="default" w:ascii="Times New Roman" w:hAnsi="Times New Roman" w:eastAsia="仿宋_GB2312" w:cs="Times New Roman"/>
                <w:color w:val="000000"/>
                <w:kern w:val="2"/>
                <w:sz w:val="24"/>
                <w:szCs w:val="24"/>
                <w:lang w:val="en-US" w:eastAsia="zh-CN" w:bidi="ar-SA"/>
              </w:rPr>
            </w:pPr>
            <w:r>
              <w:rPr>
                <w:rFonts w:hint="eastAsia" w:ascii="Times New Roman" w:hAnsi="Times New Roman" w:eastAsia="仿宋_GB2312" w:cs="Times New Roman"/>
                <w:color w:val="000000"/>
                <w:sz w:val="24"/>
                <w:szCs w:val="24"/>
                <w:lang w:val="en-US" w:eastAsia="zh-CN"/>
              </w:rPr>
              <w:t>485.49</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A1F611">
            <w:pPr>
              <w:jc w:val="center"/>
              <w:rPr>
                <w:rFonts w:hint="default" w:ascii="Times New Roman" w:hAnsi="Times New Roman" w:eastAsia="仿宋_GB2312" w:cs="Times New Roman"/>
                <w:color w:val="000000"/>
                <w:sz w:val="24"/>
                <w:szCs w:val="24"/>
                <w:lang w:val="en-US" w:eastAsia="zh-CN"/>
              </w:rPr>
            </w:pPr>
            <w:r>
              <w:rPr>
                <w:rFonts w:hint="eastAsia" w:ascii="Times New Roman" w:hAnsi="Times New Roman" w:eastAsia="仿宋_GB2312" w:cs="Times New Roman"/>
                <w:color w:val="000000"/>
                <w:sz w:val="24"/>
                <w:szCs w:val="24"/>
                <w:lang w:val="en-US" w:eastAsia="zh-CN"/>
              </w:rPr>
              <w:t>485.49</w:t>
            </w: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BCFDDA">
            <w:pPr>
              <w:jc w:val="cente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5EA2F4">
            <w:pPr>
              <w:jc w:val="center"/>
              <w:rPr>
                <w:rFonts w:hint="default" w:ascii="Times New Roman" w:hAnsi="Times New Roman" w:eastAsia="仿宋_GB2312" w:cs="Times New Roman"/>
                <w:color w:val="000000"/>
                <w:sz w:val="24"/>
                <w:szCs w:val="24"/>
                <w:lang w:val="en-US" w:eastAsia="zh-CN"/>
              </w:rPr>
            </w:pPr>
            <w:r>
              <w:rPr>
                <w:rFonts w:hint="eastAsia" w:ascii="Times New Roman" w:hAnsi="Times New Roman" w:eastAsia="仿宋_GB2312" w:cs="Times New Roman"/>
                <w:color w:val="000000"/>
                <w:sz w:val="24"/>
                <w:szCs w:val="24"/>
                <w:lang w:val="en-US" w:eastAsia="zh-CN"/>
              </w:rPr>
              <w:t>485.49</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C53FE1">
            <w:pPr>
              <w:rPr>
                <w:rFonts w:ascii="Times New Roman" w:hAnsi="Times New Roman" w:eastAsia="仿宋_GB2312" w:cs="Times New Roman"/>
                <w:color w:val="000000"/>
                <w:sz w:val="24"/>
                <w:szCs w:val="24"/>
              </w:rPr>
            </w:pPr>
          </w:p>
        </w:tc>
      </w:tr>
      <w:tr w14:paraId="0DAFF075">
        <w:tblPrEx>
          <w:tblCellMar>
            <w:top w:w="0" w:type="dxa"/>
            <w:left w:w="108" w:type="dxa"/>
            <w:bottom w:w="0" w:type="dxa"/>
            <w:right w:w="108" w:type="dxa"/>
          </w:tblCellMar>
        </w:tblPrEx>
        <w:trPr>
          <w:trHeight w:val="509" w:hRule="atLeast"/>
          <w:jc w:val="center"/>
        </w:trPr>
        <w:tc>
          <w:tcPr>
            <w:tcW w:w="915" w:type="dxa"/>
            <w:tcBorders>
              <w:top w:val="single" w:color="000000" w:sz="4" w:space="0"/>
              <w:left w:val="single" w:color="000000" w:sz="4" w:space="0"/>
              <w:bottom w:val="single" w:color="000000" w:sz="4" w:space="0"/>
              <w:right w:val="single" w:color="000000" w:sz="4" w:space="0"/>
            </w:tcBorders>
            <w:shd w:val="clear" w:color="000000" w:fill="FFFFFF"/>
            <w:vAlign w:val="center"/>
          </w:tcPr>
          <w:p w14:paraId="257C447C">
            <w:pPr>
              <w:rPr>
                <w:rFonts w:hint="eastAsia" w:ascii="仿宋_GB2312" w:hAnsi="仿宋_GB2312" w:eastAsia="仿宋_GB2312" w:cs="仿宋_GB2312"/>
                <w:kern w:val="2"/>
                <w:sz w:val="21"/>
                <w:szCs w:val="22"/>
                <w:lang w:val="en-US" w:eastAsia="zh-CN" w:bidi="ar-SA"/>
              </w:rPr>
            </w:pPr>
            <w:r>
              <w:rPr>
                <w:rFonts w:hint="eastAsia" w:ascii="仿宋_GB2312" w:hAnsi="仿宋_GB2312" w:eastAsia="仿宋_GB2312" w:cs="仿宋_GB2312"/>
                <w:lang w:val="en-US" w:eastAsia="zh-CN"/>
              </w:rPr>
              <w:t>229</w:t>
            </w:r>
          </w:p>
        </w:tc>
        <w:tc>
          <w:tcPr>
            <w:tcW w:w="19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C04015">
            <w:pPr>
              <w:rPr>
                <w:rFonts w:hint="eastAsia" w:ascii="仿宋_GB2312" w:hAnsi="仿宋_GB2312" w:eastAsia="仿宋_GB2312" w:cs="仿宋_GB2312"/>
                <w:kern w:val="2"/>
                <w:sz w:val="21"/>
                <w:szCs w:val="22"/>
                <w:lang w:val="en-US" w:eastAsia="zh-CN" w:bidi="ar-SA"/>
              </w:rPr>
            </w:pPr>
            <w:r>
              <w:rPr>
                <w:rFonts w:hint="eastAsia" w:ascii="仿宋_GB2312" w:hAnsi="仿宋_GB2312" w:eastAsia="仿宋_GB2312" w:cs="仿宋_GB2312"/>
                <w:lang w:eastAsia="zh-CN"/>
              </w:rPr>
              <w:t>其他支出</w:t>
            </w:r>
          </w:p>
        </w:tc>
        <w:tc>
          <w:tcPr>
            <w:tcW w:w="18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247EFB">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CEE170">
            <w:pPr>
              <w:jc w:val="center"/>
              <w:rPr>
                <w:rFonts w:hint="default" w:ascii="Times New Roman" w:hAnsi="Times New Roman" w:eastAsia="仿宋_GB2312" w:cs="Times New Roman"/>
                <w:color w:val="000000"/>
                <w:kern w:val="2"/>
                <w:sz w:val="24"/>
                <w:szCs w:val="24"/>
                <w:lang w:val="en-US" w:eastAsia="zh-CN" w:bidi="ar-SA"/>
              </w:rPr>
            </w:pPr>
            <w:r>
              <w:rPr>
                <w:rFonts w:hint="eastAsia" w:ascii="Times New Roman" w:hAnsi="Times New Roman" w:eastAsia="仿宋_GB2312" w:cs="Times New Roman"/>
                <w:color w:val="000000"/>
                <w:sz w:val="24"/>
                <w:szCs w:val="24"/>
                <w:lang w:val="en-US" w:eastAsia="zh-CN"/>
              </w:rPr>
              <w:t>85.25</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D69129">
            <w:pPr>
              <w:jc w:val="center"/>
              <w:rPr>
                <w:rFonts w:hint="default" w:ascii="Times New Roman" w:hAnsi="Times New Roman" w:eastAsia="仿宋_GB2312" w:cs="Times New Roman"/>
                <w:color w:val="000000"/>
                <w:sz w:val="24"/>
                <w:szCs w:val="24"/>
                <w:lang w:val="en-US" w:eastAsia="zh-CN"/>
              </w:rPr>
            </w:pPr>
            <w:r>
              <w:rPr>
                <w:rFonts w:hint="eastAsia" w:ascii="Times New Roman" w:hAnsi="Times New Roman" w:eastAsia="仿宋_GB2312" w:cs="Times New Roman"/>
                <w:color w:val="000000"/>
                <w:sz w:val="24"/>
                <w:szCs w:val="24"/>
                <w:lang w:val="en-US" w:eastAsia="zh-CN"/>
              </w:rPr>
              <w:t>85.25</w:t>
            </w: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4E8572">
            <w:pPr>
              <w:jc w:val="cente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24AF89">
            <w:pPr>
              <w:jc w:val="center"/>
              <w:rPr>
                <w:rFonts w:hint="default" w:ascii="Times New Roman" w:hAnsi="Times New Roman" w:eastAsia="仿宋_GB2312" w:cs="Times New Roman"/>
                <w:color w:val="000000"/>
                <w:sz w:val="24"/>
                <w:szCs w:val="24"/>
                <w:lang w:val="en-US" w:eastAsia="zh-CN"/>
              </w:rPr>
            </w:pPr>
            <w:r>
              <w:rPr>
                <w:rFonts w:hint="eastAsia" w:ascii="Times New Roman" w:hAnsi="Times New Roman" w:eastAsia="仿宋_GB2312" w:cs="Times New Roman"/>
                <w:color w:val="000000"/>
                <w:sz w:val="24"/>
                <w:szCs w:val="24"/>
                <w:lang w:val="en-US" w:eastAsia="zh-CN"/>
              </w:rPr>
              <w:t>85.25</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6127C2">
            <w:pPr>
              <w:rPr>
                <w:rFonts w:ascii="Times New Roman" w:hAnsi="Times New Roman" w:eastAsia="仿宋_GB2312" w:cs="Times New Roman"/>
                <w:color w:val="000000"/>
                <w:sz w:val="24"/>
                <w:szCs w:val="24"/>
              </w:rPr>
            </w:pPr>
          </w:p>
        </w:tc>
      </w:tr>
      <w:tr w14:paraId="583EFDEA">
        <w:tblPrEx>
          <w:tblCellMar>
            <w:top w:w="0" w:type="dxa"/>
            <w:left w:w="108" w:type="dxa"/>
            <w:bottom w:w="0" w:type="dxa"/>
            <w:right w:w="108" w:type="dxa"/>
          </w:tblCellMar>
        </w:tblPrEx>
        <w:trPr>
          <w:trHeight w:val="509" w:hRule="atLeast"/>
          <w:jc w:val="center"/>
        </w:trPr>
        <w:tc>
          <w:tcPr>
            <w:tcW w:w="915" w:type="dxa"/>
            <w:tcBorders>
              <w:top w:val="single" w:color="000000" w:sz="4" w:space="0"/>
              <w:left w:val="single" w:color="000000" w:sz="4" w:space="0"/>
              <w:bottom w:val="single" w:color="000000" w:sz="4" w:space="0"/>
              <w:right w:val="single" w:color="000000" w:sz="4" w:space="0"/>
            </w:tcBorders>
            <w:shd w:val="clear" w:color="000000" w:fill="FFFFFF"/>
            <w:vAlign w:val="center"/>
          </w:tcPr>
          <w:p w14:paraId="3242055D">
            <w:pPr>
              <w:rPr>
                <w:rFonts w:hint="eastAsia" w:ascii="仿宋_GB2312" w:hAnsi="仿宋_GB2312" w:eastAsia="仿宋_GB2312" w:cs="仿宋_GB2312"/>
                <w:kern w:val="2"/>
                <w:sz w:val="21"/>
                <w:szCs w:val="22"/>
                <w:lang w:val="en-US" w:eastAsia="zh-CN" w:bidi="ar-SA"/>
              </w:rPr>
            </w:pPr>
            <w:r>
              <w:rPr>
                <w:rFonts w:hint="eastAsia" w:ascii="仿宋_GB2312" w:hAnsi="仿宋_GB2312" w:eastAsia="仿宋_GB2312" w:cs="仿宋_GB2312"/>
                <w:lang w:val="en-US" w:eastAsia="zh-CN"/>
              </w:rPr>
              <w:t>22904</w:t>
            </w:r>
          </w:p>
        </w:tc>
        <w:tc>
          <w:tcPr>
            <w:tcW w:w="19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7B5E99">
            <w:pPr>
              <w:rPr>
                <w:rFonts w:hint="eastAsia" w:ascii="仿宋_GB2312" w:hAnsi="仿宋_GB2312" w:eastAsia="仿宋_GB2312" w:cs="仿宋_GB2312"/>
                <w:kern w:val="2"/>
                <w:sz w:val="21"/>
                <w:szCs w:val="22"/>
                <w:lang w:val="en-US" w:eastAsia="zh-CN" w:bidi="ar-SA"/>
              </w:rPr>
            </w:pPr>
            <w:r>
              <w:rPr>
                <w:rFonts w:hint="eastAsia" w:ascii="仿宋_GB2312" w:hAnsi="仿宋_GB2312" w:eastAsia="仿宋_GB2312" w:cs="仿宋_GB2312"/>
                <w:lang w:eastAsia="zh-CN"/>
              </w:rPr>
              <w:t>其他政府性基金及对应专债收入安排的支出</w:t>
            </w:r>
          </w:p>
        </w:tc>
        <w:tc>
          <w:tcPr>
            <w:tcW w:w="18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5E88B1">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AAEC3C">
            <w:pPr>
              <w:jc w:val="center"/>
              <w:rPr>
                <w:rFonts w:hint="default" w:ascii="Times New Roman" w:hAnsi="Times New Roman" w:eastAsia="仿宋_GB2312" w:cs="Times New Roman"/>
                <w:color w:val="000000"/>
                <w:kern w:val="2"/>
                <w:sz w:val="24"/>
                <w:szCs w:val="24"/>
                <w:lang w:val="en-US" w:eastAsia="zh-CN" w:bidi="ar-SA"/>
              </w:rPr>
            </w:pPr>
            <w:r>
              <w:rPr>
                <w:rFonts w:hint="eastAsia" w:ascii="Times New Roman" w:hAnsi="Times New Roman" w:eastAsia="仿宋_GB2312" w:cs="Times New Roman"/>
                <w:color w:val="000000"/>
                <w:sz w:val="24"/>
                <w:szCs w:val="24"/>
                <w:lang w:val="en-US" w:eastAsia="zh-CN"/>
              </w:rPr>
              <w:t>85.25</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F2DF66">
            <w:pPr>
              <w:jc w:val="center"/>
              <w:rPr>
                <w:rFonts w:hint="default" w:ascii="Times New Roman" w:hAnsi="Times New Roman" w:eastAsia="仿宋_GB2312" w:cs="Times New Roman"/>
                <w:color w:val="000000"/>
                <w:sz w:val="24"/>
                <w:szCs w:val="24"/>
                <w:lang w:val="en-US" w:eastAsia="zh-CN"/>
              </w:rPr>
            </w:pPr>
            <w:r>
              <w:rPr>
                <w:rFonts w:hint="eastAsia" w:ascii="Times New Roman" w:hAnsi="Times New Roman" w:eastAsia="仿宋_GB2312" w:cs="Times New Roman"/>
                <w:color w:val="000000"/>
                <w:sz w:val="24"/>
                <w:szCs w:val="24"/>
                <w:lang w:val="en-US" w:eastAsia="zh-CN"/>
              </w:rPr>
              <w:t>85.25</w:t>
            </w: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7E741C">
            <w:pPr>
              <w:jc w:val="cente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C6C82D">
            <w:pPr>
              <w:jc w:val="center"/>
              <w:rPr>
                <w:rFonts w:hint="default" w:ascii="Times New Roman" w:hAnsi="Times New Roman" w:eastAsia="仿宋_GB2312" w:cs="Times New Roman"/>
                <w:color w:val="000000"/>
                <w:sz w:val="24"/>
                <w:szCs w:val="24"/>
                <w:lang w:val="en-US" w:eastAsia="zh-CN"/>
              </w:rPr>
            </w:pPr>
            <w:r>
              <w:rPr>
                <w:rFonts w:hint="eastAsia" w:ascii="Times New Roman" w:hAnsi="Times New Roman" w:eastAsia="仿宋_GB2312" w:cs="Times New Roman"/>
                <w:color w:val="000000"/>
                <w:sz w:val="24"/>
                <w:szCs w:val="24"/>
                <w:lang w:val="en-US" w:eastAsia="zh-CN"/>
              </w:rPr>
              <w:t>85.25</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A9B725">
            <w:pPr>
              <w:rPr>
                <w:rFonts w:ascii="Times New Roman" w:hAnsi="Times New Roman" w:eastAsia="仿宋_GB2312" w:cs="Times New Roman"/>
                <w:color w:val="000000"/>
                <w:sz w:val="24"/>
                <w:szCs w:val="24"/>
              </w:rPr>
            </w:pPr>
          </w:p>
        </w:tc>
      </w:tr>
      <w:tr w14:paraId="68D45A33">
        <w:tblPrEx>
          <w:tblCellMar>
            <w:top w:w="0" w:type="dxa"/>
            <w:left w:w="108" w:type="dxa"/>
            <w:bottom w:w="0" w:type="dxa"/>
            <w:right w:w="108" w:type="dxa"/>
          </w:tblCellMar>
        </w:tblPrEx>
        <w:trPr>
          <w:trHeight w:val="509" w:hRule="atLeast"/>
          <w:jc w:val="center"/>
        </w:trPr>
        <w:tc>
          <w:tcPr>
            <w:tcW w:w="915" w:type="dxa"/>
            <w:tcBorders>
              <w:top w:val="single" w:color="000000" w:sz="4" w:space="0"/>
              <w:left w:val="single" w:color="000000" w:sz="4" w:space="0"/>
              <w:bottom w:val="single" w:color="000000" w:sz="4" w:space="0"/>
              <w:right w:val="single" w:color="000000" w:sz="4" w:space="0"/>
            </w:tcBorders>
            <w:shd w:val="clear" w:color="000000" w:fill="FFFFFF"/>
            <w:vAlign w:val="center"/>
          </w:tcPr>
          <w:p w14:paraId="4111D124">
            <w:pPr>
              <w:rPr>
                <w:rFonts w:hint="eastAsia" w:ascii="仿宋_GB2312" w:hAnsi="仿宋_GB2312" w:eastAsia="仿宋_GB2312" w:cs="仿宋_GB2312"/>
                <w:kern w:val="2"/>
                <w:sz w:val="21"/>
                <w:szCs w:val="22"/>
                <w:lang w:val="en-US" w:eastAsia="zh-CN" w:bidi="ar-SA"/>
              </w:rPr>
            </w:pPr>
            <w:r>
              <w:rPr>
                <w:rFonts w:hint="eastAsia" w:ascii="仿宋_GB2312" w:hAnsi="仿宋_GB2312" w:eastAsia="仿宋_GB2312" w:cs="仿宋_GB2312"/>
                <w:lang w:val="en-US" w:eastAsia="zh-CN"/>
              </w:rPr>
              <w:t>2290403</w:t>
            </w:r>
          </w:p>
        </w:tc>
        <w:tc>
          <w:tcPr>
            <w:tcW w:w="19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B7D4E0">
            <w:pPr>
              <w:rPr>
                <w:rFonts w:hint="eastAsia" w:ascii="仿宋_GB2312" w:hAnsi="仿宋_GB2312" w:eastAsia="仿宋_GB2312" w:cs="仿宋_GB2312"/>
                <w:kern w:val="2"/>
                <w:sz w:val="21"/>
                <w:szCs w:val="22"/>
                <w:lang w:val="en-US" w:eastAsia="zh-CN" w:bidi="ar-SA"/>
              </w:rPr>
            </w:pPr>
            <w:r>
              <w:rPr>
                <w:rFonts w:hint="eastAsia" w:ascii="仿宋_GB2312" w:hAnsi="仿宋_GB2312" w:eastAsia="仿宋_GB2312" w:cs="仿宋_GB2312"/>
                <w:lang w:eastAsia="zh-CN"/>
              </w:rPr>
              <w:t>其他政府性基金债务收入安排的支出</w:t>
            </w:r>
          </w:p>
        </w:tc>
        <w:tc>
          <w:tcPr>
            <w:tcW w:w="18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1BD475">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B6E8FE">
            <w:pPr>
              <w:jc w:val="center"/>
              <w:rPr>
                <w:rFonts w:hint="default" w:ascii="Times New Roman" w:hAnsi="Times New Roman" w:eastAsia="仿宋_GB2312" w:cs="Times New Roman"/>
                <w:color w:val="000000"/>
                <w:kern w:val="2"/>
                <w:sz w:val="24"/>
                <w:szCs w:val="24"/>
                <w:lang w:val="en-US" w:eastAsia="zh-CN" w:bidi="ar-SA"/>
              </w:rPr>
            </w:pPr>
            <w:r>
              <w:rPr>
                <w:rFonts w:hint="eastAsia" w:ascii="Times New Roman" w:hAnsi="Times New Roman" w:eastAsia="仿宋_GB2312" w:cs="Times New Roman"/>
                <w:color w:val="000000"/>
                <w:sz w:val="24"/>
                <w:szCs w:val="24"/>
                <w:lang w:val="en-US" w:eastAsia="zh-CN"/>
              </w:rPr>
              <w:t>85.25</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32F943">
            <w:pPr>
              <w:jc w:val="center"/>
              <w:rPr>
                <w:rFonts w:hint="default" w:ascii="Times New Roman" w:hAnsi="Times New Roman" w:eastAsia="仿宋_GB2312" w:cs="Times New Roman"/>
                <w:color w:val="000000"/>
                <w:sz w:val="24"/>
                <w:szCs w:val="24"/>
                <w:lang w:val="en-US" w:eastAsia="zh-CN"/>
              </w:rPr>
            </w:pPr>
            <w:r>
              <w:rPr>
                <w:rFonts w:hint="eastAsia" w:ascii="Times New Roman" w:hAnsi="Times New Roman" w:eastAsia="仿宋_GB2312" w:cs="Times New Roman"/>
                <w:color w:val="000000"/>
                <w:sz w:val="24"/>
                <w:szCs w:val="24"/>
                <w:lang w:val="en-US" w:eastAsia="zh-CN"/>
              </w:rPr>
              <w:t>85.25</w:t>
            </w: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48374F">
            <w:pPr>
              <w:jc w:val="cente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22DC20">
            <w:pPr>
              <w:jc w:val="center"/>
              <w:rPr>
                <w:rFonts w:hint="default" w:ascii="Times New Roman" w:hAnsi="Times New Roman" w:eastAsia="仿宋_GB2312" w:cs="Times New Roman"/>
                <w:color w:val="000000"/>
                <w:sz w:val="24"/>
                <w:szCs w:val="24"/>
                <w:lang w:val="en-US" w:eastAsia="zh-CN"/>
              </w:rPr>
            </w:pPr>
            <w:r>
              <w:rPr>
                <w:rFonts w:hint="eastAsia" w:ascii="Times New Roman" w:hAnsi="Times New Roman" w:eastAsia="仿宋_GB2312" w:cs="Times New Roman"/>
                <w:color w:val="000000"/>
                <w:sz w:val="24"/>
                <w:szCs w:val="24"/>
                <w:lang w:val="en-US" w:eastAsia="zh-CN"/>
              </w:rPr>
              <w:t>85.25</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32DE07">
            <w:pPr>
              <w:rPr>
                <w:rFonts w:ascii="Times New Roman" w:hAnsi="Times New Roman" w:eastAsia="仿宋_GB2312" w:cs="Times New Roman"/>
                <w:color w:val="000000"/>
                <w:sz w:val="24"/>
                <w:szCs w:val="24"/>
              </w:rPr>
            </w:pPr>
          </w:p>
        </w:tc>
      </w:tr>
    </w:tbl>
    <w:p w14:paraId="10A18112">
      <w:pPr>
        <w:widowControl/>
        <w:spacing w:before="120"/>
        <w:jc w:val="left"/>
        <w:textAlignment w:val="center"/>
        <w:rPr>
          <w:rFonts w:ascii="Times New Roman" w:hAnsi="Times New Roman" w:eastAsia="仿宋_GB2312" w:cs="Times New Roman"/>
          <w:color w:val="000000"/>
          <w:kern w:val="0"/>
          <w:sz w:val="24"/>
          <w:szCs w:val="24"/>
          <w:lang w:bidi="ar"/>
        </w:rPr>
      </w:pPr>
      <w:r>
        <w:rPr>
          <w:rFonts w:ascii="Times New Roman" w:hAnsi="Times New Roman" w:eastAsia="仿宋_GB2312" w:cs="Times New Roman"/>
          <w:color w:val="000000"/>
          <w:kern w:val="0"/>
          <w:sz w:val="24"/>
          <w:szCs w:val="24"/>
          <w:lang w:bidi="ar"/>
        </w:rPr>
        <w:t>注：本表反映部门本年度政府性基金预算财政拨款收入、支出及结转和结余情况。</w:t>
      </w:r>
    </w:p>
    <w:p w14:paraId="58B74E31">
      <w:pPr>
        <w:widowControl/>
        <w:spacing w:line="400" w:lineRule="exact"/>
        <w:textAlignment w:val="center"/>
        <w:rPr>
          <w:rFonts w:ascii="Times New Roman" w:hAnsi="Times New Roman" w:eastAsia="黑体" w:cs="Times New Roman"/>
          <w:color w:val="000000"/>
          <w:kern w:val="0"/>
          <w:sz w:val="36"/>
          <w:szCs w:val="36"/>
          <w:lang w:bidi="ar"/>
        </w:rPr>
      </w:pPr>
    </w:p>
    <w:p w14:paraId="5FEAB92A">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国有资本经营预算财政拨款支出决算表</w:t>
      </w:r>
    </w:p>
    <w:p w14:paraId="447DD374">
      <w:pPr>
        <w:widowControl/>
        <w:tabs>
          <w:tab w:val="left" w:pos="1326"/>
          <w:tab w:val="left" w:pos="2027"/>
          <w:tab w:val="left" w:pos="4319"/>
          <w:tab w:val="left" w:pos="7634"/>
          <w:tab w:val="left" w:pos="10949"/>
        </w:tabs>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w:t>
      </w:r>
      <w:r>
        <w:rPr>
          <w:rFonts w:hint="eastAsia" w:ascii="Times New Roman" w:hAnsi="Times New Roman" w:eastAsia="仿宋_GB2312" w:cs="Times New Roman"/>
          <w:color w:val="000000"/>
          <w:kern w:val="0"/>
          <w:sz w:val="20"/>
          <w:szCs w:val="20"/>
          <w:lang w:val="en-US" w:eastAsia="zh-CN" w:bidi="ar"/>
        </w:rPr>
        <w:t xml:space="preserve">                </w:t>
      </w:r>
      <w:r>
        <w:rPr>
          <w:rFonts w:ascii="Times New Roman" w:hAnsi="Times New Roman" w:eastAsia="仿宋_GB2312" w:cs="Times New Roman"/>
          <w:color w:val="000000"/>
          <w:kern w:val="0"/>
          <w:sz w:val="20"/>
          <w:szCs w:val="20"/>
          <w:lang w:bidi="ar"/>
        </w:rPr>
        <w:t xml:space="preserve"> 公开08表</w:t>
      </w:r>
    </w:p>
    <w:p w14:paraId="55CA51A5">
      <w:pPr>
        <w:widowControl/>
        <w:tabs>
          <w:tab w:val="left" w:pos="1326"/>
          <w:tab w:val="left" w:pos="2027"/>
          <w:tab w:val="left" w:pos="4319"/>
          <w:tab w:val="left" w:pos="7634"/>
          <w:tab w:val="left" w:pos="10949"/>
        </w:tabs>
        <w:jc w:val="both"/>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部门：</w:t>
      </w:r>
      <w:r>
        <w:rPr>
          <w:rFonts w:hint="eastAsia" w:ascii="Times New Roman" w:hAnsi="Times New Roman" w:eastAsia="仿宋_GB2312" w:cs="Times New Roman"/>
          <w:color w:val="000000"/>
          <w:kern w:val="0"/>
          <w:sz w:val="20"/>
          <w:szCs w:val="20"/>
          <w:lang w:bidi="ar"/>
        </w:rPr>
        <w:t>祁阳现代农业产业园区管理委员会</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hint="eastAsia" w:ascii="Times New Roman" w:hAnsi="Times New Roman" w:eastAsia="仿宋_GB2312" w:cs="Times New Roman"/>
          <w:color w:val="000000"/>
          <w:sz w:val="20"/>
          <w:szCs w:val="20"/>
          <w:lang w:val="en-US" w:eastAsia="zh-CN"/>
        </w:rPr>
        <w:t xml:space="preserve">          </w:t>
      </w:r>
      <w:r>
        <w:rPr>
          <w:rFonts w:ascii="Times New Roman" w:hAnsi="Times New Roman" w:eastAsia="仿宋_GB2312" w:cs="Times New Roman"/>
          <w:color w:val="000000"/>
          <w:kern w:val="0"/>
          <w:sz w:val="20"/>
          <w:szCs w:val="20"/>
          <w:lang w:bidi="ar"/>
        </w:rPr>
        <w:t>单位：万元</w:t>
      </w:r>
    </w:p>
    <w:tbl>
      <w:tblPr>
        <w:tblStyle w:val="13"/>
        <w:tblW w:w="4999" w:type="pct"/>
        <w:tblInd w:w="0" w:type="dxa"/>
        <w:tblLayout w:type="autofit"/>
        <w:tblCellMar>
          <w:top w:w="0" w:type="dxa"/>
          <w:left w:w="108" w:type="dxa"/>
          <w:bottom w:w="0" w:type="dxa"/>
          <w:right w:w="108" w:type="dxa"/>
        </w:tblCellMar>
      </w:tblPr>
      <w:tblGrid>
        <w:gridCol w:w="3094"/>
        <w:gridCol w:w="3097"/>
        <w:gridCol w:w="1832"/>
        <w:gridCol w:w="3097"/>
        <w:gridCol w:w="3097"/>
      </w:tblGrid>
      <w:tr w14:paraId="73D78C6F">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ED24BBE">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项 </w:t>
            </w:r>
            <w:r>
              <w:rPr>
                <w:rFonts w:ascii="Times New Roman" w:hAnsi="Times New Roman" w:eastAsia="仿宋_GB2312" w:cs="Times New Roman"/>
                <w:b/>
                <w:bCs/>
                <w:color w:val="000000"/>
                <w:kern w:val="0"/>
                <w:sz w:val="22"/>
                <w:lang w:bidi="ar"/>
              </w:rPr>
              <w:t xml:space="preserve">   </w:t>
            </w:r>
            <w:r>
              <w:rPr>
                <w:rStyle w:val="22"/>
                <w:rFonts w:hint="default" w:ascii="Times New Roman" w:hAnsi="Times New Roman" w:eastAsia="仿宋_GB2312" w:cs="Times New Roman"/>
                <w:b/>
                <w:bCs/>
                <w:lang w:bidi="ar"/>
              </w:rPr>
              <w:t>目</w:t>
            </w:r>
          </w:p>
        </w:tc>
        <w:tc>
          <w:tcPr>
            <w:tcW w:w="282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204E61F">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本年支出</w:t>
            </w:r>
          </w:p>
        </w:tc>
      </w:tr>
      <w:tr w14:paraId="29E2F137">
        <w:tblPrEx>
          <w:tblCellMar>
            <w:top w:w="0" w:type="dxa"/>
            <w:left w:w="108" w:type="dxa"/>
            <w:bottom w:w="0" w:type="dxa"/>
            <w:right w:w="108" w:type="dxa"/>
          </w:tblCellMar>
        </w:tblPrEx>
        <w:trPr>
          <w:trHeight w:val="312" w:hRule="exact"/>
        </w:trPr>
        <w:tc>
          <w:tcPr>
            <w:tcW w:w="108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719C657">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科目代码</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9A8D3BF">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科目名称</w:t>
            </w:r>
          </w:p>
        </w:tc>
        <w:tc>
          <w:tcPr>
            <w:tcW w:w="64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E482FD1">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合计</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C193D28">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基本支出  </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0FE2163">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项目支出</w:t>
            </w:r>
          </w:p>
        </w:tc>
      </w:tr>
      <w:tr w14:paraId="5046FA50">
        <w:tblPrEx>
          <w:tblCellMar>
            <w:top w:w="0" w:type="dxa"/>
            <w:left w:w="108" w:type="dxa"/>
            <w:bottom w:w="0" w:type="dxa"/>
            <w:right w:w="108" w:type="dxa"/>
          </w:tblCellMar>
        </w:tblPrEx>
        <w:trPr>
          <w:trHeight w:val="312" w:hRule="exact"/>
        </w:trPr>
        <w:tc>
          <w:tcPr>
            <w:tcW w:w="108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10B20D">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AEBCB4">
            <w:pPr>
              <w:jc w:val="center"/>
              <w:rPr>
                <w:rFonts w:ascii="Times New Roman" w:hAnsi="Times New Roman" w:eastAsia="仿宋_GB2312" w:cs="Times New Roman"/>
                <w:color w:val="000000"/>
                <w:sz w:val="24"/>
                <w:szCs w:val="24"/>
              </w:rPr>
            </w:pPr>
          </w:p>
        </w:tc>
        <w:tc>
          <w:tcPr>
            <w:tcW w:w="64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7B600D">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7C229B">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79695E">
            <w:pPr>
              <w:jc w:val="center"/>
              <w:rPr>
                <w:rFonts w:ascii="Times New Roman" w:hAnsi="Times New Roman" w:eastAsia="仿宋_GB2312" w:cs="Times New Roman"/>
                <w:color w:val="000000"/>
                <w:sz w:val="24"/>
                <w:szCs w:val="24"/>
              </w:rPr>
            </w:pPr>
          </w:p>
        </w:tc>
      </w:tr>
      <w:tr w14:paraId="2430830F">
        <w:tblPrEx>
          <w:tblCellMar>
            <w:top w:w="0" w:type="dxa"/>
            <w:left w:w="108" w:type="dxa"/>
            <w:bottom w:w="0" w:type="dxa"/>
            <w:right w:w="108" w:type="dxa"/>
          </w:tblCellMar>
        </w:tblPrEx>
        <w:trPr>
          <w:trHeight w:val="312" w:hRule="atLeast"/>
        </w:trPr>
        <w:tc>
          <w:tcPr>
            <w:tcW w:w="108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BA9F8B">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6D3F25">
            <w:pPr>
              <w:jc w:val="center"/>
              <w:rPr>
                <w:rFonts w:ascii="Times New Roman" w:hAnsi="Times New Roman" w:eastAsia="仿宋_GB2312" w:cs="Times New Roman"/>
                <w:color w:val="000000"/>
                <w:sz w:val="24"/>
                <w:szCs w:val="24"/>
              </w:rPr>
            </w:pPr>
          </w:p>
        </w:tc>
        <w:tc>
          <w:tcPr>
            <w:tcW w:w="64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FDC3FC">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71E677">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9BF0BD">
            <w:pPr>
              <w:jc w:val="center"/>
              <w:rPr>
                <w:rFonts w:ascii="Times New Roman" w:hAnsi="Times New Roman" w:eastAsia="仿宋_GB2312" w:cs="Times New Roman"/>
                <w:color w:val="000000"/>
                <w:sz w:val="24"/>
                <w:szCs w:val="24"/>
              </w:rPr>
            </w:pPr>
          </w:p>
        </w:tc>
      </w:tr>
      <w:tr w14:paraId="7D38BB0F">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9C2821F">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栏次</w:t>
            </w: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B7C3B0">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1</w:t>
            </w: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C1EF87">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2</w:t>
            </w: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B46243">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3</w:t>
            </w:r>
          </w:p>
        </w:tc>
      </w:tr>
      <w:tr w14:paraId="7DFB25EE">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4E7A0CA">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合计</w:t>
            </w: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E08ADA">
            <w:pPr>
              <w:jc w:val="center"/>
              <w:rPr>
                <w:rFonts w:hint="default" w:ascii="Times New Roman" w:hAnsi="Times New Roman" w:eastAsia="仿宋_GB2312" w:cs="Times New Roman"/>
                <w:color w:val="000000"/>
                <w:sz w:val="24"/>
                <w:szCs w:val="24"/>
                <w:lang w:val="en-US" w:eastAsia="zh-CN"/>
              </w:rPr>
            </w:pPr>
            <w:r>
              <w:rPr>
                <w:rFonts w:hint="eastAsia" w:ascii="Times New Roman" w:hAnsi="Times New Roman" w:eastAsia="仿宋_GB2312" w:cs="Times New Roman"/>
                <w:color w:val="000000"/>
                <w:sz w:val="24"/>
                <w:szCs w:val="24"/>
                <w:lang w:val="en-US" w:eastAsia="zh-CN"/>
              </w:rPr>
              <w:t>0.00</w:t>
            </w: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8A418A">
            <w:pPr>
              <w:jc w:val="center"/>
              <w:rPr>
                <w:rFonts w:hint="default" w:ascii="Times New Roman" w:hAnsi="Times New Roman" w:eastAsia="仿宋_GB2312" w:cs="Times New Roman"/>
                <w:color w:val="000000"/>
                <w:sz w:val="24"/>
                <w:szCs w:val="24"/>
                <w:lang w:val="en-US" w:eastAsia="zh-CN"/>
              </w:rPr>
            </w:pPr>
            <w:r>
              <w:rPr>
                <w:rFonts w:hint="eastAsia" w:ascii="Times New Roman" w:hAnsi="Times New Roman" w:eastAsia="仿宋_GB2312" w:cs="Times New Roman"/>
                <w:color w:val="000000"/>
                <w:sz w:val="24"/>
                <w:szCs w:val="24"/>
                <w:lang w:val="en-US" w:eastAsia="zh-CN"/>
              </w:rPr>
              <w:t>0.00</w:t>
            </w: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025D4F">
            <w:pPr>
              <w:jc w:val="center"/>
              <w:rPr>
                <w:rFonts w:hint="default" w:ascii="Times New Roman" w:hAnsi="Times New Roman" w:eastAsia="仿宋_GB2312" w:cs="Times New Roman"/>
                <w:color w:val="000000"/>
                <w:sz w:val="24"/>
                <w:szCs w:val="24"/>
                <w:lang w:val="en-US" w:eastAsia="zh-CN"/>
              </w:rPr>
            </w:pPr>
            <w:r>
              <w:rPr>
                <w:rFonts w:hint="eastAsia" w:ascii="Times New Roman" w:hAnsi="Times New Roman" w:eastAsia="仿宋_GB2312" w:cs="Times New Roman"/>
                <w:color w:val="000000"/>
                <w:sz w:val="24"/>
                <w:szCs w:val="24"/>
                <w:lang w:val="en-US" w:eastAsia="zh-CN"/>
              </w:rPr>
              <w:t>0.00</w:t>
            </w:r>
          </w:p>
        </w:tc>
      </w:tr>
      <w:tr w14:paraId="0BF7D84D">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6AB259">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305EA9">
            <w:pPr>
              <w:rPr>
                <w:rFonts w:ascii="Times New Roman" w:hAnsi="Times New Roman" w:eastAsia="仿宋_GB2312" w:cs="Times New Roman"/>
                <w:color w:val="000000"/>
                <w:sz w:val="20"/>
                <w:szCs w:val="20"/>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118309">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B9FDC3">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480941">
            <w:pPr>
              <w:rPr>
                <w:rFonts w:ascii="Times New Roman" w:hAnsi="Times New Roman" w:eastAsia="仿宋_GB2312" w:cs="Times New Roman"/>
                <w:color w:val="000000"/>
                <w:sz w:val="24"/>
                <w:szCs w:val="24"/>
              </w:rPr>
            </w:pPr>
          </w:p>
        </w:tc>
      </w:tr>
      <w:tr w14:paraId="3452A5E2">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4D0C7C">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73574F">
            <w:pPr>
              <w:rPr>
                <w:rFonts w:ascii="Times New Roman" w:hAnsi="Times New Roman" w:eastAsia="仿宋_GB2312"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B0C233">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9ED0CF">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0865B4">
            <w:pPr>
              <w:rPr>
                <w:rFonts w:ascii="Times New Roman" w:hAnsi="Times New Roman" w:eastAsia="仿宋_GB2312" w:cs="Times New Roman"/>
                <w:color w:val="000000"/>
                <w:sz w:val="24"/>
                <w:szCs w:val="24"/>
              </w:rPr>
            </w:pPr>
          </w:p>
        </w:tc>
      </w:tr>
      <w:tr w14:paraId="6253A72B">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D4BA3B">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447CCE">
            <w:pPr>
              <w:rPr>
                <w:rFonts w:ascii="Times New Roman" w:hAnsi="Times New Roman" w:eastAsia="宋体" w:cs="Times New Roman"/>
                <w:color w:val="000000"/>
                <w:sz w:val="20"/>
                <w:szCs w:val="20"/>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33F603">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37FDB0">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2BAD7A">
            <w:pPr>
              <w:rPr>
                <w:rFonts w:ascii="Times New Roman" w:hAnsi="Times New Roman" w:eastAsia="宋体" w:cs="Times New Roman"/>
                <w:color w:val="000000"/>
                <w:sz w:val="24"/>
                <w:szCs w:val="24"/>
              </w:rPr>
            </w:pPr>
          </w:p>
        </w:tc>
      </w:tr>
      <w:tr w14:paraId="4BDB332C">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9F7249">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F5627C">
            <w:pPr>
              <w:rPr>
                <w:rFonts w:ascii="Times New Roman" w:hAnsi="Times New Roman" w:eastAsia="宋体"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4A6A6B">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4A702E">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9D8AEF">
            <w:pPr>
              <w:rPr>
                <w:rFonts w:ascii="Times New Roman" w:hAnsi="Times New Roman" w:eastAsia="宋体" w:cs="Times New Roman"/>
                <w:color w:val="000000"/>
                <w:sz w:val="24"/>
                <w:szCs w:val="24"/>
              </w:rPr>
            </w:pPr>
          </w:p>
        </w:tc>
      </w:tr>
      <w:tr w14:paraId="50E387FC">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FFEA17">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6EB950">
            <w:pPr>
              <w:rPr>
                <w:rFonts w:ascii="Times New Roman" w:hAnsi="Times New Roman" w:eastAsia="宋体"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C6F435">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A41D02">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4DFFE8">
            <w:pPr>
              <w:rPr>
                <w:rFonts w:ascii="Times New Roman" w:hAnsi="Times New Roman" w:eastAsia="宋体" w:cs="Times New Roman"/>
                <w:color w:val="000000"/>
                <w:sz w:val="24"/>
                <w:szCs w:val="24"/>
              </w:rPr>
            </w:pPr>
          </w:p>
        </w:tc>
      </w:tr>
      <w:tr w14:paraId="29326E50">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CE27E0">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BEBB0A">
            <w:pPr>
              <w:rPr>
                <w:rFonts w:ascii="Times New Roman" w:hAnsi="Times New Roman" w:eastAsia="宋体"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4FFC9C">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F3B728">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F954AA">
            <w:pPr>
              <w:rPr>
                <w:rFonts w:ascii="Times New Roman" w:hAnsi="Times New Roman" w:eastAsia="宋体" w:cs="Times New Roman"/>
                <w:color w:val="000000"/>
                <w:sz w:val="24"/>
                <w:szCs w:val="24"/>
              </w:rPr>
            </w:pPr>
          </w:p>
        </w:tc>
      </w:tr>
    </w:tbl>
    <w:p w14:paraId="2EC8309F">
      <w:pPr>
        <w:widowControl/>
        <w:spacing w:before="120"/>
        <w:jc w:val="left"/>
        <w:textAlignment w:val="center"/>
        <w:rPr>
          <w:rFonts w:ascii="Times New Roman" w:hAnsi="Times New Roman" w:eastAsia="仿宋_GB2312" w:cs="Times New Roman"/>
          <w:color w:val="000000"/>
          <w:kern w:val="0"/>
          <w:sz w:val="24"/>
          <w:szCs w:val="24"/>
          <w:lang w:bidi="ar"/>
        </w:rPr>
      </w:pPr>
      <w:r>
        <w:rPr>
          <w:rFonts w:ascii="Times New Roman" w:hAnsi="Times New Roman" w:eastAsia="仿宋_GB2312" w:cs="Times New Roman"/>
          <w:color w:val="000000"/>
          <w:kern w:val="0"/>
          <w:sz w:val="24"/>
          <w:szCs w:val="24"/>
          <w:lang w:bidi="ar"/>
        </w:rPr>
        <w:t>注：本表反映部门本年度国有资本经营预算财政拨款支出情况。</w:t>
      </w:r>
    </w:p>
    <w:p w14:paraId="2489A6AF">
      <w:pPr>
        <w:widowControl/>
        <w:jc w:val="left"/>
        <w:textAlignment w:val="center"/>
        <w:rPr>
          <w:rFonts w:ascii="Times New Roman" w:hAnsi="Times New Roman" w:eastAsia="宋体" w:cs="Times New Roman"/>
          <w:color w:val="000000"/>
          <w:kern w:val="0"/>
          <w:sz w:val="24"/>
          <w:szCs w:val="24"/>
          <w:lang w:bidi="ar"/>
        </w:rPr>
      </w:pPr>
    </w:p>
    <w:p w14:paraId="2629D018">
      <w:pPr>
        <w:widowControl/>
        <w:jc w:val="left"/>
        <w:textAlignment w:val="center"/>
        <w:rPr>
          <w:rFonts w:ascii="Times New Roman" w:hAnsi="Times New Roman" w:eastAsia="楷体_GB2312" w:cs="Times New Roman"/>
          <w:color w:val="000000"/>
          <w:kern w:val="0"/>
          <w:sz w:val="24"/>
          <w:szCs w:val="24"/>
          <w:lang w:bidi="ar"/>
        </w:rPr>
      </w:pPr>
      <w:r>
        <w:rPr>
          <w:rFonts w:ascii="Times New Roman" w:hAnsi="Times New Roman" w:eastAsia="楷体_GB2312" w:cs="Times New Roman"/>
          <w:b/>
          <w:bCs/>
          <w:kern w:val="0"/>
          <w:sz w:val="24"/>
          <w:szCs w:val="24"/>
          <w:lang w:bidi="ar"/>
        </w:rPr>
        <w:t>说明：我单位没有使用国有资本经营预算安排的支出，故本表无数据。</w:t>
      </w:r>
    </w:p>
    <w:p w14:paraId="18D9C7BF">
      <w:pPr>
        <w:pStyle w:val="11"/>
        <w:spacing w:line="400" w:lineRule="exact"/>
        <w:rPr>
          <w:rFonts w:ascii="Times New Roman" w:hAnsi="Times New Roman" w:eastAsia="华文中宋" w:cs="Times New Roman"/>
          <w:color w:val="000000"/>
          <w:kern w:val="0"/>
          <w:sz w:val="32"/>
          <w:szCs w:val="32"/>
          <w:lang w:bidi="ar"/>
        </w:rPr>
      </w:pPr>
    </w:p>
    <w:p w14:paraId="31AC8C22">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财政拨款“三公”经费支出决算表</w:t>
      </w:r>
    </w:p>
    <w:p w14:paraId="26270758">
      <w:pPr>
        <w:widowControl/>
        <w:tabs>
          <w:tab w:val="left" w:pos="1260"/>
          <w:tab w:val="left" w:pos="2521"/>
          <w:tab w:val="left" w:pos="3782"/>
          <w:tab w:val="left" w:pos="5043"/>
          <w:tab w:val="left" w:pos="6304"/>
          <w:tab w:val="left" w:pos="7565"/>
          <w:tab w:val="left" w:pos="8826"/>
          <w:tab w:val="left" w:pos="10087"/>
          <w:tab w:val="left" w:pos="11348"/>
          <w:tab w:val="left" w:pos="12609"/>
          <w:tab w:val="left" w:pos="13870"/>
        </w:tabs>
        <w:jc w:val="right"/>
        <w:textAlignment w:val="center"/>
        <w:rPr>
          <w:rFonts w:ascii="Times New Roman" w:hAnsi="Times New Roman" w:eastAsia="楷体_GB2312" w:cs="Times New Roman"/>
          <w:color w:val="000000"/>
          <w:sz w:val="20"/>
          <w:szCs w:val="20"/>
        </w:rPr>
      </w:pP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kern w:val="0"/>
          <w:sz w:val="20"/>
          <w:szCs w:val="20"/>
          <w:lang w:bidi="ar"/>
        </w:rPr>
        <w:t>公开09表</w:t>
      </w:r>
    </w:p>
    <w:p w14:paraId="0FC50B75">
      <w:pPr>
        <w:widowControl/>
        <w:tabs>
          <w:tab w:val="left" w:pos="1260"/>
          <w:tab w:val="left" w:pos="2521"/>
          <w:tab w:val="left" w:pos="3782"/>
          <w:tab w:val="left" w:pos="5043"/>
          <w:tab w:val="left" w:pos="6304"/>
          <w:tab w:val="left" w:pos="7565"/>
          <w:tab w:val="left" w:pos="8826"/>
          <w:tab w:val="left" w:pos="10087"/>
          <w:tab w:val="left" w:pos="11348"/>
          <w:tab w:val="left" w:pos="12609"/>
          <w:tab w:val="left" w:pos="13870"/>
        </w:tabs>
        <w:jc w:val="center"/>
        <w:textAlignment w:val="center"/>
        <w:rPr>
          <w:rFonts w:ascii="Times New Roman" w:hAnsi="Times New Roman" w:eastAsia="楷体_GB2312" w:cs="Times New Roman"/>
          <w:color w:val="000000"/>
          <w:sz w:val="20"/>
          <w:szCs w:val="20"/>
        </w:rPr>
      </w:pPr>
      <w:r>
        <w:rPr>
          <w:rFonts w:ascii="Times New Roman" w:hAnsi="Times New Roman" w:eastAsia="楷体_GB2312" w:cs="Times New Roman"/>
          <w:color w:val="000000"/>
          <w:kern w:val="0"/>
          <w:sz w:val="20"/>
          <w:szCs w:val="20"/>
          <w:lang w:bidi="ar"/>
        </w:rPr>
        <w:t>部门：</w:t>
      </w:r>
      <w:r>
        <w:rPr>
          <w:rFonts w:hint="eastAsia" w:ascii="Times New Roman" w:hAnsi="Times New Roman" w:eastAsia="仿宋_GB2312" w:cs="Times New Roman"/>
          <w:color w:val="000000"/>
          <w:kern w:val="0"/>
          <w:sz w:val="20"/>
          <w:szCs w:val="20"/>
          <w:lang w:bidi="ar"/>
        </w:rPr>
        <w:t>祁阳现代农业产业园区管理委员会</w:t>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hint="eastAsia" w:ascii="Times New Roman" w:hAnsi="Times New Roman" w:eastAsia="楷体_GB2312" w:cs="Times New Roman"/>
          <w:color w:val="000000"/>
          <w:sz w:val="20"/>
          <w:szCs w:val="20"/>
          <w:lang w:val="en-US" w:eastAsia="zh-CN"/>
        </w:rPr>
        <w:t xml:space="preserve">    </w:t>
      </w:r>
      <w:r>
        <w:rPr>
          <w:rFonts w:ascii="Times New Roman" w:hAnsi="Times New Roman" w:eastAsia="楷体_GB2312" w:cs="Times New Roman"/>
          <w:color w:val="000000"/>
          <w:kern w:val="0"/>
          <w:sz w:val="20"/>
          <w:szCs w:val="20"/>
          <w:lang w:bidi="ar"/>
        </w:rPr>
        <w:t>单位：万元</w:t>
      </w:r>
    </w:p>
    <w:tbl>
      <w:tblPr>
        <w:tblStyle w:val="13"/>
        <w:tblW w:w="5113" w:type="pct"/>
        <w:jc w:val="center"/>
        <w:tblLayout w:type="autofit"/>
        <w:tblCellMar>
          <w:top w:w="0" w:type="dxa"/>
          <w:left w:w="108" w:type="dxa"/>
          <w:bottom w:w="0" w:type="dxa"/>
          <w:right w:w="108" w:type="dxa"/>
        </w:tblCellMar>
      </w:tblPr>
      <w:tblGrid>
        <w:gridCol w:w="934"/>
        <w:gridCol w:w="1227"/>
        <w:gridCol w:w="1085"/>
        <w:gridCol w:w="1187"/>
        <w:gridCol w:w="1422"/>
        <w:gridCol w:w="1381"/>
        <w:gridCol w:w="1047"/>
        <w:gridCol w:w="1163"/>
        <w:gridCol w:w="1163"/>
        <w:gridCol w:w="1163"/>
        <w:gridCol w:w="1361"/>
        <w:gridCol w:w="1408"/>
      </w:tblGrid>
      <w:tr w14:paraId="2FA3EB76">
        <w:tblPrEx>
          <w:tblCellMar>
            <w:top w:w="0" w:type="dxa"/>
            <w:left w:w="108" w:type="dxa"/>
            <w:bottom w:w="0" w:type="dxa"/>
            <w:right w:w="108" w:type="dxa"/>
          </w:tblCellMar>
        </w:tblPrEx>
        <w:trPr>
          <w:trHeight w:val="606" w:hRule="atLeast"/>
          <w:jc w:val="center"/>
        </w:trPr>
        <w:tc>
          <w:tcPr>
            <w:tcW w:w="2488"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628616A2">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预算数</w:t>
            </w:r>
          </w:p>
        </w:tc>
        <w:tc>
          <w:tcPr>
            <w:tcW w:w="2511"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2AC588F0">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决算数</w:t>
            </w:r>
          </w:p>
        </w:tc>
      </w:tr>
      <w:tr w14:paraId="735744B5">
        <w:tblPrEx>
          <w:tblCellMar>
            <w:top w:w="0" w:type="dxa"/>
            <w:left w:w="108" w:type="dxa"/>
            <w:bottom w:w="0" w:type="dxa"/>
            <w:right w:w="108" w:type="dxa"/>
          </w:tblCellMar>
        </w:tblPrEx>
        <w:trPr>
          <w:trHeight w:val="495" w:hRule="atLeast"/>
          <w:jc w:val="center"/>
        </w:trPr>
        <w:tc>
          <w:tcPr>
            <w:tcW w:w="32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26B1C99">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合计</w:t>
            </w:r>
          </w:p>
        </w:tc>
        <w:tc>
          <w:tcPr>
            <w:tcW w:w="42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72A2310">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因公出国（境）费</w:t>
            </w:r>
          </w:p>
        </w:tc>
        <w:tc>
          <w:tcPr>
            <w:tcW w:w="1270"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5AF5E3C">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公务用车购置及运行维护费</w:t>
            </w:r>
          </w:p>
        </w:tc>
        <w:tc>
          <w:tcPr>
            <w:tcW w:w="47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B52AD5A">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公务接待费</w:t>
            </w:r>
          </w:p>
        </w:tc>
        <w:tc>
          <w:tcPr>
            <w:tcW w:w="36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7704BBA">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合计</w:t>
            </w:r>
          </w:p>
        </w:tc>
        <w:tc>
          <w:tcPr>
            <w:tcW w:w="40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7290D01">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因公出国（境）费</w:t>
            </w:r>
          </w:p>
        </w:tc>
        <w:tc>
          <w:tcPr>
            <w:tcW w:w="1268"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20D3E26">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公务用车购置及运行维护费</w:t>
            </w:r>
          </w:p>
        </w:tc>
        <w:tc>
          <w:tcPr>
            <w:tcW w:w="48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C31C45C">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公务接待费</w:t>
            </w:r>
          </w:p>
        </w:tc>
      </w:tr>
      <w:tr w14:paraId="2FA5BCA4">
        <w:tblPrEx>
          <w:tblCellMar>
            <w:top w:w="0" w:type="dxa"/>
            <w:left w:w="108" w:type="dxa"/>
            <w:bottom w:w="0" w:type="dxa"/>
            <w:right w:w="108" w:type="dxa"/>
          </w:tblCellMar>
        </w:tblPrEx>
        <w:trPr>
          <w:trHeight w:val="864" w:hRule="atLeast"/>
          <w:jc w:val="center"/>
        </w:trPr>
        <w:tc>
          <w:tcPr>
            <w:tcW w:w="32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A2C422">
            <w:pPr>
              <w:jc w:val="center"/>
              <w:rPr>
                <w:rFonts w:ascii="Times New Roman" w:hAnsi="Times New Roman" w:eastAsia="仿宋_GB2312" w:cs="Times New Roman"/>
                <w:color w:val="000000"/>
                <w:sz w:val="22"/>
              </w:rPr>
            </w:pPr>
          </w:p>
        </w:tc>
        <w:tc>
          <w:tcPr>
            <w:tcW w:w="42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46B22E">
            <w:pPr>
              <w:jc w:val="center"/>
              <w:rPr>
                <w:rFonts w:ascii="Times New Roman" w:hAnsi="Times New Roman" w:eastAsia="仿宋_GB2312" w:cs="Times New Roman"/>
                <w:color w:val="000000"/>
                <w:sz w:val="22"/>
              </w:rPr>
            </w:pP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CEA7BD">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小计</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C50E89">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购置费</w:t>
            </w:r>
          </w:p>
        </w:tc>
        <w:tc>
          <w:tcPr>
            <w:tcW w:w="4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F3F8CF">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运行维护费</w:t>
            </w:r>
          </w:p>
        </w:tc>
        <w:tc>
          <w:tcPr>
            <w:tcW w:w="47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E16F9F">
            <w:pPr>
              <w:jc w:val="center"/>
              <w:rPr>
                <w:rFonts w:ascii="Times New Roman" w:hAnsi="Times New Roman" w:eastAsia="仿宋_GB2312" w:cs="Times New Roman"/>
                <w:color w:val="000000"/>
                <w:sz w:val="22"/>
              </w:rPr>
            </w:pPr>
          </w:p>
        </w:tc>
        <w:tc>
          <w:tcPr>
            <w:tcW w:w="3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F2109B">
            <w:pPr>
              <w:jc w:val="center"/>
              <w:rPr>
                <w:rFonts w:ascii="Times New Roman" w:hAnsi="Times New Roman" w:eastAsia="仿宋_GB2312" w:cs="Times New Roman"/>
                <w:color w:val="000000"/>
                <w:sz w:val="22"/>
              </w:rPr>
            </w:pPr>
          </w:p>
        </w:tc>
        <w:tc>
          <w:tcPr>
            <w:tcW w:w="40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292A06">
            <w:pPr>
              <w:jc w:val="center"/>
              <w:rPr>
                <w:rFonts w:ascii="Times New Roman" w:hAnsi="Times New Roman" w:eastAsia="仿宋_GB2312" w:cs="Times New Roman"/>
                <w:color w:val="000000"/>
                <w:sz w:val="22"/>
              </w:rPr>
            </w:pPr>
          </w:p>
        </w:tc>
        <w:tc>
          <w:tcPr>
            <w:tcW w:w="4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1618AF">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小计</w:t>
            </w:r>
          </w:p>
        </w:tc>
        <w:tc>
          <w:tcPr>
            <w:tcW w:w="4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74FDF0">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购置费</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0E7DF3">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运行维护费</w:t>
            </w:r>
          </w:p>
        </w:tc>
        <w:tc>
          <w:tcPr>
            <w:tcW w:w="48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368EFF">
            <w:pPr>
              <w:jc w:val="center"/>
              <w:rPr>
                <w:rFonts w:ascii="Times New Roman" w:hAnsi="Times New Roman" w:eastAsia="仿宋_GB2312" w:cs="Times New Roman"/>
                <w:color w:val="000000"/>
                <w:sz w:val="22"/>
              </w:rPr>
            </w:pPr>
          </w:p>
        </w:tc>
      </w:tr>
      <w:tr w14:paraId="112C083B">
        <w:tblPrEx>
          <w:tblCellMar>
            <w:top w:w="0" w:type="dxa"/>
            <w:left w:w="108" w:type="dxa"/>
            <w:bottom w:w="0" w:type="dxa"/>
            <w:right w:w="108" w:type="dxa"/>
          </w:tblCellMar>
        </w:tblPrEx>
        <w:trPr>
          <w:trHeight w:val="614" w:hRule="atLeast"/>
          <w:jc w:val="center"/>
        </w:trPr>
        <w:tc>
          <w:tcPr>
            <w:tcW w:w="3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D3223A">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w:t>
            </w:r>
          </w:p>
        </w:tc>
        <w:tc>
          <w:tcPr>
            <w:tcW w:w="4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611794">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w:t>
            </w: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A2FCF2">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3</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06DEC9">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4</w:t>
            </w:r>
          </w:p>
        </w:tc>
        <w:tc>
          <w:tcPr>
            <w:tcW w:w="4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C4DA51">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5</w:t>
            </w:r>
          </w:p>
        </w:tc>
        <w:tc>
          <w:tcPr>
            <w:tcW w:w="4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F81389">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6</w:t>
            </w:r>
          </w:p>
        </w:tc>
        <w:tc>
          <w:tcPr>
            <w:tcW w:w="3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BA9C20">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7</w:t>
            </w:r>
          </w:p>
        </w:tc>
        <w:tc>
          <w:tcPr>
            <w:tcW w:w="4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565BDA">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8</w:t>
            </w:r>
          </w:p>
        </w:tc>
        <w:tc>
          <w:tcPr>
            <w:tcW w:w="4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48C4A5">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9</w:t>
            </w:r>
          </w:p>
        </w:tc>
        <w:tc>
          <w:tcPr>
            <w:tcW w:w="4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FA9990">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10</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8CA31E">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11</w:t>
            </w:r>
          </w:p>
        </w:tc>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435598">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12</w:t>
            </w:r>
          </w:p>
        </w:tc>
      </w:tr>
      <w:tr w14:paraId="7F1068AF">
        <w:tblPrEx>
          <w:tblCellMar>
            <w:top w:w="0" w:type="dxa"/>
            <w:left w:w="108" w:type="dxa"/>
            <w:bottom w:w="0" w:type="dxa"/>
            <w:right w:w="108" w:type="dxa"/>
          </w:tblCellMar>
        </w:tblPrEx>
        <w:trPr>
          <w:trHeight w:val="579" w:hRule="atLeast"/>
          <w:jc w:val="center"/>
        </w:trPr>
        <w:tc>
          <w:tcPr>
            <w:tcW w:w="3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C49805">
            <w:pPr>
              <w:jc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0.30</w:t>
            </w:r>
          </w:p>
        </w:tc>
        <w:tc>
          <w:tcPr>
            <w:tcW w:w="4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A1D1EB">
            <w:pPr>
              <w:jc w:val="center"/>
              <w:rPr>
                <w:rFonts w:ascii="Times New Roman" w:hAnsi="Times New Roman" w:eastAsia="仿宋_GB2312" w:cs="Times New Roman"/>
                <w:color w:val="000000"/>
                <w:sz w:val="22"/>
              </w:rPr>
            </w:pP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AB2614">
            <w:pPr>
              <w:jc w:val="center"/>
              <w:rPr>
                <w:rFonts w:ascii="Times New Roman" w:hAnsi="Times New Roman" w:eastAsia="仿宋_GB2312" w:cs="Times New Roman"/>
                <w:color w:val="000000"/>
                <w:sz w:val="22"/>
              </w:rPr>
            </w:pP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9A0DB3">
            <w:pPr>
              <w:jc w:val="center"/>
              <w:rPr>
                <w:rFonts w:ascii="Times New Roman" w:hAnsi="Times New Roman" w:eastAsia="仿宋_GB2312" w:cs="Times New Roman"/>
                <w:color w:val="000000"/>
                <w:sz w:val="22"/>
              </w:rPr>
            </w:pPr>
          </w:p>
        </w:tc>
        <w:tc>
          <w:tcPr>
            <w:tcW w:w="4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E8661B">
            <w:pPr>
              <w:jc w:val="center"/>
              <w:rPr>
                <w:rFonts w:ascii="Times New Roman" w:hAnsi="Times New Roman" w:eastAsia="仿宋_GB2312" w:cs="Times New Roman"/>
                <w:color w:val="000000"/>
                <w:sz w:val="22"/>
              </w:rPr>
            </w:pPr>
          </w:p>
        </w:tc>
        <w:tc>
          <w:tcPr>
            <w:tcW w:w="4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2662CE">
            <w:pPr>
              <w:jc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0.30</w:t>
            </w:r>
            <w:bookmarkStart w:id="3" w:name="_GoBack"/>
            <w:bookmarkEnd w:id="3"/>
          </w:p>
        </w:tc>
        <w:tc>
          <w:tcPr>
            <w:tcW w:w="3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79EB64">
            <w:pPr>
              <w:rPr>
                <w:rFonts w:ascii="Times New Roman" w:hAnsi="Times New Roman" w:eastAsia="仿宋_GB2312" w:cs="Times New Roman"/>
                <w:color w:val="000000"/>
                <w:sz w:val="22"/>
              </w:rPr>
            </w:pPr>
          </w:p>
        </w:tc>
        <w:tc>
          <w:tcPr>
            <w:tcW w:w="4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EFB288">
            <w:pPr>
              <w:rPr>
                <w:rFonts w:ascii="Times New Roman" w:hAnsi="Times New Roman" w:eastAsia="仿宋_GB2312" w:cs="Times New Roman"/>
                <w:color w:val="000000"/>
                <w:sz w:val="22"/>
              </w:rPr>
            </w:pPr>
          </w:p>
        </w:tc>
        <w:tc>
          <w:tcPr>
            <w:tcW w:w="4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BE68DA">
            <w:pPr>
              <w:rPr>
                <w:rFonts w:ascii="Times New Roman" w:hAnsi="Times New Roman" w:eastAsia="仿宋_GB2312" w:cs="Times New Roman"/>
                <w:color w:val="000000"/>
                <w:sz w:val="22"/>
              </w:rPr>
            </w:pPr>
          </w:p>
        </w:tc>
        <w:tc>
          <w:tcPr>
            <w:tcW w:w="4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02BAC5">
            <w:pPr>
              <w:rPr>
                <w:rFonts w:ascii="Times New Roman" w:hAnsi="Times New Roman" w:eastAsia="仿宋_GB2312" w:cs="Times New Roman"/>
                <w:color w:val="000000"/>
                <w:sz w:val="22"/>
              </w:rPr>
            </w:pP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BF6D05">
            <w:pPr>
              <w:rPr>
                <w:rFonts w:ascii="Times New Roman" w:hAnsi="Times New Roman" w:eastAsia="仿宋_GB2312" w:cs="Times New Roman"/>
                <w:color w:val="000000"/>
                <w:sz w:val="22"/>
              </w:rPr>
            </w:pPr>
          </w:p>
        </w:tc>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9A11F1">
            <w:pPr>
              <w:rPr>
                <w:rFonts w:ascii="Times New Roman" w:hAnsi="Times New Roman" w:eastAsia="仿宋_GB2312" w:cs="Times New Roman"/>
                <w:color w:val="000000"/>
                <w:sz w:val="22"/>
              </w:rPr>
            </w:pPr>
          </w:p>
        </w:tc>
      </w:tr>
    </w:tbl>
    <w:p w14:paraId="3A72275A">
      <w:pPr>
        <w:widowControl/>
        <w:spacing w:before="120"/>
        <w:jc w:val="left"/>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注：本表反映部门本年度财政拨款“三公”经费支出预决算情况。其中，预算数为“三公”经费全年预算数，反映按规定程序调整后的预算数；决算数是包括当年财政拨款和以前年度结转资金安排的实际支出。</w:t>
      </w:r>
    </w:p>
    <w:p w14:paraId="04B04544">
      <w:pPr>
        <w:autoSpaceDE w:val="0"/>
        <w:autoSpaceDN w:val="0"/>
        <w:adjustRightInd w:val="0"/>
        <w:ind w:left="315" w:leftChars="150"/>
        <w:jc w:val="left"/>
        <w:rPr>
          <w:rFonts w:ascii="Times New Roman" w:hAnsi="Times New Roman" w:eastAsia="宋体" w:cs="Times New Roman"/>
          <w:kern w:val="0"/>
          <w:sz w:val="24"/>
          <w:szCs w:val="24"/>
        </w:rPr>
      </w:pPr>
    </w:p>
    <w:p w14:paraId="2E279C0A">
      <w:pPr>
        <w:autoSpaceDE w:val="0"/>
        <w:autoSpaceDN w:val="0"/>
        <w:adjustRightInd w:val="0"/>
        <w:ind w:left="315" w:leftChars="150"/>
        <w:jc w:val="left"/>
        <w:rPr>
          <w:rFonts w:ascii="Times New Roman" w:hAnsi="Times New Roman" w:eastAsia="宋体" w:cs="Times New Roman"/>
          <w:kern w:val="0"/>
          <w:sz w:val="24"/>
          <w:szCs w:val="24"/>
        </w:rPr>
      </w:pPr>
    </w:p>
    <w:p w14:paraId="24C7CE31">
      <w:pPr>
        <w:autoSpaceDE w:val="0"/>
        <w:autoSpaceDN w:val="0"/>
        <w:adjustRightInd w:val="0"/>
        <w:ind w:left="315" w:leftChars="150"/>
        <w:jc w:val="left"/>
        <w:rPr>
          <w:rFonts w:ascii="Times New Roman" w:hAnsi="Times New Roman" w:eastAsia="宋体" w:cs="Times New Roman"/>
          <w:kern w:val="0"/>
          <w:sz w:val="24"/>
          <w:szCs w:val="24"/>
        </w:rPr>
      </w:pPr>
    </w:p>
    <w:p w14:paraId="469420BC">
      <w:pPr>
        <w:autoSpaceDE w:val="0"/>
        <w:autoSpaceDN w:val="0"/>
        <w:adjustRightInd w:val="0"/>
        <w:ind w:left="315" w:leftChars="150"/>
        <w:jc w:val="left"/>
        <w:rPr>
          <w:rFonts w:ascii="Times New Roman" w:hAnsi="Times New Roman" w:eastAsia="宋体" w:cs="Times New Roman"/>
          <w:kern w:val="0"/>
          <w:sz w:val="24"/>
          <w:szCs w:val="24"/>
        </w:rPr>
      </w:pPr>
    </w:p>
    <w:p w14:paraId="00D7FD0C">
      <w:pPr>
        <w:autoSpaceDE w:val="0"/>
        <w:autoSpaceDN w:val="0"/>
        <w:adjustRightInd w:val="0"/>
        <w:ind w:left="315" w:leftChars="150"/>
        <w:jc w:val="left"/>
        <w:rPr>
          <w:rFonts w:ascii="Times New Roman" w:hAnsi="Times New Roman" w:eastAsia="宋体" w:cs="Times New Roman"/>
          <w:kern w:val="0"/>
          <w:sz w:val="24"/>
          <w:szCs w:val="24"/>
        </w:rPr>
      </w:pPr>
    </w:p>
    <w:p w14:paraId="7AC7EEC3">
      <w:pPr>
        <w:widowControl/>
        <w:rPr>
          <w:rFonts w:ascii="Times New Roman" w:hAnsi="Times New Roman" w:cs="Times New Roman"/>
          <w:sz w:val="72"/>
          <w:szCs w:val="72"/>
        </w:rPr>
        <w:sectPr>
          <w:pgSz w:w="16838" w:h="11906" w:orient="landscape"/>
          <w:pgMar w:top="1134" w:right="1417" w:bottom="1134" w:left="1417" w:header="851" w:footer="992" w:gutter="0"/>
          <w:cols w:space="425" w:num="1"/>
          <w:docGrid w:type="lines" w:linePitch="312" w:charSpace="0"/>
        </w:sectPr>
      </w:pPr>
      <w:r>
        <w:rPr>
          <w:rFonts w:ascii="Times New Roman" w:hAnsi="Times New Roman" w:eastAsia="黑体" w:cs="Times New Roman"/>
          <w:szCs w:val="21"/>
        </w:rPr>
        <w:br w:type="page"/>
      </w:r>
    </w:p>
    <w:p w14:paraId="7C3F8C02">
      <w:pPr>
        <w:pStyle w:val="17"/>
        <w:rPr>
          <w:rFonts w:ascii="Times New Roman" w:hAnsi="Times New Roman" w:cs="Times New Roman"/>
          <w:sz w:val="72"/>
          <w:szCs w:val="72"/>
        </w:rPr>
      </w:pPr>
    </w:p>
    <w:p w14:paraId="353956AE">
      <w:pPr>
        <w:pStyle w:val="17"/>
        <w:rPr>
          <w:rFonts w:ascii="Times New Roman" w:hAnsi="Times New Roman" w:cs="Times New Roman"/>
          <w:sz w:val="72"/>
          <w:szCs w:val="72"/>
        </w:rPr>
      </w:pPr>
    </w:p>
    <w:p w14:paraId="720CE608">
      <w:pPr>
        <w:pStyle w:val="17"/>
        <w:rPr>
          <w:rFonts w:ascii="Times New Roman" w:hAnsi="Times New Roman" w:cs="Times New Roman"/>
          <w:sz w:val="72"/>
          <w:szCs w:val="72"/>
        </w:rPr>
      </w:pPr>
    </w:p>
    <w:p w14:paraId="2F971CE8">
      <w:pPr>
        <w:pStyle w:val="17"/>
        <w:jc w:val="center"/>
        <w:rPr>
          <w:rFonts w:ascii="Times New Roman" w:hAnsi="Times New Roman" w:cs="Times New Roman"/>
          <w:sz w:val="72"/>
          <w:szCs w:val="72"/>
        </w:rPr>
      </w:pPr>
    </w:p>
    <w:p w14:paraId="76F5B426">
      <w:pPr>
        <w:pStyle w:val="17"/>
        <w:jc w:val="center"/>
        <w:rPr>
          <w:rFonts w:ascii="Times New Roman" w:hAnsi="Times New Roman" w:eastAsia="方正小标宋_GBK" w:cs="Times New Roman"/>
          <w:sz w:val="72"/>
          <w:szCs w:val="72"/>
        </w:rPr>
      </w:pPr>
    </w:p>
    <w:p w14:paraId="7917670D">
      <w:pPr>
        <w:pStyle w:val="17"/>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第三部分</w:t>
      </w:r>
    </w:p>
    <w:p w14:paraId="0FC0AB2C">
      <w:pPr>
        <w:pStyle w:val="17"/>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202</w:t>
      </w:r>
      <w:r>
        <w:rPr>
          <w:rFonts w:hint="eastAsia" w:ascii="Times New Roman" w:hAnsi="Times New Roman" w:eastAsia="方正小标宋_GBK" w:cs="Times New Roman"/>
          <w:sz w:val="52"/>
          <w:szCs w:val="52"/>
          <w:lang w:val="en-US" w:eastAsia="zh-CN"/>
        </w:rPr>
        <w:t>5</w:t>
      </w:r>
      <w:r>
        <w:rPr>
          <w:rFonts w:ascii="Times New Roman" w:hAnsi="Times New Roman" w:eastAsia="方正小标宋_GBK" w:cs="Times New Roman"/>
          <w:sz w:val="52"/>
          <w:szCs w:val="52"/>
        </w:rPr>
        <w:t>年度部门决算情况说明</w:t>
      </w:r>
    </w:p>
    <w:p w14:paraId="3CD9FDBA">
      <w:pPr>
        <w:widowControl/>
        <w:jc w:val="left"/>
        <w:rPr>
          <w:rFonts w:ascii="Times New Roman" w:hAnsi="Times New Roman" w:cs="Times New Roman"/>
          <w:sz w:val="32"/>
          <w:szCs w:val="32"/>
        </w:rPr>
      </w:pPr>
      <w:r>
        <w:rPr>
          <w:rFonts w:ascii="Times New Roman" w:hAnsi="Times New Roman" w:eastAsia="方正小标宋_GBK" w:cs="Times New Roman"/>
          <w:sz w:val="70"/>
          <w:szCs w:val="70"/>
        </w:rPr>
        <w:br w:type="page"/>
      </w:r>
    </w:p>
    <w:p w14:paraId="474CDA45">
      <w:pPr>
        <w:pStyle w:val="17"/>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一、收入支出决算总体情况说明</w:t>
      </w:r>
    </w:p>
    <w:p w14:paraId="394FE566">
      <w:pPr>
        <w:pStyle w:val="17"/>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年度收、支总计</w:t>
      </w:r>
      <w:r>
        <w:rPr>
          <w:rFonts w:hint="eastAsia" w:ascii="Times New Roman" w:hAnsi="Times New Roman" w:eastAsia="仿宋_GB2312" w:cs="Times New Roman"/>
          <w:sz w:val="32"/>
          <w:szCs w:val="32"/>
          <w:lang w:val="en-US" w:eastAsia="zh-CN"/>
        </w:rPr>
        <w:t>3540.73</w:t>
      </w:r>
      <w:r>
        <w:rPr>
          <w:rFonts w:ascii="Times New Roman" w:hAnsi="Times New Roman" w:eastAsia="仿宋_GB2312" w:cs="Times New Roman"/>
          <w:sz w:val="32"/>
          <w:szCs w:val="32"/>
        </w:rPr>
        <w:t>万元。与上年相比，减少</w:t>
      </w:r>
      <w:r>
        <w:rPr>
          <w:rFonts w:hint="eastAsia" w:ascii="Times New Roman" w:hAnsi="Times New Roman" w:eastAsia="仿宋_GB2312" w:cs="Times New Roman"/>
          <w:sz w:val="32"/>
          <w:szCs w:val="32"/>
          <w:lang w:val="en-US" w:eastAsia="zh-CN"/>
        </w:rPr>
        <w:t>1547.69</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30.42</w:t>
      </w:r>
      <w:r>
        <w:rPr>
          <w:rFonts w:ascii="Times New Roman" w:hAnsi="Times New Roman" w:eastAsia="仿宋_GB2312" w:cs="Times New Roman"/>
          <w:sz w:val="32"/>
          <w:szCs w:val="32"/>
        </w:rPr>
        <w:t>%，主要是因为</w:t>
      </w:r>
      <w:r>
        <w:rPr>
          <w:rFonts w:hint="eastAsia" w:ascii="Times New Roman" w:hAnsi="Times New Roman" w:eastAsia="仿宋_GB2312" w:cs="Times New Roman"/>
          <w:sz w:val="32"/>
          <w:szCs w:val="32"/>
          <w:lang w:val="en-US" w:eastAsia="zh-CN"/>
        </w:rPr>
        <w:t>2025</w:t>
      </w:r>
      <w:r>
        <w:rPr>
          <w:rFonts w:hint="eastAsia" w:ascii="Times New Roman" w:hAnsi="Times New Roman" w:eastAsia="仿宋_GB2312" w:cs="Times New Roman"/>
          <w:sz w:val="32"/>
          <w:szCs w:val="32"/>
          <w:lang w:eastAsia="zh-CN"/>
        </w:rPr>
        <w:t>年度实施的工程项目有所减少，项目资金投入相应下降。</w:t>
      </w:r>
    </w:p>
    <w:p w14:paraId="4FD09B01">
      <w:pPr>
        <w:pStyle w:val="17"/>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二、收入决算情况说明</w:t>
      </w:r>
    </w:p>
    <w:p w14:paraId="1A20C8C2">
      <w:pPr>
        <w:pStyle w:val="17"/>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年度收入合计</w:t>
      </w:r>
      <w:r>
        <w:rPr>
          <w:rFonts w:hint="eastAsia" w:ascii="Times New Roman" w:hAnsi="Times New Roman" w:eastAsia="仿宋_GB2312" w:cs="Times New Roman"/>
          <w:sz w:val="32"/>
          <w:szCs w:val="32"/>
          <w:lang w:val="en-US" w:eastAsia="zh-CN"/>
        </w:rPr>
        <w:t>3540.73</w:t>
      </w:r>
      <w:r>
        <w:rPr>
          <w:rFonts w:ascii="Times New Roman" w:hAnsi="Times New Roman" w:eastAsia="仿宋_GB2312" w:cs="Times New Roman"/>
          <w:sz w:val="32"/>
          <w:szCs w:val="32"/>
        </w:rPr>
        <w:t>万元，其中：财政拨款收入</w:t>
      </w:r>
      <w:r>
        <w:rPr>
          <w:rFonts w:hint="eastAsia" w:ascii="Times New Roman" w:hAnsi="Times New Roman" w:eastAsia="仿宋_GB2312" w:cs="Times New Roman"/>
          <w:sz w:val="32"/>
          <w:szCs w:val="32"/>
          <w:lang w:val="en-US" w:eastAsia="zh-CN"/>
        </w:rPr>
        <w:t>3540.73</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%；上级补助收入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%；事业收入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%；经营收入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%；附属单位上缴收入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%；其他收入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w:t>
      </w:r>
    </w:p>
    <w:p w14:paraId="7513345C">
      <w:pPr>
        <w:pStyle w:val="17"/>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三、支出决算情况说明</w:t>
      </w:r>
    </w:p>
    <w:p w14:paraId="5109823D">
      <w:pPr>
        <w:pStyle w:val="17"/>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年度支出合计</w:t>
      </w:r>
      <w:r>
        <w:rPr>
          <w:rFonts w:hint="eastAsia" w:ascii="Times New Roman" w:hAnsi="Times New Roman" w:eastAsia="仿宋_GB2312" w:cs="Times New Roman"/>
          <w:sz w:val="32"/>
          <w:szCs w:val="32"/>
          <w:lang w:val="en-US" w:eastAsia="zh-CN"/>
        </w:rPr>
        <w:t>3540.73</w:t>
      </w:r>
      <w:r>
        <w:rPr>
          <w:rFonts w:ascii="Times New Roman" w:hAnsi="Times New Roman" w:eastAsia="仿宋_GB2312" w:cs="Times New Roman"/>
          <w:sz w:val="32"/>
          <w:szCs w:val="32"/>
        </w:rPr>
        <w:t>万元，其中：基本支出</w:t>
      </w:r>
      <w:r>
        <w:rPr>
          <w:rFonts w:hint="eastAsia" w:ascii="Times New Roman" w:hAnsi="Times New Roman" w:eastAsia="仿宋_GB2312" w:cs="Times New Roman"/>
          <w:sz w:val="32"/>
          <w:szCs w:val="32"/>
          <w:lang w:val="en-US" w:eastAsia="zh-CN"/>
        </w:rPr>
        <w:t>74.53</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2.10</w:t>
      </w:r>
      <w:r>
        <w:rPr>
          <w:rFonts w:ascii="Times New Roman" w:hAnsi="Times New Roman" w:eastAsia="仿宋_GB2312" w:cs="Times New Roman"/>
          <w:sz w:val="32"/>
          <w:szCs w:val="32"/>
        </w:rPr>
        <w:t>%；项目支出</w:t>
      </w:r>
      <w:r>
        <w:rPr>
          <w:rFonts w:hint="eastAsia" w:ascii="Times New Roman" w:hAnsi="Times New Roman" w:eastAsia="仿宋_GB2312" w:cs="Times New Roman"/>
          <w:sz w:val="32"/>
          <w:szCs w:val="32"/>
          <w:lang w:val="en-US" w:eastAsia="zh-CN"/>
        </w:rPr>
        <w:t>3466.20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97.90</w:t>
      </w:r>
      <w:r>
        <w:rPr>
          <w:rFonts w:ascii="Times New Roman" w:hAnsi="Times New Roman" w:eastAsia="仿宋_GB2312" w:cs="Times New Roman"/>
          <w:sz w:val="32"/>
          <w:szCs w:val="32"/>
        </w:rPr>
        <w:t>%；上缴上级支出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%；经营支出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%；对附属单位补助支出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w:t>
      </w:r>
    </w:p>
    <w:p w14:paraId="2FAA71A0">
      <w:pPr>
        <w:pStyle w:val="17"/>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四、财政拨款收入支出决算总体情况说明</w:t>
      </w:r>
    </w:p>
    <w:p w14:paraId="7F298182">
      <w:pPr>
        <w:pStyle w:val="17"/>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年度财政拨款收、支总计</w:t>
      </w:r>
      <w:r>
        <w:rPr>
          <w:rFonts w:hint="eastAsia" w:ascii="Times New Roman" w:hAnsi="Times New Roman" w:eastAsia="仿宋_GB2312" w:cs="Times New Roman"/>
          <w:sz w:val="32"/>
          <w:szCs w:val="32"/>
          <w:lang w:val="en-US" w:eastAsia="zh-CN"/>
        </w:rPr>
        <w:t>3540.73</w:t>
      </w:r>
      <w:r>
        <w:rPr>
          <w:rFonts w:ascii="Times New Roman" w:hAnsi="Times New Roman" w:eastAsia="仿宋_GB2312" w:cs="Times New Roman"/>
          <w:sz w:val="32"/>
          <w:szCs w:val="32"/>
        </w:rPr>
        <w:t>万元，与上年相比，减少</w:t>
      </w:r>
      <w:r>
        <w:rPr>
          <w:rFonts w:hint="eastAsia" w:ascii="Times New Roman" w:hAnsi="Times New Roman" w:eastAsia="仿宋_GB2312" w:cs="Times New Roman"/>
          <w:sz w:val="32"/>
          <w:szCs w:val="32"/>
          <w:lang w:val="en-US" w:eastAsia="zh-CN"/>
        </w:rPr>
        <w:t>1547.69</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30.42</w:t>
      </w:r>
      <w:r>
        <w:rPr>
          <w:rFonts w:ascii="Times New Roman" w:hAnsi="Times New Roman" w:eastAsia="仿宋_GB2312" w:cs="Times New Roman"/>
          <w:sz w:val="32"/>
          <w:szCs w:val="32"/>
        </w:rPr>
        <w:t>%，主要是因为</w:t>
      </w:r>
      <w:r>
        <w:rPr>
          <w:rFonts w:hint="eastAsia" w:ascii="Times New Roman" w:hAnsi="Times New Roman" w:eastAsia="仿宋_GB2312" w:cs="Times New Roman"/>
          <w:sz w:val="32"/>
          <w:szCs w:val="32"/>
          <w:lang w:val="en-US" w:eastAsia="zh-CN"/>
        </w:rPr>
        <w:t>2025</w:t>
      </w:r>
      <w:r>
        <w:rPr>
          <w:rFonts w:hint="eastAsia" w:ascii="Times New Roman" w:hAnsi="Times New Roman" w:eastAsia="仿宋_GB2312" w:cs="Times New Roman"/>
          <w:sz w:val="32"/>
          <w:szCs w:val="32"/>
          <w:lang w:eastAsia="zh-CN"/>
        </w:rPr>
        <w:t>年度实施的工程项目有所减少，项目资金投入相应下降。</w:t>
      </w:r>
    </w:p>
    <w:p w14:paraId="431144CB">
      <w:pPr>
        <w:pStyle w:val="17"/>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五、一般公共预算财政拨款支出决算情况说明</w:t>
      </w:r>
    </w:p>
    <w:p w14:paraId="4D1B67DC">
      <w:pPr>
        <w:pStyle w:val="17"/>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（一）一般公共预算财政拨款支出决算总体情况</w:t>
      </w:r>
    </w:p>
    <w:p w14:paraId="0338D645">
      <w:pPr>
        <w:pStyle w:val="17"/>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年度财政拨款支出</w:t>
      </w:r>
      <w:r>
        <w:rPr>
          <w:rFonts w:hint="eastAsia" w:ascii="Times New Roman" w:hAnsi="Times New Roman" w:eastAsia="仿宋_GB2312" w:cs="Times New Roman"/>
          <w:sz w:val="32"/>
          <w:szCs w:val="32"/>
          <w:lang w:val="en-US" w:eastAsia="zh-CN"/>
        </w:rPr>
        <w:t>520.00</w:t>
      </w:r>
      <w:r>
        <w:rPr>
          <w:rFonts w:ascii="Times New Roman" w:hAnsi="Times New Roman" w:eastAsia="仿宋_GB2312" w:cs="Times New Roman"/>
          <w:sz w:val="32"/>
          <w:szCs w:val="32"/>
        </w:rPr>
        <w:t>万元，占本年支出合计的</w:t>
      </w:r>
      <w:r>
        <w:rPr>
          <w:rFonts w:hint="eastAsia" w:ascii="Times New Roman" w:hAnsi="Times New Roman" w:eastAsia="仿宋_GB2312" w:cs="Times New Roman"/>
          <w:sz w:val="32"/>
          <w:szCs w:val="32"/>
          <w:lang w:val="en-US" w:eastAsia="zh-CN"/>
        </w:rPr>
        <w:t>14.69</w:t>
      </w:r>
      <w:r>
        <w:rPr>
          <w:rFonts w:ascii="Times New Roman" w:hAnsi="Times New Roman" w:eastAsia="仿宋_GB2312" w:cs="Times New Roman"/>
          <w:sz w:val="32"/>
          <w:szCs w:val="32"/>
        </w:rPr>
        <w:t>%，与上年相比，财政拨款支出减少</w:t>
      </w:r>
      <w:r>
        <w:rPr>
          <w:rFonts w:hint="eastAsia" w:ascii="Times New Roman" w:hAnsi="Times New Roman" w:eastAsia="仿宋_GB2312" w:cs="Times New Roman"/>
          <w:sz w:val="32"/>
          <w:szCs w:val="32"/>
          <w:lang w:val="en-US" w:eastAsia="zh-CN"/>
        </w:rPr>
        <w:t>1048.73</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66.85</w:t>
      </w:r>
      <w:r>
        <w:rPr>
          <w:rFonts w:ascii="Times New Roman" w:hAnsi="Times New Roman" w:eastAsia="仿宋_GB2312" w:cs="Times New Roman"/>
          <w:sz w:val="32"/>
          <w:szCs w:val="32"/>
        </w:rPr>
        <w:t>%，主要是因为</w:t>
      </w:r>
      <w:r>
        <w:rPr>
          <w:rFonts w:hint="eastAsia" w:ascii="Times New Roman" w:hAnsi="Times New Roman" w:eastAsia="仿宋_GB2312" w:cs="Times New Roman"/>
          <w:sz w:val="32"/>
          <w:szCs w:val="32"/>
          <w:lang w:eastAsia="zh-CN"/>
        </w:rPr>
        <w:t>项目支出的减少。</w:t>
      </w:r>
    </w:p>
    <w:p w14:paraId="6B69B09C">
      <w:pPr>
        <w:pStyle w:val="17"/>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（二）一般公共预算财政拨款支出决算结构情况</w:t>
      </w:r>
    </w:p>
    <w:p w14:paraId="00F1D008">
      <w:pPr>
        <w:pStyle w:val="17"/>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eastAsia="zh-CN"/>
        </w:rPr>
        <w:t>2025年</w:t>
      </w:r>
      <w:r>
        <w:rPr>
          <w:rFonts w:ascii="Times New Roman" w:hAnsi="Times New Roman" w:eastAsia="仿宋_GB2312" w:cs="Times New Roman"/>
          <w:sz w:val="32"/>
          <w:szCs w:val="32"/>
        </w:rPr>
        <w:t>度财政拨款支出</w:t>
      </w:r>
      <w:r>
        <w:rPr>
          <w:rFonts w:hint="eastAsia" w:ascii="Times New Roman" w:hAnsi="Times New Roman" w:eastAsia="仿宋_GB2312" w:cs="Times New Roman"/>
          <w:sz w:val="32"/>
          <w:szCs w:val="32"/>
          <w:lang w:val="en-US" w:eastAsia="zh-CN"/>
        </w:rPr>
        <w:t>520.00</w:t>
      </w:r>
      <w:r>
        <w:rPr>
          <w:rFonts w:ascii="Times New Roman" w:hAnsi="Times New Roman" w:eastAsia="仿宋_GB2312" w:cs="Times New Roman"/>
          <w:sz w:val="32"/>
          <w:szCs w:val="32"/>
        </w:rPr>
        <w:t>万元，主要用于以下方面：</w:t>
      </w:r>
      <w:r>
        <w:rPr>
          <w:rFonts w:hint="eastAsia" w:ascii="Times New Roman" w:hAnsi="Times New Roman" w:eastAsia="仿宋_GB2312" w:cs="Times New Roman"/>
          <w:sz w:val="32"/>
          <w:szCs w:val="32"/>
          <w:lang w:eastAsia="zh-CN"/>
        </w:rPr>
        <w:t>农林水</w:t>
      </w:r>
      <w:r>
        <w:rPr>
          <w:rFonts w:hint="eastAsia" w:ascii="仿宋_GB2312" w:hAnsi="仿宋_GB2312" w:eastAsia="仿宋_GB2312" w:cs="仿宋_GB2312"/>
          <w:sz w:val="32"/>
          <w:szCs w:val="32"/>
        </w:rPr>
        <w:t>（类）</w:t>
      </w:r>
      <w:r>
        <w:rPr>
          <w:rFonts w:ascii="Times New Roman" w:hAnsi="Times New Roman" w:eastAsia="仿宋_GB2312" w:cs="Times New Roman"/>
          <w:sz w:val="32"/>
          <w:szCs w:val="32"/>
        </w:rPr>
        <w:t>支出</w:t>
      </w:r>
      <w:r>
        <w:rPr>
          <w:rFonts w:hint="eastAsia" w:ascii="Times New Roman" w:hAnsi="Times New Roman" w:eastAsia="仿宋_GB2312" w:cs="Times New Roman"/>
          <w:sz w:val="32"/>
          <w:szCs w:val="32"/>
          <w:lang w:val="en-US" w:eastAsia="zh-CN"/>
        </w:rPr>
        <w:t>505.83</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97.28</w:t>
      </w:r>
      <w:r>
        <w:rPr>
          <w:rFonts w:ascii="Times New Roman" w:hAnsi="Times New Roman" w:eastAsia="仿宋_GB2312" w:cs="Times New Roman"/>
          <w:sz w:val="32"/>
          <w:szCs w:val="32"/>
        </w:rPr>
        <w:t>%；</w:t>
      </w:r>
      <w:r>
        <w:rPr>
          <w:rFonts w:hint="eastAsia" w:ascii="仿宋_GB2312" w:hAnsi="仿宋_GB2312" w:eastAsia="仿宋_GB2312" w:cs="仿宋_GB2312"/>
          <w:sz w:val="32"/>
          <w:szCs w:val="32"/>
        </w:rPr>
        <w:t>社会保障和</w:t>
      </w:r>
      <w:r>
        <w:rPr>
          <w:rFonts w:hint="eastAsia" w:ascii="仿宋_GB2312" w:hAnsi="仿宋_GB2312" w:eastAsia="仿宋_GB2312" w:cs="仿宋_GB2312"/>
          <w:sz w:val="32"/>
          <w:szCs w:val="32"/>
          <w:lang w:eastAsia="zh-CN"/>
        </w:rPr>
        <w:t>就业</w:t>
      </w:r>
      <w:r>
        <w:rPr>
          <w:rFonts w:hint="eastAsia" w:ascii="仿宋_GB2312" w:hAnsi="仿宋_GB2312" w:eastAsia="仿宋_GB2312" w:cs="仿宋_GB2312"/>
          <w:sz w:val="32"/>
          <w:szCs w:val="32"/>
        </w:rPr>
        <w:t>（类）支出</w:t>
      </w:r>
      <w:r>
        <w:rPr>
          <w:rFonts w:hint="eastAsia" w:ascii="Times New Roman" w:hAnsi="Times New Roman" w:eastAsia="仿宋_GB2312" w:cs="Times New Roman"/>
          <w:sz w:val="32"/>
          <w:szCs w:val="32"/>
          <w:lang w:val="en-US" w:eastAsia="zh-CN"/>
        </w:rPr>
        <w:t>6.54</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1.26</w:t>
      </w:r>
      <w:r>
        <w:rPr>
          <w:rFonts w:ascii="Times New Roman" w:hAnsi="Times New Roman" w:eastAsia="仿宋_GB2312" w:cs="Times New Roman"/>
          <w:sz w:val="32"/>
          <w:szCs w:val="32"/>
        </w:rPr>
        <w:t>%;</w:t>
      </w:r>
      <w:r>
        <w:rPr>
          <w:rFonts w:hint="eastAsia" w:ascii="仿宋_GB2312" w:hAnsi="仿宋_GB2312" w:eastAsia="仿宋_GB2312" w:cs="仿宋_GB2312"/>
          <w:sz w:val="32"/>
          <w:szCs w:val="32"/>
        </w:rPr>
        <w:t>住房保障（类）支出</w:t>
      </w:r>
      <w:r>
        <w:rPr>
          <w:rFonts w:hint="eastAsia" w:ascii="Times New Roman" w:hAnsi="Times New Roman" w:eastAsia="仿宋_GB2312" w:cs="Times New Roman"/>
          <w:sz w:val="32"/>
          <w:szCs w:val="32"/>
        </w:rPr>
        <w:t>4.</w:t>
      </w:r>
      <w:r>
        <w:rPr>
          <w:rFonts w:hint="eastAsia" w:ascii="Times New Roman" w:hAnsi="Times New Roman" w:eastAsia="仿宋_GB2312" w:cs="Times New Roman"/>
          <w:sz w:val="32"/>
          <w:szCs w:val="32"/>
          <w:lang w:val="en-US" w:eastAsia="zh-CN"/>
        </w:rPr>
        <w:t>90</w:t>
      </w:r>
      <w:r>
        <w:rPr>
          <w:rFonts w:hint="eastAsia" w:ascii="仿宋_GB2312" w:hAnsi="仿宋_GB2312" w:eastAsia="仿宋_GB2312" w:cs="仿宋_GB2312"/>
          <w:sz w:val="32"/>
          <w:szCs w:val="32"/>
        </w:rPr>
        <w:t>万元，占</w:t>
      </w:r>
      <w:r>
        <w:rPr>
          <w:rFonts w:hint="eastAsia" w:ascii="Times New Roman" w:hAnsi="Times New Roman" w:eastAsia="仿宋_GB2312" w:cs="Times New Roman"/>
          <w:sz w:val="32"/>
          <w:szCs w:val="32"/>
          <w:lang w:val="en-US" w:eastAsia="zh-CN"/>
        </w:rPr>
        <w:t>0.94</w:t>
      </w:r>
      <w:r>
        <w:rPr>
          <w:rFonts w:hint="eastAsia"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w:t>
      </w:r>
      <w:r>
        <w:rPr>
          <w:rFonts w:hint="eastAsia" w:ascii="仿宋_GB2312" w:hAnsi="仿宋_GB2312" w:eastAsia="仿宋_GB2312" w:cs="仿宋_GB2312"/>
          <w:sz w:val="32"/>
          <w:szCs w:val="32"/>
        </w:rPr>
        <w:t>卫生健康（类）支出</w:t>
      </w:r>
      <w:r>
        <w:rPr>
          <w:rFonts w:hint="eastAsia" w:ascii="Times New Roman" w:hAnsi="Times New Roman" w:eastAsia="仿宋_GB2312" w:cs="Times New Roman"/>
          <w:sz w:val="32"/>
          <w:szCs w:val="32"/>
        </w:rPr>
        <w:t>2.</w:t>
      </w:r>
      <w:r>
        <w:rPr>
          <w:rFonts w:hint="eastAsia" w:ascii="Times New Roman" w:hAnsi="Times New Roman" w:eastAsia="仿宋_GB2312" w:cs="Times New Roman"/>
          <w:sz w:val="32"/>
          <w:szCs w:val="32"/>
          <w:lang w:val="en-US" w:eastAsia="zh-CN"/>
        </w:rPr>
        <w:t>73</w:t>
      </w:r>
      <w:r>
        <w:rPr>
          <w:rFonts w:hint="eastAsia" w:ascii="仿宋_GB2312" w:hAnsi="仿宋_GB2312" w:eastAsia="仿宋_GB2312" w:cs="仿宋_GB2312"/>
          <w:sz w:val="32"/>
          <w:szCs w:val="32"/>
        </w:rPr>
        <w:t>万元，占</w:t>
      </w:r>
      <w:r>
        <w:rPr>
          <w:rFonts w:hint="eastAsia" w:ascii="Times New Roman" w:hAnsi="Times New Roman" w:eastAsia="仿宋_GB2312" w:cs="Times New Roman"/>
          <w:sz w:val="32"/>
          <w:szCs w:val="32"/>
          <w:lang w:val="en-US" w:eastAsia="zh-CN"/>
        </w:rPr>
        <w:t>0.52</w:t>
      </w:r>
      <w:r>
        <w:rPr>
          <w:rFonts w:hint="eastAsia"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w:t>
      </w:r>
    </w:p>
    <w:p w14:paraId="0EC2C731">
      <w:pPr>
        <w:pStyle w:val="17"/>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（三）一般公共预算财政拨款支出决算具体情况</w:t>
      </w:r>
    </w:p>
    <w:p w14:paraId="26843BF1">
      <w:pPr>
        <w:pStyle w:val="17"/>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年度财政拨款支出年初预算数为</w:t>
      </w:r>
      <w:r>
        <w:rPr>
          <w:rFonts w:hint="eastAsia" w:ascii="Times New Roman" w:hAnsi="Times New Roman" w:eastAsia="仿宋_GB2312" w:cs="Times New Roman"/>
          <w:sz w:val="32"/>
          <w:szCs w:val="32"/>
          <w:lang w:val="en-US" w:eastAsia="zh-CN"/>
        </w:rPr>
        <w:t>520</w:t>
      </w:r>
      <w:r>
        <w:rPr>
          <w:rFonts w:ascii="Times New Roman" w:hAnsi="Times New Roman" w:eastAsia="仿宋_GB2312" w:cs="Times New Roman"/>
          <w:sz w:val="32"/>
          <w:szCs w:val="32"/>
        </w:rPr>
        <w:t>万元，支出决算数为</w:t>
      </w:r>
      <w:r>
        <w:rPr>
          <w:rFonts w:hint="eastAsia" w:ascii="Times New Roman" w:hAnsi="Times New Roman" w:eastAsia="仿宋_GB2312" w:cs="Times New Roman"/>
          <w:sz w:val="32"/>
          <w:szCs w:val="32"/>
          <w:lang w:val="en-US" w:eastAsia="zh-CN"/>
        </w:rPr>
        <w:t>520</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%，其中：</w:t>
      </w:r>
    </w:p>
    <w:p w14:paraId="26726190">
      <w:pPr>
        <w:pStyle w:val="17"/>
        <w:numPr>
          <w:ilvl w:val="0"/>
          <w:numId w:val="0"/>
        </w:numPr>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1、</w:t>
      </w:r>
      <w:r>
        <w:rPr>
          <w:rFonts w:hint="eastAsia" w:ascii="仿宋_GB2312" w:hAnsi="仿宋_GB2312" w:eastAsia="仿宋_GB2312" w:cs="仿宋_GB2312"/>
          <w:sz w:val="32"/>
          <w:szCs w:val="32"/>
        </w:rPr>
        <w:t>社会保障和就业</w:t>
      </w:r>
      <w:r>
        <w:rPr>
          <w:rFonts w:ascii="Times New Roman" w:hAnsi="Times New Roman" w:eastAsia="仿宋_GB2312" w:cs="Times New Roman"/>
          <w:sz w:val="32"/>
          <w:szCs w:val="32"/>
        </w:rPr>
        <w:t>（类）</w:t>
      </w:r>
      <w:r>
        <w:rPr>
          <w:rFonts w:hint="eastAsia" w:ascii="仿宋_GB2312" w:hAnsi="仿宋_GB2312" w:eastAsia="仿宋_GB2312" w:cs="仿宋_GB2312"/>
          <w:sz w:val="32"/>
          <w:szCs w:val="32"/>
        </w:rPr>
        <w:t>行政事业单位养老</w:t>
      </w:r>
      <w:r>
        <w:rPr>
          <w:rFonts w:ascii="Times New Roman" w:hAnsi="Times New Roman" w:eastAsia="仿宋_GB2312" w:cs="Times New Roman"/>
          <w:sz w:val="32"/>
          <w:szCs w:val="32"/>
        </w:rPr>
        <w:t>（款）</w:t>
      </w:r>
      <w:r>
        <w:rPr>
          <w:rFonts w:hint="eastAsia" w:ascii="仿宋_GB2312" w:hAnsi="仿宋_GB2312" w:eastAsia="仿宋_GB2312" w:cs="仿宋_GB2312"/>
          <w:sz w:val="32"/>
          <w:szCs w:val="32"/>
        </w:rPr>
        <w:t>机关事业单位基本养老保险缴费支出</w:t>
      </w:r>
      <w:r>
        <w:rPr>
          <w:rFonts w:ascii="Times New Roman" w:hAnsi="Times New Roman" w:eastAsia="仿宋_GB2312" w:cs="Times New Roman"/>
          <w:sz w:val="32"/>
          <w:szCs w:val="32"/>
        </w:rPr>
        <w:t>（项）。</w:t>
      </w:r>
    </w:p>
    <w:p w14:paraId="4ABCB63E">
      <w:pPr>
        <w:pStyle w:val="17"/>
        <w:overflowPunct w:val="0"/>
        <w:autoSpaceDE/>
        <w:autoSpaceDN/>
        <w:spacing w:line="600" w:lineRule="exact"/>
        <w:ind w:firstLine="640" w:firstLineChars="200"/>
        <w:jc w:val="both"/>
        <w:rPr>
          <w:rFonts w:hint="eastAsia" w:ascii="仿宋_GB2312" w:hAnsi="仿宋_GB2312" w:eastAsia="仿宋_GB2312" w:cs="仿宋_GB2312"/>
          <w:sz w:val="32"/>
          <w:szCs w:val="32"/>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6.54</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6.54</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w:t>
      </w:r>
      <w:r>
        <w:rPr>
          <w:rFonts w:hint="eastAsia" w:ascii="仿宋_GB2312" w:hAnsi="仿宋_GB2312" w:eastAsia="仿宋_GB2312" w:cs="仿宋_GB2312"/>
          <w:sz w:val="32"/>
          <w:szCs w:val="32"/>
        </w:rPr>
        <w:t>决算数与年初预算数持平，主要原因是：我单位严格按照年初预算数列支，预算执行得好。</w:t>
      </w:r>
    </w:p>
    <w:p w14:paraId="5DA5C317">
      <w:pPr>
        <w:pStyle w:val="17"/>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w:t>
      </w:r>
      <w:r>
        <w:rPr>
          <w:rFonts w:hint="eastAsia" w:ascii="仿宋_GB2312" w:hAnsi="仿宋_GB2312" w:eastAsia="仿宋_GB2312" w:cs="仿宋_GB2312"/>
          <w:sz w:val="32"/>
          <w:szCs w:val="32"/>
        </w:rPr>
        <w:t>卫生健康</w:t>
      </w:r>
      <w:r>
        <w:rPr>
          <w:rFonts w:ascii="Times New Roman" w:hAnsi="Times New Roman" w:eastAsia="仿宋_GB2312" w:cs="Times New Roman"/>
          <w:sz w:val="32"/>
          <w:szCs w:val="32"/>
        </w:rPr>
        <w:t>（类）</w:t>
      </w:r>
      <w:r>
        <w:rPr>
          <w:rFonts w:hint="eastAsia" w:ascii="仿宋_GB2312" w:hAnsi="仿宋_GB2312" w:eastAsia="仿宋_GB2312" w:cs="仿宋_GB2312"/>
          <w:sz w:val="32"/>
          <w:szCs w:val="32"/>
        </w:rPr>
        <w:t>行政事业单位医疗</w:t>
      </w:r>
      <w:r>
        <w:rPr>
          <w:rFonts w:ascii="Times New Roman" w:hAnsi="Times New Roman" w:eastAsia="仿宋_GB2312" w:cs="Times New Roman"/>
          <w:sz w:val="32"/>
          <w:szCs w:val="32"/>
        </w:rPr>
        <w:t>（款）</w:t>
      </w:r>
      <w:r>
        <w:rPr>
          <w:rFonts w:hint="eastAsia" w:ascii="仿宋_GB2312" w:hAnsi="仿宋_GB2312" w:eastAsia="仿宋_GB2312" w:cs="仿宋_GB2312"/>
          <w:sz w:val="32"/>
          <w:szCs w:val="32"/>
        </w:rPr>
        <w:t>事业单位医疗</w:t>
      </w:r>
      <w:r>
        <w:rPr>
          <w:rFonts w:ascii="Times New Roman" w:hAnsi="Times New Roman" w:eastAsia="仿宋_GB2312" w:cs="Times New Roman"/>
          <w:sz w:val="32"/>
          <w:szCs w:val="32"/>
        </w:rPr>
        <w:t>（项）。</w:t>
      </w:r>
    </w:p>
    <w:p w14:paraId="6D75299D">
      <w:pPr>
        <w:pStyle w:val="17"/>
        <w:overflowPunct w:val="0"/>
        <w:autoSpaceDE/>
        <w:autoSpaceDN/>
        <w:spacing w:line="600" w:lineRule="exact"/>
        <w:ind w:firstLine="640" w:firstLineChars="200"/>
        <w:jc w:val="both"/>
        <w:rPr>
          <w:rFonts w:hint="eastAsia" w:ascii="仿宋_GB2312" w:hAnsi="仿宋_GB2312" w:eastAsia="仿宋_GB2312" w:cs="仿宋_GB2312"/>
          <w:sz w:val="32"/>
          <w:szCs w:val="32"/>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2.74</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2.74</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w:t>
      </w:r>
      <w:r>
        <w:rPr>
          <w:rFonts w:hint="eastAsia" w:ascii="仿宋_GB2312" w:hAnsi="仿宋_GB2312" w:eastAsia="仿宋_GB2312" w:cs="仿宋_GB2312"/>
          <w:sz w:val="32"/>
          <w:szCs w:val="32"/>
        </w:rPr>
        <w:t>决算数与年初预算数持平，主要原因是：我单位严格按照年初预算数列支，预算执行得好。</w:t>
      </w:r>
    </w:p>
    <w:p w14:paraId="3E46BFB5">
      <w:pPr>
        <w:pStyle w:val="17"/>
        <w:numPr>
          <w:ilvl w:val="0"/>
          <w:numId w:val="1"/>
        </w:numPr>
        <w:overflowPunct w:val="0"/>
        <w:autoSpaceDE/>
        <w:autoSpaceDN/>
        <w:spacing w:line="600" w:lineRule="exact"/>
        <w:ind w:firstLine="640" w:firstLineChars="200"/>
        <w:jc w:val="both"/>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农林水（类）农业农村（款）行政运行（项）</w:t>
      </w:r>
      <w:r>
        <w:rPr>
          <w:rFonts w:hint="eastAsia" w:ascii="仿宋_GB2312" w:hAnsi="仿宋_GB2312" w:eastAsia="仿宋_GB2312" w:cs="仿宋_GB2312"/>
          <w:sz w:val="32"/>
          <w:szCs w:val="32"/>
          <w:lang w:eastAsia="zh-CN"/>
        </w:rPr>
        <w:t>。</w:t>
      </w:r>
    </w:p>
    <w:p w14:paraId="535A9C75">
      <w:pPr>
        <w:pStyle w:val="17"/>
        <w:numPr>
          <w:ilvl w:val="0"/>
          <w:numId w:val="0"/>
        </w:numPr>
        <w:overflowPunct w:val="0"/>
        <w:autoSpaceDE/>
        <w:autoSpaceDN/>
        <w:spacing w:line="600" w:lineRule="exact"/>
        <w:ind w:firstLine="640" w:firstLineChars="200"/>
        <w:jc w:val="both"/>
        <w:rPr>
          <w:rFonts w:hint="eastAsia" w:ascii="仿宋_GB2312" w:hAnsi="仿宋_GB2312" w:eastAsia="仿宋_GB2312" w:cs="仿宋_GB2312"/>
          <w:sz w:val="32"/>
          <w:szCs w:val="32"/>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55.89</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55.89</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w:t>
      </w:r>
      <w:r>
        <w:rPr>
          <w:rFonts w:hint="eastAsia" w:ascii="仿宋_GB2312" w:hAnsi="仿宋_GB2312" w:eastAsia="仿宋_GB2312" w:cs="仿宋_GB2312"/>
          <w:sz w:val="32"/>
          <w:szCs w:val="32"/>
        </w:rPr>
        <w:t>决算数与年初预算数持平，主要原因是：我单位严格按照年初预算数列支，预算执行得好。</w:t>
      </w:r>
    </w:p>
    <w:p w14:paraId="26D4F7E3">
      <w:pPr>
        <w:pStyle w:val="17"/>
        <w:numPr>
          <w:ilvl w:val="0"/>
          <w:numId w:val="1"/>
        </w:numPr>
        <w:overflowPunct w:val="0"/>
        <w:autoSpaceDE/>
        <w:autoSpaceDN/>
        <w:spacing w:line="600" w:lineRule="exact"/>
        <w:ind w:left="0" w:leftChars="0" w:firstLine="640"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农林水（类）农业农村（款）事业运行（项）。年初预算为</w:t>
      </w:r>
      <w:r>
        <w:rPr>
          <w:rFonts w:hint="eastAsia" w:ascii="Times New Roman" w:hAnsi="Times New Roman" w:eastAsia="仿宋_GB2312" w:cs="Times New Roman"/>
          <w:sz w:val="32"/>
          <w:szCs w:val="32"/>
          <w:lang w:val="en-US" w:eastAsia="zh-CN"/>
        </w:rPr>
        <w:t>4.47</w:t>
      </w:r>
      <w:r>
        <w:rPr>
          <w:rFonts w:hint="eastAsia" w:ascii="仿宋_GB2312" w:hAnsi="仿宋_GB2312" w:eastAsia="仿宋_GB2312" w:cs="仿宋_GB2312"/>
          <w:sz w:val="32"/>
          <w:szCs w:val="32"/>
        </w:rPr>
        <w:t>万元，支出决算为</w:t>
      </w:r>
      <w:r>
        <w:rPr>
          <w:rFonts w:hint="eastAsia" w:ascii="Times New Roman" w:hAnsi="Times New Roman" w:eastAsia="仿宋_GB2312" w:cs="Times New Roman"/>
          <w:sz w:val="32"/>
          <w:szCs w:val="32"/>
          <w:lang w:val="en-US" w:eastAsia="zh-CN"/>
        </w:rPr>
        <w:t>4.47</w:t>
      </w:r>
      <w:r>
        <w:rPr>
          <w:rFonts w:hint="eastAsia" w:ascii="仿宋_GB2312" w:hAnsi="仿宋_GB2312" w:eastAsia="仿宋_GB2312" w:cs="仿宋_GB2312"/>
          <w:sz w:val="32"/>
          <w:szCs w:val="32"/>
        </w:rPr>
        <w:t>万元，完成年初预算的</w:t>
      </w:r>
      <w:r>
        <w:rPr>
          <w:rFonts w:hint="eastAsia" w:ascii="Times New Roman" w:hAnsi="Times New Roman" w:eastAsia="仿宋_GB2312" w:cs="Times New Roman"/>
          <w:sz w:val="32"/>
          <w:szCs w:val="32"/>
        </w:rPr>
        <w:t>100.00%</w:t>
      </w:r>
      <w:r>
        <w:rPr>
          <w:rFonts w:hint="eastAsia" w:ascii="仿宋_GB2312" w:hAnsi="仿宋_GB2312" w:eastAsia="仿宋_GB2312" w:cs="仿宋_GB2312"/>
          <w:sz w:val="32"/>
          <w:szCs w:val="32"/>
        </w:rPr>
        <w:t>，决算数与年初预算数持平，主要原因是：我单位严格按照年初预算数列支，预算执行得好。</w:t>
      </w:r>
    </w:p>
    <w:p w14:paraId="14A4370F">
      <w:pPr>
        <w:pStyle w:val="17"/>
        <w:numPr>
          <w:ilvl w:val="0"/>
          <w:numId w:val="1"/>
        </w:numPr>
        <w:overflowPunct w:val="0"/>
        <w:autoSpaceDE/>
        <w:autoSpaceDN/>
        <w:spacing w:line="600" w:lineRule="exact"/>
        <w:ind w:left="0" w:leftChars="0" w:firstLine="640"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农林水（类）农业农村（款）农业生产发展（项）。年初预算为</w:t>
      </w:r>
      <w:r>
        <w:rPr>
          <w:rFonts w:hint="eastAsia" w:ascii="Times New Roman" w:hAnsi="Times New Roman" w:eastAsia="仿宋_GB2312" w:cs="Times New Roman"/>
          <w:sz w:val="32"/>
          <w:szCs w:val="32"/>
          <w:lang w:val="en-US" w:eastAsia="zh-CN"/>
        </w:rPr>
        <w:t>286.53</w:t>
      </w:r>
      <w:r>
        <w:rPr>
          <w:rFonts w:hint="eastAsia" w:ascii="仿宋_GB2312" w:hAnsi="仿宋_GB2312" w:eastAsia="仿宋_GB2312" w:cs="仿宋_GB2312"/>
          <w:sz w:val="32"/>
          <w:szCs w:val="32"/>
        </w:rPr>
        <w:t>万元，支出决算为</w:t>
      </w:r>
      <w:r>
        <w:rPr>
          <w:rFonts w:hint="eastAsia" w:ascii="Times New Roman" w:hAnsi="Times New Roman" w:eastAsia="仿宋_GB2312" w:cs="Times New Roman"/>
          <w:sz w:val="32"/>
          <w:szCs w:val="32"/>
          <w:lang w:val="en-US" w:eastAsia="zh-CN"/>
        </w:rPr>
        <w:t>286.53</w:t>
      </w:r>
      <w:r>
        <w:rPr>
          <w:rFonts w:hint="eastAsia" w:ascii="仿宋_GB2312" w:hAnsi="仿宋_GB2312" w:eastAsia="仿宋_GB2312" w:cs="仿宋_GB2312"/>
          <w:sz w:val="32"/>
          <w:szCs w:val="32"/>
        </w:rPr>
        <w:t>万元，完成年初预算的</w:t>
      </w:r>
      <w:r>
        <w:rPr>
          <w:rFonts w:hint="eastAsia" w:ascii="Times New Roman" w:hAnsi="Times New Roman" w:eastAsia="仿宋_GB2312" w:cs="Times New Roman"/>
          <w:sz w:val="32"/>
          <w:szCs w:val="32"/>
        </w:rPr>
        <w:t>100.00%</w:t>
      </w:r>
      <w:r>
        <w:rPr>
          <w:rFonts w:hint="eastAsia" w:ascii="仿宋_GB2312" w:hAnsi="仿宋_GB2312" w:eastAsia="仿宋_GB2312" w:cs="仿宋_GB2312"/>
          <w:sz w:val="32"/>
          <w:szCs w:val="32"/>
        </w:rPr>
        <w:t>，决算数与年初预算数持平，主要原因是：我单位严格按照年初预算数列支，预算执行得好。</w:t>
      </w:r>
    </w:p>
    <w:p w14:paraId="2BE2188E">
      <w:pPr>
        <w:pStyle w:val="17"/>
        <w:overflowPunct w:val="0"/>
        <w:autoSpaceDE/>
        <w:autoSpaceDN/>
        <w:spacing w:line="600" w:lineRule="exact"/>
        <w:ind w:firstLine="640"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6、农林水（类）农村综合改革（款）对村级公益事业建设的补助（项）。年初预算为</w:t>
      </w:r>
      <w:r>
        <w:rPr>
          <w:rFonts w:hint="eastAsia" w:ascii="Times New Roman" w:hAnsi="Times New Roman" w:eastAsia="仿宋_GB2312" w:cs="Times New Roman"/>
          <w:sz w:val="32"/>
          <w:szCs w:val="32"/>
          <w:lang w:val="en-US" w:eastAsia="zh-CN"/>
        </w:rPr>
        <w:t>158.94</w:t>
      </w:r>
      <w:r>
        <w:rPr>
          <w:rFonts w:hint="eastAsia" w:ascii="仿宋_GB2312" w:hAnsi="仿宋_GB2312" w:eastAsia="仿宋_GB2312" w:cs="仿宋_GB2312"/>
          <w:sz w:val="32"/>
          <w:szCs w:val="32"/>
        </w:rPr>
        <w:t>万元，支出决算为</w:t>
      </w:r>
      <w:r>
        <w:rPr>
          <w:rFonts w:hint="eastAsia" w:ascii="Times New Roman" w:hAnsi="Times New Roman" w:eastAsia="仿宋_GB2312" w:cs="Times New Roman"/>
          <w:sz w:val="32"/>
          <w:szCs w:val="32"/>
          <w:lang w:val="en-US" w:eastAsia="zh-CN"/>
        </w:rPr>
        <w:t>158.94</w:t>
      </w:r>
      <w:r>
        <w:rPr>
          <w:rFonts w:hint="eastAsia" w:ascii="仿宋_GB2312" w:hAnsi="仿宋_GB2312" w:eastAsia="仿宋_GB2312" w:cs="仿宋_GB2312"/>
          <w:sz w:val="32"/>
          <w:szCs w:val="32"/>
        </w:rPr>
        <w:t>万元，完成年初预算的</w:t>
      </w:r>
      <w:r>
        <w:rPr>
          <w:rFonts w:hint="eastAsia" w:ascii="Times New Roman" w:hAnsi="Times New Roman" w:eastAsia="仿宋_GB2312" w:cs="Times New Roman"/>
          <w:sz w:val="32"/>
          <w:szCs w:val="32"/>
        </w:rPr>
        <w:t>100.00%</w:t>
      </w:r>
      <w:r>
        <w:rPr>
          <w:rFonts w:hint="eastAsia" w:ascii="仿宋_GB2312" w:hAnsi="仿宋_GB2312" w:eastAsia="仿宋_GB2312" w:cs="仿宋_GB2312"/>
          <w:sz w:val="32"/>
          <w:szCs w:val="32"/>
        </w:rPr>
        <w:t>，决算数与年初预算数持平，主要原因是：我单位严格按照年初预算数列支，预算执行得好。</w:t>
      </w:r>
    </w:p>
    <w:p w14:paraId="009B7636">
      <w:pPr>
        <w:pStyle w:val="17"/>
        <w:overflowPunct w:val="0"/>
        <w:autoSpaceDE/>
        <w:autoSpaceDN/>
        <w:spacing w:line="600" w:lineRule="exact"/>
        <w:ind w:firstLine="640"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7</w:t>
      </w:r>
      <w:r>
        <w:rPr>
          <w:rFonts w:hint="eastAsia" w:ascii="仿宋_GB2312" w:hAnsi="仿宋_GB2312" w:eastAsia="仿宋_GB2312" w:cs="仿宋_GB2312"/>
          <w:sz w:val="32"/>
          <w:szCs w:val="32"/>
        </w:rPr>
        <w:t>、住房保障（类）住房改革（款）住房公积金（项）。年初预算为</w:t>
      </w:r>
      <w:r>
        <w:rPr>
          <w:rFonts w:hint="eastAsia" w:ascii="Times New Roman" w:hAnsi="Times New Roman" w:eastAsia="仿宋_GB2312" w:cs="Times New Roman"/>
          <w:sz w:val="32"/>
          <w:szCs w:val="32"/>
        </w:rPr>
        <w:t>4.</w:t>
      </w:r>
      <w:r>
        <w:rPr>
          <w:rFonts w:hint="eastAsia" w:ascii="Times New Roman" w:hAnsi="Times New Roman" w:eastAsia="仿宋_GB2312" w:cs="Times New Roman"/>
          <w:sz w:val="32"/>
          <w:szCs w:val="32"/>
          <w:lang w:val="en-US" w:eastAsia="zh-CN"/>
        </w:rPr>
        <w:t>9</w:t>
      </w:r>
      <w:r>
        <w:rPr>
          <w:rFonts w:hint="eastAsia" w:ascii="仿宋_GB2312" w:hAnsi="仿宋_GB2312" w:eastAsia="仿宋_GB2312" w:cs="仿宋_GB2312"/>
          <w:sz w:val="32"/>
          <w:szCs w:val="32"/>
        </w:rPr>
        <w:t>万元，支出决算为</w:t>
      </w:r>
      <w:r>
        <w:rPr>
          <w:rFonts w:hint="eastAsia" w:ascii="Times New Roman" w:hAnsi="Times New Roman" w:eastAsia="仿宋_GB2312" w:cs="Times New Roman"/>
          <w:sz w:val="32"/>
          <w:szCs w:val="32"/>
        </w:rPr>
        <w:t>4.</w:t>
      </w:r>
      <w:r>
        <w:rPr>
          <w:rFonts w:hint="eastAsia" w:ascii="Times New Roman" w:hAnsi="Times New Roman" w:eastAsia="仿宋_GB2312" w:cs="Times New Roman"/>
          <w:sz w:val="32"/>
          <w:szCs w:val="32"/>
          <w:lang w:val="en-US" w:eastAsia="zh-CN"/>
        </w:rPr>
        <w:t>9</w:t>
      </w:r>
      <w:r>
        <w:rPr>
          <w:rFonts w:hint="eastAsia" w:ascii="仿宋_GB2312" w:hAnsi="仿宋_GB2312" w:eastAsia="仿宋_GB2312" w:cs="仿宋_GB2312"/>
          <w:sz w:val="32"/>
          <w:szCs w:val="32"/>
        </w:rPr>
        <w:t>万元，完成年初预算的</w:t>
      </w:r>
      <w:r>
        <w:rPr>
          <w:rFonts w:hint="eastAsia" w:ascii="Times New Roman" w:hAnsi="Times New Roman" w:eastAsia="仿宋_GB2312" w:cs="Times New Roman"/>
          <w:sz w:val="32"/>
          <w:szCs w:val="32"/>
        </w:rPr>
        <w:t>100.00%</w:t>
      </w:r>
      <w:r>
        <w:rPr>
          <w:rFonts w:hint="eastAsia" w:ascii="仿宋_GB2312" w:hAnsi="仿宋_GB2312" w:eastAsia="仿宋_GB2312" w:cs="仿宋_GB2312"/>
          <w:sz w:val="32"/>
          <w:szCs w:val="32"/>
        </w:rPr>
        <w:t>，决算数与年初预算数持平，主要原因是：我单位严格按照年初预算数列支，预算执行得好。</w:t>
      </w:r>
    </w:p>
    <w:p w14:paraId="2AA33AE6">
      <w:pPr>
        <w:pStyle w:val="17"/>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rPr>
        <w:t>按照支出功能分类，</w:t>
      </w:r>
      <w:r>
        <w:rPr>
          <w:rFonts w:hint="eastAsia" w:ascii="仿宋_GB2312" w:hAnsi="仿宋_GB2312" w:eastAsia="仿宋_GB2312" w:cs="仿宋_GB2312"/>
          <w:sz w:val="32"/>
          <w:szCs w:val="32"/>
        </w:rPr>
        <w:t>农林水（类）</w:t>
      </w:r>
      <w:r>
        <w:rPr>
          <w:rFonts w:hint="eastAsia" w:ascii="Times New Roman" w:hAnsi="Times New Roman" w:eastAsia="仿宋_GB2312" w:cs="Times New Roman"/>
          <w:sz w:val="32"/>
          <w:szCs w:val="32"/>
        </w:rPr>
        <w:t>占财政拨款支出总额的比重较高，主要是：</w:t>
      </w:r>
      <w:r>
        <w:rPr>
          <w:rFonts w:hint="eastAsia" w:ascii="仿宋_GB2312" w:hAnsi="仿宋_GB2312" w:eastAsia="仿宋_GB2312" w:cs="仿宋_GB2312"/>
          <w:sz w:val="32"/>
          <w:szCs w:val="32"/>
        </w:rPr>
        <w:t>农业农村</w:t>
      </w:r>
      <w:r>
        <w:rPr>
          <w:rFonts w:hint="eastAsia" w:ascii="Times New Roman" w:hAnsi="Times New Roman" w:eastAsia="仿宋_GB2312" w:cs="Times New Roman"/>
          <w:sz w:val="32"/>
          <w:szCs w:val="32"/>
        </w:rPr>
        <w:t>（科目名称），2025年度决算数为</w:t>
      </w:r>
      <w:r>
        <w:rPr>
          <w:rFonts w:hint="eastAsia" w:ascii="Times New Roman" w:hAnsi="Times New Roman" w:eastAsia="仿宋_GB2312" w:cs="Times New Roman"/>
          <w:sz w:val="32"/>
          <w:szCs w:val="32"/>
          <w:lang w:val="en-US" w:eastAsia="zh-CN"/>
        </w:rPr>
        <w:t>346.89</w:t>
      </w:r>
      <w:r>
        <w:rPr>
          <w:rFonts w:hint="eastAsia" w:ascii="Times New Roman" w:hAnsi="Times New Roman" w:eastAsia="仿宋_GB2312" w:cs="Times New Roman"/>
          <w:sz w:val="32"/>
          <w:szCs w:val="32"/>
        </w:rPr>
        <w:t>万元，占财政拨款支出总额的</w:t>
      </w:r>
      <w:r>
        <w:rPr>
          <w:rFonts w:hint="eastAsia" w:ascii="Times New Roman" w:hAnsi="Times New Roman" w:eastAsia="仿宋_GB2312" w:cs="Times New Roman"/>
          <w:sz w:val="32"/>
          <w:szCs w:val="32"/>
          <w:lang w:val="en-US" w:eastAsia="zh-CN"/>
        </w:rPr>
        <w:t>66.71</w:t>
      </w:r>
      <w:r>
        <w:rPr>
          <w:rFonts w:hint="eastAsia"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w:t>
      </w:r>
      <w:r>
        <w:rPr>
          <w:rFonts w:hint="eastAsia" w:ascii="仿宋_GB2312" w:hAnsi="仿宋_GB2312" w:eastAsia="仿宋_GB2312" w:cs="仿宋_GB2312"/>
          <w:sz w:val="32"/>
          <w:szCs w:val="32"/>
        </w:rPr>
        <w:t>农村综合改革</w:t>
      </w:r>
      <w:r>
        <w:rPr>
          <w:rFonts w:hint="eastAsia" w:ascii="Times New Roman" w:hAnsi="Times New Roman" w:eastAsia="仿宋_GB2312" w:cs="Times New Roman"/>
          <w:sz w:val="32"/>
          <w:szCs w:val="32"/>
        </w:rPr>
        <w:t>（科目名称），2025年度决算数为</w:t>
      </w:r>
      <w:r>
        <w:rPr>
          <w:rFonts w:hint="eastAsia" w:ascii="Times New Roman" w:hAnsi="Times New Roman" w:eastAsia="仿宋_GB2312" w:cs="Times New Roman"/>
          <w:sz w:val="32"/>
          <w:szCs w:val="32"/>
          <w:lang w:val="en-US" w:eastAsia="zh-CN"/>
        </w:rPr>
        <w:t>158.94</w:t>
      </w:r>
      <w:r>
        <w:rPr>
          <w:rFonts w:hint="eastAsia" w:ascii="Times New Roman" w:hAnsi="Times New Roman" w:eastAsia="仿宋_GB2312" w:cs="Times New Roman"/>
          <w:sz w:val="32"/>
          <w:szCs w:val="32"/>
        </w:rPr>
        <w:t>万元，占财政拨款支出总额的</w:t>
      </w:r>
      <w:r>
        <w:rPr>
          <w:rFonts w:hint="eastAsia" w:ascii="Times New Roman" w:hAnsi="Times New Roman" w:eastAsia="仿宋_GB2312" w:cs="Times New Roman"/>
          <w:sz w:val="32"/>
          <w:szCs w:val="32"/>
          <w:lang w:val="en-US" w:eastAsia="zh-CN"/>
        </w:rPr>
        <w:t>30.57</w:t>
      </w:r>
      <w:r>
        <w:rPr>
          <w:rFonts w:hint="eastAsia"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主要用于</w:t>
      </w:r>
      <w:r>
        <w:rPr>
          <w:rFonts w:hint="eastAsia" w:ascii="Times New Roman" w:hAnsi="Times New Roman" w:eastAsia="仿宋_GB2312" w:cs="Times New Roman"/>
          <w:kern w:val="0"/>
          <w:sz w:val="32"/>
          <w:szCs w:val="32"/>
        </w:rPr>
        <w:t>农业产业区</w:t>
      </w:r>
      <w:r>
        <w:rPr>
          <w:rFonts w:hint="eastAsia" w:ascii="Times New Roman" w:hAnsi="Times New Roman" w:eastAsia="仿宋_GB2312" w:cs="Times New Roman"/>
          <w:kern w:val="0"/>
          <w:sz w:val="32"/>
          <w:szCs w:val="32"/>
          <w:lang w:eastAsia="zh-CN"/>
        </w:rPr>
        <w:t>项目</w:t>
      </w:r>
      <w:r>
        <w:rPr>
          <w:rFonts w:hint="eastAsia" w:ascii="Times New Roman" w:hAnsi="Times New Roman" w:eastAsia="仿宋_GB2312" w:cs="Times New Roman"/>
          <w:kern w:val="0"/>
          <w:sz w:val="32"/>
          <w:szCs w:val="32"/>
        </w:rPr>
        <w:t>建设</w:t>
      </w:r>
      <w:r>
        <w:rPr>
          <w:rFonts w:hint="eastAsia" w:ascii="Times New Roman" w:hAnsi="Times New Roman" w:eastAsia="仿宋_GB2312" w:cs="Times New Roman"/>
          <w:kern w:val="0"/>
          <w:sz w:val="32"/>
          <w:szCs w:val="32"/>
          <w:lang w:eastAsia="zh-CN"/>
        </w:rPr>
        <w:t>、</w:t>
      </w:r>
      <w:r>
        <w:rPr>
          <w:rFonts w:hint="eastAsia" w:ascii="Times New Roman" w:hAnsi="Times New Roman" w:eastAsia="仿宋_GB2312" w:cs="Times New Roman"/>
          <w:kern w:val="0"/>
          <w:sz w:val="32"/>
          <w:szCs w:val="32"/>
        </w:rPr>
        <w:t>祁阳高标准油茶种植示范基地建设项目</w:t>
      </w:r>
      <w:r>
        <w:rPr>
          <w:rFonts w:hint="eastAsia" w:ascii="Times New Roman" w:hAnsi="Times New Roman" w:eastAsia="仿宋_GB2312" w:cs="Times New Roman"/>
          <w:sz w:val="32"/>
          <w:szCs w:val="32"/>
        </w:rPr>
        <w:t>项目建设</w:t>
      </w:r>
      <w:r>
        <w:rPr>
          <w:rFonts w:hint="eastAsia" w:ascii="Times New Roman" w:hAnsi="Times New Roman" w:eastAsia="仿宋_GB2312" w:cs="Times New Roman"/>
          <w:sz w:val="32"/>
          <w:szCs w:val="32"/>
          <w:lang w:eastAsia="zh-CN"/>
        </w:rPr>
        <w:t>。</w:t>
      </w:r>
    </w:p>
    <w:p w14:paraId="3C6B8B59">
      <w:pPr>
        <w:pStyle w:val="17"/>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六、一般公共预算财政拨款基本支出决算情况说明</w:t>
      </w:r>
    </w:p>
    <w:p w14:paraId="7F25674D">
      <w:pPr>
        <w:pStyle w:val="17"/>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年度一般公共预算财政拨款基本支出</w:t>
      </w:r>
      <w:r>
        <w:rPr>
          <w:rFonts w:hint="eastAsia" w:ascii="Times New Roman" w:hAnsi="Times New Roman" w:eastAsia="仿宋_GB2312" w:cs="Times New Roman"/>
          <w:sz w:val="32"/>
          <w:szCs w:val="32"/>
          <w:lang w:val="en-US" w:eastAsia="zh-CN"/>
        </w:rPr>
        <w:t>74.53</w:t>
      </w:r>
      <w:r>
        <w:rPr>
          <w:rFonts w:ascii="Times New Roman" w:hAnsi="Times New Roman" w:eastAsia="仿宋_GB2312" w:cs="Times New Roman"/>
          <w:sz w:val="32"/>
          <w:szCs w:val="32"/>
        </w:rPr>
        <w:t>万元，其中：</w:t>
      </w:r>
    </w:p>
    <w:p w14:paraId="270BD4C9">
      <w:pPr>
        <w:pStyle w:val="17"/>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b/>
          <w:bCs/>
          <w:sz w:val="32"/>
          <w:szCs w:val="32"/>
        </w:rPr>
        <w:t>人员经费</w:t>
      </w:r>
      <w:r>
        <w:rPr>
          <w:rFonts w:hint="eastAsia" w:ascii="Times New Roman" w:hAnsi="Times New Roman" w:eastAsia="仿宋_GB2312" w:cs="Times New Roman"/>
          <w:sz w:val="32"/>
          <w:szCs w:val="32"/>
          <w:lang w:val="en-US" w:eastAsia="zh-CN"/>
        </w:rPr>
        <w:t>70.06</w:t>
      </w:r>
      <w:r>
        <w:rPr>
          <w:rFonts w:ascii="Times New Roman" w:hAnsi="Times New Roman" w:eastAsia="仿宋_GB2312" w:cs="Times New Roman"/>
          <w:sz w:val="32"/>
          <w:szCs w:val="32"/>
        </w:rPr>
        <w:t>万元，占基本支出的</w:t>
      </w:r>
      <w:r>
        <w:rPr>
          <w:rFonts w:hint="eastAsia" w:ascii="Times New Roman" w:hAnsi="Times New Roman" w:eastAsia="仿宋_GB2312" w:cs="Times New Roman"/>
          <w:sz w:val="32"/>
          <w:szCs w:val="32"/>
          <w:lang w:val="en-US" w:eastAsia="zh-CN"/>
        </w:rPr>
        <w:t>94</w:t>
      </w:r>
      <w:r>
        <w:rPr>
          <w:rFonts w:ascii="Times New Roman" w:hAnsi="Times New Roman" w:eastAsia="仿宋_GB2312" w:cs="Times New Roman"/>
          <w:sz w:val="32"/>
          <w:szCs w:val="32"/>
        </w:rPr>
        <w:t>%,主要包括基本工资、奖金、</w:t>
      </w:r>
      <w:r>
        <w:rPr>
          <w:rFonts w:hint="eastAsia" w:ascii="Times New Roman" w:hAnsi="Times New Roman" w:eastAsia="仿宋_GB2312" w:cs="Times New Roman"/>
          <w:sz w:val="32"/>
          <w:szCs w:val="32"/>
        </w:rPr>
        <w:t>绩效工资、机关事业单位基本养老保险、职工基本医疗保险缴费、其他社会保障缴费、</w:t>
      </w:r>
      <w:r>
        <w:rPr>
          <w:rFonts w:hint="eastAsia" w:ascii="Times New Roman" w:hAnsi="Times New Roman" w:eastAsia="仿宋_GB2312" w:cs="Times New Roman"/>
          <w:sz w:val="32"/>
          <w:szCs w:val="32"/>
          <w:lang w:eastAsia="zh-CN"/>
        </w:rPr>
        <w:t>住房公积金、</w:t>
      </w:r>
      <w:r>
        <w:rPr>
          <w:rFonts w:hint="eastAsia" w:ascii="Times New Roman" w:hAnsi="Times New Roman" w:eastAsia="仿宋_GB2312" w:cs="Times New Roman"/>
          <w:sz w:val="32"/>
          <w:szCs w:val="32"/>
        </w:rPr>
        <w:t>生活补助。</w:t>
      </w:r>
    </w:p>
    <w:p w14:paraId="3611B51F">
      <w:pPr>
        <w:pStyle w:val="17"/>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ascii="Times New Roman" w:hAnsi="Times New Roman" w:eastAsia="仿宋_GB2312" w:cs="Times New Roman"/>
          <w:b/>
          <w:bCs/>
          <w:sz w:val="32"/>
          <w:szCs w:val="32"/>
        </w:rPr>
        <w:t>公用经费</w:t>
      </w:r>
      <w:r>
        <w:rPr>
          <w:rFonts w:hint="eastAsia" w:ascii="Times New Roman" w:hAnsi="Times New Roman" w:eastAsia="仿宋_GB2312" w:cs="Times New Roman"/>
          <w:sz w:val="32"/>
          <w:szCs w:val="32"/>
          <w:lang w:val="en-US" w:eastAsia="zh-CN"/>
        </w:rPr>
        <w:t>4.47</w:t>
      </w:r>
      <w:r>
        <w:rPr>
          <w:rFonts w:ascii="Times New Roman" w:hAnsi="Times New Roman" w:eastAsia="仿宋_GB2312" w:cs="Times New Roman"/>
          <w:sz w:val="32"/>
          <w:szCs w:val="32"/>
        </w:rPr>
        <w:t>万元，占基本支出的</w:t>
      </w:r>
      <w:r>
        <w:rPr>
          <w:rFonts w:hint="eastAsia" w:ascii="Times New Roman" w:hAnsi="Times New Roman" w:eastAsia="仿宋_GB2312" w:cs="Times New Roman"/>
          <w:sz w:val="32"/>
          <w:szCs w:val="32"/>
          <w:lang w:val="en-US" w:eastAsia="zh-CN"/>
        </w:rPr>
        <w:t>6</w:t>
      </w:r>
      <w:r>
        <w:rPr>
          <w:rFonts w:ascii="Times New Roman" w:hAnsi="Times New Roman" w:eastAsia="仿宋_GB2312" w:cs="Times New Roman"/>
          <w:sz w:val="32"/>
          <w:szCs w:val="32"/>
        </w:rPr>
        <w:t>%，主要包括办公费、</w:t>
      </w:r>
      <w:r>
        <w:rPr>
          <w:rFonts w:hint="eastAsia" w:ascii="Times New Roman" w:hAnsi="Times New Roman" w:eastAsia="仿宋_GB2312" w:cs="Times New Roman"/>
          <w:sz w:val="32"/>
          <w:szCs w:val="32"/>
          <w:lang w:eastAsia="zh-CN"/>
        </w:rPr>
        <w:t>差旅</w:t>
      </w:r>
      <w:r>
        <w:rPr>
          <w:rFonts w:hint="eastAsia" w:ascii="Times New Roman" w:hAnsi="Times New Roman" w:eastAsia="仿宋_GB2312" w:cs="Times New Roman"/>
          <w:sz w:val="32"/>
          <w:szCs w:val="32"/>
        </w:rPr>
        <w:t>费、</w:t>
      </w:r>
      <w:r>
        <w:rPr>
          <w:rFonts w:hint="eastAsia" w:ascii="Times New Roman" w:hAnsi="Times New Roman" w:eastAsia="仿宋_GB2312" w:cs="Times New Roman"/>
          <w:sz w:val="32"/>
          <w:szCs w:val="32"/>
          <w:lang w:eastAsia="zh-CN"/>
        </w:rPr>
        <w:t>劳务</w:t>
      </w:r>
      <w:r>
        <w:rPr>
          <w:rFonts w:hint="eastAsia" w:ascii="Times New Roman" w:hAnsi="Times New Roman" w:eastAsia="仿宋_GB2312" w:cs="Times New Roman"/>
          <w:sz w:val="32"/>
          <w:szCs w:val="32"/>
        </w:rPr>
        <w:t>费、工会经费</w:t>
      </w:r>
      <w:r>
        <w:rPr>
          <w:rFonts w:hint="eastAsia" w:ascii="Times New Roman" w:hAnsi="Times New Roman" w:eastAsia="仿宋_GB2312" w:cs="Times New Roman"/>
          <w:sz w:val="32"/>
          <w:szCs w:val="32"/>
          <w:lang w:eastAsia="zh-CN"/>
        </w:rPr>
        <w:t>、福利费、其他商品和服务支出</w:t>
      </w:r>
      <w:r>
        <w:rPr>
          <w:rFonts w:hint="eastAsia"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 xml:space="preserve"> </w:t>
      </w:r>
    </w:p>
    <w:p w14:paraId="547C3157">
      <w:pPr>
        <w:pStyle w:val="17"/>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七、财政拨款“三公”经费支出决算情况说明</w:t>
      </w:r>
    </w:p>
    <w:p w14:paraId="24F19897">
      <w:pPr>
        <w:pStyle w:val="17"/>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（一）“三公”经费财政拨款支出决算总体情况说明</w:t>
      </w:r>
    </w:p>
    <w:p w14:paraId="0EAC1F24">
      <w:pPr>
        <w:pStyle w:val="17"/>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年度“三公”经费财政拨款支出预算为</w:t>
      </w:r>
      <w:r>
        <w:rPr>
          <w:rFonts w:hint="eastAsia" w:ascii="Times New Roman" w:hAnsi="Times New Roman" w:eastAsia="仿宋_GB2312" w:cs="Times New Roman"/>
          <w:sz w:val="32"/>
          <w:szCs w:val="32"/>
          <w:lang w:val="en-US" w:eastAsia="zh-CN"/>
        </w:rPr>
        <w:t>0.30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rPr>
        <w:t>0</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rPr>
        <w:t>0</w:t>
      </w:r>
      <w:r>
        <w:rPr>
          <w:rFonts w:ascii="Times New Roman" w:hAnsi="Times New Roman" w:eastAsia="仿宋_GB2312" w:cs="Times New Roman"/>
          <w:sz w:val="32"/>
          <w:szCs w:val="32"/>
        </w:rPr>
        <w:t>%；与上年相比减少</w:t>
      </w:r>
      <w:r>
        <w:rPr>
          <w:rFonts w:hint="eastAsia" w:ascii="Times New Roman" w:hAnsi="Times New Roman" w:eastAsia="仿宋_GB2312" w:cs="Times New Roman"/>
          <w:sz w:val="32"/>
          <w:szCs w:val="32"/>
          <w:lang w:val="en-US" w:eastAsia="zh-CN"/>
        </w:rPr>
        <w:t>0.28</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%。决算数小于预算数</w:t>
      </w:r>
      <w:r>
        <w:rPr>
          <w:rFonts w:hint="eastAsia" w:ascii="Times New Roman" w:hAnsi="Times New Roman" w:eastAsia="仿宋_GB2312" w:cs="Times New Roman"/>
          <w:sz w:val="32"/>
          <w:szCs w:val="32"/>
          <w:lang w:eastAsia="zh-CN"/>
        </w:rPr>
        <w:t>，</w:t>
      </w:r>
      <w:r>
        <w:rPr>
          <w:rFonts w:ascii="Times New Roman" w:hAnsi="Times New Roman" w:eastAsia="仿宋_GB2312" w:cs="Times New Roman"/>
          <w:sz w:val="32"/>
          <w:szCs w:val="32"/>
        </w:rPr>
        <w:t>决算数小于上年数的主要原因是</w:t>
      </w:r>
      <w:r>
        <w:rPr>
          <w:rFonts w:hint="eastAsia" w:ascii="Times New Roman" w:hAnsi="Times New Roman" w:eastAsia="仿宋_GB2312" w:cs="Times New Roman"/>
          <w:sz w:val="32"/>
          <w:szCs w:val="32"/>
        </w:rPr>
        <w:t>严格执行中央八项规定</w:t>
      </w:r>
      <w:r>
        <w:rPr>
          <w:rFonts w:hint="eastAsia" w:ascii="Times New Roman" w:hAnsi="Times New Roman" w:eastAsia="仿宋_GB2312" w:cs="Times New Roman"/>
          <w:sz w:val="32"/>
          <w:szCs w:val="32"/>
          <w:lang w:eastAsia="zh-CN"/>
        </w:rPr>
        <w:t>及</w:t>
      </w:r>
      <w:r>
        <w:rPr>
          <w:rFonts w:hint="eastAsia" w:ascii="Times New Roman" w:hAnsi="Times New Roman" w:eastAsia="仿宋_GB2312" w:cs="Times New Roman"/>
          <w:sz w:val="32"/>
          <w:szCs w:val="32"/>
        </w:rPr>
        <w:t>厉行节约</w:t>
      </w:r>
      <w:r>
        <w:rPr>
          <w:rFonts w:hint="eastAsia" w:ascii="Times New Roman" w:hAnsi="Times New Roman" w:eastAsia="仿宋_GB2312" w:cs="Times New Roman"/>
          <w:sz w:val="32"/>
          <w:szCs w:val="32"/>
          <w:lang w:eastAsia="zh-CN"/>
        </w:rPr>
        <w:t>要求。</w:t>
      </w:r>
    </w:p>
    <w:p w14:paraId="62DE1010">
      <w:pPr>
        <w:pStyle w:val="17"/>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（二）“三公”经费财政拨款支出决算具体情况说明</w:t>
      </w:r>
    </w:p>
    <w:p w14:paraId="35AEB83C">
      <w:pPr>
        <w:pStyle w:val="17"/>
        <w:overflowPunct w:val="0"/>
        <w:autoSpaceDE/>
        <w:autoSpaceDN/>
        <w:spacing w:line="600" w:lineRule="exact"/>
        <w:ind w:firstLine="640" w:firstLineChars="200"/>
        <w:jc w:val="both"/>
        <w:rPr>
          <w:rFonts w:hint="eastAsia" w:ascii="Times New Roman" w:hAnsi="Times New Roman" w:eastAsia="仿宋_GB2312" w:cs="Times New Roman"/>
          <w:b/>
          <w:bCs/>
          <w:i/>
          <w:color w:val="auto"/>
          <w:sz w:val="32"/>
          <w:szCs w:val="32"/>
          <w:lang w:eastAsia="zh-CN"/>
        </w:rPr>
      </w:pPr>
      <w:r>
        <w:rPr>
          <w:rFonts w:ascii="Times New Roman" w:hAnsi="Times New Roman" w:eastAsia="仿宋_GB2312" w:cs="Times New Roman"/>
          <w:sz w:val="32"/>
          <w:szCs w:val="32"/>
        </w:rPr>
        <w:t>1.因公出国（境）费支出预算为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%；与上年相比</w:t>
      </w:r>
      <w:r>
        <w:rPr>
          <w:rFonts w:hint="eastAsia" w:ascii="Times New Roman" w:hAnsi="Times New Roman" w:eastAsia="仿宋_GB2312" w:cs="Times New Roman"/>
          <w:sz w:val="32"/>
          <w:szCs w:val="32"/>
          <w:lang w:eastAsia="zh-CN"/>
        </w:rPr>
        <w:t>无增减变动。</w:t>
      </w:r>
    </w:p>
    <w:p w14:paraId="3A538586">
      <w:pPr>
        <w:pStyle w:val="17"/>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2.公务用车购置费及运行维护费支出预算为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%；与上年相比</w:t>
      </w:r>
      <w:r>
        <w:rPr>
          <w:rFonts w:hint="eastAsia" w:ascii="Times New Roman" w:hAnsi="Times New Roman" w:eastAsia="仿宋_GB2312" w:cs="Times New Roman"/>
          <w:sz w:val="32"/>
          <w:szCs w:val="32"/>
          <w:lang w:eastAsia="zh-CN"/>
        </w:rPr>
        <w:t>无增减变动。</w:t>
      </w:r>
      <w:r>
        <w:rPr>
          <w:rFonts w:ascii="Times New Roman" w:hAnsi="Times New Roman" w:eastAsia="仿宋_GB2312" w:cs="Times New Roman"/>
          <w:sz w:val="32"/>
          <w:szCs w:val="32"/>
        </w:rPr>
        <w:t>其中：</w:t>
      </w:r>
    </w:p>
    <w:p w14:paraId="6E3D1400">
      <w:pPr>
        <w:pStyle w:val="17"/>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公务用车购置费支出预算为</w:t>
      </w:r>
      <w:r>
        <w:rPr>
          <w:rFonts w:hint="eastAsia" w:ascii="Times New Roman" w:hAnsi="Times New Roman" w:eastAsia="仿宋_GB2312" w:cs="Times New Roman"/>
          <w:sz w:val="32"/>
          <w:szCs w:val="32"/>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rPr>
        <w:t>0</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rPr>
        <w:t>0</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，与</w:t>
      </w:r>
      <w:r>
        <w:rPr>
          <w:rFonts w:ascii="Times New Roman" w:hAnsi="Times New Roman" w:eastAsia="仿宋_GB2312" w:cs="Times New Roman"/>
          <w:sz w:val="32"/>
          <w:szCs w:val="32"/>
        </w:rPr>
        <w:t>上年相比</w:t>
      </w:r>
      <w:r>
        <w:rPr>
          <w:rFonts w:hint="eastAsia" w:ascii="Times New Roman" w:hAnsi="Times New Roman" w:eastAsia="仿宋_GB2312" w:cs="Times New Roman"/>
          <w:sz w:val="32"/>
          <w:szCs w:val="32"/>
          <w:lang w:eastAsia="zh-CN"/>
        </w:rPr>
        <w:t>无增减变动。</w:t>
      </w:r>
    </w:p>
    <w:p w14:paraId="21026846">
      <w:pPr>
        <w:pStyle w:val="17"/>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公务用车运行维护费支出预算为</w:t>
      </w:r>
      <w:r>
        <w:rPr>
          <w:rFonts w:hint="eastAsia" w:ascii="Times New Roman" w:hAnsi="Times New Roman" w:eastAsia="仿宋_GB2312" w:cs="Times New Roman"/>
          <w:sz w:val="32"/>
          <w:szCs w:val="32"/>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rPr>
        <w:t>0</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rPr>
        <w:t>0</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，与</w:t>
      </w:r>
      <w:r>
        <w:rPr>
          <w:rFonts w:ascii="Times New Roman" w:hAnsi="Times New Roman" w:eastAsia="仿宋_GB2312" w:cs="Times New Roman"/>
          <w:sz w:val="32"/>
          <w:szCs w:val="32"/>
        </w:rPr>
        <w:t>上年相比</w:t>
      </w:r>
      <w:r>
        <w:rPr>
          <w:rFonts w:hint="eastAsia" w:ascii="Times New Roman" w:hAnsi="Times New Roman" w:eastAsia="仿宋_GB2312" w:cs="Times New Roman"/>
          <w:sz w:val="32"/>
          <w:szCs w:val="32"/>
          <w:lang w:eastAsia="zh-CN"/>
        </w:rPr>
        <w:t>无增减变动。</w:t>
      </w:r>
    </w:p>
    <w:p w14:paraId="3FA63126">
      <w:pPr>
        <w:pStyle w:val="17"/>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截止202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年12月31日，我单位开支财政拨款的公务用车保有量为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辆。</w:t>
      </w:r>
    </w:p>
    <w:p w14:paraId="6077E767">
      <w:pPr>
        <w:pStyle w:val="17"/>
        <w:numPr>
          <w:ilvl w:val="0"/>
          <w:numId w:val="0"/>
        </w:numPr>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val="en-US" w:eastAsia="zh-CN"/>
        </w:rPr>
        <w:t>3.</w:t>
      </w:r>
      <w:r>
        <w:rPr>
          <w:rFonts w:ascii="Times New Roman" w:hAnsi="Times New Roman" w:eastAsia="仿宋_GB2312" w:cs="Times New Roman"/>
          <w:sz w:val="32"/>
          <w:szCs w:val="32"/>
        </w:rPr>
        <w:t>公务接待费支出预算为</w:t>
      </w:r>
      <w:r>
        <w:rPr>
          <w:rFonts w:hint="eastAsia" w:ascii="Times New Roman" w:hAnsi="Times New Roman" w:eastAsia="仿宋_GB2312" w:cs="Times New Roman"/>
          <w:sz w:val="32"/>
          <w:szCs w:val="32"/>
          <w:lang w:val="en-US" w:eastAsia="zh-CN"/>
        </w:rPr>
        <w:t>0.30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%；与上年相比减少</w:t>
      </w:r>
      <w:r>
        <w:rPr>
          <w:rFonts w:hint="eastAsia" w:ascii="Times New Roman" w:hAnsi="Times New Roman" w:eastAsia="仿宋_GB2312" w:cs="Times New Roman"/>
          <w:sz w:val="32"/>
          <w:szCs w:val="32"/>
          <w:lang w:val="en-US" w:eastAsia="zh-CN"/>
        </w:rPr>
        <w:t>0.28</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%。决算数小于预算数</w:t>
      </w:r>
      <w:r>
        <w:rPr>
          <w:rFonts w:hint="eastAsia" w:ascii="Times New Roman" w:hAnsi="Times New Roman" w:eastAsia="仿宋_GB2312" w:cs="Times New Roman"/>
          <w:sz w:val="32"/>
          <w:szCs w:val="32"/>
          <w:lang w:eastAsia="zh-CN"/>
        </w:rPr>
        <w:t>，</w:t>
      </w:r>
      <w:r>
        <w:rPr>
          <w:rFonts w:ascii="Times New Roman" w:hAnsi="Times New Roman" w:eastAsia="仿宋_GB2312" w:cs="Times New Roman"/>
          <w:sz w:val="32"/>
          <w:szCs w:val="32"/>
        </w:rPr>
        <w:t>决算数小于上年数的主要原因是</w:t>
      </w:r>
      <w:r>
        <w:rPr>
          <w:rFonts w:hint="eastAsia" w:ascii="Times New Roman" w:hAnsi="Times New Roman" w:eastAsia="仿宋_GB2312" w:cs="Times New Roman"/>
          <w:sz w:val="32"/>
          <w:szCs w:val="32"/>
        </w:rPr>
        <w:t>严格执行中央八项规定</w:t>
      </w:r>
      <w:r>
        <w:rPr>
          <w:rFonts w:hint="eastAsia" w:ascii="Times New Roman" w:hAnsi="Times New Roman" w:eastAsia="仿宋_GB2312" w:cs="Times New Roman"/>
          <w:sz w:val="32"/>
          <w:szCs w:val="32"/>
          <w:lang w:eastAsia="zh-CN"/>
        </w:rPr>
        <w:t>及</w:t>
      </w:r>
      <w:r>
        <w:rPr>
          <w:rFonts w:hint="eastAsia" w:ascii="Times New Roman" w:hAnsi="Times New Roman" w:eastAsia="仿宋_GB2312" w:cs="Times New Roman"/>
          <w:sz w:val="32"/>
          <w:szCs w:val="32"/>
        </w:rPr>
        <w:t>厉行节约</w:t>
      </w:r>
      <w:r>
        <w:rPr>
          <w:rFonts w:hint="eastAsia" w:ascii="Times New Roman" w:hAnsi="Times New Roman" w:eastAsia="仿宋_GB2312" w:cs="Times New Roman"/>
          <w:sz w:val="32"/>
          <w:szCs w:val="32"/>
          <w:lang w:eastAsia="zh-CN"/>
        </w:rPr>
        <w:t>要求。</w:t>
      </w:r>
    </w:p>
    <w:p w14:paraId="166A2352">
      <w:pPr>
        <w:pStyle w:val="17"/>
        <w:numPr>
          <w:ilvl w:val="0"/>
          <w:numId w:val="0"/>
        </w:numPr>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八、政府性基金预算收入支出决算情况</w:t>
      </w:r>
    </w:p>
    <w:p w14:paraId="1060D685">
      <w:pPr>
        <w:pStyle w:val="17"/>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年度政府性基金预算财政拨款收入</w:t>
      </w:r>
      <w:r>
        <w:rPr>
          <w:rFonts w:hint="eastAsia" w:ascii="Times New Roman" w:hAnsi="Times New Roman" w:eastAsia="仿宋_GB2312" w:cs="Times New Roman"/>
          <w:sz w:val="32"/>
          <w:szCs w:val="32"/>
          <w:lang w:val="en-US" w:eastAsia="zh-CN"/>
        </w:rPr>
        <w:t>3020.72</w:t>
      </w:r>
      <w:r>
        <w:rPr>
          <w:rFonts w:ascii="Times New Roman" w:hAnsi="Times New Roman" w:eastAsia="仿宋_GB2312" w:cs="Times New Roman"/>
          <w:sz w:val="32"/>
          <w:szCs w:val="32"/>
        </w:rPr>
        <w:t>万元；年初结转和结余</w:t>
      </w:r>
      <w:r>
        <w:rPr>
          <w:rFonts w:hint="eastAsia" w:ascii="Times New Roman" w:hAnsi="Times New Roman" w:eastAsia="仿宋_GB2312" w:cs="Times New Roman"/>
          <w:sz w:val="32"/>
          <w:szCs w:val="32"/>
          <w:lang w:val="en-US" w:eastAsia="zh-CN"/>
        </w:rPr>
        <w:t>0.00</w:t>
      </w:r>
      <w:r>
        <w:rPr>
          <w:rFonts w:ascii="Times New Roman" w:hAnsi="Times New Roman" w:eastAsia="仿宋_GB2312" w:cs="Times New Roman"/>
          <w:sz w:val="32"/>
          <w:szCs w:val="32"/>
        </w:rPr>
        <w:t>万元；支出</w:t>
      </w:r>
      <w:r>
        <w:rPr>
          <w:rFonts w:hint="eastAsia" w:ascii="Times New Roman" w:hAnsi="Times New Roman" w:eastAsia="仿宋_GB2312" w:cs="Times New Roman"/>
          <w:sz w:val="32"/>
          <w:szCs w:val="32"/>
          <w:lang w:val="en-US" w:eastAsia="zh-CN"/>
        </w:rPr>
        <w:t>3020.72</w:t>
      </w:r>
      <w:r>
        <w:rPr>
          <w:rFonts w:ascii="Times New Roman" w:hAnsi="Times New Roman" w:eastAsia="仿宋_GB2312" w:cs="Times New Roman"/>
          <w:sz w:val="32"/>
          <w:szCs w:val="32"/>
        </w:rPr>
        <w:t>万元，其中基本支出</w:t>
      </w:r>
      <w:r>
        <w:rPr>
          <w:rFonts w:hint="eastAsia" w:ascii="Times New Roman" w:hAnsi="Times New Roman" w:eastAsia="仿宋_GB2312" w:cs="Times New Roman"/>
          <w:sz w:val="32"/>
          <w:szCs w:val="32"/>
          <w:lang w:val="en-US" w:eastAsia="zh-CN"/>
        </w:rPr>
        <w:t>0.00</w:t>
      </w:r>
      <w:r>
        <w:rPr>
          <w:rFonts w:ascii="Times New Roman" w:hAnsi="Times New Roman" w:eastAsia="仿宋_GB2312" w:cs="Times New Roman"/>
          <w:sz w:val="32"/>
          <w:szCs w:val="32"/>
        </w:rPr>
        <w:t>万元，项目支出</w:t>
      </w:r>
      <w:r>
        <w:rPr>
          <w:rFonts w:hint="eastAsia" w:ascii="Times New Roman" w:hAnsi="Times New Roman" w:eastAsia="仿宋_GB2312" w:cs="Times New Roman"/>
          <w:sz w:val="32"/>
          <w:szCs w:val="32"/>
          <w:lang w:val="en-US" w:eastAsia="zh-CN"/>
        </w:rPr>
        <w:t>3020.72</w:t>
      </w:r>
      <w:r>
        <w:rPr>
          <w:rFonts w:ascii="Times New Roman" w:hAnsi="Times New Roman" w:eastAsia="仿宋_GB2312" w:cs="Times New Roman"/>
          <w:sz w:val="32"/>
          <w:szCs w:val="32"/>
        </w:rPr>
        <w:t>万元；年末结转和结余</w:t>
      </w:r>
      <w:r>
        <w:rPr>
          <w:rFonts w:hint="eastAsia" w:ascii="Times New Roman" w:hAnsi="Times New Roman" w:eastAsia="仿宋_GB2312" w:cs="Times New Roman"/>
          <w:sz w:val="32"/>
          <w:szCs w:val="32"/>
          <w:lang w:val="en-US" w:eastAsia="zh-CN"/>
        </w:rPr>
        <w:t>0.00</w:t>
      </w:r>
      <w:r>
        <w:rPr>
          <w:rFonts w:ascii="Times New Roman" w:hAnsi="Times New Roman" w:eastAsia="仿宋_GB2312" w:cs="Times New Roman"/>
          <w:sz w:val="32"/>
          <w:szCs w:val="32"/>
        </w:rPr>
        <w:t>万元。具体情况如下：</w:t>
      </w:r>
    </w:p>
    <w:p w14:paraId="55D7301E">
      <w:pPr>
        <w:pStyle w:val="17"/>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1、</w:t>
      </w:r>
      <w:r>
        <w:rPr>
          <w:rFonts w:hint="eastAsia" w:ascii="Times New Roman" w:hAnsi="Times New Roman" w:eastAsia="仿宋_GB2312" w:cs="Times New Roman"/>
          <w:sz w:val="32"/>
          <w:szCs w:val="32"/>
        </w:rPr>
        <w:t>城乡社区</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rPr>
        <w:t>国有土地使用权出让收入安排的支出</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rPr>
        <w:t>农业生产发展</w:t>
      </w:r>
      <w:r>
        <w:rPr>
          <w:rFonts w:ascii="Times New Roman" w:hAnsi="Times New Roman" w:eastAsia="仿宋_GB2312" w:cs="Times New Roman"/>
          <w:sz w:val="32"/>
          <w:szCs w:val="32"/>
        </w:rPr>
        <w:t>（项）。</w:t>
      </w:r>
    </w:p>
    <w:p w14:paraId="79CB3511">
      <w:pPr>
        <w:pStyle w:val="17"/>
        <w:overflowPunct w:val="0"/>
        <w:autoSpaceDE/>
        <w:autoSpaceDN/>
        <w:spacing w:line="600" w:lineRule="exact"/>
        <w:ind w:firstLine="640" w:firstLineChars="200"/>
        <w:jc w:val="both"/>
        <w:rPr>
          <w:rFonts w:hint="eastAsia" w:ascii="仿宋_GB2312" w:hAnsi="仿宋_GB2312" w:eastAsia="仿宋_GB2312" w:cs="仿宋_GB2312"/>
          <w:sz w:val="32"/>
          <w:szCs w:val="32"/>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2449.98</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2449.98</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%，决算数</w:t>
      </w:r>
      <w:r>
        <w:rPr>
          <w:rFonts w:hint="eastAsia" w:ascii="Times New Roman" w:hAnsi="Times New Roman" w:eastAsia="仿宋_GB2312" w:cs="Times New Roman"/>
          <w:sz w:val="32"/>
          <w:szCs w:val="32"/>
        </w:rPr>
        <w:t>与</w:t>
      </w:r>
      <w:r>
        <w:rPr>
          <w:rFonts w:ascii="Times New Roman" w:hAnsi="Times New Roman" w:eastAsia="仿宋_GB2312" w:cs="Times New Roman"/>
          <w:sz w:val="32"/>
          <w:szCs w:val="32"/>
        </w:rPr>
        <w:t>年初预算数</w:t>
      </w:r>
      <w:r>
        <w:rPr>
          <w:rFonts w:hint="eastAsia" w:ascii="Times New Roman" w:hAnsi="Times New Roman" w:eastAsia="仿宋_GB2312" w:cs="Times New Roman"/>
          <w:sz w:val="32"/>
          <w:szCs w:val="32"/>
        </w:rPr>
        <w:t>持平，</w:t>
      </w:r>
      <w:r>
        <w:rPr>
          <w:rFonts w:ascii="Times New Roman" w:hAnsi="Times New Roman" w:eastAsia="仿宋_GB2312" w:cs="Times New Roman"/>
          <w:sz w:val="32"/>
          <w:szCs w:val="32"/>
        </w:rPr>
        <w:t>主要原因是：</w:t>
      </w:r>
      <w:r>
        <w:rPr>
          <w:rFonts w:hint="eastAsia" w:ascii="仿宋_GB2312" w:hAnsi="仿宋_GB2312" w:eastAsia="仿宋_GB2312" w:cs="仿宋_GB2312"/>
          <w:sz w:val="32"/>
          <w:szCs w:val="32"/>
        </w:rPr>
        <w:t>我单位严格按照年初预算数列支，预算执行得好。</w:t>
      </w:r>
    </w:p>
    <w:p w14:paraId="56CE4673">
      <w:pPr>
        <w:pStyle w:val="17"/>
        <w:numPr>
          <w:ilvl w:val="0"/>
          <w:numId w:val="2"/>
        </w:numPr>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城乡社区</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rPr>
        <w:t>国有土地使用权出让收入安排的支出</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lang w:eastAsia="zh-CN"/>
        </w:rPr>
        <w:t>其他国有土地使用权出让收入安排的</w:t>
      </w:r>
      <w:r>
        <w:rPr>
          <w:rFonts w:hint="eastAsia" w:ascii="Times New Roman" w:hAnsi="Times New Roman" w:eastAsia="仿宋_GB2312" w:cs="Times New Roman"/>
          <w:sz w:val="32"/>
          <w:szCs w:val="32"/>
        </w:rPr>
        <w:t>支出</w:t>
      </w:r>
      <w:r>
        <w:rPr>
          <w:rFonts w:ascii="Times New Roman" w:hAnsi="Times New Roman" w:eastAsia="仿宋_GB2312" w:cs="Times New Roman"/>
          <w:sz w:val="32"/>
          <w:szCs w:val="32"/>
        </w:rPr>
        <w:t>（项）。</w:t>
      </w:r>
    </w:p>
    <w:p w14:paraId="2861EB5A">
      <w:pPr>
        <w:pStyle w:val="17"/>
        <w:numPr>
          <w:ilvl w:val="0"/>
          <w:numId w:val="0"/>
        </w:numPr>
        <w:overflowPunct w:val="0"/>
        <w:autoSpaceDE/>
        <w:autoSpaceDN/>
        <w:spacing w:line="600" w:lineRule="exact"/>
        <w:ind w:firstLine="640"/>
        <w:jc w:val="both"/>
        <w:rPr>
          <w:rFonts w:hint="eastAsia" w:ascii="仿宋_GB2312" w:hAnsi="仿宋_GB2312" w:eastAsia="仿宋_GB2312" w:cs="仿宋_GB2312"/>
          <w:sz w:val="32"/>
          <w:szCs w:val="32"/>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485.49</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485.49</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%，决算数</w:t>
      </w:r>
      <w:r>
        <w:rPr>
          <w:rFonts w:hint="eastAsia" w:ascii="Times New Roman" w:hAnsi="Times New Roman" w:eastAsia="仿宋_GB2312" w:cs="Times New Roman"/>
          <w:sz w:val="32"/>
          <w:szCs w:val="32"/>
        </w:rPr>
        <w:t>与</w:t>
      </w:r>
      <w:r>
        <w:rPr>
          <w:rFonts w:ascii="Times New Roman" w:hAnsi="Times New Roman" w:eastAsia="仿宋_GB2312" w:cs="Times New Roman"/>
          <w:sz w:val="32"/>
          <w:szCs w:val="32"/>
        </w:rPr>
        <w:t>年初预算数</w:t>
      </w:r>
      <w:r>
        <w:rPr>
          <w:rFonts w:hint="eastAsia" w:ascii="Times New Roman" w:hAnsi="Times New Roman" w:eastAsia="仿宋_GB2312" w:cs="Times New Roman"/>
          <w:sz w:val="32"/>
          <w:szCs w:val="32"/>
        </w:rPr>
        <w:t>持平，</w:t>
      </w:r>
      <w:r>
        <w:rPr>
          <w:rFonts w:ascii="Times New Roman" w:hAnsi="Times New Roman" w:eastAsia="仿宋_GB2312" w:cs="Times New Roman"/>
          <w:sz w:val="32"/>
          <w:szCs w:val="32"/>
        </w:rPr>
        <w:t>主要原因是：</w:t>
      </w:r>
      <w:r>
        <w:rPr>
          <w:rFonts w:hint="eastAsia" w:ascii="仿宋_GB2312" w:hAnsi="仿宋_GB2312" w:eastAsia="仿宋_GB2312" w:cs="仿宋_GB2312"/>
          <w:sz w:val="32"/>
          <w:szCs w:val="32"/>
        </w:rPr>
        <w:t>我单位严格按照年初预算数列支，预算执行得好。</w:t>
      </w:r>
    </w:p>
    <w:p w14:paraId="6118FCB4">
      <w:pPr>
        <w:pStyle w:val="17"/>
        <w:numPr>
          <w:ilvl w:val="0"/>
          <w:numId w:val="2"/>
        </w:numPr>
        <w:overflowPunct w:val="0"/>
        <w:autoSpaceDE/>
        <w:autoSpaceDN/>
        <w:spacing w:line="600" w:lineRule="exact"/>
        <w:ind w:left="0" w:leftChars="0" w:firstLine="640"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其他支出</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lang w:eastAsia="zh-CN"/>
        </w:rPr>
        <w:t>其他政府性基金及对应专债收入安排的支出</w:t>
      </w:r>
      <w:r>
        <w:rPr>
          <w:rFonts w:ascii="Times New Roman" w:hAnsi="Times New Roman" w:eastAsia="仿宋_GB2312" w:cs="Times New Roman"/>
          <w:sz w:val="32"/>
          <w:szCs w:val="32"/>
        </w:rPr>
        <w:t>（款）</w:t>
      </w:r>
      <w:r>
        <w:rPr>
          <w:rFonts w:hint="eastAsia" w:ascii="仿宋_GB2312" w:hAnsi="仿宋_GB2312" w:eastAsia="仿宋_GB2312" w:cs="仿宋_GB2312"/>
          <w:sz w:val="32"/>
          <w:szCs w:val="32"/>
          <w:lang w:val="en-US" w:eastAsia="zh-CN"/>
        </w:rPr>
        <w:t>其他政府性基金债务收入安排的支出（项）。</w:t>
      </w:r>
    </w:p>
    <w:p w14:paraId="4A7BC66A">
      <w:pPr>
        <w:pStyle w:val="17"/>
        <w:numPr>
          <w:ilvl w:val="0"/>
          <w:numId w:val="0"/>
        </w:numPr>
        <w:overflowPunct w:val="0"/>
        <w:autoSpaceDE/>
        <w:autoSpaceDN/>
        <w:spacing w:line="600" w:lineRule="exact"/>
        <w:ind w:firstLine="640"/>
        <w:jc w:val="both"/>
        <w:rPr>
          <w:rFonts w:hint="default" w:ascii="仿宋_GB2312" w:hAnsi="仿宋_GB2312" w:eastAsia="仿宋_GB2312" w:cs="仿宋_GB2312"/>
          <w:sz w:val="32"/>
          <w:szCs w:val="32"/>
          <w:lang w:val="en-US"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85.25</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85.25</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%，决算数</w:t>
      </w:r>
      <w:r>
        <w:rPr>
          <w:rFonts w:hint="eastAsia" w:ascii="Times New Roman" w:hAnsi="Times New Roman" w:eastAsia="仿宋_GB2312" w:cs="Times New Roman"/>
          <w:sz w:val="32"/>
          <w:szCs w:val="32"/>
        </w:rPr>
        <w:t>与</w:t>
      </w:r>
      <w:r>
        <w:rPr>
          <w:rFonts w:ascii="Times New Roman" w:hAnsi="Times New Roman" w:eastAsia="仿宋_GB2312" w:cs="Times New Roman"/>
          <w:sz w:val="32"/>
          <w:szCs w:val="32"/>
        </w:rPr>
        <w:t>年初预算数</w:t>
      </w:r>
      <w:r>
        <w:rPr>
          <w:rFonts w:hint="eastAsia" w:ascii="Times New Roman" w:hAnsi="Times New Roman" w:eastAsia="仿宋_GB2312" w:cs="Times New Roman"/>
          <w:sz w:val="32"/>
          <w:szCs w:val="32"/>
        </w:rPr>
        <w:t>持平，</w:t>
      </w:r>
      <w:r>
        <w:rPr>
          <w:rFonts w:ascii="Times New Roman" w:hAnsi="Times New Roman" w:eastAsia="仿宋_GB2312" w:cs="Times New Roman"/>
          <w:sz w:val="32"/>
          <w:szCs w:val="32"/>
        </w:rPr>
        <w:t>主要原因是：</w:t>
      </w:r>
      <w:r>
        <w:rPr>
          <w:rFonts w:hint="eastAsia" w:ascii="仿宋_GB2312" w:hAnsi="仿宋_GB2312" w:eastAsia="仿宋_GB2312" w:cs="仿宋_GB2312"/>
          <w:sz w:val="32"/>
          <w:szCs w:val="32"/>
        </w:rPr>
        <w:t>我单位严格按照年初预算数列支，预算执行得好。</w:t>
      </w:r>
    </w:p>
    <w:p w14:paraId="12635E60">
      <w:pPr>
        <w:pStyle w:val="17"/>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九、关于机关运行经费支出说明</w:t>
      </w:r>
    </w:p>
    <w:p w14:paraId="704CBA1F">
      <w:pPr>
        <w:pStyle w:val="17"/>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本部门202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年度机关运行经费支出</w:t>
      </w:r>
      <w:r>
        <w:rPr>
          <w:rFonts w:hint="eastAsia" w:ascii="Times New Roman" w:hAnsi="Times New Roman" w:eastAsia="仿宋_GB2312" w:cs="Times New Roman"/>
          <w:sz w:val="32"/>
          <w:szCs w:val="32"/>
          <w:lang w:val="en-US" w:eastAsia="zh-CN"/>
        </w:rPr>
        <w:t>4.47</w:t>
      </w:r>
      <w:r>
        <w:rPr>
          <w:rFonts w:ascii="Times New Roman" w:hAnsi="Times New Roman" w:eastAsia="仿宋_GB2312" w:cs="Times New Roman"/>
          <w:sz w:val="32"/>
          <w:szCs w:val="32"/>
        </w:rPr>
        <w:t>万元，比上年决算数增加</w:t>
      </w:r>
      <w:r>
        <w:rPr>
          <w:rFonts w:hint="eastAsia" w:ascii="Times New Roman" w:hAnsi="Times New Roman" w:eastAsia="仿宋_GB2312" w:cs="Times New Roman"/>
          <w:sz w:val="32"/>
          <w:szCs w:val="32"/>
          <w:lang w:val="en-US" w:eastAsia="zh-CN"/>
        </w:rPr>
        <w:t>1.36</w:t>
      </w:r>
      <w:r>
        <w:rPr>
          <w:rFonts w:ascii="Times New Roman" w:hAnsi="Times New Roman" w:eastAsia="仿宋_GB2312" w:cs="Times New Roman"/>
          <w:sz w:val="32"/>
          <w:szCs w:val="32"/>
        </w:rPr>
        <w:t>万元，增长</w:t>
      </w:r>
      <w:r>
        <w:rPr>
          <w:rFonts w:hint="eastAsia" w:ascii="Times New Roman" w:hAnsi="Times New Roman" w:eastAsia="仿宋_GB2312" w:cs="Times New Roman"/>
          <w:sz w:val="32"/>
          <w:szCs w:val="32"/>
          <w:lang w:val="en-US" w:eastAsia="zh-CN"/>
        </w:rPr>
        <w:t>43.73</w:t>
      </w:r>
      <w:r>
        <w:rPr>
          <w:rFonts w:ascii="Times New Roman" w:hAnsi="Times New Roman" w:eastAsia="仿宋_GB2312" w:cs="Times New Roman"/>
          <w:sz w:val="32"/>
          <w:szCs w:val="32"/>
        </w:rPr>
        <w:t>%。主要原因是：其他商品和服务</w:t>
      </w:r>
      <w:r>
        <w:rPr>
          <w:rFonts w:hint="eastAsia" w:ascii="Times New Roman" w:hAnsi="Times New Roman" w:eastAsia="仿宋_GB2312" w:cs="Times New Roman"/>
          <w:sz w:val="32"/>
          <w:szCs w:val="32"/>
        </w:rPr>
        <w:t>增加</w:t>
      </w:r>
      <w:r>
        <w:rPr>
          <w:rFonts w:hint="eastAsia" w:ascii="Times New Roman" w:hAnsi="Times New Roman" w:eastAsia="仿宋_GB2312" w:cs="Times New Roman"/>
          <w:sz w:val="32"/>
          <w:szCs w:val="32"/>
          <w:lang w:eastAsia="zh-CN"/>
        </w:rPr>
        <w:t>及</w:t>
      </w:r>
      <w:r>
        <w:rPr>
          <w:rFonts w:hint="eastAsia" w:ascii="Times New Roman" w:hAnsi="Times New Roman" w:eastAsia="仿宋_GB2312" w:cs="Times New Roman"/>
          <w:sz w:val="32"/>
          <w:szCs w:val="32"/>
        </w:rPr>
        <w:t>差旅费增加</w:t>
      </w:r>
      <w:r>
        <w:rPr>
          <w:rFonts w:hint="eastAsia" w:ascii="Times New Roman" w:hAnsi="Times New Roman" w:eastAsia="仿宋_GB2312" w:cs="Times New Roman"/>
          <w:sz w:val="32"/>
          <w:szCs w:val="32"/>
          <w:lang w:eastAsia="zh-CN"/>
        </w:rPr>
        <w:t>。</w:t>
      </w:r>
    </w:p>
    <w:p w14:paraId="664D7BC4">
      <w:pPr>
        <w:pStyle w:val="17"/>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十、一般性支出情况说明</w:t>
      </w:r>
    </w:p>
    <w:p w14:paraId="3DC3CCDB">
      <w:pPr>
        <w:pStyle w:val="17"/>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年本部门开支会议费</w:t>
      </w:r>
      <w:r>
        <w:rPr>
          <w:rFonts w:hint="eastAsia" w:ascii="Times New Roman" w:hAnsi="Times New Roman" w:eastAsia="仿宋_GB2312" w:cs="Times New Roman"/>
          <w:sz w:val="32"/>
          <w:szCs w:val="32"/>
        </w:rPr>
        <w:t>0</w:t>
      </w:r>
      <w:r>
        <w:rPr>
          <w:rFonts w:ascii="Times New Roman" w:hAnsi="Times New Roman" w:eastAsia="仿宋_GB2312" w:cs="Times New Roman"/>
          <w:sz w:val="32"/>
          <w:szCs w:val="32"/>
        </w:rPr>
        <w:t>万元；开支培训费</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lang w:val="en-US" w:eastAsia="zh-CN"/>
        </w:rPr>
        <w:t>未</w:t>
      </w:r>
      <w:r>
        <w:rPr>
          <w:rFonts w:ascii="Times New Roman" w:hAnsi="Times New Roman" w:eastAsia="仿宋_GB2312" w:cs="Times New Roman"/>
          <w:sz w:val="32"/>
          <w:szCs w:val="32"/>
        </w:rPr>
        <w:t>举办节庆、晚会、论坛、赛事</w:t>
      </w:r>
      <w:r>
        <w:rPr>
          <w:rFonts w:hint="eastAsia" w:ascii="Times New Roman" w:hAnsi="Times New Roman" w:eastAsia="仿宋_GB2312" w:cs="Times New Roman"/>
          <w:sz w:val="32"/>
          <w:szCs w:val="32"/>
          <w:lang w:val="en-US" w:eastAsia="zh-CN"/>
        </w:rPr>
        <w:t>等</w:t>
      </w:r>
      <w:r>
        <w:rPr>
          <w:rFonts w:ascii="Times New Roman" w:hAnsi="Times New Roman" w:eastAsia="仿宋_GB2312" w:cs="Times New Roman"/>
          <w:sz w:val="32"/>
          <w:szCs w:val="32"/>
        </w:rPr>
        <w:t>活动，开支</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lang w:eastAsia="zh-CN"/>
        </w:rPr>
        <w:t>。</w:t>
      </w:r>
    </w:p>
    <w:p w14:paraId="5133CDEA">
      <w:pPr>
        <w:pStyle w:val="17"/>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十一、关于政府采购支出说明</w:t>
      </w:r>
    </w:p>
    <w:p w14:paraId="1EA985CA">
      <w:pPr>
        <w:pStyle w:val="17"/>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ascii="Times New Roman" w:hAnsi="Times New Roman" w:eastAsia="仿宋_GB2312" w:cs="Times New Roman"/>
          <w:sz w:val="32"/>
          <w:szCs w:val="32"/>
        </w:rPr>
        <w:t>本部门202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年度政府采购支出总额</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万元，其中：政府采购货物支出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万元、政府采购工程支出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万元、政府采购服务支出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万元。授予中小企业合同金额</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万元，占政府采购支出总额的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%，其中：授予小微企业合同金额</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w:t>
      </w:r>
      <w:r>
        <w:rPr>
          <w:rFonts w:ascii="Times New Roman" w:hAnsi="Times New Roman" w:eastAsia="仿宋_GB2312" w:cs="Times New Roman"/>
          <w:color w:val="auto"/>
          <w:sz w:val="32"/>
          <w:szCs w:val="32"/>
        </w:rPr>
        <w:t>占授予中小企业合同金额的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color w:val="auto"/>
          <w:sz w:val="32"/>
          <w:szCs w:val="32"/>
        </w:rPr>
        <w:t>%。货物采购授予中小企业合同金额占货物支出金额的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color w:val="auto"/>
          <w:sz w:val="32"/>
          <w:szCs w:val="32"/>
        </w:rPr>
        <w:t>%，工程采购授予中小企业合同金额占工程支出金额的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color w:val="auto"/>
          <w:sz w:val="32"/>
          <w:szCs w:val="32"/>
        </w:rPr>
        <w:t>%，服务采购授予中小企业合同金额占服务支出金额的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color w:val="auto"/>
          <w:sz w:val="32"/>
          <w:szCs w:val="32"/>
        </w:rPr>
        <w:t>%。</w:t>
      </w:r>
    </w:p>
    <w:p w14:paraId="605086EC">
      <w:pPr>
        <w:pStyle w:val="17"/>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十二、关于国有资产占用情况说明</w:t>
      </w:r>
    </w:p>
    <w:p w14:paraId="27011BCB">
      <w:pPr>
        <w:pStyle w:val="17"/>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截至202</w:t>
      </w:r>
      <w:r>
        <w:rPr>
          <w:rFonts w:hint="eastAsia" w:ascii="Times New Roman" w:hAnsi="Times New Roman" w:eastAsia="仿宋_GB2312" w:cs="Times New Roman"/>
          <w:color w:val="auto"/>
          <w:sz w:val="32"/>
          <w:szCs w:val="32"/>
          <w:lang w:val="en-US" w:eastAsia="zh-CN"/>
        </w:rPr>
        <w:t>5</w:t>
      </w:r>
      <w:r>
        <w:rPr>
          <w:rFonts w:ascii="Times New Roman" w:hAnsi="Times New Roman" w:eastAsia="仿宋_GB2312" w:cs="Times New Roman"/>
          <w:color w:val="auto"/>
          <w:sz w:val="32"/>
          <w:szCs w:val="32"/>
        </w:rPr>
        <w:t>年12月31日，部门（单位）共有车辆</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辆，其中，副部（省）级及以上领导用车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辆、主要负责人用车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辆、机要通信用车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辆、应急保障用车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辆、执法执勤用车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辆、特种专业技术用车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辆、离退休干部服务用车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辆、其他用车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辆；单位价值100万元以上设备（不含车辆）</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台（套）。</w:t>
      </w:r>
    </w:p>
    <w:p w14:paraId="369300AB">
      <w:pPr>
        <w:pStyle w:val="17"/>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十三、关于</w:t>
      </w:r>
      <w:r>
        <w:rPr>
          <w:rFonts w:ascii="Times New Roman" w:hAnsi="Times New Roman" w:eastAsia="仿宋_GB2312" w:cs="Times New Roman"/>
          <w:color w:val="auto"/>
          <w:sz w:val="32"/>
          <w:szCs w:val="32"/>
        </w:rPr>
        <w:t>202</w:t>
      </w:r>
      <w:r>
        <w:rPr>
          <w:rFonts w:hint="eastAsia" w:ascii="Times New Roman" w:hAnsi="Times New Roman" w:eastAsia="仿宋_GB2312" w:cs="Times New Roman"/>
          <w:color w:val="auto"/>
          <w:sz w:val="32"/>
          <w:szCs w:val="32"/>
          <w:lang w:val="en-US" w:eastAsia="zh-CN"/>
        </w:rPr>
        <w:t>5</w:t>
      </w:r>
      <w:r>
        <w:rPr>
          <w:rFonts w:ascii="Times New Roman" w:hAnsi="Times New Roman" w:cs="Times New Roman"/>
          <w:bCs/>
          <w:color w:val="auto"/>
          <w:sz w:val="32"/>
          <w:szCs w:val="32"/>
        </w:rPr>
        <w:t>年度预算绩效情况的说明</w:t>
      </w:r>
    </w:p>
    <w:p w14:paraId="76682EA0">
      <w:pPr>
        <w:overflowPunct w:val="0"/>
        <w:spacing w:line="600" w:lineRule="exact"/>
        <w:ind w:firstLine="640" w:firstLineChars="200"/>
        <w:rPr>
          <w:rFonts w:ascii="Times New Roman" w:hAnsi="Times New Roman" w:eastAsia="楷体" w:cs="Times New Roman"/>
          <w:b/>
          <w:bCs/>
          <w:sz w:val="32"/>
          <w:szCs w:val="32"/>
        </w:rPr>
      </w:pPr>
      <w:r>
        <w:rPr>
          <w:rFonts w:ascii="Times New Roman" w:hAnsi="Times New Roman" w:eastAsia="楷体_GB2312" w:cs="Times New Roman"/>
          <w:b/>
          <w:bCs/>
          <w:sz w:val="32"/>
          <w:szCs w:val="32"/>
        </w:rPr>
        <w:t>（一）绩效评价工作开展情况。</w:t>
      </w:r>
      <w:r>
        <w:rPr>
          <w:rFonts w:ascii="Times New Roman" w:hAnsi="Times New Roman" w:eastAsia="仿宋_GB2312" w:cs="Times New Roman"/>
          <w:b/>
          <w:bCs/>
          <w:kern w:val="0"/>
          <w:sz w:val="32"/>
          <w:szCs w:val="32"/>
        </w:rPr>
        <w:t>一是绩效自评开展情况。</w:t>
      </w:r>
      <w:r>
        <w:rPr>
          <w:rFonts w:ascii="Times New Roman" w:hAnsi="Times New Roman" w:eastAsia="仿宋_GB2312" w:cs="Times New Roman"/>
          <w:kern w:val="0"/>
          <w:sz w:val="32"/>
          <w:szCs w:val="32"/>
        </w:rPr>
        <w:t>组织对202</w:t>
      </w:r>
      <w:r>
        <w:rPr>
          <w:rFonts w:hint="eastAsia" w:ascii="Times New Roman" w:hAnsi="Times New Roman" w:eastAsia="仿宋_GB2312" w:cs="Times New Roman"/>
          <w:kern w:val="0"/>
          <w:sz w:val="32"/>
          <w:szCs w:val="32"/>
          <w:lang w:val="en-US" w:eastAsia="zh-CN"/>
        </w:rPr>
        <w:t>5</w:t>
      </w:r>
      <w:r>
        <w:rPr>
          <w:rFonts w:ascii="Times New Roman" w:hAnsi="Times New Roman" w:eastAsia="仿宋_GB2312" w:cs="Times New Roman"/>
          <w:kern w:val="0"/>
          <w:sz w:val="32"/>
          <w:szCs w:val="32"/>
        </w:rPr>
        <w:t>年度本部门（单位）整体支出开展绩效自评，涉及项目</w:t>
      </w:r>
      <w:r>
        <w:rPr>
          <w:rFonts w:hint="eastAsia" w:ascii="Times New Roman" w:hAnsi="Times New Roman" w:eastAsia="仿宋_GB2312" w:cs="Times New Roman"/>
          <w:kern w:val="0"/>
          <w:sz w:val="32"/>
          <w:szCs w:val="32"/>
          <w:lang w:val="en-US" w:eastAsia="zh-CN"/>
        </w:rPr>
        <w:t>2</w:t>
      </w:r>
      <w:r>
        <w:rPr>
          <w:rFonts w:ascii="Times New Roman" w:hAnsi="Times New Roman" w:eastAsia="仿宋_GB2312" w:cs="Times New Roman"/>
          <w:kern w:val="0"/>
          <w:sz w:val="32"/>
          <w:szCs w:val="32"/>
        </w:rPr>
        <w:t xml:space="preserve"> 个，共涉及资金</w:t>
      </w:r>
      <w:r>
        <w:rPr>
          <w:rFonts w:hint="eastAsia" w:ascii="Times New Roman" w:hAnsi="Times New Roman" w:eastAsia="仿宋_GB2312" w:cs="Times New Roman"/>
          <w:kern w:val="0"/>
          <w:sz w:val="32"/>
          <w:szCs w:val="32"/>
          <w:lang w:val="en-US" w:eastAsia="zh-CN"/>
        </w:rPr>
        <w:t>3540.73</w:t>
      </w:r>
      <w:r>
        <w:rPr>
          <w:rFonts w:ascii="Times New Roman" w:hAnsi="Times New Roman" w:eastAsia="仿宋_GB2312" w:cs="Times New Roman"/>
          <w:kern w:val="0"/>
          <w:sz w:val="32"/>
          <w:szCs w:val="32"/>
        </w:rPr>
        <w:t>万元。其中，一般公共预算项目</w:t>
      </w:r>
      <w:r>
        <w:rPr>
          <w:rFonts w:hint="eastAsia" w:ascii="Times New Roman" w:hAnsi="Times New Roman" w:eastAsia="仿宋_GB2312" w:cs="Times New Roman"/>
          <w:kern w:val="0"/>
          <w:sz w:val="32"/>
          <w:szCs w:val="32"/>
          <w:lang w:val="en-US" w:eastAsia="zh-CN"/>
        </w:rPr>
        <w:t>1</w:t>
      </w:r>
      <w:r>
        <w:rPr>
          <w:rFonts w:ascii="Times New Roman" w:hAnsi="Times New Roman" w:eastAsia="仿宋_GB2312" w:cs="Times New Roman"/>
          <w:kern w:val="0"/>
          <w:sz w:val="32"/>
          <w:szCs w:val="32"/>
        </w:rPr>
        <w:t xml:space="preserve"> 个</w:t>
      </w:r>
      <w:r>
        <w:rPr>
          <w:rFonts w:hint="eastAsia" w:ascii="Times New Roman" w:hAnsi="Times New Roman" w:eastAsia="仿宋_GB2312" w:cs="Times New Roman"/>
          <w:kern w:val="0"/>
          <w:sz w:val="32"/>
          <w:szCs w:val="32"/>
          <w:lang w:val="en-US" w:eastAsia="zh-CN"/>
        </w:rPr>
        <w:t>520.00</w:t>
      </w:r>
      <w:r>
        <w:rPr>
          <w:rFonts w:ascii="Times New Roman" w:hAnsi="Times New Roman" w:eastAsia="仿宋_GB2312" w:cs="Times New Roman"/>
          <w:kern w:val="0"/>
          <w:sz w:val="32"/>
          <w:szCs w:val="32"/>
        </w:rPr>
        <w:t xml:space="preserve"> 万元，占一般公共预算支出总额的</w:t>
      </w:r>
      <w:r>
        <w:rPr>
          <w:rFonts w:hint="eastAsia" w:ascii="Times New Roman" w:hAnsi="Times New Roman" w:eastAsia="仿宋_GB2312" w:cs="Times New Roman"/>
          <w:kern w:val="0"/>
          <w:sz w:val="32"/>
          <w:szCs w:val="32"/>
          <w:lang w:val="en-US" w:eastAsia="zh-CN"/>
        </w:rPr>
        <w:t>14.69</w:t>
      </w:r>
      <w:r>
        <w:rPr>
          <w:rFonts w:ascii="Times New Roman" w:hAnsi="Times New Roman" w:eastAsia="仿宋_GB2312" w:cs="Times New Roman"/>
          <w:kern w:val="0"/>
          <w:sz w:val="32"/>
          <w:szCs w:val="32"/>
        </w:rPr>
        <w:t>%；政府性基金预算项目</w:t>
      </w:r>
      <w:r>
        <w:rPr>
          <w:rFonts w:hint="eastAsia" w:ascii="Times New Roman" w:hAnsi="Times New Roman" w:eastAsia="仿宋_GB2312" w:cs="Times New Roman"/>
          <w:kern w:val="0"/>
          <w:sz w:val="32"/>
          <w:szCs w:val="32"/>
          <w:lang w:val="en-US" w:eastAsia="zh-CN"/>
        </w:rPr>
        <w:t>1</w:t>
      </w:r>
      <w:r>
        <w:rPr>
          <w:rFonts w:ascii="Times New Roman" w:hAnsi="Times New Roman" w:eastAsia="仿宋_GB2312" w:cs="Times New Roman"/>
          <w:kern w:val="0"/>
          <w:sz w:val="32"/>
          <w:szCs w:val="32"/>
        </w:rPr>
        <w:t xml:space="preserve"> 个</w:t>
      </w:r>
      <w:r>
        <w:rPr>
          <w:rFonts w:hint="eastAsia" w:ascii="Times New Roman" w:hAnsi="Times New Roman" w:eastAsia="仿宋_GB2312" w:cs="Times New Roman"/>
          <w:kern w:val="0"/>
          <w:sz w:val="32"/>
          <w:szCs w:val="32"/>
          <w:lang w:val="en-US" w:eastAsia="zh-CN"/>
        </w:rPr>
        <w:t>3020.72</w:t>
      </w:r>
      <w:r>
        <w:rPr>
          <w:rFonts w:ascii="Times New Roman" w:hAnsi="Times New Roman" w:eastAsia="仿宋_GB2312" w:cs="Times New Roman"/>
          <w:kern w:val="0"/>
          <w:sz w:val="32"/>
          <w:szCs w:val="32"/>
        </w:rPr>
        <w:t xml:space="preserve"> 万元，占政府性基金预算支出总额的</w:t>
      </w:r>
      <w:r>
        <w:rPr>
          <w:rFonts w:hint="eastAsia" w:ascii="Times New Roman" w:hAnsi="Times New Roman" w:eastAsia="仿宋_GB2312" w:cs="Times New Roman"/>
          <w:kern w:val="0"/>
          <w:sz w:val="32"/>
          <w:szCs w:val="32"/>
          <w:lang w:val="en-US" w:eastAsia="zh-CN"/>
        </w:rPr>
        <w:t>85.31</w:t>
      </w:r>
      <w:r>
        <w:rPr>
          <w:rFonts w:ascii="Times New Roman" w:hAnsi="Times New Roman" w:eastAsia="仿宋_GB2312" w:cs="Times New Roman"/>
          <w:kern w:val="0"/>
          <w:sz w:val="32"/>
          <w:szCs w:val="32"/>
        </w:rPr>
        <w:t>%；国有资本经营预算项目</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 xml:space="preserve"> 个</w:t>
      </w:r>
      <w:r>
        <w:rPr>
          <w:rFonts w:hint="eastAsia" w:ascii="Times New Roman" w:hAnsi="Times New Roman" w:eastAsia="仿宋_GB2312" w:cs="Times New Roman"/>
          <w:kern w:val="0"/>
          <w:sz w:val="32"/>
          <w:szCs w:val="32"/>
          <w:lang w:val="en-US" w:eastAsia="zh-CN"/>
        </w:rPr>
        <w:t>0.00</w:t>
      </w:r>
      <w:r>
        <w:rPr>
          <w:rFonts w:ascii="Times New Roman" w:hAnsi="Times New Roman" w:eastAsia="仿宋_GB2312" w:cs="Times New Roman"/>
          <w:kern w:val="0"/>
          <w:sz w:val="32"/>
          <w:szCs w:val="32"/>
        </w:rPr>
        <w:t>万元，占国有资本经营预算支出总额的</w:t>
      </w:r>
      <w:r>
        <w:rPr>
          <w:rFonts w:hint="eastAsia" w:ascii="Times New Roman" w:hAnsi="Times New Roman" w:eastAsia="仿宋_GB2312" w:cs="Times New Roman"/>
          <w:kern w:val="0"/>
          <w:sz w:val="32"/>
          <w:szCs w:val="32"/>
          <w:lang w:val="en-US" w:eastAsia="zh-CN"/>
        </w:rPr>
        <w:t>0.00</w:t>
      </w:r>
      <w:r>
        <w:rPr>
          <w:rFonts w:ascii="Times New Roman" w:hAnsi="Times New Roman" w:eastAsia="仿宋_GB2312" w:cs="Times New Roman"/>
          <w:kern w:val="0"/>
          <w:sz w:val="32"/>
          <w:szCs w:val="32"/>
        </w:rPr>
        <w:t>%；社会保险基金预算项目</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 xml:space="preserve"> 个</w:t>
      </w:r>
      <w:r>
        <w:rPr>
          <w:rFonts w:hint="eastAsia" w:ascii="Times New Roman" w:hAnsi="Times New Roman" w:eastAsia="仿宋_GB2312" w:cs="Times New Roman"/>
          <w:kern w:val="0"/>
          <w:sz w:val="32"/>
          <w:szCs w:val="32"/>
          <w:lang w:val="en-US" w:eastAsia="zh-CN"/>
        </w:rPr>
        <w:t>0.00</w:t>
      </w:r>
      <w:r>
        <w:rPr>
          <w:rFonts w:ascii="Times New Roman" w:hAnsi="Times New Roman" w:eastAsia="仿宋_GB2312" w:cs="Times New Roman"/>
          <w:kern w:val="0"/>
          <w:sz w:val="32"/>
          <w:szCs w:val="32"/>
        </w:rPr>
        <w:t>万元，占社会保险基金预算支出总额的</w:t>
      </w:r>
      <w:r>
        <w:rPr>
          <w:rFonts w:hint="eastAsia" w:ascii="Times New Roman" w:hAnsi="Times New Roman" w:eastAsia="仿宋_GB2312" w:cs="Times New Roman"/>
          <w:kern w:val="0"/>
          <w:sz w:val="32"/>
          <w:szCs w:val="32"/>
          <w:lang w:val="en-US" w:eastAsia="zh-CN"/>
        </w:rPr>
        <w:t>0.00</w:t>
      </w:r>
      <w:r>
        <w:rPr>
          <w:rFonts w:ascii="Times New Roman" w:hAnsi="Times New Roman" w:eastAsia="仿宋_GB2312" w:cs="Times New Roman"/>
          <w:kern w:val="0"/>
          <w:sz w:val="32"/>
          <w:szCs w:val="32"/>
        </w:rPr>
        <w:t>%。</w:t>
      </w:r>
      <w:r>
        <w:rPr>
          <w:rFonts w:hint="eastAsia" w:ascii="Times New Roman" w:hAnsi="Times New Roman" w:eastAsia="仿宋_GB2312" w:cs="Times New Roman"/>
          <w:kern w:val="0"/>
          <w:sz w:val="32"/>
          <w:szCs w:val="32"/>
        </w:rPr>
        <w:t>本次自评围绕高标准油茶种植示范基地建设、特色产业基地打造、农产品加工扶持、园区道路与配套设施建设、农业经营主体培育、品牌建设、招商服务等核心任务，通过查阅台账、现场核查、走访经营主体、比对绩效目标等方式，核实项目落地、资金使用、效益达成情况。</w:t>
      </w:r>
      <w:r>
        <w:rPr>
          <w:rFonts w:ascii="Times New Roman" w:hAnsi="Times New Roman" w:eastAsia="仿宋_GB2312" w:cs="Times New Roman"/>
          <w:b/>
          <w:bCs/>
          <w:kern w:val="0"/>
          <w:sz w:val="32"/>
          <w:szCs w:val="32"/>
        </w:rPr>
        <w:t>二是部门评价开展情况。</w:t>
      </w:r>
      <w:r>
        <w:rPr>
          <w:rFonts w:ascii="Times New Roman" w:hAnsi="Times New Roman" w:eastAsia="仿宋_GB2312" w:cs="Times New Roman"/>
          <w:kern w:val="0"/>
          <w:sz w:val="32"/>
          <w:szCs w:val="32"/>
        </w:rPr>
        <w:t>组织对所属单位202</w:t>
      </w:r>
      <w:r>
        <w:rPr>
          <w:rFonts w:hint="eastAsia" w:ascii="Times New Roman" w:hAnsi="Times New Roman" w:eastAsia="仿宋_GB2312" w:cs="Times New Roman"/>
          <w:kern w:val="0"/>
          <w:sz w:val="32"/>
          <w:szCs w:val="32"/>
          <w:lang w:val="en-US" w:eastAsia="zh-CN"/>
        </w:rPr>
        <w:t>5</w:t>
      </w:r>
      <w:r>
        <w:rPr>
          <w:rFonts w:ascii="Times New Roman" w:hAnsi="Times New Roman" w:eastAsia="仿宋_GB2312" w:cs="Times New Roman"/>
          <w:kern w:val="0"/>
          <w:sz w:val="32"/>
          <w:szCs w:val="32"/>
        </w:rPr>
        <w:t>年度“</w:t>
      </w:r>
      <w:r>
        <w:rPr>
          <w:rFonts w:hint="eastAsia" w:ascii="Times New Roman" w:hAnsi="Times New Roman" w:eastAsia="仿宋_GB2312" w:cs="Times New Roman"/>
          <w:kern w:val="0"/>
          <w:sz w:val="32"/>
          <w:szCs w:val="32"/>
        </w:rPr>
        <w:t>农业产业区建设</w:t>
      </w:r>
      <w:r>
        <w:rPr>
          <w:rFonts w:ascii="Times New Roman" w:hAnsi="Times New Roman" w:eastAsia="仿宋_GB2312" w:cs="Times New Roman"/>
          <w:kern w:val="0"/>
          <w:sz w:val="32"/>
          <w:szCs w:val="32"/>
        </w:rPr>
        <w:t>”</w:t>
      </w:r>
      <w:r>
        <w:rPr>
          <w:rFonts w:hint="eastAsia" w:ascii="Times New Roman" w:hAnsi="Times New Roman" w:eastAsia="仿宋_GB2312" w:cs="Times New Roman"/>
          <w:kern w:val="0"/>
          <w:sz w:val="32"/>
          <w:szCs w:val="32"/>
          <w:lang w:eastAsia="zh-CN"/>
        </w:rPr>
        <w:t>、</w:t>
      </w:r>
      <w:r>
        <w:rPr>
          <w:rFonts w:ascii="Times New Roman" w:hAnsi="Times New Roman" w:eastAsia="仿宋_GB2312" w:cs="Times New Roman"/>
          <w:kern w:val="0"/>
          <w:sz w:val="32"/>
          <w:szCs w:val="32"/>
        </w:rPr>
        <w:t>“</w:t>
      </w:r>
      <w:r>
        <w:rPr>
          <w:rFonts w:hint="eastAsia" w:ascii="Times New Roman" w:hAnsi="Times New Roman" w:eastAsia="仿宋_GB2312" w:cs="Times New Roman"/>
          <w:kern w:val="0"/>
          <w:sz w:val="32"/>
          <w:szCs w:val="32"/>
        </w:rPr>
        <w:t>祁阳高标准油茶种植示范基地建设项目</w:t>
      </w:r>
      <w:r>
        <w:rPr>
          <w:rFonts w:ascii="Times New Roman" w:hAnsi="Times New Roman" w:eastAsia="仿宋_GB2312" w:cs="Times New Roman"/>
          <w:kern w:val="0"/>
          <w:sz w:val="32"/>
          <w:szCs w:val="32"/>
        </w:rPr>
        <w:t>”等</w:t>
      </w:r>
      <w:r>
        <w:rPr>
          <w:rFonts w:hint="eastAsia" w:ascii="Times New Roman" w:hAnsi="Times New Roman" w:eastAsia="仿宋_GB2312" w:cs="Times New Roman"/>
          <w:sz w:val="32"/>
          <w:szCs w:val="32"/>
          <w:lang w:val="en-US" w:eastAsia="zh-CN"/>
        </w:rPr>
        <w:t>2</w:t>
      </w:r>
      <w:r>
        <w:rPr>
          <w:rFonts w:ascii="Times New Roman" w:hAnsi="Times New Roman" w:eastAsia="仿宋_GB2312" w:cs="Times New Roman"/>
          <w:kern w:val="0"/>
          <w:sz w:val="32"/>
          <w:szCs w:val="32"/>
        </w:rPr>
        <w:t>个项目开展了部门评价，涉及一般公共预算支出</w:t>
      </w:r>
      <w:r>
        <w:rPr>
          <w:rFonts w:hint="eastAsia" w:ascii="Times New Roman" w:hAnsi="Times New Roman" w:eastAsia="仿宋_GB2312" w:cs="Times New Roman"/>
          <w:sz w:val="32"/>
          <w:szCs w:val="32"/>
          <w:lang w:val="en-US" w:eastAsia="zh-CN"/>
        </w:rPr>
        <w:t>520.00</w:t>
      </w:r>
      <w:r>
        <w:rPr>
          <w:rFonts w:ascii="Times New Roman" w:hAnsi="Times New Roman" w:eastAsia="仿宋_GB2312" w:cs="Times New Roman"/>
          <w:kern w:val="0"/>
          <w:sz w:val="32"/>
          <w:szCs w:val="32"/>
        </w:rPr>
        <w:t>万元，政府性基金预算支出</w:t>
      </w:r>
      <w:r>
        <w:rPr>
          <w:rFonts w:hint="eastAsia" w:ascii="Times New Roman" w:hAnsi="Times New Roman" w:eastAsia="仿宋_GB2312" w:cs="Times New Roman"/>
          <w:sz w:val="32"/>
          <w:szCs w:val="32"/>
          <w:lang w:val="en-US" w:eastAsia="zh-CN"/>
        </w:rPr>
        <w:t>3020.72</w:t>
      </w:r>
      <w:r>
        <w:rPr>
          <w:rFonts w:ascii="Times New Roman" w:hAnsi="Times New Roman" w:eastAsia="仿宋_GB2312" w:cs="Times New Roman"/>
          <w:kern w:val="0"/>
          <w:sz w:val="32"/>
          <w:szCs w:val="32"/>
        </w:rPr>
        <w:t>万元，国有资本经营预算支出</w:t>
      </w:r>
      <w:r>
        <w:rPr>
          <w:rFonts w:hint="eastAsia" w:ascii="Times New Roman" w:hAnsi="Times New Roman" w:eastAsia="仿宋_GB2312" w:cs="Times New Roman"/>
          <w:sz w:val="32"/>
          <w:szCs w:val="32"/>
          <w:lang w:val="en-US" w:eastAsia="zh-CN"/>
        </w:rPr>
        <w:t>0.00</w:t>
      </w:r>
      <w:r>
        <w:rPr>
          <w:rFonts w:ascii="Times New Roman" w:hAnsi="Times New Roman" w:eastAsia="仿宋_GB2312" w:cs="Times New Roman"/>
          <w:kern w:val="0"/>
          <w:sz w:val="32"/>
          <w:szCs w:val="32"/>
        </w:rPr>
        <w:t>万元，社会保险基金预算支出</w:t>
      </w:r>
      <w:r>
        <w:rPr>
          <w:rFonts w:hint="eastAsia" w:ascii="Times New Roman" w:hAnsi="Times New Roman" w:eastAsia="仿宋_GB2312" w:cs="Times New Roman"/>
          <w:sz w:val="32"/>
          <w:szCs w:val="32"/>
          <w:lang w:val="en-US" w:eastAsia="zh-CN"/>
        </w:rPr>
        <w:t>0.00</w:t>
      </w:r>
      <w:r>
        <w:rPr>
          <w:rFonts w:ascii="Times New Roman" w:hAnsi="Times New Roman" w:eastAsia="仿宋_GB2312" w:cs="Times New Roman"/>
          <w:kern w:val="0"/>
          <w:sz w:val="32"/>
          <w:szCs w:val="32"/>
        </w:rPr>
        <w:t>万元。</w:t>
      </w:r>
      <w:r>
        <w:rPr>
          <w:rFonts w:ascii="Times New Roman" w:hAnsi="Times New Roman" w:eastAsia="仿宋_GB2312" w:cs="Times New Roman"/>
          <w:b/>
          <w:bCs/>
          <w:kern w:val="0"/>
          <w:sz w:val="32"/>
          <w:szCs w:val="32"/>
        </w:rPr>
        <w:t>三是事前绩效评估开展情况。</w:t>
      </w:r>
      <w:r>
        <w:rPr>
          <w:rFonts w:ascii="Times New Roman" w:hAnsi="Times New Roman" w:eastAsia="仿宋_GB2312" w:cs="Times New Roman"/>
          <w:kern w:val="0"/>
          <w:sz w:val="32"/>
          <w:szCs w:val="32"/>
        </w:rPr>
        <w:t>组织对202</w:t>
      </w:r>
      <w:r>
        <w:rPr>
          <w:rFonts w:hint="eastAsia" w:ascii="Times New Roman" w:hAnsi="Times New Roman" w:eastAsia="仿宋_GB2312" w:cs="Times New Roman"/>
          <w:kern w:val="0"/>
          <w:sz w:val="32"/>
          <w:szCs w:val="32"/>
          <w:lang w:val="en-US" w:eastAsia="zh-CN"/>
        </w:rPr>
        <w:t>5</w:t>
      </w:r>
      <w:r>
        <w:rPr>
          <w:rFonts w:ascii="Times New Roman" w:hAnsi="Times New Roman" w:eastAsia="仿宋_GB2312" w:cs="Times New Roman"/>
          <w:kern w:val="0"/>
          <w:sz w:val="32"/>
          <w:szCs w:val="32"/>
        </w:rPr>
        <w:t>年度</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kern w:val="0"/>
          <w:sz w:val="32"/>
          <w:szCs w:val="32"/>
        </w:rPr>
        <w:t>个新增重大政策和</w:t>
      </w:r>
      <w:r>
        <w:rPr>
          <w:rFonts w:hint="eastAsia" w:ascii="Times New Roman" w:hAnsi="Times New Roman" w:eastAsia="仿宋_GB2312" w:cs="Times New Roman"/>
          <w:sz w:val="32"/>
          <w:szCs w:val="32"/>
          <w:lang w:val="en-US" w:eastAsia="zh-CN"/>
        </w:rPr>
        <w:t>2</w:t>
      </w:r>
      <w:r>
        <w:rPr>
          <w:rFonts w:ascii="Times New Roman" w:hAnsi="Times New Roman" w:eastAsia="仿宋_GB2312" w:cs="Times New Roman"/>
          <w:kern w:val="0"/>
          <w:sz w:val="32"/>
          <w:szCs w:val="32"/>
        </w:rPr>
        <w:t>个重大项目开展事前绩效评估，共涉及资金</w:t>
      </w:r>
      <w:r>
        <w:rPr>
          <w:rFonts w:hint="eastAsia" w:ascii="Times New Roman" w:hAnsi="Times New Roman" w:eastAsia="仿宋_GB2312" w:cs="Times New Roman"/>
          <w:kern w:val="0"/>
          <w:sz w:val="32"/>
          <w:szCs w:val="32"/>
          <w:lang w:val="en-US" w:eastAsia="zh-CN"/>
        </w:rPr>
        <w:t>3540.73</w:t>
      </w:r>
      <w:r>
        <w:rPr>
          <w:rFonts w:ascii="Times New Roman" w:hAnsi="Times New Roman" w:eastAsia="仿宋_GB2312" w:cs="Times New Roman"/>
          <w:kern w:val="0"/>
          <w:sz w:val="32"/>
          <w:szCs w:val="32"/>
        </w:rPr>
        <w:t>万元。</w:t>
      </w:r>
    </w:p>
    <w:p w14:paraId="6403692E">
      <w:pPr>
        <w:overflowPunct w:val="0"/>
        <w:spacing w:line="600" w:lineRule="exact"/>
        <w:ind w:firstLine="640" w:firstLineChars="200"/>
        <w:rPr>
          <w:rFonts w:ascii="Times New Roman" w:hAnsi="Times New Roman" w:eastAsia="仿宋_GB2312" w:cs="Times New Roman"/>
          <w:bCs/>
          <w:sz w:val="32"/>
          <w:szCs w:val="32"/>
        </w:rPr>
      </w:pPr>
      <w:r>
        <w:rPr>
          <w:rFonts w:ascii="Times New Roman" w:hAnsi="Times New Roman" w:eastAsia="楷体_GB2312" w:cs="Times New Roman"/>
          <w:b/>
          <w:bCs/>
          <w:sz w:val="32"/>
          <w:szCs w:val="32"/>
        </w:rPr>
        <w:t>（二）绩效评价结果。</w:t>
      </w:r>
      <w:r>
        <w:rPr>
          <w:rFonts w:ascii="Times New Roman" w:hAnsi="Times New Roman" w:eastAsia="仿宋_GB2312" w:cs="Times New Roman"/>
          <w:b/>
          <w:bCs/>
          <w:kern w:val="0"/>
          <w:sz w:val="32"/>
          <w:szCs w:val="32"/>
        </w:rPr>
        <w:t>一是绩效自评结果。</w:t>
      </w:r>
      <w:r>
        <w:rPr>
          <w:rFonts w:ascii="Times New Roman" w:hAnsi="Times New Roman" w:eastAsia="仿宋_GB2312" w:cs="Times New Roman"/>
          <w:kern w:val="0"/>
          <w:sz w:val="32"/>
          <w:szCs w:val="32"/>
        </w:rPr>
        <w:t>202</w:t>
      </w:r>
      <w:r>
        <w:rPr>
          <w:rFonts w:hint="eastAsia" w:ascii="Times New Roman" w:hAnsi="Times New Roman" w:eastAsia="仿宋_GB2312" w:cs="Times New Roman"/>
          <w:kern w:val="0"/>
          <w:sz w:val="32"/>
          <w:szCs w:val="32"/>
          <w:lang w:val="en-US" w:eastAsia="zh-CN"/>
        </w:rPr>
        <w:t>5</w:t>
      </w:r>
      <w:r>
        <w:rPr>
          <w:rFonts w:ascii="Times New Roman" w:hAnsi="Times New Roman" w:eastAsia="仿宋_GB2312" w:cs="Times New Roman"/>
          <w:kern w:val="0"/>
          <w:sz w:val="32"/>
          <w:szCs w:val="32"/>
        </w:rPr>
        <w:t>年度本部门（单位）整体支出</w:t>
      </w:r>
      <w:r>
        <w:rPr>
          <w:rFonts w:ascii="Times New Roman" w:hAnsi="Times New Roman" w:eastAsia="仿宋_GB2312" w:cs="Times New Roman"/>
          <w:sz w:val="32"/>
          <w:szCs w:val="32"/>
        </w:rPr>
        <w:t>全年预算数</w:t>
      </w:r>
      <w:r>
        <w:rPr>
          <w:rFonts w:hint="eastAsia" w:ascii="Times New Roman" w:hAnsi="Times New Roman" w:eastAsia="仿宋_GB2312" w:cs="Times New Roman"/>
          <w:sz w:val="32"/>
          <w:szCs w:val="32"/>
          <w:lang w:val="en-US" w:eastAsia="zh-CN"/>
        </w:rPr>
        <w:t>3540.73</w:t>
      </w:r>
      <w:r>
        <w:rPr>
          <w:rFonts w:ascii="Times New Roman" w:hAnsi="Times New Roman" w:eastAsia="仿宋_GB2312" w:cs="Times New Roman"/>
          <w:sz w:val="32"/>
          <w:szCs w:val="32"/>
        </w:rPr>
        <w:t>万元，执行数</w:t>
      </w:r>
      <w:r>
        <w:rPr>
          <w:rFonts w:hint="eastAsia" w:ascii="Times New Roman" w:hAnsi="Times New Roman" w:eastAsia="仿宋_GB2312" w:cs="Times New Roman"/>
          <w:sz w:val="32"/>
          <w:szCs w:val="32"/>
          <w:lang w:val="en-US" w:eastAsia="zh-CN"/>
        </w:rPr>
        <w:t>3540.73</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100.00</w:t>
      </w:r>
      <w:r>
        <w:rPr>
          <w:rFonts w:ascii="Times New Roman" w:hAnsi="Times New Roman" w:eastAsia="仿宋_GB2312" w:cs="Times New Roman"/>
          <w:sz w:val="32"/>
          <w:szCs w:val="32"/>
        </w:rPr>
        <w:t>%</w:t>
      </w:r>
      <w:r>
        <w:rPr>
          <w:rFonts w:ascii="Times New Roman" w:hAnsi="Times New Roman" w:eastAsia="仿宋_GB2312" w:cs="Times New Roman"/>
          <w:kern w:val="0"/>
          <w:sz w:val="32"/>
          <w:szCs w:val="32"/>
        </w:rPr>
        <w:t>，绩效自评得分</w:t>
      </w:r>
      <w:r>
        <w:rPr>
          <w:rFonts w:hint="eastAsia" w:ascii="Times New Roman" w:hAnsi="Times New Roman" w:eastAsia="仿宋_GB2312" w:cs="Times New Roman"/>
          <w:kern w:val="0"/>
          <w:sz w:val="32"/>
          <w:szCs w:val="32"/>
          <w:lang w:val="en-US" w:eastAsia="zh-CN"/>
        </w:rPr>
        <w:t>90</w:t>
      </w:r>
      <w:r>
        <w:rPr>
          <w:rFonts w:ascii="Times New Roman" w:hAnsi="Times New Roman" w:eastAsia="仿宋_GB2312" w:cs="Times New Roman"/>
          <w:sz w:val="32"/>
          <w:szCs w:val="32"/>
        </w:rPr>
        <w:t>分</w:t>
      </w:r>
      <w:r>
        <w:rPr>
          <w:rFonts w:ascii="Times New Roman" w:hAnsi="Times New Roman" w:eastAsia="仿宋_GB2312" w:cs="Times New Roman"/>
          <w:kern w:val="0"/>
          <w:sz w:val="32"/>
          <w:szCs w:val="32"/>
        </w:rPr>
        <w:t>，评价等级为</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优</w:t>
      </w:r>
      <w:r>
        <w:rPr>
          <w:rFonts w:ascii="Times New Roman" w:hAnsi="Times New Roman" w:eastAsia="仿宋_GB2312" w:cs="Times New Roman"/>
          <w:sz w:val="32"/>
          <w:szCs w:val="32"/>
        </w:rPr>
        <w:t>”。绩效目标完成情况：</w:t>
      </w:r>
      <w:r>
        <w:rPr>
          <w:rFonts w:hint="eastAsia" w:ascii="Times New Roman" w:hAnsi="Times New Roman" w:eastAsia="仿宋_GB2312" w:cs="Times New Roman"/>
          <w:sz w:val="32"/>
          <w:szCs w:val="32"/>
        </w:rPr>
        <w:t>依托园区平台开展招商引资，引进农产品深加工、休闲农业项目；组织农产品展销、品牌宣传活动，推动本地优质农产品对接外部市场，有效带动周边农户稳定就业、持续增收，较好实现“建园区、强产业、富农户”的预期目标。</w:t>
      </w:r>
      <w:r>
        <w:rPr>
          <w:rFonts w:ascii="Times New Roman" w:hAnsi="Times New Roman" w:eastAsia="仿宋_GB2312" w:cs="Times New Roman"/>
          <w:sz w:val="32"/>
          <w:szCs w:val="32"/>
        </w:rPr>
        <w:t>发现的主要问题</w:t>
      </w:r>
      <w:r>
        <w:rPr>
          <w:rFonts w:hint="eastAsia" w:ascii="Times New Roman" w:hAnsi="Times New Roman" w:eastAsia="仿宋_GB2312" w:cs="Times New Roman"/>
          <w:sz w:val="32"/>
          <w:szCs w:val="32"/>
          <w:lang w:eastAsia="zh-CN"/>
        </w:rPr>
        <w:t>是一是</w:t>
      </w:r>
      <w:r>
        <w:rPr>
          <w:rFonts w:hint="eastAsia" w:ascii="Times New Roman" w:hAnsi="Times New Roman" w:eastAsia="仿宋_GB2312" w:cs="Times New Roman"/>
          <w:sz w:val="32"/>
          <w:szCs w:val="32"/>
        </w:rPr>
        <w:t>个别农业项目受天气、土地流转、施工协调等因素影响，实施周期有所延长，资金拨付进度与计划存在偏差；</w:t>
      </w:r>
      <w:r>
        <w:rPr>
          <w:rFonts w:hint="eastAsia" w:ascii="Times New Roman" w:hAnsi="Times New Roman" w:eastAsia="仿宋_GB2312" w:cs="Times New Roman"/>
          <w:sz w:val="32"/>
          <w:szCs w:val="32"/>
          <w:lang w:eastAsia="zh-CN"/>
        </w:rPr>
        <w:t>二是</w:t>
      </w:r>
      <w:r>
        <w:rPr>
          <w:rFonts w:hint="eastAsia" w:ascii="Times New Roman" w:hAnsi="Times New Roman" w:eastAsia="仿宋_GB2312" w:cs="Times New Roman"/>
          <w:sz w:val="32"/>
          <w:szCs w:val="32"/>
        </w:rPr>
        <w:t>部分项目重建设、轻管护，建成后的运维机制、管护经费保障有待进一步完善</w:t>
      </w:r>
      <w:r>
        <w:rPr>
          <w:rFonts w:hint="eastAsia" w:ascii="Times New Roman" w:hAnsi="Times New Roman" w:eastAsia="仿宋_GB2312" w:cs="Times New Roman"/>
          <w:sz w:val="32"/>
          <w:szCs w:val="32"/>
          <w:lang w:eastAsia="zh-CN"/>
        </w:rPr>
        <w:t>。</w:t>
      </w:r>
      <w:r>
        <w:rPr>
          <w:rFonts w:ascii="Times New Roman" w:hAnsi="Times New Roman" w:eastAsia="仿宋_GB2312" w:cs="Times New Roman"/>
          <w:sz w:val="32"/>
          <w:szCs w:val="32"/>
        </w:rPr>
        <w:t>下一步改进措施：</w:t>
      </w:r>
      <w:r>
        <w:rPr>
          <w:rFonts w:hint="eastAsia" w:ascii="Times New Roman" w:hAnsi="Times New Roman" w:eastAsia="仿宋_GB2312" w:cs="Times New Roman"/>
          <w:sz w:val="32"/>
          <w:szCs w:val="32"/>
        </w:rPr>
        <w:t>一是强化项目前期论证与过程调度，建立项目台账，定期跟踪工程施工、采购实施、资金支付，对滞后项目进行预警和督办；二是同步落实建后管护责任，将设施管护、基地运维纳入项目方案，保障工程长期发挥效益。</w:t>
      </w:r>
      <w:r>
        <w:rPr>
          <w:rFonts w:ascii="Times New Roman" w:hAnsi="Times New Roman" w:eastAsia="仿宋_GB2312" w:cs="Times New Roman"/>
          <w:b/>
          <w:bCs/>
          <w:kern w:val="0"/>
          <w:sz w:val="32"/>
          <w:szCs w:val="32"/>
        </w:rPr>
        <w:t>二是部门评价结果。</w:t>
      </w:r>
      <w:r>
        <w:rPr>
          <w:rFonts w:hint="eastAsia" w:ascii="Times New Roman" w:hAnsi="Times New Roman" w:eastAsia="仿宋_GB2312" w:cs="Times New Roman"/>
          <w:sz w:val="32"/>
          <w:szCs w:val="32"/>
        </w:rPr>
        <w:t>农业产业区建设</w:t>
      </w:r>
      <w:r>
        <w:rPr>
          <w:rFonts w:ascii="Times New Roman" w:hAnsi="Times New Roman" w:eastAsia="仿宋_GB2312" w:cs="Times New Roman"/>
          <w:sz w:val="32"/>
          <w:szCs w:val="32"/>
        </w:rPr>
        <w:t>项目项目全年预算数</w:t>
      </w:r>
      <w:r>
        <w:rPr>
          <w:rFonts w:hint="eastAsia" w:ascii="Times New Roman" w:hAnsi="Times New Roman" w:eastAsia="仿宋_GB2312" w:cs="Times New Roman"/>
          <w:sz w:val="32"/>
          <w:szCs w:val="32"/>
        </w:rPr>
        <w:t>300.00</w:t>
      </w:r>
      <w:r>
        <w:rPr>
          <w:rFonts w:ascii="Times New Roman" w:hAnsi="Times New Roman" w:eastAsia="仿宋_GB2312" w:cs="Times New Roman"/>
          <w:sz w:val="32"/>
          <w:szCs w:val="32"/>
        </w:rPr>
        <w:t>万元，执行数</w:t>
      </w:r>
      <w:r>
        <w:rPr>
          <w:rFonts w:hint="eastAsia" w:ascii="Times New Roman" w:hAnsi="Times New Roman" w:eastAsia="仿宋_GB2312" w:cs="Times New Roman"/>
          <w:sz w:val="32"/>
          <w:szCs w:val="32"/>
        </w:rPr>
        <w:t>300.00</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100.00</w:t>
      </w:r>
      <w:r>
        <w:rPr>
          <w:rFonts w:ascii="Times New Roman" w:hAnsi="Times New Roman" w:eastAsia="仿宋_GB2312" w:cs="Times New Roman"/>
          <w:sz w:val="32"/>
          <w:szCs w:val="32"/>
        </w:rPr>
        <w:t>%</w:t>
      </w:r>
      <w:r>
        <w:rPr>
          <w:rFonts w:ascii="Times New Roman" w:hAnsi="Times New Roman" w:eastAsia="仿宋_GB2312" w:cs="Times New Roman"/>
          <w:kern w:val="0"/>
          <w:sz w:val="32"/>
          <w:szCs w:val="32"/>
        </w:rPr>
        <w:t>，</w:t>
      </w:r>
      <w:r>
        <w:rPr>
          <w:rFonts w:ascii="Times New Roman" w:hAnsi="Times New Roman" w:eastAsia="仿宋_GB2312" w:cs="Times New Roman"/>
          <w:sz w:val="32"/>
          <w:szCs w:val="32"/>
        </w:rPr>
        <w:t>部门评价得分</w:t>
      </w:r>
      <w:r>
        <w:rPr>
          <w:rFonts w:hint="eastAsia" w:ascii="Times New Roman" w:hAnsi="Times New Roman" w:eastAsia="仿宋_GB2312" w:cs="Times New Roman"/>
          <w:sz w:val="32"/>
          <w:szCs w:val="32"/>
          <w:lang w:val="en-US" w:eastAsia="zh-CN"/>
        </w:rPr>
        <w:t>90</w:t>
      </w:r>
      <w:r>
        <w:rPr>
          <w:rFonts w:ascii="Times New Roman" w:hAnsi="Times New Roman" w:eastAsia="仿宋_GB2312" w:cs="Times New Roman"/>
          <w:sz w:val="32"/>
          <w:szCs w:val="32"/>
        </w:rPr>
        <w:t>分，评价等级为“</w:t>
      </w:r>
      <w:r>
        <w:rPr>
          <w:rFonts w:hint="eastAsia" w:ascii="Times New Roman" w:hAnsi="Times New Roman" w:eastAsia="仿宋_GB2312" w:cs="Times New Roman"/>
          <w:sz w:val="32"/>
          <w:szCs w:val="32"/>
          <w:lang w:eastAsia="zh-CN"/>
        </w:rPr>
        <w:t>优</w:t>
      </w:r>
      <w:r>
        <w:rPr>
          <w:rFonts w:ascii="Times New Roman" w:hAnsi="Times New Roman" w:eastAsia="仿宋_GB2312" w:cs="Times New Roman"/>
          <w:sz w:val="32"/>
          <w:szCs w:val="32"/>
        </w:rPr>
        <w:t>”。发现的主要问题及原因：</w:t>
      </w:r>
      <w:r>
        <w:rPr>
          <w:rFonts w:hint="eastAsia" w:ascii="Times New Roman" w:hAnsi="Times New Roman" w:eastAsia="仿宋_GB2312" w:cs="Times New Roman"/>
          <w:sz w:val="32"/>
          <w:szCs w:val="32"/>
        </w:rPr>
        <w:t>部分项目实施中对市场风险预判不足，产业扶持与市场需求联动不够紧密；项目资料归集、佐证材料整理还不够规范</w:t>
      </w:r>
      <w:r>
        <w:rPr>
          <w:rFonts w:ascii="Times New Roman" w:hAnsi="Times New Roman" w:eastAsia="仿宋_GB2312" w:cs="Times New Roman"/>
          <w:sz w:val="32"/>
          <w:szCs w:val="32"/>
        </w:rPr>
        <w:t>。下一步改进措施：</w:t>
      </w:r>
      <w:r>
        <w:rPr>
          <w:rFonts w:hint="eastAsia" w:ascii="Times New Roman" w:hAnsi="Times New Roman" w:eastAsia="仿宋_GB2312" w:cs="Times New Roman"/>
          <w:sz w:val="32"/>
          <w:szCs w:val="32"/>
        </w:rPr>
        <w:t>将进一步优化项目设计，强化农业产业市场调研，建立“项目实施—效益跟踪—动态调整”机制，同时规范项目档案管理，确保每一笔财政投入都可追溯、可验证。</w:t>
      </w:r>
      <w:r>
        <w:rPr>
          <w:rFonts w:ascii="Times New Roman" w:hAnsi="Times New Roman" w:eastAsia="仿宋_GB2312" w:cs="Times New Roman"/>
          <w:b/>
          <w:bCs/>
          <w:kern w:val="0"/>
          <w:sz w:val="32"/>
          <w:szCs w:val="32"/>
        </w:rPr>
        <w:t>三是事前绩效评估结果。</w:t>
      </w:r>
      <w:r>
        <w:rPr>
          <w:rFonts w:ascii="Times New Roman" w:hAnsi="Times New Roman" w:eastAsia="仿宋_GB2312" w:cs="Times New Roman"/>
          <w:kern w:val="0"/>
          <w:sz w:val="32"/>
          <w:szCs w:val="32"/>
        </w:rPr>
        <w:t>202</w:t>
      </w:r>
      <w:r>
        <w:rPr>
          <w:rFonts w:hint="eastAsia" w:ascii="Times New Roman" w:hAnsi="Times New Roman" w:eastAsia="仿宋_GB2312" w:cs="Times New Roman"/>
          <w:kern w:val="0"/>
          <w:sz w:val="32"/>
          <w:szCs w:val="32"/>
          <w:lang w:val="en-US" w:eastAsia="zh-CN"/>
        </w:rPr>
        <w:t>5</w:t>
      </w:r>
      <w:r>
        <w:rPr>
          <w:rFonts w:ascii="Times New Roman" w:hAnsi="Times New Roman" w:eastAsia="仿宋_GB2312" w:cs="Times New Roman"/>
          <w:kern w:val="0"/>
          <w:sz w:val="32"/>
          <w:szCs w:val="32"/>
        </w:rPr>
        <w:t>年度</w:t>
      </w:r>
      <w:r>
        <w:rPr>
          <w:rFonts w:hint="eastAsia" w:ascii="Times New Roman" w:hAnsi="Times New Roman" w:eastAsia="仿宋_GB2312" w:cs="Times New Roman"/>
          <w:kern w:val="0"/>
          <w:sz w:val="32"/>
          <w:szCs w:val="32"/>
          <w:lang w:val="en-US" w:eastAsia="zh-CN"/>
        </w:rPr>
        <w:t>2</w:t>
      </w:r>
      <w:r>
        <w:rPr>
          <w:rFonts w:ascii="Times New Roman" w:hAnsi="Times New Roman" w:eastAsia="仿宋_GB2312" w:cs="Times New Roman"/>
          <w:kern w:val="0"/>
          <w:sz w:val="32"/>
          <w:szCs w:val="32"/>
        </w:rPr>
        <w:t>个重大项目事前绩效评估，其中，</w:t>
      </w:r>
      <w:r>
        <w:rPr>
          <w:rFonts w:hint="eastAsia" w:ascii="Times New Roman" w:hAnsi="Times New Roman" w:eastAsia="仿宋_GB2312" w:cs="Times New Roman"/>
          <w:kern w:val="0"/>
          <w:sz w:val="32"/>
          <w:szCs w:val="32"/>
          <w:lang w:val="en-US" w:eastAsia="zh-CN"/>
        </w:rPr>
        <w:t>2</w:t>
      </w:r>
      <w:r>
        <w:rPr>
          <w:rFonts w:ascii="Times New Roman" w:hAnsi="Times New Roman" w:eastAsia="仿宋_GB2312" w:cs="Times New Roman"/>
          <w:kern w:val="0"/>
          <w:sz w:val="32"/>
          <w:szCs w:val="32"/>
        </w:rPr>
        <w:t>个项目评估通过，涉及资金</w:t>
      </w:r>
      <w:r>
        <w:rPr>
          <w:rFonts w:hint="eastAsia" w:ascii="Times New Roman" w:hAnsi="Times New Roman" w:eastAsia="仿宋_GB2312" w:cs="Times New Roman"/>
          <w:kern w:val="0"/>
          <w:sz w:val="32"/>
          <w:szCs w:val="32"/>
          <w:lang w:val="en-US" w:eastAsia="zh-CN"/>
        </w:rPr>
        <w:t>3540.73</w:t>
      </w:r>
      <w:r>
        <w:rPr>
          <w:rFonts w:ascii="Times New Roman" w:hAnsi="Times New Roman" w:eastAsia="仿宋_GB2312" w:cs="Times New Roman"/>
          <w:kern w:val="0"/>
          <w:sz w:val="32"/>
          <w:szCs w:val="32"/>
        </w:rPr>
        <w:t>万元，</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kern w:val="0"/>
          <w:sz w:val="32"/>
          <w:szCs w:val="32"/>
        </w:rPr>
        <w:t>个项目评估不通过，涉及资金</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kern w:val="0"/>
          <w:sz w:val="32"/>
          <w:szCs w:val="32"/>
        </w:rPr>
        <w:t>万元。</w:t>
      </w:r>
    </w:p>
    <w:p w14:paraId="3DCF7B60">
      <w:pPr>
        <w:pStyle w:val="17"/>
        <w:overflowPunct w:val="0"/>
        <w:autoSpaceDE/>
        <w:autoSpaceDN/>
        <w:spacing w:line="600" w:lineRule="exact"/>
        <w:ind w:firstLine="640" w:firstLineChars="200"/>
        <w:jc w:val="both"/>
        <w:rPr>
          <w:rFonts w:hint="eastAsia" w:ascii="Times New Roman" w:hAnsi="Times New Roman" w:eastAsia="仿宋_GB2312" w:cs="Times New Roman"/>
          <w:color w:val="auto"/>
          <w:sz w:val="32"/>
          <w:szCs w:val="32"/>
        </w:rPr>
      </w:pPr>
      <w:r>
        <w:rPr>
          <w:rFonts w:ascii="Times New Roman" w:hAnsi="Times New Roman" w:eastAsia="楷体_GB2312" w:cs="Times New Roman"/>
          <w:b/>
          <w:bCs/>
          <w:color w:val="auto"/>
          <w:kern w:val="2"/>
          <w:sz w:val="32"/>
          <w:szCs w:val="32"/>
        </w:rPr>
        <w:t>（三）评价结果应用情况。</w:t>
      </w:r>
      <w:r>
        <w:rPr>
          <w:rFonts w:hint="eastAsia" w:ascii="Times New Roman" w:hAnsi="Times New Roman" w:eastAsia="仿宋_GB2312" w:cs="Times New Roman"/>
          <w:color w:val="auto"/>
          <w:sz w:val="32"/>
          <w:szCs w:val="32"/>
        </w:rPr>
        <w:t>本单位将绩效评价结果作为优化预算安排、调整支出结构、完善资金管理、健全管理制度的重要依据。</w:t>
      </w:r>
    </w:p>
    <w:p w14:paraId="53DE7F4E">
      <w:pPr>
        <w:pStyle w:val="17"/>
        <w:overflowPunct w:val="0"/>
        <w:autoSpaceDE/>
        <w:autoSpaceDN/>
        <w:spacing w:line="600" w:lineRule="exact"/>
        <w:ind w:firstLine="640" w:firstLineChars="200"/>
        <w:jc w:val="both"/>
        <w:rPr>
          <w:rFonts w:hint="eastAsia" w:ascii="Times New Roman" w:hAnsi="Times New Roman" w:eastAsia="仿宋_GB2312" w:cs="Times New Roman"/>
          <w:color w:val="auto"/>
          <w:sz w:val="32"/>
          <w:szCs w:val="32"/>
        </w:rPr>
      </w:pPr>
      <w:r>
        <w:rPr>
          <w:rFonts w:hint="eastAsia" w:ascii="Times New Roman" w:hAnsi="Times New Roman" w:eastAsia="仿宋_GB2312" w:cs="Times New Roman"/>
          <w:color w:val="auto"/>
          <w:sz w:val="32"/>
          <w:szCs w:val="32"/>
        </w:rPr>
        <w:t>在预算安排方面，坚持“以绩效定预算”。对实施效果好、带动能力强、农户满意度高的产业扶持、基础设施、品牌培育类项目，在后续预算编制中予以重点保障；对实施进度缓慢、效益偏弱、存在管理漏洞的项目，压缩或重新论证，把财政资金向高产出、强带动、可持续的农业产业项目倾斜。</w:t>
      </w:r>
    </w:p>
    <w:p w14:paraId="21FB0C8E">
      <w:pPr>
        <w:pStyle w:val="17"/>
        <w:overflowPunct w:val="0"/>
        <w:autoSpaceDE/>
        <w:autoSpaceDN/>
        <w:spacing w:line="600" w:lineRule="exact"/>
        <w:ind w:firstLine="640" w:firstLineChars="200"/>
        <w:jc w:val="both"/>
        <w:rPr>
          <w:rFonts w:hint="eastAsia" w:ascii="Times New Roman" w:hAnsi="Times New Roman" w:eastAsia="仿宋_GB2312" w:cs="Times New Roman"/>
          <w:color w:val="auto"/>
          <w:sz w:val="32"/>
          <w:szCs w:val="32"/>
        </w:rPr>
      </w:pPr>
      <w:r>
        <w:rPr>
          <w:rFonts w:hint="eastAsia" w:ascii="Times New Roman" w:hAnsi="Times New Roman" w:eastAsia="仿宋_GB2312" w:cs="Times New Roman"/>
          <w:color w:val="auto"/>
          <w:sz w:val="32"/>
          <w:szCs w:val="32"/>
        </w:rPr>
        <w:t>在支出结构调整方面，围绕祁阳现代农业园区定位，持续优化资金投向：优先保障高标准农田、农产品精深加工等关键环节；兼顾新型农业经营主体培育、农业科技引进、人才培训，推动园区从基础建设向产业融合、全链条发展转型。对绩效评价中暴露出来的“重投入、轻管护”问题，在后续项目中单独设置管护、监测、绩效跟踪资金，确保项目长期发挥效益。</w:t>
      </w:r>
    </w:p>
    <w:p w14:paraId="0E986869">
      <w:pPr>
        <w:pStyle w:val="17"/>
        <w:overflowPunct w:val="0"/>
        <w:autoSpaceDE/>
        <w:autoSpaceDN/>
        <w:spacing w:line="600" w:lineRule="exact"/>
        <w:ind w:firstLine="640" w:firstLineChars="200"/>
        <w:jc w:val="both"/>
        <w:rPr>
          <w:rFonts w:hint="eastAsia" w:ascii="Times New Roman" w:hAnsi="Times New Roman" w:eastAsia="仿宋_GB2312" w:cs="Times New Roman"/>
          <w:color w:val="auto"/>
          <w:sz w:val="32"/>
          <w:szCs w:val="32"/>
        </w:rPr>
      </w:pPr>
      <w:r>
        <w:rPr>
          <w:rFonts w:hint="eastAsia" w:ascii="Times New Roman" w:hAnsi="Times New Roman" w:eastAsia="仿宋_GB2312" w:cs="Times New Roman"/>
          <w:color w:val="auto"/>
          <w:sz w:val="32"/>
          <w:szCs w:val="32"/>
        </w:rPr>
        <w:t>在资金管理方面，进一步落实预算绩效管理责任，建立业务、财务、项目实施主体协同联动机制。强化资金动态监控，严格执行国库集中支付、政府采购、工程结算等管理制度，防范资金挤占、滞留等风险；对绩效监控、评价发现的问题，形成清单，实行销号管理，确保整改落到实处。</w:t>
      </w:r>
    </w:p>
    <w:p w14:paraId="5494EB4D">
      <w:pPr>
        <w:pStyle w:val="17"/>
        <w:overflowPunct w:val="0"/>
        <w:autoSpaceDE/>
        <w:autoSpaceDN/>
        <w:spacing w:line="600" w:lineRule="exact"/>
        <w:ind w:firstLine="640" w:firstLineChars="200"/>
        <w:jc w:val="both"/>
        <w:rPr>
          <w:rFonts w:hint="eastAsia" w:ascii="Times New Roman" w:hAnsi="Times New Roman" w:eastAsia="仿宋_GB2312" w:cs="Times New Roman"/>
          <w:color w:val="auto"/>
          <w:sz w:val="32"/>
          <w:szCs w:val="32"/>
        </w:rPr>
      </w:pPr>
      <w:r>
        <w:rPr>
          <w:rFonts w:hint="eastAsia" w:ascii="Times New Roman" w:hAnsi="Times New Roman" w:eastAsia="仿宋_GB2312" w:cs="Times New Roman"/>
          <w:color w:val="auto"/>
          <w:sz w:val="32"/>
          <w:szCs w:val="32"/>
        </w:rPr>
        <w:t>在制度建设方面，结合园区农业项目特点，细化适合现代农业、产业园区的绩效指标体系，区分工程建设、产业扶持、品牌培育、招商服务等不同类型项目，设置更贴合实际、可量化、可采集的绩效指标。同时组织业务、财务人员开展绩效管理培训，提升项目申报、绩效监控、评价整改能力，推动绩效管理融入园区日常管理，实现“预算编制有目标、预算执行有监控、项目完成有评价、评价结果有应用”的闭环管理。</w:t>
      </w:r>
    </w:p>
    <w:p w14:paraId="32F1300D">
      <w:pPr>
        <w:pStyle w:val="17"/>
        <w:overflowPunct w:val="0"/>
        <w:autoSpaceDE/>
        <w:autoSpaceDN/>
        <w:spacing w:line="600" w:lineRule="exact"/>
        <w:ind w:firstLine="640" w:firstLineChars="200"/>
        <w:jc w:val="both"/>
        <w:rPr>
          <w:rFonts w:hint="eastAsia" w:ascii="Times New Roman" w:hAnsi="Times New Roman" w:eastAsia="仿宋_GB2312" w:cs="Times New Roman"/>
          <w:color w:val="auto"/>
          <w:sz w:val="32"/>
          <w:szCs w:val="32"/>
        </w:rPr>
      </w:pPr>
      <w:r>
        <w:rPr>
          <w:rFonts w:hint="eastAsia" w:ascii="Times New Roman" w:hAnsi="Times New Roman" w:eastAsia="仿宋_GB2312" w:cs="Times New Roman"/>
          <w:color w:val="auto"/>
          <w:sz w:val="32"/>
          <w:szCs w:val="32"/>
        </w:rPr>
        <w:t>下一步，祁阳现代农业产业园区管理委员会将持续深化全面实施预算绩效管理，把绩效理念贯穿于园区建设、产业培育、惠农扶持全过程，用好财政资金，做强现代农业园区平台，为推动祁阳乡村振兴、促进农业增效、农民增收提供坚实保障。</w:t>
      </w:r>
    </w:p>
    <w:p w14:paraId="4A40F273">
      <w:pPr>
        <w:pStyle w:val="17"/>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p>
    <w:p w14:paraId="521A93BC">
      <w:pPr>
        <w:pStyle w:val="17"/>
        <w:jc w:val="center"/>
        <w:rPr>
          <w:rFonts w:ascii="Times New Roman" w:hAnsi="Times New Roman" w:cs="Times New Roman"/>
          <w:sz w:val="72"/>
          <w:szCs w:val="72"/>
        </w:rPr>
      </w:pPr>
    </w:p>
    <w:p w14:paraId="672703DE">
      <w:pPr>
        <w:pStyle w:val="17"/>
        <w:jc w:val="both"/>
        <w:rPr>
          <w:rFonts w:ascii="Times New Roman" w:hAnsi="Times New Roman" w:cs="Times New Roman"/>
          <w:sz w:val="72"/>
          <w:szCs w:val="72"/>
        </w:rPr>
      </w:pPr>
    </w:p>
    <w:p w14:paraId="1FB0E4B6">
      <w:pPr>
        <w:pStyle w:val="17"/>
        <w:jc w:val="both"/>
        <w:rPr>
          <w:rFonts w:ascii="Times New Roman" w:hAnsi="Times New Roman" w:cs="Times New Roman"/>
          <w:sz w:val="72"/>
          <w:szCs w:val="72"/>
        </w:rPr>
      </w:pPr>
    </w:p>
    <w:p w14:paraId="69043EDF">
      <w:pPr>
        <w:pStyle w:val="17"/>
        <w:jc w:val="both"/>
        <w:rPr>
          <w:rFonts w:ascii="Times New Roman" w:hAnsi="Times New Roman" w:cs="Times New Roman"/>
          <w:sz w:val="72"/>
          <w:szCs w:val="72"/>
        </w:rPr>
      </w:pPr>
    </w:p>
    <w:p w14:paraId="2E578B96">
      <w:pPr>
        <w:pStyle w:val="17"/>
        <w:jc w:val="both"/>
        <w:rPr>
          <w:rFonts w:ascii="Times New Roman" w:hAnsi="Times New Roman" w:cs="Times New Roman"/>
          <w:sz w:val="72"/>
          <w:szCs w:val="72"/>
        </w:rPr>
      </w:pPr>
    </w:p>
    <w:p w14:paraId="6E9B8185">
      <w:pPr>
        <w:pStyle w:val="17"/>
        <w:jc w:val="both"/>
        <w:rPr>
          <w:rFonts w:ascii="Times New Roman" w:hAnsi="Times New Roman" w:cs="Times New Roman"/>
          <w:sz w:val="72"/>
          <w:szCs w:val="72"/>
        </w:rPr>
      </w:pPr>
    </w:p>
    <w:p w14:paraId="1BCA4F20">
      <w:pPr>
        <w:pStyle w:val="17"/>
        <w:jc w:val="both"/>
        <w:rPr>
          <w:rFonts w:ascii="Times New Roman" w:hAnsi="Times New Roman" w:cs="Times New Roman"/>
          <w:sz w:val="72"/>
          <w:szCs w:val="72"/>
        </w:rPr>
      </w:pPr>
    </w:p>
    <w:p w14:paraId="5FBCB814">
      <w:pPr>
        <w:pStyle w:val="17"/>
        <w:jc w:val="both"/>
        <w:rPr>
          <w:rFonts w:ascii="Times New Roman" w:hAnsi="Times New Roman" w:cs="Times New Roman"/>
          <w:sz w:val="72"/>
          <w:szCs w:val="72"/>
        </w:rPr>
      </w:pPr>
    </w:p>
    <w:p w14:paraId="41B2836E">
      <w:pPr>
        <w:pStyle w:val="17"/>
        <w:jc w:val="both"/>
        <w:rPr>
          <w:rFonts w:ascii="Times New Roman" w:hAnsi="Times New Roman" w:cs="Times New Roman"/>
          <w:sz w:val="72"/>
          <w:szCs w:val="72"/>
        </w:rPr>
      </w:pPr>
    </w:p>
    <w:p w14:paraId="7C344FFB">
      <w:pPr>
        <w:pStyle w:val="17"/>
        <w:jc w:val="both"/>
        <w:rPr>
          <w:rFonts w:ascii="Times New Roman" w:hAnsi="Times New Roman" w:cs="Times New Roman"/>
          <w:sz w:val="72"/>
          <w:szCs w:val="72"/>
        </w:rPr>
      </w:pPr>
    </w:p>
    <w:p w14:paraId="5DD1A892">
      <w:pPr>
        <w:pStyle w:val="17"/>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第四部分    名词解释</w:t>
      </w:r>
    </w:p>
    <w:p w14:paraId="246B7155">
      <w:pPr>
        <w:widowControl/>
        <w:jc w:val="left"/>
        <w:rPr>
          <w:rFonts w:ascii="Times New Roman" w:hAnsi="Times New Roman" w:cs="Times New Roman"/>
          <w:color w:val="000000"/>
          <w:kern w:val="0"/>
          <w:sz w:val="32"/>
          <w:szCs w:val="32"/>
        </w:rPr>
      </w:pPr>
    </w:p>
    <w:p w14:paraId="51799681">
      <w:pPr>
        <w:pStyle w:val="12"/>
        <w:widowControl/>
        <w:shd w:val="clear" w:color="auto" w:fill="FFFFFF"/>
        <w:spacing w:before="0" w:beforeAutospacing="0" w:after="0" w:afterAutospacing="0" w:line="560" w:lineRule="atLeast"/>
        <w:ind w:firstLine="640"/>
        <w:rPr>
          <w:rFonts w:ascii="Calibri" w:hAnsi="Calibri" w:cs="Calibri"/>
          <w:color w:val="666666"/>
          <w:sz w:val="21"/>
          <w:szCs w:val="21"/>
        </w:rPr>
      </w:pPr>
      <w:r>
        <w:rPr>
          <w:rFonts w:ascii="仿宋" w:hAnsi="仿宋" w:eastAsia="仿宋" w:cs="仿宋"/>
          <w:color w:val="000000"/>
          <w:sz w:val="32"/>
          <w:szCs w:val="32"/>
          <w:shd w:val="clear" w:color="auto" w:fill="FFFFFF"/>
        </w:rPr>
        <w:t>一、收入科目</w:t>
      </w:r>
    </w:p>
    <w:p w14:paraId="7ABC22F5">
      <w:pPr>
        <w:pStyle w:val="12"/>
        <w:widowControl/>
        <w:shd w:val="clear" w:color="auto" w:fill="FFFFFF"/>
        <w:spacing w:before="0" w:beforeAutospacing="0" w:after="0" w:afterAutospacing="0" w:line="560" w:lineRule="atLeast"/>
        <w:ind w:firstLine="640"/>
        <w:rPr>
          <w:rFonts w:hint="eastAsia" w:ascii="宋体" w:hAnsi="宋体" w:eastAsia="宋体" w:cs="宋体"/>
          <w:color w:val="666666"/>
          <w:szCs w:val="24"/>
        </w:rPr>
      </w:pPr>
      <w:r>
        <w:rPr>
          <w:rFonts w:ascii="Times New Roman" w:hAnsi="Times New Roman" w:eastAsia="宋体"/>
          <w:color w:val="000000"/>
          <w:sz w:val="32"/>
          <w:szCs w:val="32"/>
          <w:shd w:val="clear" w:color="auto" w:fill="FFFFFF"/>
        </w:rPr>
        <w:t>1</w:t>
      </w:r>
      <w:r>
        <w:rPr>
          <w:rFonts w:hint="eastAsia" w:ascii="仿宋" w:hAnsi="仿宋" w:eastAsia="仿宋" w:cs="仿宋"/>
          <w:color w:val="000000"/>
          <w:sz w:val="32"/>
          <w:szCs w:val="32"/>
          <w:shd w:val="clear" w:color="auto" w:fill="FFFFFF"/>
        </w:rPr>
        <w:t>、财政拨款收入：指财政当年拨付的资金。</w:t>
      </w:r>
    </w:p>
    <w:p w14:paraId="4E1E50B5">
      <w:pPr>
        <w:pStyle w:val="12"/>
        <w:widowControl/>
        <w:shd w:val="clear" w:color="auto" w:fill="FFFFFF"/>
        <w:spacing w:before="0" w:beforeAutospacing="0" w:after="0" w:afterAutospacing="0" w:line="560" w:lineRule="atLeast"/>
        <w:ind w:firstLine="640"/>
        <w:rPr>
          <w:rFonts w:hint="eastAsia" w:ascii="宋体" w:hAnsi="宋体" w:eastAsia="宋体" w:cs="宋体"/>
          <w:color w:val="666666"/>
          <w:szCs w:val="24"/>
        </w:rPr>
      </w:pPr>
      <w:r>
        <w:rPr>
          <w:rFonts w:ascii="Times New Roman" w:hAnsi="Times New Roman" w:eastAsia="宋体"/>
          <w:color w:val="000000"/>
          <w:sz w:val="32"/>
          <w:szCs w:val="32"/>
          <w:shd w:val="clear" w:color="auto" w:fill="FFFFFF"/>
        </w:rPr>
        <w:t>2</w:t>
      </w:r>
      <w:r>
        <w:rPr>
          <w:rFonts w:hint="eastAsia" w:ascii="仿宋" w:hAnsi="仿宋" w:eastAsia="仿宋" w:cs="仿宋"/>
          <w:color w:val="000000"/>
          <w:sz w:val="32"/>
          <w:szCs w:val="32"/>
          <w:shd w:val="clear" w:color="auto" w:fill="FFFFFF"/>
        </w:rPr>
        <w:t>、事业收入：指事业单位开展专业业务活动及辅助活动取得的收入。</w:t>
      </w:r>
    </w:p>
    <w:p w14:paraId="64E06712">
      <w:pPr>
        <w:pStyle w:val="12"/>
        <w:widowControl/>
        <w:shd w:val="clear" w:color="auto" w:fill="FFFFFF"/>
        <w:spacing w:before="0" w:beforeAutospacing="0" w:after="0" w:afterAutospacing="0" w:line="560" w:lineRule="atLeast"/>
        <w:ind w:firstLine="640"/>
        <w:rPr>
          <w:rFonts w:hint="eastAsia" w:ascii="宋体" w:hAnsi="宋体" w:eastAsia="宋体" w:cs="宋体"/>
          <w:color w:val="666666"/>
          <w:szCs w:val="24"/>
        </w:rPr>
      </w:pPr>
      <w:r>
        <w:rPr>
          <w:rFonts w:ascii="Times New Roman" w:hAnsi="Times New Roman" w:eastAsia="宋体"/>
          <w:color w:val="000000"/>
          <w:sz w:val="32"/>
          <w:szCs w:val="32"/>
          <w:shd w:val="clear" w:color="auto" w:fill="FFFFFF"/>
        </w:rPr>
        <w:t>3</w:t>
      </w:r>
      <w:r>
        <w:rPr>
          <w:rFonts w:hint="eastAsia" w:ascii="仿宋" w:hAnsi="仿宋" w:eastAsia="仿宋" w:cs="仿宋"/>
          <w:color w:val="000000"/>
          <w:sz w:val="32"/>
          <w:szCs w:val="32"/>
          <w:shd w:val="clear" w:color="auto" w:fill="FFFFFF"/>
        </w:rPr>
        <w:t>、经营收入：指事业单位在专业业务活动及其辅助活动之外开展非独立核算经营活动取得的收入。</w:t>
      </w:r>
    </w:p>
    <w:p w14:paraId="5A5220ED">
      <w:pPr>
        <w:pStyle w:val="12"/>
        <w:widowControl/>
        <w:shd w:val="clear" w:color="auto" w:fill="FFFFFF"/>
        <w:spacing w:before="0" w:beforeAutospacing="0" w:after="0" w:afterAutospacing="0" w:line="560" w:lineRule="atLeast"/>
        <w:ind w:firstLine="640"/>
        <w:rPr>
          <w:rFonts w:hint="eastAsia" w:ascii="宋体" w:hAnsi="宋体" w:eastAsia="宋体" w:cs="宋体"/>
          <w:color w:val="666666"/>
          <w:szCs w:val="24"/>
        </w:rPr>
      </w:pPr>
      <w:r>
        <w:rPr>
          <w:rFonts w:ascii="Times New Roman" w:hAnsi="Times New Roman" w:eastAsia="宋体"/>
          <w:color w:val="000000"/>
          <w:sz w:val="32"/>
          <w:szCs w:val="32"/>
          <w:shd w:val="clear" w:color="auto" w:fill="FFFFFF"/>
        </w:rPr>
        <w:t>4</w:t>
      </w:r>
      <w:r>
        <w:rPr>
          <w:rFonts w:hint="eastAsia" w:ascii="仿宋" w:hAnsi="仿宋" w:eastAsia="仿宋" w:cs="仿宋"/>
          <w:color w:val="000000"/>
          <w:sz w:val="32"/>
          <w:szCs w:val="32"/>
          <w:shd w:val="clear" w:color="auto" w:fill="FFFFFF"/>
        </w:rPr>
        <w:t>、其他收入：指除上述“财政拨款收入”、“事业收入”、“经营收入”等以外的收入。</w:t>
      </w:r>
    </w:p>
    <w:p w14:paraId="7F95EF01">
      <w:pPr>
        <w:pStyle w:val="12"/>
        <w:widowControl/>
        <w:shd w:val="clear" w:color="auto" w:fill="FFFFFF"/>
        <w:spacing w:before="0" w:beforeAutospacing="0" w:after="0" w:afterAutospacing="0" w:line="560" w:lineRule="atLeast"/>
        <w:ind w:firstLine="640"/>
        <w:rPr>
          <w:rFonts w:hint="eastAsia" w:ascii="宋体" w:hAnsi="宋体" w:eastAsia="宋体" w:cs="宋体"/>
          <w:color w:val="666666"/>
          <w:szCs w:val="24"/>
        </w:rPr>
      </w:pPr>
      <w:r>
        <w:rPr>
          <w:rFonts w:ascii="Times New Roman" w:hAnsi="Times New Roman" w:eastAsia="宋体"/>
          <w:color w:val="000000"/>
          <w:sz w:val="32"/>
          <w:szCs w:val="32"/>
          <w:shd w:val="clear" w:color="auto" w:fill="FFFFFF"/>
        </w:rPr>
        <w:t>5</w:t>
      </w:r>
      <w:r>
        <w:rPr>
          <w:rFonts w:hint="eastAsia" w:ascii="仿宋" w:hAnsi="仿宋" w:eastAsia="仿宋" w:cs="仿宋"/>
          <w:color w:val="000000"/>
          <w:sz w:val="32"/>
          <w:szCs w:val="32"/>
          <w:shd w:val="clear" w:color="auto" w:fill="FFFFFF"/>
        </w:rPr>
        <w:t>、用事业基金弥补收支差额：指事业单位在当年的“财政拨款收入”、“事业收入”、“经营收入”、“其他收入”不足以安排当年支出的情况下，使用以前年积累的事业基金（事业单位当年收支相抵后按国家规定提取、用于弥补以后年收支差额的基金）弥补本年收支缺口的资金。</w:t>
      </w:r>
    </w:p>
    <w:p w14:paraId="558649D4">
      <w:pPr>
        <w:pStyle w:val="12"/>
        <w:widowControl/>
        <w:shd w:val="clear" w:color="auto" w:fill="FFFFFF"/>
        <w:spacing w:before="0" w:beforeAutospacing="0" w:after="0" w:afterAutospacing="0" w:line="560" w:lineRule="atLeast"/>
        <w:ind w:firstLine="640"/>
        <w:rPr>
          <w:rFonts w:hint="eastAsia" w:ascii="宋体" w:hAnsi="宋体" w:eastAsia="宋体" w:cs="宋体"/>
          <w:color w:val="666666"/>
          <w:szCs w:val="24"/>
        </w:rPr>
      </w:pPr>
      <w:r>
        <w:rPr>
          <w:rFonts w:ascii="Times New Roman" w:hAnsi="Times New Roman" w:eastAsia="宋体"/>
          <w:color w:val="000000"/>
          <w:sz w:val="32"/>
          <w:szCs w:val="32"/>
          <w:shd w:val="clear" w:color="auto" w:fill="FFFFFF"/>
        </w:rPr>
        <w:t>6</w:t>
      </w:r>
      <w:r>
        <w:rPr>
          <w:rFonts w:hint="eastAsia" w:ascii="仿宋" w:hAnsi="仿宋" w:eastAsia="仿宋" w:cs="仿宋"/>
          <w:color w:val="000000"/>
          <w:sz w:val="32"/>
          <w:szCs w:val="32"/>
          <w:shd w:val="clear" w:color="auto" w:fill="FFFFFF"/>
        </w:rPr>
        <w:t>、上年结转：指以前年尚未完成、结转到本年按有关规定继续使用的资金。</w:t>
      </w:r>
    </w:p>
    <w:p w14:paraId="1F199E73">
      <w:pPr>
        <w:pStyle w:val="12"/>
        <w:widowControl/>
        <w:shd w:val="clear" w:color="auto" w:fill="FFFFFF"/>
        <w:spacing w:before="0" w:beforeAutospacing="0" w:after="0" w:afterAutospacing="0" w:line="560" w:lineRule="atLeast"/>
        <w:ind w:firstLine="640"/>
        <w:rPr>
          <w:rFonts w:hint="eastAsia" w:ascii="宋体" w:hAnsi="宋体" w:eastAsia="宋体" w:cs="宋体"/>
          <w:color w:val="666666"/>
          <w:szCs w:val="24"/>
        </w:rPr>
      </w:pPr>
      <w:r>
        <w:rPr>
          <w:rFonts w:hint="eastAsia" w:ascii="仿宋" w:hAnsi="仿宋" w:eastAsia="仿宋" w:cs="仿宋"/>
          <w:color w:val="000000"/>
          <w:sz w:val="32"/>
          <w:szCs w:val="32"/>
          <w:shd w:val="clear" w:color="auto" w:fill="FFFFFF"/>
        </w:rPr>
        <w:t>二、支出科目</w:t>
      </w:r>
    </w:p>
    <w:p w14:paraId="0C5CBAF5">
      <w:pPr>
        <w:pStyle w:val="12"/>
        <w:widowControl/>
        <w:shd w:val="clear" w:color="auto" w:fill="FFFFFF"/>
        <w:spacing w:before="0" w:beforeAutospacing="0" w:after="0" w:afterAutospacing="0" w:line="560" w:lineRule="atLeast"/>
        <w:ind w:firstLine="640"/>
        <w:rPr>
          <w:rFonts w:hint="eastAsia" w:ascii="宋体" w:hAnsi="宋体" w:eastAsia="宋体" w:cs="宋体"/>
          <w:color w:val="666666"/>
          <w:szCs w:val="24"/>
        </w:rPr>
      </w:pPr>
      <w:r>
        <w:rPr>
          <w:rFonts w:ascii="Times New Roman" w:hAnsi="Times New Roman" w:eastAsia="宋体"/>
          <w:color w:val="000000"/>
          <w:sz w:val="32"/>
          <w:szCs w:val="32"/>
          <w:shd w:val="clear" w:color="auto" w:fill="FFFFFF"/>
        </w:rPr>
        <w:t>1</w:t>
      </w:r>
      <w:r>
        <w:rPr>
          <w:rFonts w:hint="eastAsia" w:ascii="仿宋" w:hAnsi="仿宋" w:eastAsia="仿宋" w:cs="仿宋"/>
          <w:color w:val="000000"/>
          <w:sz w:val="32"/>
          <w:szCs w:val="32"/>
          <w:shd w:val="clear" w:color="auto" w:fill="FFFFFF"/>
        </w:rPr>
        <w:t>、基本支出：是为保障其机构正常运转、完成日常工作任务而发生的人员支出和公用支出。</w:t>
      </w:r>
    </w:p>
    <w:p w14:paraId="65878ECD">
      <w:pPr>
        <w:pStyle w:val="12"/>
        <w:widowControl/>
        <w:shd w:val="clear" w:color="auto" w:fill="FFFFFF"/>
        <w:spacing w:before="0" w:beforeAutospacing="0" w:after="0" w:afterAutospacing="0" w:line="560" w:lineRule="atLeast"/>
        <w:ind w:firstLine="640"/>
        <w:rPr>
          <w:rFonts w:hint="eastAsia" w:ascii="宋体" w:hAnsi="宋体" w:eastAsia="宋体" w:cs="宋体"/>
          <w:color w:val="666666"/>
          <w:szCs w:val="24"/>
        </w:rPr>
      </w:pPr>
      <w:r>
        <w:rPr>
          <w:rFonts w:ascii="Times New Roman" w:hAnsi="Times New Roman" w:eastAsia="宋体"/>
          <w:color w:val="000000"/>
          <w:sz w:val="32"/>
          <w:szCs w:val="32"/>
          <w:shd w:val="clear" w:color="auto" w:fill="FFFFFF"/>
        </w:rPr>
        <w:t>2</w:t>
      </w:r>
      <w:r>
        <w:rPr>
          <w:rFonts w:hint="eastAsia" w:ascii="仿宋" w:hAnsi="仿宋" w:eastAsia="仿宋" w:cs="仿宋"/>
          <w:color w:val="000000"/>
          <w:sz w:val="32"/>
          <w:szCs w:val="32"/>
          <w:shd w:val="clear" w:color="auto" w:fill="FFFFFF"/>
        </w:rPr>
        <w:t>、项目支出：是指在基本支出之外完成特定行政任务和事业发展目标所发生的支出。</w:t>
      </w:r>
    </w:p>
    <w:p w14:paraId="4A557A93">
      <w:pPr>
        <w:pStyle w:val="12"/>
        <w:widowControl/>
        <w:shd w:val="clear" w:color="auto" w:fill="FFFFFF"/>
        <w:spacing w:before="0" w:beforeAutospacing="0" w:after="0" w:afterAutospacing="0" w:line="560" w:lineRule="atLeast"/>
        <w:ind w:firstLine="640"/>
        <w:rPr>
          <w:rFonts w:hint="eastAsia" w:ascii="宋体" w:hAnsi="宋体" w:eastAsia="宋体" w:cs="宋体"/>
          <w:color w:val="666666"/>
          <w:szCs w:val="24"/>
        </w:rPr>
      </w:pPr>
      <w:r>
        <w:rPr>
          <w:rFonts w:ascii="Times New Roman" w:hAnsi="Times New Roman" w:eastAsia="宋体"/>
          <w:color w:val="000000"/>
          <w:sz w:val="32"/>
          <w:szCs w:val="32"/>
          <w:shd w:val="clear" w:color="auto" w:fill="FFFFFF"/>
        </w:rPr>
        <w:t>3</w:t>
      </w:r>
      <w:r>
        <w:rPr>
          <w:rFonts w:hint="eastAsia" w:ascii="仿宋" w:hAnsi="仿宋" w:eastAsia="仿宋" w:cs="仿宋"/>
          <w:color w:val="000000"/>
          <w:sz w:val="32"/>
          <w:szCs w:val="32"/>
          <w:shd w:val="clear" w:color="auto" w:fill="FFFFFF"/>
        </w:rPr>
        <w:t>、工资福利支出：反映单位开支的在职职工和编制外长期聘用人员的各类劳动报酬，以及为上述人员缴纳的各项社会保险费等。</w:t>
      </w:r>
    </w:p>
    <w:p w14:paraId="00E037C0">
      <w:pPr>
        <w:pStyle w:val="12"/>
        <w:widowControl/>
        <w:shd w:val="clear" w:color="auto" w:fill="FFFFFF"/>
        <w:spacing w:before="0" w:beforeAutospacing="0" w:after="0" w:afterAutospacing="0" w:line="560" w:lineRule="atLeast"/>
        <w:ind w:firstLine="640"/>
        <w:rPr>
          <w:rFonts w:hint="eastAsia" w:ascii="宋体" w:hAnsi="宋体" w:eastAsia="宋体" w:cs="宋体"/>
          <w:color w:val="666666"/>
          <w:szCs w:val="24"/>
        </w:rPr>
      </w:pPr>
      <w:r>
        <w:rPr>
          <w:rFonts w:ascii="Times New Roman" w:hAnsi="Times New Roman" w:eastAsia="宋体"/>
          <w:color w:val="000000"/>
          <w:sz w:val="32"/>
          <w:szCs w:val="32"/>
          <w:shd w:val="clear" w:color="auto" w:fill="FFFFFF"/>
        </w:rPr>
        <w:t>4</w:t>
      </w:r>
      <w:r>
        <w:rPr>
          <w:rFonts w:hint="eastAsia" w:ascii="仿宋" w:hAnsi="仿宋" w:eastAsia="仿宋" w:cs="仿宋"/>
          <w:color w:val="000000"/>
          <w:sz w:val="32"/>
          <w:szCs w:val="32"/>
          <w:shd w:val="clear" w:color="auto" w:fill="FFFFFF"/>
        </w:rPr>
        <w:t>、商品和服务支出：反映单位购买商品和服务的支出。</w:t>
      </w:r>
    </w:p>
    <w:p w14:paraId="46D22643">
      <w:pPr>
        <w:pStyle w:val="12"/>
        <w:widowControl/>
        <w:shd w:val="clear" w:color="auto" w:fill="FFFFFF"/>
        <w:spacing w:before="0" w:beforeAutospacing="0" w:after="0" w:afterAutospacing="0" w:line="560" w:lineRule="atLeast"/>
        <w:ind w:firstLine="640"/>
        <w:rPr>
          <w:rFonts w:hint="eastAsia" w:ascii="宋体" w:hAnsi="宋体" w:eastAsia="宋体" w:cs="宋体"/>
          <w:color w:val="666666"/>
          <w:szCs w:val="24"/>
        </w:rPr>
      </w:pPr>
      <w:r>
        <w:rPr>
          <w:rFonts w:ascii="Times New Roman" w:hAnsi="Times New Roman" w:eastAsia="宋体"/>
          <w:color w:val="000000"/>
          <w:sz w:val="32"/>
          <w:szCs w:val="32"/>
          <w:shd w:val="clear" w:color="auto" w:fill="FFFFFF"/>
        </w:rPr>
        <w:t>5</w:t>
      </w:r>
      <w:r>
        <w:rPr>
          <w:rFonts w:hint="eastAsia" w:ascii="仿宋" w:hAnsi="仿宋" w:eastAsia="仿宋" w:cs="仿宋"/>
          <w:color w:val="000000"/>
          <w:sz w:val="32"/>
          <w:szCs w:val="32"/>
          <w:shd w:val="clear" w:color="auto" w:fill="FFFFFF"/>
        </w:rPr>
        <w:t>、对个人和家庭的补助：反映单位用于对个人和家庭的补助支出。</w:t>
      </w:r>
    </w:p>
    <w:p w14:paraId="6B2C370E">
      <w:pPr>
        <w:pStyle w:val="12"/>
        <w:widowControl/>
        <w:shd w:val="clear" w:color="auto" w:fill="FFFFFF"/>
        <w:spacing w:before="0" w:beforeAutospacing="0" w:after="0" w:afterAutospacing="0" w:line="560" w:lineRule="atLeast"/>
        <w:ind w:firstLine="640"/>
        <w:jc w:val="both"/>
        <w:rPr>
          <w:rFonts w:ascii="Calibri" w:hAnsi="Calibri" w:cs="Calibri"/>
          <w:color w:val="666666"/>
          <w:sz w:val="21"/>
          <w:szCs w:val="21"/>
        </w:rPr>
      </w:pPr>
      <w:r>
        <w:rPr>
          <w:rFonts w:hint="eastAsia" w:ascii="仿宋" w:hAnsi="仿宋" w:eastAsia="仿宋" w:cs="仿宋"/>
          <w:color w:val="000000"/>
          <w:sz w:val="32"/>
          <w:szCs w:val="32"/>
          <w:shd w:val="clear" w:color="auto" w:fill="FFFFFF"/>
        </w:rPr>
        <w:t>三、机关运行经费：是指各部门的公用经费，包括办公费、印刷费、邮电费、差旅费、会议费、福利费、日常维修费、专用材料及一般设备购置费、办公用房水电费、办公用房取暖费、办公用房物业管理费、公务用车运行维护费以及其他费用。</w:t>
      </w:r>
    </w:p>
    <w:p w14:paraId="410051B6">
      <w:pPr>
        <w:pStyle w:val="12"/>
        <w:widowControl/>
        <w:shd w:val="clear" w:color="auto" w:fill="FFFFFF"/>
        <w:spacing w:before="0" w:beforeAutospacing="0" w:after="0" w:afterAutospacing="0" w:line="560" w:lineRule="atLeast"/>
        <w:ind w:firstLine="640"/>
        <w:rPr>
          <w:rFonts w:hint="eastAsia" w:ascii="宋体" w:hAnsi="宋体" w:eastAsia="宋体" w:cs="宋体"/>
          <w:color w:val="666666"/>
          <w:szCs w:val="24"/>
        </w:rPr>
      </w:pPr>
      <w:r>
        <w:rPr>
          <w:rFonts w:hint="eastAsia" w:ascii="仿宋" w:hAnsi="仿宋" w:eastAsia="仿宋" w:cs="仿宋"/>
          <w:color w:val="000000"/>
          <w:sz w:val="32"/>
          <w:szCs w:val="32"/>
          <w:shd w:val="clear" w:color="auto" w:fill="FFFFFF"/>
        </w:rPr>
        <w:t>四、“三公”经费科目</w:t>
      </w:r>
    </w:p>
    <w:p w14:paraId="316D5BCD">
      <w:pPr>
        <w:pStyle w:val="12"/>
        <w:widowControl/>
        <w:shd w:val="clear" w:color="auto" w:fill="FFFFFF"/>
        <w:spacing w:before="0" w:beforeAutospacing="0" w:after="0" w:afterAutospacing="0" w:line="560" w:lineRule="atLeast"/>
        <w:ind w:firstLine="640"/>
        <w:rPr>
          <w:rFonts w:hint="eastAsia" w:ascii="宋体" w:hAnsi="宋体" w:eastAsia="宋体" w:cs="宋体"/>
          <w:color w:val="666666"/>
          <w:szCs w:val="24"/>
        </w:rPr>
      </w:pPr>
      <w:r>
        <w:rPr>
          <w:rFonts w:ascii="Times New Roman" w:hAnsi="Times New Roman" w:eastAsia="宋体"/>
          <w:color w:val="000000"/>
          <w:sz w:val="32"/>
          <w:szCs w:val="32"/>
          <w:shd w:val="clear" w:color="auto" w:fill="FFFFFF"/>
        </w:rPr>
        <w:t>1</w:t>
      </w:r>
      <w:r>
        <w:rPr>
          <w:rFonts w:hint="eastAsia" w:ascii="仿宋" w:hAnsi="仿宋" w:eastAsia="仿宋" w:cs="仿宋"/>
          <w:color w:val="000000"/>
          <w:sz w:val="32"/>
          <w:szCs w:val="32"/>
          <w:shd w:val="clear" w:color="auto" w:fill="FFFFFF"/>
        </w:rPr>
        <w:t>、因公出国（境）费用：反映单位公务出国（境）的国际旅费、国内城市间交通费、住宿费、伙食费、培训费、公杂费等支出。</w:t>
      </w:r>
    </w:p>
    <w:p w14:paraId="3EBE3ED7">
      <w:pPr>
        <w:pStyle w:val="12"/>
        <w:widowControl/>
        <w:shd w:val="clear" w:color="auto" w:fill="FFFFFF"/>
        <w:spacing w:before="0" w:beforeAutospacing="0" w:after="0" w:afterAutospacing="0" w:line="560" w:lineRule="atLeast"/>
        <w:ind w:firstLine="640"/>
        <w:rPr>
          <w:rFonts w:hint="eastAsia" w:ascii="仿宋" w:hAnsi="仿宋" w:eastAsia="仿宋" w:cs="仿宋"/>
          <w:color w:val="000000"/>
          <w:sz w:val="32"/>
          <w:szCs w:val="32"/>
          <w:shd w:val="clear" w:color="auto" w:fill="FFFFFF"/>
        </w:rPr>
      </w:pPr>
      <w:r>
        <w:rPr>
          <w:rFonts w:hint="eastAsia" w:ascii="仿宋" w:hAnsi="仿宋" w:eastAsia="仿宋" w:cs="仿宋"/>
          <w:color w:val="000000"/>
          <w:sz w:val="32"/>
          <w:szCs w:val="32"/>
          <w:shd w:val="clear" w:color="auto" w:fill="FFFFFF"/>
        </w:rPr>
        <w:t>2、公务接待费：反映单位按规定开支的各类公务接待（含外宾接待）费用。</w:t>
      </w:r>
    </w:p>
    <w:p w14:paraId="7BAFC310">
      <w:pPr>
        <w:pStyle w:val="12"/>
        <w:widowControl/>
        <w:shd w:val="clear" w:color="auto" w:fill="FFFFFF"/>
        <w:spacing w:before="0" w:beforeAutospacing="0" w:after="0" w:afterAutospacing="0" w:line="560" w:lineRule="atLeast"/>
        <w:ind w:firstLine="640"/>
        <w:rPr>
          <w:rFonts w:hint="eastAsia" w:ascii="Times New Roman" w:hAnsi="Times New Roman" w:eastAsia="宋体"/>
          <w:color w:val="000000"/>
          <w:sz w:val="32"/>
          <w:szCs w:val="32"/>
          <w:shd w:val="clear" w:color="auto" w:fill="FFFFFF"/>
        </w:rPr>
      </w:pPr>
      <w:r>
        <w:rPr>
          <w:rFonts w:hint="eastAsia" w:ascii="仿宋" w:hAnsi="仿宋" w:eastAsia="仿宋" w:cs="仿宋"/>
          <w:color w:val="000000"/>
          <w:sz w:val="32"/>
          <w:szCs w:val="32"/>
          <w:shd w:val="clear" w:color="auto" w:fill="FFFFFF"/>
        </w:rPr>
        <w:t>3、公务用车购置及运行维护费：反映单位公务用车车辆购置支出（含车辆购置税），以及燃料费、维修费、过路过桥费、保险费等支出。</w:t>
      </w:r>
    </w:p>
    <w:p w14:paraId="3A3CD843">
      <w:pPr>
        <w:pStyle w:val="17"/>
        <w:jc w:val="center"/>
        <w:rPr>
          <w:rFonts w:ascii="Times New Roman" w:hAnsi="Times New Roman" w:cs="Times New Roman"/>
          <w:sz w:val="72"/>
          <w:szCs w:val="72"/>
        </w:rPr>
      </w:pPr>
    </w:p>
    <w:p w14:paraId="4FAB01C3">
      <w:pPr>
        <w:pStyle w:val="17"/>
        <w:jc w:val="both"/>
        <w:rPr>
          <w:rFonts w:ascii="Times New Roman" w:hAnsi="Times New Roman" w:cs="Times New Roman"/>
          <w:sz w:val="72"/>
          <w:szCs w:val="72"/>
        </w:rPr>
      </w:pPr>
    </w:p>
    <w:p w14:paraId="7ABBC4C3">
      <w:pPr>
        <w:pStyle w:val="17"/>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第五部分   附 件</w:t>
      </w:r>
    </w:p>
    <w:p w14:paraId="79AED5CB">
      <w:pPr>
        <w:rPr>
          <w:rFonts w:ascii="Times New Roman" w:hAnsi="Times New Roman" w:cs="Times New Roman"/>
          <w:sz w:val="72"/>
          <w:szCs w:val="72"/>
        </w:rPr>
      </w:pPr>
    </w:p>
    <w:p w14:paraId="469F9245">
      <w:pPr>
        <w:pStyle w:val="17"/>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202</w:t>
      </w:r>
      <w:r>
        <w:rPr>
          <w:rFonts w:hint="eastAsia" w:ascii="Times New Roman" w:hAnsi="Times New Roman" w:eastAsia="方正小标宋_GBK" w:cs="Times New Roman"/>
          <w:sz w:val="52"/>
          <w:szCs w:val="52"/>
          <w:lang w:val="en-US" w:eastAsia="zh-CN"/>
        </w:rPr>
        <w:t>5</w:t>
      </w:r>
      <w:r>
        <w:rPr>
          <w:rFonts w:ascii="Times New Roman" w:hAnsi="Times New Roman" w:eastAsia="方正小标宋_GBK" w:cs="Times New Roman"/>
          <w:sz w:val="52"/>
          <w:szCs w:val="52"/>
        </w:rPr>
        <w:t>年度部门(单位)整体支出</w:t>
      </w:r>
    </w:p>
    <w:p w14:paraId="5C12339F">
      <w:pPr>
        <w:pStyle w:val="17"/>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绩效自评报告</w:t>
      </w:r>
    </w:p>
    <w:p w14:paraId="2733E53A">
      <w:pPr>
        <w:pStyle w:val="17"/>
        <w:spacing w:line="360" w:lineRule="auto"/>
        <w:jc w:val="center"/>
        <w:rPr>
          <w:rFonts w:ascii="Times New Roman" w:hAnsi="Times New Roman" w:eastAsia="方正小标宋_GBK" w:cs="Times New Roman"/>
          <w:sz w:val="52"/>
          <w:szCs w:val="52"/>
        </w:rPr>
      </w:pPr>
    </w:p>
    <w:p w14:paraId="228218AB">
      <w:pPr>
        <w:spacing w:line="560" w:lineRule="exact"/>
        <w:ind w:firstLine="640" w:firstLineChars="200"/>
        <w:rPr>
          <w:rFonts w:eastAsia="黑体"/>
          <w:sz w:val="32"/>
          <w:szCs w:val="32"/>
        </w:rPr>
      </w:pPr>
      <w:r>
        <w:rPr>
          <w:rFonts w:hint="eastAsia" w:ascii="黑体" w:hAnsi="黑体" w:eastAsia="黑体" w:cs="黑体"/>
          <w:sz w:val="32"/>
          <w:szCs w:val="32"/>
        </w:rPr>
        <w:t>一、</w:t>
      </w:r>
      <w:r>
        <w:rPr>
          <w:rFonts w:eastAsia="黑体"/>
          <w:sz w:val="32"/>
          <w:szCs w:val="32"/>
        </w:rPr>
        <w:t>部门（单位）基本情况</w:t>
      </w:r>
    </w:p>
    <w:p w14:paraId="383EAA60">
      <w:pPr>
        <w:spacing w:line="560" w:lineRule="exact"/>
        <w:ind w:firstLine="640" w:firstLineChars="200"/>
        <w:rPr>
          <w:rFonts w:hint="eastAsia" w:ascii="仿宋_GB2312" w:eastAsia="仿宋_GB2312"/>
          <w:sz w:val="32"/>
          <w:szCs w:val="32"/>
        </w:rPr>
      </w:pPr>
      <w:r>
        <w:rPr>
          <w:rFonts w:hint="eastAsia" w:ascii="仿宋_GB2312" w:eastAsia="仿宋_GB2312"/>
          <w:sz w:val="32"/>
          <w:szCs w:val="32"/>
        </w:rPr>
        <w:t>祁阳现代农业产业园区管理委员会（以下简称“园区管委会”）主要承担以下职责：</w:t>
      </w:r>
    </w:p>
    <w:p w14:paraId="4C549F53">
      <w:pPr>
        <w:spacing w:line="560" w:lineRule="exact"/>
        <w:ind w:firstLine="640" w:firstLineChars="200"/>
        <w:rPr>
          <w:rFonts w:hint="eastAsia" w:ascii="仿宋_GB2312" w:eastAsia="仿宋_GB2312"/>
          <w:sz w:val="32"/>
          <w:szCs w:val="32"/>
        </w:rPr>
      </w:pPr>
      <w:r>
        <w:rPr>
          <w:rFonts w:hint="eastAsia" w:ascii="仿宋_GB2312" w:eastAsia="仿宋_GB2312"/>
          <w:sz w:val="32"/>
          <w:szCs w:val="32"/>
        </w:rPr>
        <w:t>贯彻执行国家、省、永州市关于农业园区发展的法律法规和政策部署，落实市委、市政府重大决策和工作安排；依据全市国民经济和社会发展规划、土地利用总体规划，组织编制园区中长期发展规划和年度计划并组织实施。</w:t>
      </w:r>
    </w:p>
    <w:p w14:paraId="4830DD9D">
      <w:pPr>
        <w:spacing w:line="560" w:lineRule="exact"/>
        <w:ind w:firstLine="640" w:firstLineChars="200"/>
        <w:rPr>
          <w:rFonts w:hint="eastAsia" w:ascii="仿宋_GB2312" w:eastAsia="仿宋_GB2312"/>
          <w:sz w:val="32"/>
          <w:szCs w:val="32"/>
        </w:rPr>
      </w:pPr>
      <w:r>
        <w:rPr>
          <w:rFonts w:hint="eastAsia" w:ascii="仿宋_GB2312" w:eastAsia="仿宋_GB2312"/>
          <w:sz w:val="32"/>
          <w:szCs w:val="32"/>
        </w:rPr>
        <w:t>负责农业科技成果、先进实用技术的引进、示范、创新与推广，推进优质农产品标准化、产业化建设。</w:t>
      </w:r>
    </w:p>
    <w:p w14:paraId="0B340679">
      <w:pPr>
        <w:spacing w:line="560" w:lineRule="exact"/>
        <w:ind w:firstLine="640" w:firstLineChars="200"/>
        <w:rPr>
          <w:rFonts w:hint="eastAsia" w:ascii="仿宋_GB2312" w:eastAsia="仿宋_GB2312"/>
          <w:sz w:val="32"/>
          <w:szCs w:val="32"/>
        </w:rPr>
      </w:pPr>
      <w:r>
        <w:rPr>
          <w:rFonts w:hint="eastAsia" w:ascii="仿宋_GB2312" w:eastAsia="仿宋_GB2312"/>
          <w:sz w:val="32"/>
          <w:szCs w:val="32"/>
        </w:rPr>
        <w:t>统筹园区各类项目申报与实施，协调相关部门开展农业企业成果鉴定、验收及全过程管理。</w:t>
      </w:r>
    </w:p>
    <w:p w14:paraId="7FF94F22">
      <w:pPr>
        <w:spacing w:line="560" w:lineRule="exact"/>
        <w:ind w:firstLine="640" w:firstLineChars="200"/>
        <w:rPr>
          <w:rFonts w:hint="eastAsia" w:ascii="仿宋_GB2312" w:eastAsia="仿宋_GB2312"/>
          <w:sz w:val="32"/>
          <w:szCs w:val="32"/>
        </w:rPr>
      </w:pPr>
      <w:r>
        <w:rPr>
          <w:rFonts w:hint="eastAsia" w:ascii="仿宋_GB2312" w:eastAsia="仿宋_GB2312"/>
          <w:sz w:val="32"/>
          <w:szCs w:val="32"/>
        </w:rPr>
        <w:t>负责园区基础设施规划、建设与管理，承担园区内农业产业景区管理与服务工作。</w:t>
      </w:r>
    </w:p>
    <w:p w14:paraId="0162C0EA">
      <w:pPr>
        <w:spacing w:line="560" w:lineRule="exact"/>
        <w:ind w:firstLine="640" w:firstLineChars="200"/>
        <w:rPr>
          <w:rFonts w:hint="eastAsia" w:ascii="仿宋_GB2312" w:eastAsia="仿宋_GB2312"/>
          <w:sz w:val="32"/>
          <w:szCs w:val="32"/>
        </w:rPr>
      </w:pPr>
      <w:r>
        <w:rPr>
          <w:rFonts w:hint="eastAsia" w:ascii="仿宋_GB2312" w:eastAsia="仿宋_GB2312"/>
          <w:sz w:val="32"/>
          <w:szCs w:val="32"/>
        </w:rPr>
        <w:t>统筹推进园区建设与招商引资工作。</w:t>
      </w:r>
    </w:p>
    <w:p w14:paraId="6E15B2E6">
      <w:pPr>
        <w:spacing w:line="560" w:lineRule="exact"/>
        <w:ind w:firstLine="640" w:firstLineChars="200"/>
        <w:rPr>
          <w:rFonts w:hint="eastAsia" w:ascii="仿宋_GB2312" w:eastAsia="仿宋_GB2312"/>
          <w:sz w:val="32"/>
          <w:szCs w:val="32"/>
        </w:rPr>
      </w:pPr>
      <w:r>
        <w:rPr>
          <w:rFonts w:hint="eastAsia" w:ascii="仿宋_GB2312" w:eastAsia="仿宋_GB2312"/>
          <w:sz w:val="32"/>
          <w:szCs w:val="32"/>
        </w:rPr>
        <w:t>深化与科研院所（院校）合作交流，做好专业技术人才引进、培养与交流合作。</w:t>
      </w:r>
    </w:p>
    <w:p w14:paraId="132E76E2">
      <w:pPr>
        <w:spacing w:line="560" w:lineRule="exact"/>
        <w:ind w:firstLine="640" w:firstLineChars="200"/>
        <w:rPr>
          <w:rFonts w:hint="eastAsia" w:ascii="仿宋_GB2312" w:eastAsia="仿宋_GB2312"/>
          <w:sz w:val="32"/>
          <w:szCs w:val="32"/>
        </w:rPr>
      </w:pPr>
      <w:r>
        <w:rPr>
          <w:rFonts w:hint="eastAsia" w:ascii="仿宋_GB2312" w:eastAsia="仿宋_GB2312"/>
          <w:sz w:val="32"/>
          <w:szCs w:val="32"/>
        </w:rPr>
        <w:t>负责园区党务、群团、人事、人才、统计、审计、财务、国有资产管理、人社、综治维稳、安全生产、环境卫生等综合管理事务。</w:t>
      </w:r>
    </w:p>
    <w:p w14:paraId="12A3F76F">
      <w:pPr>
        <w:spacing w:line="560" w:lineRule="exact"/>
        <w:ind w:firstLine="640" w:firstLineChars="200"/>
        <w:rPr>
          <w:rFonts w:hint="eastAsia" w:ascii="仿宋_GB2312" w:eastAsia="仿宋_GB2312"/>
          <w:sz w:val="32"/>
          <w:szCs w:val="32"/>
        </w:rPr>
      </w:pPr>
      <w:r>
        <w:rPr>
          <w:rFonts w:hint="eastAsia" w:ascii="仿宋_GB2312" w:eastAsia="仿宋_GB2312"/>
          <w:sz w:val="32"/>
          <w:szCs w:val="32"/>
        </w:rPr>
        <w:t>承办市委、市政府交办的其他事项。</w:t>
      </w:r>
    </w:p>
    <w:p w14:paraId="64F16D9D">
      <w:pPr>
        <w:widowControl/>
        <w:spacing w:line="560" w:lineRule="exact"/>
        <w:ind w:firstLine="640" w:firstLineChars="200"/>
        <w:rPr>
          <w:rFonts w:hint="eastAsia" w:ascii="仿宋_GB2312" w:eastAsia="仿宋_GB2312"/>
          <w:sz w:val="32"/>
          <w:szCs w:val="32"/>
        </w:rPr>
      </w:pPr>
      <w:r>
        <w:rPr>
          <w:rFonts w:hint="eastAsia" w:ascii="仿宋_GB2312" w:eastAsia="仿宋_GB2312"/>
          <w:sz w:val="32"/>
          <w:szCs w:val="32"/>
        </w:rPr>
        <w:t>机构设置：内设</w:t>
      </w:r>
      <w:r>
        <w:rPr>
          <w:rFonts w:hint="eastAsia" w:ascii="Times New Roman" w:hAnsi="Times New Roman" w:eastAsia="仿宋_GB2312" w:cs="Times New Roman"/>
          <w:bCs/>
          <w:kern w:val="0"/>
          <w:sz w:val="32"/>
          <w:szCs w:val="32"/>
          <w:lang w:eastAsia="zh-CN"/>
        </w:rPr>
        <w:t>综合办公室</w:t>
      </w:r>
      <w:r>
        <w:rPr>
          <w:rFonts w:hint="eastAsia" w:ascii="仿宋_GB2312" w:hAnsi="仿宋_GB2312" w:eastAsia="仿宋_GB2312" w:cs="仿宋_GB2312"/>
          <w:bCs/>
          <w:sz w:val="32"/>
          <w:szCs w:val="32"/>
        </w:rPr>
        <w:t>、计划财务</w:t>
      </w:r>
      <w:r>
        <w:rPr>
          <w:rFonts w:hint="eastAsia" w:ascii="仿宋_GB2312" w:hAnsi="仿宋_GB2312" w:eastAsia="仿宋_GB2312" w:cs="仿宋_GB2312"/>
          <w:bCs/>
          <w:sz w:val="32"/>
          <w:szCs w:val="32"/>
          <w:lang w:eastAsia="zh-CN"/>
        </w:rPr>
        <w:t>股</w:t>
      </w:r>
      <w:r>
        <w:rPr>
          <w:rFonts w:hint="eastAsia" w:ascii="仿宋_GB2312" w:hAnsi="仿宋_GB2312" w:eastAsia="仿宋_GB2312" w:cs="仿宋_GB2312"/>
          <w:bCs/>
          <w:sz w:val="32"/>
          <w:szCs w:val="32"/>
        </w:rPr>
        <w:t>、项目建设管理</w:t>
      </w:r>
      <w:r>
        <w:rPr>
          <w:rFonts w:hint="eastAsia" w:ascii="仿宋_GB2312" w:hAnsi="仿宋_GB2312" w:eastAsia="仿宋_GB2312" w:cs="仿宋_GB2312"/>
          <w:bCs/>
          <w:sz w:val="32"/>
          <w:szCs w:val="32"/>
          <w:lang w:eastAsia="zh-CN"/>
        </w:rPr>
        <w:t>股</w:t>
      </w:r>
      <w:r>
        <w:rPr>
          <w:rFonts w:hint="eastAsia" w:ascii="仿宋_GB2312" w:hAnsi="仿宋_GB2312" w:eastAsia="仿宋_GB2312" w:cs="仿宋_GB2312"/>
          <w:bCs/>
          <w:sz w:val="32"/>
          <w:szCs w:val="32"/>
        </w:rPr>
        <w:t>(农业科技开发</w:t>
      </w:r>
      <w:r>
        <w:rPr>
          <w:rFonts w:hint="eastAsia" w:ascii="仿宋_GB2312" w:hAnsi="仿宋_GB2312" w:eastAsia="仿宋_GB2312" w:cs="仿宋_GB2312"/>
          <w:bCs/>
          <w:sz w:val="32"/>
          <w:szCs w:val="32"/>
          <w:lang w:eastAsia="zh-CN"/>
        </w:rPr>
        <w:t>股</w:t>
      </w:r>
      <w:r>
        <w:rPr>
          <w:rFonts w:hint="eastAsia" w:ascii="仿宋_GB2312" w:hAnsi="仿宋_GB2312" w:eastAsia="仿宋_GB2312" w:cs="仿宋_GB2312"/>
          <w:bCs/>
          <w:sz w:val="32"/>
          <w:szCs w:val="32"/>
        </w:rPr>
        <w:t>)、景区管理服务</w:t>
      </w:r>
      <w:r>
        <w:rPr>
          <w:rFonts w:hint="eastAsia" w:ascii="仿宋_GB2312" w:hAnsi="仿宋_GB2312" w:eastAsia="仿宋_GB2312" w:cs="仿宋_GB2312"/>
          <w:bCs/>
          <w:sz w:val="32"/>
          <w:szCs w:val="32"/>
          <w:lang w:eastAsia="zh-CN"/>
        </w:rPr>
        <w:t>股</w:t>
      </w:r>
      <w:r>
        <w:rPr>
          <w:rFonts w:hint="eastAsia" w:ascii="仿宋_GB2312" w:hAnsi="仿宋_GB2312" w:eastAsia="仿宋_GB2312" w:cs="仿宋_GB2312"/>
          <w:bCs/>
          <w:sz w:val="32"/>
          <w:szCs w:val="32"/>
        </w:rPr>
        <w:t>、产业发展</w:t>
      </w:r>
      <w:r>
        <w:rPr>
          <w:rFonts w:hint="eastAsia" w:ascii="仿宋_GB2312" w:hAnsi="仿宋_GB2312" w:eastAsia="仿宋_GB2312" w:cs="仿宋_GB2312"/>
          <w:bCs/>
          <w:sz w:val="32"/>
          <w:szCs w:val="32"/>
          <w:lang w:eastAsia="zh-CN"/>
        </w:rPr>
        <w:t>股</w:t>
      </w:r>
      <w:r>
        <w:rPr>
          <w:rFonts w:hint="eastAsia" w:ascii="仿宋_GB2312" w:hAnsi="仿宋_GB2312" w:eastAsia="仿宋_GB2312" w:cs="仿宋_GB2312"/>
          <w:bCs/>
          <w:sz w:val="32"/>
          <w:szCs w:val="32"/>
        </w:rPr>
        <w:t>(招商合作</w:t>
      </w:r>
      <w:r>
        <w:rPr>
          <w:rFonts w:hint="eastAsia" w:ascii="仿宋_GB2312" w:hAnsi="仿宋_GB2312" w:eastAsia="仿宋_GB2312" w:cs="仿宋_GB2312"/>
          <w:bCs/>
          <w:sz w:val="32"/>
          <w:szCs w:val="32"/>
          <w:lang w:eastAsia="zh-CN"/>
        </w:rPr>
        <w:t>股</w:t>
      </w:r>
      <w:r>
        <w:rPr>
          <w:rFonts w:hint="eastAsia" w:ascii="仿宋_GB2312" w:hAnsi="仿宋_GB2312" w:eastAsia="仿宋_GB2312" w:cs="仿宋_GB2312"/>
          <w:bCs/>
          <w:sz w:val="32"/>
          <w:szCs w:val="32"/>
        </w:rPr>
        <w:t>)</w:t>
      </w:r>
      <w:r>
        <w:rPr>
          <w:rFonts w:hint="eastAsia" w:ascii="仿宋_GB2312" w:hAnsi="仿宋_GB2312" w:eastAsia="仿宋_GB2312" w:cs="仿宋_GB2312"/>
          <w:bCs/>
          <w:sz w:val="32"/>
          <w:szCs w:val="32"/>
          <w:lang w:eastAsia="zh-CN"/>
        </w:rPr>
        <w:t>、</w:t>
      </w:r>
      <w:r>
        <w:rPr>
          <w:rFonts w:hint="eastAsia" w:ascii="仿宋_GB2312" w:hAnsi="仿宋_GB2312" w:eastAsia="仿宋_GB2312" w:cs="仿宋_GB2312"/>
          <w:bCs/>
          <w:sz w:val="32"/>
          <w:szCs w:val="32"/>
        </w:rPr>
        <w:t>农村工作</w:t>
      </w:r>
      <w:r>
        <w:rPr>
          <w:rFonts w:hint="eastAsia" w:ascii="仿宋_GB2312" w:hAnsi="仿宋_GB2312" w:eastAsia="仿宋_GB2312" w:cs="仿宋_GB2312"/>
          <w:bCs/>
          <w:sz w:val="32"/>
          <w:szCs w:val="32"/>
          <w:lang w:eastAsia="zh-CN"/>
        </w:rPr>
        <w:t>股</w:t>
      </w:r>
      <w:r>
        <w:rPr>
          <w:rFonts w:hint="eastAsia" w:ascii="仿宋_GB2312" w:hAnsi="仿宋_GB2312" w:eastAsia="仿宋_GB2312" w:cs="仿宋_GB2312"/>
          <w:bCs/>
          <w:sz w:val="32"/>
          <w:szCs w:val="32"/>
        </w:rPr>
        <w:t>。</w:t>
      </w:r>
      <w:r>
        <w:rPr>
          <w:rFonts w:hint="eastAsia" w:ascii="仿宋_GB2312" w:eastAsia="仿宋_GB2312"/>
          <w:sz w:val="32"/>
          <w:szCs w:val="32"/>
        </w:rPr>
        <w:t>人员编制：核定全额拨款事业编制20名；截至2025年末，在职在编人员6人。</w:t>
      </w:r>
    </w:p>
    <w:p w14:paraId="363253AD">
      <w:pPr>
        <w:spacing w:line="560" w:lineRule="exact"/>
        <w:ind w:firstLine="640" w:firstLineChars="200"/>
        <w:rPr>
          <w:rFonts w:hint="eastAsia" w:ascii="仿宋_GB2312" w:eastAsia="仿宋_GB2312"/>
          <w:sz w:val="32"/>
          <w:szCs w:val="32"/>
        </w:rPr>
      </w:pPr>
      <w:r>
        <w:rPr>
          <w:rFonts w:hint="eastAsia" w:ascii="仿宋_GB2312" w:eastAsia="仿宋_GB2312"/>
          <w:sz w:val="32"/>
          <w:szCs w:val="32"/>
        </w:rPr>
        <w:t>（二）整体支出规模及结构</w:t>
      </w:r>
    </w:p>
    <w:p w14:paraId="3BC31D1F">
      <w:pPr>
        <w:spacing w:line="560" w:lineRule="exact"/>
        <w:ind w:firstLine="640" w:firstLineChars="200"/>
        <w:rPr>
          <w:rFonts w:hint="eastAsia" w:ascii="仿宋_GB2312" w:eastAsia="仿宋_GB2312"/>
          <w:sz w:val="32"/>
          <w:szCs w:val="32"/>
        </w:rPr>
      </w:pPr>
      <w:r>
        <w:rPr>
          <w:rFonts w:hint="eastAsia" w:ascii="仿宋_GB2312" w:eastAsia="仿宋_GB2312"/>
          <w:sz w:val="32"/>
          <w:szCs w:val="32"/>
        </w:rPr>
        <w:t>2025年部门决算总收入3,540.73万元，总支出3,540.73万元，收支平衡，年末结转结余0万元。</w:t>
      </w:r>
    </w:p>
    <w:p w14:paraId="11A4E3E6">
      <w:pPr>
        <w:spacing w:line="560" w:lineRule="exact"/>
        <w:ind w:firstLine="640" w:firstLineChars="200"/>
        <w:rPr>
          <w:rFonts w:hint="eastAsia" w:ascii="仿宋_GB2312" w:eastAsia="仿宋_GB2312"/>
          <w:sz w:val="32"/>
          <w:szCs w:val="32"/>
        </w:rPr>
      </w:pPr>
      <w:r>
        <w:rPr>
          <w:rFonts w:hint="eastAsia" w:ascii="仿宋_GB2312" w:eastAsia="仿宋_GB2312"/>
          <w:sz w:val="32"/>
          <w:szCs w:val="32"/>
        </w:rPr>
        <w:t>基本支出：74.53万元，占总支出的2.10%。其中：人员经费70.06万元（占比94%），主要用于基本工资、绩效</w:t>
      </w:r>
      <w:r>
        <w:rPr>
          <w:rFonts w:hint="eastAsia" w:ascii="仿宋_GB2312" w:eastAsia="仿宋_GB2312"/>
          <w:sz w:val="32"/>
          <w:szCs w:val="32"/>
          <w:lang w:eastAsia="zh-CN"/>
        </w:rPr>
        <w:t>工资</w:t>
      </w:r>
      <w:r>
        <w:rPr>
          <w:rFonts w:hint="eastAsia" w:ascii="仿宋_GB2312" w:eastAsia="仿宋_GB2312"/>
          <w:sz w:val="32"/>
          <w:szCs w:val="32"/>
        </w:rPr>
        <w:t>及“五险一金”缴纳；公用经费4.47万元（占比</w:t>
      </w:r>
      <w:r>
        <w:rPr>
          <w:rFonts w:hint="eastAsia" w:ascii="仿宋_GB2312" w:eastAsia="仿宋_GB2312"/>
          <w:sz w:val="32"/>
          <w:szCs w:val="32"/>
          <w:lang w:val="en-US" w:eastAsia="zh-CN"/>
        </w:rPr>
        <w:t>6</w:t>
      </w:r>
      <w:r>
        <w:rPr>
          <w:rFonts w:hint="eastAsia" w:ascii="仿宋_GB2312" w:eastAsia="仿宋_GB2312"/>
          <w:sz w:val="32"/>
          <w:szCs w:val="32"/>
        </w:rPr>
        <w:t>%），用于保障日常办公运转的必要开支。</w:t>
      </w:r>
    </w:p>
    <w:p w14:paraId="75EAA851">
      <w:pPr>
        <w:spacing w:line="560" w:lineRule="exact"/>
        <w:ind w:firstLine="640" w:firstLineChars="200"/>
        <w:rPr>
          <w:rFonts w:hint="eastAsia" w:ascii="仿宋_GB2312" w:eastAsia="仿宋_GB2312"/>
          <w:sz w:val="32"/>
          <w:szCs w:val="32"/>
        </w:rPr>
      </w:pPr>
      <w:r>
        <w:rPr>
          <w:rFonts w:hint="eastAsia" w:ascii="仿宋_GB2312" w:eastAsia="仿宋_GB2312"/>
          <w:sz w:val="32"/>
          <w:szCs w:val="32"/>
        </w:rPr>
        <w:t>项目支出：3,466.20万元，占总支出的97.90%。</w:t>
      </w:r>
    </w:p>
    <w:p w14:paraId="54582491">
      <w:pPr>
        <w:spacing w:line="560" w:lineRule="exact"/>
        <w:ind w:firstLine="640" w:firstLineChars="200"/>
        <w:rPr>
          <w:rFonts w:hint="eastAsia" w:ascii="仿宋_GB2312" w:eastAsia="仿宋_GB2312"/>
          <w:sz w:val="32"/>
          <w:szCs w:val="32"/>
        </w:rPr>
      </w:pPr>
      <w:r>
        <w:rPr>
          <w:rFonts w:hint="eastAsia" w:ascii="仿宋_GB2312" w:eastAsia="仿宋_GB2312"/>
          <w:sz w:val="32"/>
          <w:szCs w:val="32"/>
        </w:rPr>
        <w:t>“三公”经费：严格执行中央八项规定及厉行节约要求，全年支出</w:t>
      </w:r>
      <w:r>
        <w:rPr>
          <w:rFonts w:hint="eastAsia" w:ascii="仿宋_GB2312" w:eastAsia="仿宋_GB2312"/>
          <w:sz w:val="32"/>
          <w:szCs w:val="32"/>
          <w:lang w:val="en-US" w:eastAsia="zh-CN"/>
        </w:rPr>
        <w:t>0</w:t>
      </w:r>
      <w:r>
        <w:rPr>
          <w:rFonts w:hint="eastAsia" w:ascii="仿宋_GB2312" w:eastAsia="仿宋_GB2312"/>
          <w:sz w:val="32"/>
          <w:szCs w:val="32"/>
        </w:rPr>
        <w:t>万元，控制在预算限额内，管理规范。 </w:t>
      </w:r>
    </w:p>
    <w:p w14:paraId="4D407D1E">
      <w:pPr>
        <w:spacing w:line="56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二、一般公共预算及政府性基金预算支出情况</w:t>
      </w:r>
    </w:p>
    <w:p w14:paraId="21009E28">
      <w:pPr>
        <w:spacing w:line="560" w:lineRule="exact"/>
        <w:ind w:firstLine="640" w:firstLineChars="200"/>
        <w:rPr>
          <w:rFonts w:hint="eastAsia" w:ascii="仿宋_GB2312" w:eastAsia="仿宋_GB2312"/>
          <w:sz w:val="32"/>
          <w:szCs w:val="32"/>
        </w:rPr>
      </w:pPr>
      <w:r>
        <w:rPr>
          <w:rFonts w:hint="eastAsia" w:ascii="仿宋_GB2312" w:eastAsia="仿宋_GB2312"/>
          <w:sz w:val="32"/>
          <w:szCs w:val="32"/>
        </w:rPr>
        <w:t>（一）基本支出执行情况</w:t>
      </w:r>
      <w:r>
        <w:rPr>
          <w:rFonts w:hint="eastAsia" w:ascii="仿宋_GB2312" w:eastAsia="仿宋_GB2312"/>
          <w:sz w:val="32"/>
          <w:szCs w:val="32"/>
          <w:lang w:eastAsia="zh-CN"/>
        </w:rPr>
        <w:t>。</w:t>
      </w:r>
      <w:r>
        <w:rPr>
          <w:rFonts w:hint="eastAsia" w:ascii="仿宋_GB2312" w:eastAsia="仿宋_GB2312"/>
          <w:sz w:val="32"/>
          <w:szCs w:val="32"/>
        </w:rPr>
        <w:t>全年基本支出74.53万元，保障标准严格控制在定额范围内，</w:t>
      </w:r>
      <w:r>
        <w:rPr>
          <w:rFonts w:hint="eastAsia" w:ascii="仿宋_GB2312" w:eastAsia="仿宋_GB2312"/>
          <w:sz w:val="32"/>
          <w:szCs w:val="32"/>
          <w:lang w:eastAsia="zh-CN"/>
        </w:rPr>
        <w:t>保障了人员工资和社保缴费，</w:t>
      </w:r>
      <w:r>
        <w:rPr>
          <w:rFonts w:hint="eastAsia" w:ascii="仿宋_GB2312" w:eastAsia="仿宋_GB2312"/>
          <w:sz w:val="32"/>
          <w:szCs w:val="32"/>
        </w:rPr>
        <w:t>公用经费优先保障必要办公与职工基本权益，运行成本得到有效压降。</w:t>
      </w:r>
    </w:p>
    <w:p w14:paraId="0564A421">
      <w:pPr>
        <w:spacing w:line="560" w:lineRule="exact"/>
        <w:ind w:firstLine="640" w:firstLineChars="200"/>
        <w:rPr>
          <w:rFonts w:hint="eastAsia" w:ascii="仿宋_GB2312" w:eastAsia="仿宋_GB2312"/>
          <w:sz w:val="32"/>
          <w:szCs w:val="32"/>
        </w:rPr>
      </w:pPr>
      <w:r>
        <w:rPr>
          <w:rFonts w:hint="eastAsia" w:ascii="仿宋_GB2312" w:eastAsia="仿宋_GB2312"/>
          <w:sz w:val="32"/>
          <w:szCs w:val="32"/>
        </w:rPr>
        <w:t>（二）项目支出—一般公共预算拨款使用情况</w:t>
      </w:r>
      <w:r>
        <w:rPr>
          <w:rFonts w:hint="eastAsia" w:ascii="仿宋_GB2312" w:eastAsia="仿宋_GB2312"/>
          <w:sz w:val="32"/>
          <w:szCs w:val="32"/>
          <w:lang w:eastAsia="zh-CN"/>
        </w:rPr>
        <w:t>。</w:t>
      </w:r>
      <w:r>
        <w:rPr>
          <w:rFonts w:hint="eastAsia" w:ascii="仿宋_GB2312" w:eastAsia="仿宋_GB2312"/>
          <w:sz w:val="32"/>
          <w:szCs w:val="32"/>
        </w:rPr>
        <w:t>全年一般公共预算项目支出445.47万元，重点投向园区基础运维领域</w:t>
      </w:r>
      <w:r>
        <w:rPr>
          <w:rFonts w:hint="eastAsia" w:ascii="仿宋_GB2312" w:eastAsia="仿宋_GB2312"/>
          <w:sz w:val="32"/>
          <w:szCs w:val="32"/>
          <w:lang w:eastAsia="zh-CN"/>
        </w:rPr>
        <w:t>及</w:t>
      </w:r>
      <w:r>
        <w:rPr>
          <w:rFonts w:hint="eastAsia" w:ascii="仿宋_GB2312" w:eastAsia="仿宋_GB2312"/>
          <w:sz w:val="32"/>
          <w:szCs w:val="32"/>
        </w:rPr>
        <w:t>景区运维保障</w:t>
      </w:r>
      <w:r>
        <w:rPr>
          <w:rFonts w:hint="eastAsia" w:ascii="仿宋_GB2312" w:eastAsia="仿宋_GB2312"/>
          <w:sz w:val="32"/>
          <w:szCs w:val="32"/>
          <w:lang w:eastAsia="zh-CN"/>
        </w:rPr>
        <w:t>，</w:t>
      </w:r>
      <w:r>
        <w:rPr>
          <w:rFonts w:hint="eastAsia" w:ascii="仿宋_GB2312" w:eastAsia="仿宋_GB2312"/>
          <w:sz w:val="32"/>
          <w:szCs w:val="32"/>
        </w:rPr>
        <w:t>常态化开展环卫</w:t>
      </w:r>
      <w:r>
        <w:rPr>
          <w:rFonts w:hint="eastAsia" w:ascii="仿宋_GB2312" w:eastAsia="仿宋_GB2312"/>
          <w:sz w:val="32"/>
          <w:szCs w:val="32"/>
          <w:lang w:eastAsia="zh-CN"/>
        </w:rPr>
        <w:t>保洁</w:t>
      </w:r>
      <w:r>
        <w:rPr>
          <w:rFonts w:hint="eastAsia" w:ascii="仿宋_GB2312" w:eastAsia="仿宋_GB2312"/>
          <w:sz w:val="32"/>
          <w:szCs w:val="32"/>
        </w:rPr>
        <w:t>，路灯照明设施完好运行，夜间通行安全性与景区整体环境面貌显著提升。实施园区树木防寒刷白工程，有效增强苗木抗冻抗病能力，遏制越冬病虫害滋生，确保园区绿植安全越冬、健康生长。</w:t>
      </w:r>
    </w:p>
    <w:p w14:paraId="51503C67">
      <w:pPr>
        <w:spacing w:line="560" w:lineRule="exact"/>
        <w:ind w:firstLine="640" w:firstLineChars="200"/>
        <w:rPr>
          <w:rFonts w:hint="eastAsia" w:ascii="仿宋_GB2312" w:eastAsia="仿宋_GB2312"/>
          <w:sz w:val="32"/>
          <w:szCs w:val="32"/>
        </w:rPr>
      </w:pPr>
      <w:r>
        <w:rPr>
          <w:rFonts w:hint="eastAsia" w:ascii="仿宋_GB2312" w:eastAsia="仿宋_GB2312"/>
          <w:sz w:val="32"/>
          <w:szCs w:val="32"/>
        </w:rPr>
        <w:t>（三）项目支出—政府性基金预算使用情况</w:t>
      </w:r>
      <w:r>
        <w:rPr>
          <w:rFonts w:hint="eastAsia" w:ascii="仿宋_GB2312" w:eastAsia="仿宋_GB2312"/>
          <w:sz w:val="32"/>
          <w:szCs w:val="32"/>
          <w:lang w:eastAsia="zh-CN"/>
        </w:rPr>
        <w:t>。</w:t>
      </w:r>
      <w:r>
        <w:rPr>
          <w:rFonts w:hint="eastAsia" w:ascii="仿宋_GB2312" w:eastAsia="仿宋_GB2312"/>
          <w:sz w:val="32"/>
          <w:szCs w:val="32"/>
        </w:rPr>
        <w:t>全年政府性基金支出3,020.73万元，集中用于补短板、提能级的基础设施建设项目：实施主干道修缮及道路提质改造工程，整体路况与通行承载力明显改善，园区对外通达性和内部循环效率同步提升。新建临时停车场并完成往年同类项目尾款结算，新增泊位资源稳定投入使用，</w:t>
      </w:r>
      <w:r>
        <w:rPr>
          <w:rFonts w:hint="eastAsia" w:ascii="仿宋_GB2312" w:eastAsia="仿宋_GB2312"/>
          <w:sz w:val="32"/>
          <w:szCs w:val="32"/>
          <w:lang w:eastAsia="zh-CN"/>
        </w:rPr>
        <w:t>有效</w:t>
      </w:r>
      <w:r>
        <w:rPr>
          <w:rFonts w:hint="eastAsia" w:ascii="仿宋_GB2312" w:eastAsia="仿宋_GB2312"/>
          <w:sz w:val="32"/>
          <w:szCs w:val="32"/>
        </w:rPr>
        <w:t>缓解</w:t>
      </w:r>
      <w:r>
        <w:rPr>
          <w:rFonts w:hint="eastAsia" w:ascii="仿宋_GB2312" w:eastAsia="仿宋_GB2312"/>
          <w:sz w:val="32"/>
          <w:szCs w:val="32"/>
          <w:lang w:eastAsia="zh-CN"/>
        </w:rPr>
        <w:t>了</w:t>
      </w:r>
      <w:r>
        <w:rPr>
          <w:rFonts w:hint="eastAsia" w:ascii="仿宋_GB2312" w:eastAsia="仿宋_GB2312"/>
          <w:sz w:val="32"/>
          <w:szCs w:val="32"/>
        </w:rPr>
        <w:t>旅游旺季及农忙时节停车压力。推进乡村研学馆电力配套、农副产品加工区线路及电缆工程尾款结清，补齐场馆运营与生产加工长期稳定的电力保障短板。开展植被补植、爱心池防渗漏及防护栏工程尾款支付、大棚玻璃清洗、户外广告宣传牌制作等项目，园区生态景观品质与对外展示形象持续优化。</w:t>
      </w:r>
    </w:p>
    <w:p w14:paraId="3F60A0FB">
      <w:pPr>
        <w:spacing w:line="560" w:lineRule="exact"/>
        <w:ind w:firstLine="640" w:firstLineChars="200"/>
        <w:rPr>
          <w:rFonts w:hint="eastAsia" w:ascii="仿宋_GB2312" w:eastAsia="仿宋_GB2312"/>
          <w:sz w:val="32"/>
          <w:szCs w:val="32"/>
        </w:rPr>
      </w:pPr>
      <w:r>
        <w:rPr>
          <w:rFonts w:hint="eastAsia" w:ascii="仿宋_GB2312" w:eastAsia="仿宋_GB2312"/>
          <w:sz w:val="32"/>
          <w:szCs w:val="32"/>
        </w:rPr>
        <w:t>所有项目均按计划方案有序推进，立项、采购、验收、结算程序齐全合规。</w:t>
      </w:r>
    </w:p>
    <w:p w14:paraId="3D35E2BB">
      <w:pPr>
        <w:spacing w:line="560" w:lineRule="exact"/>
        <w:ind w:firstLine="640" w:firstLineChars="200"/>
        <w:rPr>
          <w:rFonts w:hint="eastAsia" w:ascii="仿宋_GB2312" w:eastAsia="仿宋_GB2312"/>
          <w:sz w:val="32"/>
          <w:szCs w:val="32"/>
        </w:rPr>
      </w:pPr>
      <w:r>
        <w:rPr>
          <w:rFonts w:hint="eastAsia" w:ascii="仿宋_GB2312" w:eastAsia="仿宋_GB2312"/>
          <w:sz w:val="32"/>
          <w:szCs w:val="32"/>
        </w:rPr>
        <w:t>注：本年度无国有资本经营预算、社会保险基金预算支出。</w:t>
      </w:r>
    </w:p>
    <w:p w14:paraId="69C0F1A0">
      <w:pPr>
        <w:spacing w:line="56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三、部门整体支出绩效情况</w:t>
      </w:r>
    </w:p>
    <w:p w14:paraId="79C1DD1A">
      <w:pPr>
        <w:spacing w:line="560" w:lineRule="exact"/>
        <w:ind w:firstLine="640" w:firstLineChars="200"/>
        <w:rPr>
          <w:rFonts w:hint="eastAsia" w:ascii="仿宋_GB2312" w:eastAsia="仿宋_GB2312"/>
          <w:sz w:val="32"/>
          <w:szCs w:val="32"/>
        </w:rPr>
      </w:pPr>
      <w:r>
        <w:rPr>
          <w:rFonts w:hint="eastAsia" w:ascii="仿宋_GB2312" w:eastAsia="仿宋_GB2312"/>
          <w:sz w:val="32"/>
          <w:szCs w:val="32"/>
        </w:rPr>
        <w:t>2025年，园区管委会统筹各类财政资金，紧扣“基础设施完善、运维管护提质、产业配套赋能、生态环境优化”四大主线，履职质效稳步提升：</w:t>
      </w:r>
    </w:p>
    <w:p w14:paraId="4E43F64B">
      <w:pPr>
        <w:spacing w:line="560" w:lineRule="exact"/>
        <w:ind w:firstLine="640" w:firstLineChars="200"/>
        <w:rPr>
          <w:rFonts w:hint="eastAsia" w:ascii="仿宋_GB2312" w:eastAsia="仿宋_GB2312"/>
          <w:sz w:val="32"/>
          <w:szCs w:val="32"/>
        </w:rPr>
      </w:pPr>
      <w:r>
        <w:rPr>
          <w:rFonts w:hint="eastAsia" w:ascii="仿宋_GB2312" w:eastAsia="仿宋_GB2312"/>
          <w:sz w:val="32"/>
          <w:szCs w:val="32"/>
        </w:rPr>
        <w:t>（一）运行成本与管理效率</w:t>
      </w:r>
      <w:r>
        <w:rPr>
          <w:rFonts w:hint="eastAsia" w:ascii="仿宋_GB2312" w:eastAsia="仿宋_GB2312"/>
          <w:sz w:val="32"/>
          <w:szCs w:val="32"/>
          <w:lang w:eastAsia="zh-CN"/>
        </w:rPr>
        <w:t>。</w:t>
      </w:r>
      <w:r>
        <w:rPr>
          <w:rFonts w:hint="eastAsia" w:ascii="仿宋_GB2312" w:eastAsia="仿宋_GB2312"/>
          <w:sz w:val="32"/>
          <w:szCs w:val="32"/>
        </w:rPr>
        <w:t>坚持“过紧日子”，建立经费审批—资金拨付—项目实施全流程管控机制，“三公”经费零增长，财政资金优先保障刚需领域，资金使用集约化水平不断提高。</w:t>
      </w:r>
    </w:p>
    <w:p w14:paraId="6FF66C2A">
      <w:pPr>
        <w:spacing w:line="560" w:lineRule="exact"/>
        <w:ind w:firstLine="640" w:firstLineChars="200"/>
        <w:rPr>
          <w:rFonts w:hint="eastAsia" w:ascii="仿宋_GB2312" w:eastAsia="仿宋_GB2312"/>
          <w:sz w:val="32"/>
          <w:szCs w:val="32"/>
        </w:rPr>
      </w:pPr>
      <w:r>
        <w:rPr>
          <w:rFonts w:hint="eastAsia" w:ascii="仿宋_GB2312" w:eastAsia="仿宋_GB2312"/>
          <w:sz w:val="32"/>
          <w:szCs w:val="32"/>
        </w:rPr>
        <w:t>（二）履职效能与产出质量</w:t>
      </w:r>
      <w:r>
        <w:rPr>
          <w:rFonts w:hint="eastAsia" w:ascii="仿宋_GB2312" w:eastAsia="仿宋_GB2312"/>
          <w:sz w:val="32"/>
          <w:szCs w:val="32"/>
          <w:lang w:eastAsia="zh-CN"/>
        </w:rPr>
        <w:t>。</w:t>
      </w:r>
      <w:r>
        <w:rPr>
          <w:rFonts w:hint="eastAsia" w:ascii="仿宋_GB2312" w:eastAsia="仿宋_GB2312"/>
          <w:sz w:val="32"/>
          <w:szCs w:val="32"/>
        </w:rPr>
        <w:t>硬支撑明显增强：道路、电力、停车场等一批基础设施项目建成投用，园区交通、供电、公共服务配套短板加快补齐</w:t>
      </w:r>
      <w:r>
        <w:rPr>
          <w:rFonts w:hint="eastAsia" w:ascii="仿宋_GB2312" w:eastAsia="仿宋_GB2312"/>
          <w:sz w:val="32"/>
          <w:szCs w:val="32"/>
          <w:lang w:eastAsia="zh-CN"/>
        </w:rPr>
        <w:t>。</w:t>
      </w:r>
      <w:r>
        <w:rPr>
          <w:rFonts w:hint="eastAsia" w:ascii="仿宋_GB2312" w:eastAsia="仿宋_GB2312"/>
          <w:sz w:val="32"/>
          <w:szCs w:val="32"/>
        </w:rPr>
        <w:t>常态化保洁、绿化管护、照明运维形成长效机制，园区整体风貌整洁有序，对外接待能力和游客体验感明显改善</w:t>
      </w:r>
      <w:r>
        <w:rPr>
          <w:rFonts w:hint="eastAsia" w:ascii="仿宋_GB2312" w:eastAsia="仿宋_GB2312"/>
          <w:sz w:val="32"/>
          <w:szCs w:val="32"/>
          <w:lang w:eastAsia="zh-CN"/>
        </w:rPr>
        <w:t>。</w:t>
      </w:r>
      <w:r>
        <w:rPr>
          <w:rFonts w:hint="eastAsia" w:ascii="仿宋_GB2312" w:eastAsia="仿宋_GB2312"/>
          <w:sz w:val="32"/>
          <w:szCs w:val="32"/>
        </w:rPr>
        <w:t>一批长期挂账项目实现闭环销号，为企业稳定经营和后续招商创造良好条件。</w:t>
      </w:r>
    </w:p>
    <w:p w14:paraId="16BB1A34">
      <w:pPr>
        <w:spacing w:line="560" w:lineRule="exact"/>
        <w:ind w:firstLine="640" w:firstLineChars="200"/>
        <w:rPr>
          <w:rFonts w:hint="eastAsia" w:ascii="仿宋_GB2312" w:eastAsia="仿宋_GB2312"/>
          <w:sz w:val="32"/>
          <w:szCs w:val="32"/>
        </w:rPr>
      </w:pPr>
      <w:r>
        <w:rPr>
          <w:rFonts w:hint="eastAsia" w:ascii="仿宋_GB2312" w:eastAsia="仿宋_GB2312"/>
          <w:sz w:val="32"/>
          <w:szCs w:val="32"/>
        </w:rPr>
        <w:t>（三）社会效益与可持续发展</w:t>
      </w:r>
      <w:r>
        <w:rPr>
          <w:rFonts w:hint="eastAsia" w:ascii="仿宋_GB2312" w:eastAsia="仿宋_GB2312"/>
          <w:sz w:val="32"/>
          <w:szCs w:val="32"/>
          <w:lang w:eastAsia="zh-CN"/>
        </w:rPr>
        <w:t>。</w:t>
      </w:r>
      <w:r>
        <w:rPr>
          <w:rFonts w:hint="eastAsia" w:ascii="仿宋_GB2312" w:eastAsia="仿宋_GB2312"/>
          <w:sz w:val="32"/>
          <w:szCs w:val="32"/>
        </w:rPr>
        <w:t>加工区电力配套完善，直接赋能农副产品加工企业稳产扩产，助力片区特色农业产业链延伸。园区安防、道路条件改善惠及周边村民与游客，入驻商户、属地群众对园区管理服务的满意度保持在较高水平。绿化养护常态化机制基本成型，基础设施长效运维框架初步建立，为后续产业扩容打下可持续基础。</w:t>
      </w:r>
    </w:p>
    <w:p w14:paraId="6A0AAD15">
      <w:pPr>
        <w:spacing w:line="56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四、存在的问题及原因分析</w:t>
      </w:r>
    </w:p>
    <w:p w14:paraId="57F5F659">
      <w:pPr>
        <w:spacing w:line="560" w:lineRule="exact"/>
        <w:ind w:firstLine="640" w:firstLineChars="200"/>
        <w:rPr>
          <w:rFonts w:hint="eastAsia" w:ascii="仿宋_GB2312" w:eastAsia="仿宋_GB2312"/>
          <w:sz w:val="32"/>
          <w:szCs w:val="32"/>
        </w:rPr>
      </w:pPr>
      <w:r>
        <w:rPr>
          <w:rFonts w:hint="eastAsia" w:ascii="仿宋_GB2312" w:eastAsia="仿宋_GB2312"/>
          <w:sz w:val="32"/>
          <w:szCs w:val="32"/>
        </w:rPr>
        <w:t>（一）预算绩效管理仍需精细</w:t>
      </w:r>
      <w:r>
        <w:rPr>
          <w:rFonts w:hint="eastAsia" w:ascii="仿宋_GB2312" w:eastAsia="仿宋_GB2312"/>
          <w:sz w:val="32"/>
          <w:szCs w:val="32"/>
          <w:lang w:eastAsia="zh-CN"/>
        </w:rPr>
        <w:t>。</w:t>
      </w:r>
      <w:r>
        <w:rPr>
          <w:rFonts w:hint="eastAsia" w:ascii="仿宋_GB2312" w:eastAsia="仿宋_GB2312"/>
          <w:sz w:val="32"/>
          <w:szCs w:val="32"/>
        </w:rPr>
        <w:t>一是跨年度工程项目预算前瞻性不足，往年竣工项目尾款在年度预算中预判不够精准，易出现年底集中拨付现象，资金均衡性有待加强。二是部分运维类项目绩效指标偏定性、偏宏观，对绿化管护、设施运维等业务缺乏过程性、量化指标，绩效运行动态监控不够及时</w:t>
      </w:r>
      <w:r>
        <w:rPr>
          <w:rFonts w:hint="eastAsia" w:ascii="仿宋_GB2312" w:eastAsia="仿宋_GB2312"/>
          <w:sz w:val="32"/>
          <w:szCs w:val="32"/>
          <w:lang w:eastAsia="zh-CN"/>
        </w:rPr>
        <w:t>。主要是</w:t>
      </w:r>
      <w:r>
        <w:rPr>
          <w:rFonts w:hint="eastAsia" w:ascii="仿宋_GB2312" w:eastAsia="仿宋_GB2312"/>
          <w:sz w:val="32"/>
          <w:szCs w:val="32"/>
        </w:rPr>
        <w:t>园区遗留工程数量较多、结算周期不确定；日常运维事项零散琐碎，全年工作量与付款节点事前测算难度大，绩效过程管理机制尚不完善。</w:t>
      </w:r>
    </w:p>
    <w:p w14:paraId="34774F8C">
      <w:pPr>
        <w:spacing w:line="560" w:lineRule="exact"/>
        <w:ind w:firstLine="640" w:firstLineChars="200"/>
        <w:rPr>
          <w:rFonts w:hint="eastAsia" w:ascii="仿宋_GB2312" w:eastAsia="仿宋_GB2312"/>
          <w:sz w:val="32"/>
          <w:szCs w:val="32"/>
        </w:rPr>
      </w:pPr>
      <w:r>
        <w:rPr>
          <w:rFonts w:hint="eastAsia" w:ascii="仿宋_GB2312" w:eastAsia="仿宋_GB2312"/>
          <w:sz w:val="32"/>
          <w:szCs w:val="32"/>
        </w:rPr>
        <w:t>（二）项目执行进度受外部因素影响偏大</w:t>
      </w:r>
      <w:r>
        <w:rPr>
          <w:rFonts w:hint="eastAsia" w:ascii="仿宋_GB2312" w:eastAsia="仿宋_GB2312"/>
          <w:sz w:val="32"/>
          <w:szCs w:val="32"/>
          <w:lang w:eastAsia="zh-CN"/>
        </w:rPr>
        <w:t>。主要是</w:t>
      </w:r>
      <w:r>
        <w:rPr>
          <w:rFonts w:hint="eastAsia" w:ascii="仿宋_GB2312" w:eastAsia="仿宋_GB2312"/>
          <w:sz w:val="32"/>
          <w:szCs w:val="32"/>
        </w:rPr>
        <w:t>部分项目受季节性天气、施工方档期、第三方服务进度影响，实施节奏存在波动，预算执行进度与实物工作量未能完全同步。</w:t>
      </w:r>
    </w:p>
    <w:p w14:paraId="0D018928">
      <w:pPr>
        <w:spacing w:line="560" w:lineRule="exact"/>
        <w:ind w:firstLine="640" w:firstLineChars="200"/>
        <w:rPr>
          <w:rFonts w:hint="eastAsia" w:ascii="仿宋_GB2312" w:eastAsia="仿宋_GB2312"/>
          <w:sz w:val="32"/>
          <w:szCs w:val="32"/>
        </w:rPr>
      </w:pPr>
      <w:r>
        <w:rPr>
          <w:rFonts w:hint="eastAsia" w:ascii="仿宋_GB2312" w:eastAsia="仿宋_GB2312"/>
          <w:sz w:val="32"/>
          <w:szCs w:val="32"/>
        </w:rPr>
        <w:t>（三）企业服务主动性有待加</w:t>
      </w:r>
      <w:r>
        <w:rPr>
          <w:rFonts w:hint="eastAsia" w:ascii="仿宋_GB2312" w:eastAsia="仿宋_GB2312"/>
          <w:sz w:val="32"/>
          <w:szCs w:val="32"/>
          <w:lang w:eastAsia="zh-CN"/>
        </w:rPr>
        <w:t>强。</w:t>
      </w:r>
      <w:r>
        <w:rPr>
          <w:rFonts w:hint="eastAsia" w:ascii="仿宋_GB2312" w:eastAsia="仿宋_GB2312"/>
          <w:sz w:val="32"/>
          <w:szCs w:val="32"/>
        </w:rPr>
        <w:t>对入园企业以“问题响应型”服务为主，常态化走访摸排、靠前发现经营困难、主动纾困帮扶的频次不足。</w:t>
      </w:r>
      <w:r>
        <w:rPr>
          <w:rFonts w:hint="eastAsia" w:ascii="仿宋_GB2312" w:eastAsia="仿宋_GB2312"/>
          <w:sz w:val="32"/>
          <w:szCs w:val="32"/>
          <w:lang w:eastAsia="zh-CN"/>
        </w:rPr>
        <w:t>主要是</w:t>
      </w:r>
      <w:r>
        <w:rPr>
          <w:rFonts w:hint="eastAsia" w:ascii="仿宋_GB2312" w:eastAsia="仿宋_GB2312"/>
          <w:sz w:val="32"/>
          <w:szCs w:val="32"/>
        </w:rPr>
        <w:t>在编人员偏少，大量精力被事务性工作占用，主动谋划企业服务的资源配置相对不足。</w:t>
      </w:r>
    </w:p>
    <w:p w14:paraId="34C9BD8D">
      <w:pPr>
        <w:spacing w:line="56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五、下一步改进措施</w:t>
      </w:r>
    </w:p>
    <w:p w14:paraId="467B5CBA">
      <w:pPr>
        <w:spacing w:line="560" w:lineRule="exact"/>
        <w:ind w:firstLine="640" w:firstLineChars="200"/>
        <w:rPr>
          <w:rFonts w:hint="eastAsia" w:ascii="仿宋_GB2312" w:eastAsia="仿宋_GB2312"/>
          <w:sz w:val="32"/>
          <w:szCs w:val="32"/>
        </w:rPr>
      </w:pPr>
      <w:r>
        <w:rPr>
          <w:rFonts w:hint="eastAsia" w:ascii="仿宋_GB2312" w:eastAsia="仿宋_GB2312"/>
          <w:sz w:val="32"/>
          <w:szCs w:val="32"/>
        </w:rPr>
        <w:t>（一）强化预算全流程绩效管理。编制下年度预算前，全面梳理往期未结项目清单和常态化运维需求，结合工程结算规律和历史工作量科学测算，提高预算精准度和均衡性；细化绩效指标库，建立“月度监测+季度通报”机制，推动绩效目标与资金拨付同频管理。</w:t>
      </w:r>
    </w:p>
    <w:p w14:paraId="62C5BD7A">
      <w:pPr>
        <w:spacing w:line="560" w:lineRule="exact"/>
        <w:ind w:firstLine="640" w:firstLineChars="200"/>
        <w:rPr>
          <w:rFonts w:hint="eastAsia" w:ascii="仿宋_GB2312" w:eastAsia="仿宋_GB2312"/>
          <w:sz w:val="32"/>
          <w:szCs w:val="32"/>
        </w:rPr>
      </w:pPr>
      <w:r>
        <w:rPr>
          <w:rFonts w:hint="eastAsia" w:ascii="仿宋_GB2312" w:eastAsia="仿宋_GB2312"/>
          <w:sz w:val="32"/>
          <w:szCs w:val="32"/>
        </w:rPr>
        <w:t>（二）规范项目履约与资金管理。在外包合同和采购文件中进一步明确工期节点、服务质量标准及违约责任条款，增强对施工方、服务方的刚性约束；同步完善往来款项台账，实行“一项目一台账”动态销号管理。</w:t>
      </w:r>
    </w:p>
    <w:p w14:paraId="0C96AB07">
      <w:pPr>
        <w:spacing w:line="560" w:lineRule="exact"/>
        <w:ind w:firstLine="640" w:firstLineChars="200"/>
        <w:rPr>
          <w:rFonts w:hint="eastAsia" w:ascii="仿宋_GB2312" w:eastAsia="仿宋_GB2312"/>
          <w:sz w:val="32"/>
          <w:szCs w:val="32"/>
        </w:rPr>
      </w:pPr>
      <w:r>
        <w:rPr>
          <w:rFonts w:hint="eastAsia" w:ascii="仿宋_GB2312" w:eastAsia="仿宋_GB2312"/>
          <w:sz w:val="32"/>
          <w:szCs w:val="32"/>
        </w:rPr>
        <w:t>（三）健全企业常态化服务机制。建立入园企业定期走访制度，主动收集用电、用地、用工等诉求，形成问题清单、责任清单、销号清单，变“被动接单”为“主动服务”。</w:t>
      </w:r>
    </w:p>
    <w:p w14:paraId="09800D53">
      <w:pPr>
        <w:spacing w:line="560" w:lineRule="exact"/>
        <w:ind w:firstLine="640" w:firstLineChars="200"/>
        <w:rPr>
          <w:rFonts w:hint="eastAsia" w:ascii="仿宋_GB2312" w:eastAsia="仿宋_GB2312"/>
          <w:sz w:val="32"/>
          <w:szCs w:val="32"/>
        </w:rPr>
      </w:pPr>
      <w:r>
        <w:rPr>
          <w:rFonts w:hint="eastAsia" w:ascii="仿宋_GB2312" w:eastAsia="仿宋_GB2312"/>
          <w:sz w:val="32"/>
          <w:szCs w:val="32"/>
        </w:rPr>
        <w:t>（四）坚持厉行节约、优结构保重点。持续严控“三公”经费和非急需非刚性支出，腾出财力优先投向产业配套、民生实事、基础设施长效管护等领域，最大化释放财政资金使用效益。</w:t>
      </w:r>
    </w:p>
    <w:p w14:paraId="1EED6C00">
      <w:pPr>
        <w:spacing w:line="560" w:lineRule="exact"/>
        <w:ind w:firstLine="640" w:firstLineChars="200"/>
        <w:rPr>
          <w:rFonts w:hint="eastAsia" w:ascii="仿宋_GB2312" w:eastAsia="仿宋_GB2312"/>
          <w:sz w:val="32"/>
          <w:szCs w:val="32"/>
        </w:rPr>
      </w:pPr>
      <w:r>
        <w:rPr>
          <w:rFonts w:hint="eastAsia" w:ascii="仿宋_GB2312" w:eastAsia="仿宋_GB2312"/>
          <w:sz w:val="32"/>
          <w:szCs w:val="32"/>
        </w:rPr>
        <w:t>（五）谋划中长期配套提升规划。</w:t>
      </w:r>
      <w:r>
        <w:rPr>
          <w:rFonts w:hint="eastAsia" w:ascii="仿宋_GB2312" w:eastAsia="仿宋_GB2312"/>
          <w:sz w:val="32"/>
          <w:szCs w:val="32"/>
          <w:lang w:eastAsia="zh-CN"/>
        </w:rPr>
        <w:t>结</w:t>
      </w:r>
      <w:r>
        <w:rPr>
          <w:rFonts w:hint="eastAsia" w:ascii="仿宋_GB2312" w:eastAsia="仿宋_GB2312"/>
          <w:sz w:val="32"/>
          <w:szCs w:val="32"/>
        </w:rPr>
        <w:t>合园区产业定位，研究编制绿化提质、基础设施升级三年滚动计划，将年度任务与预算编制挂钩，实现园区配套“一年一进步、三年大变样”。</w:t>
      </w:r>
    </w:p>
    <w:p w14:paraId="5DF50DD8">
      <w:pPr>
        <w:spacing w:line="56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六、自评结果应用与公开情况</w:t>
      </w:r>
    </w:p>
    <w:p w14:paraId="787EB8CC">
      <w:pPr>
        <w:spacing w:line="560" w:lineRule="exact"/>
        <w:ind w:firstLine="640" w:firstLineChars="200"/>
        <w:rPr>
          <w:rFonts w:hint="eastAsia" w:ascii="仿宋_GB2312" w:eastAsia="仿宋_GB2312"/>
          <w:sz w:val="32"/>
          <w:szCs w:val="32"/>
        </w:rPr>
      </w:pPr>
      <w:r>
        <w:rPr>
          <w:rFonts w:hint="eastAsia" w:ascii="仿宋_GB2312" w:eastAsia="仿宋_GB2312"/>
          <w:sz w:val="32"/>
          <w:szCs w:val="32"/>
        </w:rPr>
        <w:t>一是以评促改。将本次自评发现的短板作为下一年度预算编制、内控制度修订的重要依据，推动预算管理从“报账型”向“管理型”转变。</w:t>
      </w:r>
    </w:p>
    <w:p w14:paraId="4401E9F9">
      <w:pPr>
        <w:spacing w:line="560" w:lineRule="exact"/>
        <w:ind w:firstLine="640" w:firstLineChars="200"/>
        <w:rPr>
          <w:rFonts w:hint="eastAsia" w:ascii="仿宋_GB2312" w:eastAsia="仿宋_GB2312"/>
          <w:sz w:val="32"/>
          <w:szCs w:val="32"/>
        </w:rPr>
      </w:pPr>
      <w:r>
        <w:rPr>
          <w:rFonts w:hint="eastAsia" w:ascii="仿宋_GB2312" w:eastAsia="仿宋_GB2312"/>
          <w:sz w:val="32"/>
          <w:szCs w:val="32"/>
        </w:rPr>
        <w:t>二是主动公开。严格按照财政部门政务公开要求，在规定时限内将自评报告全文上传至本级人民政府政务公开平台，主动接受财政监督与社会公众监督，持续提升财政资金使用透明度。</w:t>
      </w:r>
    </w:p>
    <w:p w14:paraId="62318FE3">
      <w:pPr>
        <w:spacing w:line="56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七、其他说明事项</w:t>
      </w:r>
    </w:p>
    <w:p w14:paraId="5E8C5701">
      <w:pPr>
        <w:spacing w:line="560" w:lineRule="exact"/>
        <w:ind w:firstLine="640" w:firstLineChars="200"/>
        <w:rPr>
          <w:rFonts w:hint="eastAsia" w:ascii="仿宋_GB2312" w:eastAsia="仿宋_GB2312"/>
          <w:sz w:val="32"/>
          <w:szCs w:val="32"/>
        </w:rPr>
      </w:pPr>
      <w:r>
        <w:rPr>
          <w:rFonts w:hint="eastAsia" w:ascii="仿宋_GB2312" w:eastAsia="仿宋_GB2312"/>
          <w:sz w:val="32"/>
          <w:szCs w:val="32"/>
        </w:rPr>
        <w:t>2025年度所有基建、绿化、运维类项目均严格执行政府采购、招投标及基本建设程序，立项、施工、验收、结算资料齐全、手续完备。后续将持续清理历史项目台账，分类化解遗留问题，确保园区公共设施长效稳定运行。</w:t>
      </w:r>
    </w:p>
    <w:p w14:paraId="62DD9E09"/>
    <w:p w14:paraId="52082269">
      <w:pPr>
        <w:pStyle w:val="2"/>
      </w:pPr>
    </w:p>
    <w:p w14:paraId="000FD26F"/>
    <w:p w14:paraId="7F80B41E">
      <w:pPr>
        <w:pStyle w:val="2"/>
      </w:pPr>
    </w:p>
    <w:p w14:paraId="6ED3195C"/>
    <w:p w14:paraId="50C416FF">
      <w:pPr>
        <w:jc w:val="left"/>
        <w:rPr>
          <w:rFonts w:ascii="Times New Roman" w:hAnsi="Times New Roman" w:cs="Times New Roman"/>
          <w:color w:val="000000"/>
          <w:kern w:val="0"/>
          <w:sz w:val="32"/>
          <w:szCs w:val="32"/>
        </w:rPr>
      </w:pPr>
    </w:p>
    <w:sectPr>
      <w:pgSz w:w="11906" w:h="16838"/>
      <w:pgMar w:top="1417" w:right="1588" w:bottom="1417" w:left="1588" w:header="851" w:footer="992" w:gutter="0"/>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S Sans Serif">
    <w:altName w:val="Segoe Print"/>
    <w:panose1 w:val="00000000000000000000"/>
    <w:charset w:val="00"/>
    <w:family w:val="swiss"/>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方正小标宋简体">
    <w:panose1 w:val="02000000000000000000"/>
    <w:charset w:val="86"/>
    <w:family w:val="auto"/>
    <w:pitch w:val="default"/>
    <w:sig w:usb0="A00002BF" w:usb1="184F6CFA" w:usb2="00000012" w:usb3="00000000" w:csb0="00040001" w:csb1="00000000"/>
  </w:font>
  <w:font w:name="方正小标宋_GBK">
    <w:altName w:val="微软雅黑"/>
    <w:panose1 w:val="03000509000000000000"/>
    <w:charset w:val="86"/>
    <w:family w:val="script"/>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仿宋_GB2312">
    <w:panose1 w:val="02010609030101010101"/>
    <w:charset w:val="86"/>
    <w:family w:val="modern"/>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华文中宋">
    <w:altName w:val="宋体"/>
    <w:panose1 w:val="02010600040101010101"/>
    <w:charset w:val="86"/>
    <w:family w:val="auto"/>
    <w:pitch w:val="default"/>
    <w:sig w:usb0="00000000" w:usb1="00000000" w:usb2="00000000" w:usb3="00000000" w:csb0="0004009F" w:csb1="DFD70000"/>
  </w:font>
  <w:font w:name="楷体">
    <w:panose1 w:val="02010609060101010101"/>
    <w:charset w:val="86"/>
    <w:family w:val="modern"/>
    <w:pitch w:val="default"/>
    <w:sig w:usb0="800002BF" w:usb1="38CF7CFA" w:usb2="00000016" w:usb3="00000000" w:csb0="00040001"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95E00F">
    <w:pPr>
      <w:pStyle w:val="9"/>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2D3785">
    <w:pPr>
      <w:pStyle w:val="9"/>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8D5977">
    <w:pPr>
      <w:pStyle w:val="9"/>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11B18D1">
                          <w:pPr>
                            <w:pStyle w:val="9"/>
                          </w:pPr>
                          <w:r>
                            <w:fldChar w:fldCharType="begin"/>
                          </w:r>
                          <w:r>
                            <w:instrText xml:space="preserve"> PAGE  \* MERGEFORMAT </w:instrText>
                          </w:r>
                          <w:r>
                            <w:fldChar w:fldCharType="separate"/>
                          </w:r>
                          <w:r>
                            <w:t>20</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9j2DAsAgAAV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r2PYMCwCAABVBAAADgAAAAAAAAABACAAAAAfAQAAZHJzL2Uyb0RvYy54bWxQSwUGAAAAAAYA&#10;BgBZAQAAvQUAAAAA&#10;">
              <v:fill on="f" focussize="0,0"/>
              <v:stroke on="f" weight="0.5pt"/>
              <v:imagedata o:title=""/>
              <o:lock v:ext="edit" aspectratio="f"/>
              <v:textbox inset="0mm,0mm,0mm,0mm" style="mso-fit-shape-to-text:t;">
                <w:txbxContent>
                  <w:p w14:paraId="611B18D1">
                    <w:pPr>
                      <w:pStyle w:val="9"/>
                    </w:pPr>
                    <w:r>
                      <w:fldChar w:fldCharType="begin"/>
                    </w:r>
                    <w:r>
                      <w:instrText xml:space="preserve"> PAGE  \* MERGEFORMAT </w:instrText>
                    </w:r>
                    <w:r>
                      <w:fldChar w:fldCharType="separate"/>
                    </w:r>
                    <w:r>
                      <w:t>20</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6CF3BE3"/>
    <w:multiLevelType w:val="singleLevel"/>
    <w:tmpl w:val="86CF3BE3"/>
    <w:lvl w:ilvl="0" w:tentative="0">
      <w:start w:val="3"/>
      <w:numFmt w:val="decimal"/>
      <w:suff w:val="nothing"/>
      <w:lvlText w:val="%1、"/>
      <w:lvlJc w:val="left"/>
    </w:lvl>
  </w:abstractNum>
  <w:abstractNum w:abstractNumId="1">
    <w:nsid w:val="1FEBABDE"/>
    <w:multiLevelType w:val="singleLevel"/>
    <w:tmpl w:val="1FEBABDE"/>
    <w:lvl w:ilvl="0" w:tentative="0">
      <w:start w:val="2"/>
      <w:numFmt w:val="decimal"/>
      <w:suff w:val="nothing"/>
      <w:lvlText w:val="%1、"/>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documentProtection w:enforcement="0"/>
  <w:defaultTabStop w:val="420"/>
  <w:drawingGridHorizontalSpacing w:val="105"/>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506F9"/>
    <w:rsid w:val="0000001A"/>
    <w:rsid w:val="0002229B"/>
    <w:rsid w:val="000273BD"/>
    <w:rsid w:val="0003620C"/>
    <w:rsid w:val="00040CBC"/>
    <w:rsid w:val="000415B7"/>
    <w:rsid w:val="00041E3F"/>
    <w:rsid w:val="00055DAA"/>
    <w:rsid w:val="00061F7B"/>
    <w:rsid w:val="000658A3"/>
    <w:rsid w:val="00074155"/>
    <w:rsid w:val="00080785"/>
    <w:rsid w:val="000A3F69"/>
    <w:rsid w:val="000B20F1"/>
    <w:rsid w:val="000C5742"/>
    <w:rsid w:val="00103957"/>
    <w:rsid w:val="00152C6D"/>
    <w:rsid w:val="00162D39"/>
    <w:rsid w:val="001678BD"/>
    <w:rsid w:val="00182373"/>
    <w:rsid w:val="001A67DB"/>
    <w:rsid w:val="001B67D1"/>
    <w:rsid w:val="001C3C29"/>
    <w:rsid w:val="001D2B79"/>
    <w:rsid w:val="001D51E5"/>
    <w:rsid w:val="001E080D"/>
    <w:rsid w:val="001E53D0"/>
    <w:rsid w:val="001F0C3B"/>
    <w:rsid w:val="00202C82"/>
    <w:rsid w:val="00214427"/>
    <w:rsid w:val="00220689"/>
    <w:rsid w:val="00221AFD"/>
    <w:rsid w:val="00226CB7"/>
    <w:rsid w:val="00252450"/>
    <w:rsid w:val="00264552"/>
    <w:rsid w:val="00264EF9"/>
    <w:rsid w:val="00265724"/>
    <w:rsid w:val="0027426B"/>
    <w:rsid w:val="00296D60"/>
    <w:rsid w:val="002E0A30"/>
    <w:rsid w:val="0030077D"/>
    <w:rsid w:val="003130C4"/>
    <w:rsid w:val="00316C4B"/>
    <w:rsid w:val="0032192B"/>
    <w:rsid w:val="0033283E"/>
    <w:rsid w:val="003479BD"/>
    <w:rsid w:val="0037197D"/>
    <w:rsid w:val="003768D5"/>
    <w:rsid w:val="003926B9"/>
    <w:rsid w:val="003C2E17"/>
    <w:rsid w:val="003C47E6"/>
    <w:rsid w:val="003C4FC2"/>
    <w:rsid w:val="00401F9A"/>
    <w:rsid w:val="00416E61"/>
    <w:rsid w:val="0042790C"/>
    <w:rsid w:val="004506F9"/>
    <w:rsid w:val="00462315"/>
    <w:rsid w:val="004717A2"/>
    <w:rsid w:val="00473DF3"/>
    <w:rsid w:val="00487911"/>
    <w:rsid w:val="00490F48"/>
    <w:rsid w:val="00491741"/>
    <w:rsid w:val="004B0CEE"/>
    <w:rsid w:val="004C2A0A"/>
    <w:rsid w:val="004F5EFB"/>
    <w:rsid w:val="00500E5F"/>
    <w:rsid w:val="005122EF"/>
    <w:rsid w:val="0051441A"/>
    <w:rsid w:val="00517C33"/>
    <w:rsid w:val="00517D5F"/>
    <w:rsid w:val="00523644"/>
    <w:rsid w:val="0054069E"/>
    <w:rsid w:val="00544866"/>
    <w:rsid w:val="00552A3D"/>
    <w:rsid w:val="00574CC8"/>
    <w:rsid w:val="005767CC"/>
    <w:rsid w:val="00590D9F"/>
    <w:rsid w:val="00595D26"/>
    <w:rsid w:val="005A74E6"/>
    <w:rsid w:val="005B404E"/>
    <w:rsid w:val="005D4D55"/>
    <w:rsid w:val="005E0E6C"/>
    <w:rsid w:val="005E2CFB"/>
    <w:rsid w:val="005F2103"/>
    <w:rsid w:val="005F3D1C"/>
    <w:rsid w:val="005F4189"/>
    <w:rsid w:val="006171EE"/>
    <w:rsid w:val="0062378F"/>
    <w:rsid w:val="00641842"/>
    <w:rsid w:val="00651EEC"/>
    <w:rsid w:val="00686673"/>
    <w:rsid w:val="00691E8C"/>
    <w:rsid w:val="006A22C4"/>
    <w:rsid w:val="006A351B"/>
    <w:rsid w:val="006B0422"/>
    <w:rsid w:val="006C1B53"/>
    <w:rsid w:val="006D7730"/>
    <w:rsid w:val="006E5284"/>
    <w:rsid w:val="006F3EB5"/>
    <w:rsid w:val="006F56C8"/>
    <w:rsid w:val="00702E34"/>
    <w:rsid w:val="00704395"/>
    <w:rsid w:val="00710FE7"/>
    <w:rsid w:val="00717621"/>
    <w:rsid w:val="00720FF1"/>
    <w:rsid w:val="00727A53"/>
    <w:rsid w:val="007502DE"/>
    <w:rsid w:val="00787B42"/>
    <w:rsid w:val="007C4539"/>
    <w:rsid w:val="007F3657"/>
    <w:rsid w:val="00810F0C"/>
    <w:rsid w:val="00811AA2"/>
    <w:rsid w:val="00812ED5"/>
    <w:rsid w:val="008277D9"/>
    <w:rsid w:val="0084478C"/>
    <w:rsid w:val="0086638C"/>
    <w:rsid w:val="008764FA"/>
    <w:rsid w:val="008A1079"/>
    <w:rsid w:val="008A3E8D"/>
    <w:rsid w:val="008A5055"/>
    <w:rsid w:val="008D17F4"/>
    <w:rsid w:val="009237C4"/>
    <w:rsid w:val="00944C48"/>
    <w:rsid w:val="00950252"/>
    <w:rsid w:val="00967F5D"/>
    <w:rsid w:val="009A0F95"/>
    <w:rsid w:val="009B3ADF"/>
    <w:rsid w:val="009C31C5"/>
    <w:rsid w:val="009C3B52"/>
    <w:rsid w:val="009E6817"/>
    <w:rsid w:val="009E6E9A"/>
    <w:rsid w:val="00A01D2B"/>
    <w:rsid w:val="00A1392A"/>
    <w:rsid w:val="00A42218"/>
    <w:rsid w:val="00A70249"/>
    <w:rsid w:val="00A70B02"/>
    <w:rsid w:val="00A71D9F"/>
    <w:rsid w:val="00A92E9F"/>
    <w:rsid w:val="00AB18FF"/>
    <w:rsid w:val="00B26269"/>
    <w:rsid w:val="00B33BEA"/>
    <w:rsid w:val="00B57C9F"/>
    <w:rsid w:val="00B63572"/>
    <w:rsid w:val="00B845B3"/>
    <w:rsid w:val="00B85D8B"/>
    <w:rsid w:val="00BB4A40"/>
    <w:rsid w:val="00BD6022"/>
    <w:rsid w:val="00BD6C3E"/>
    <w:rsid w:val="00BE3674"/>
    <w:rsid w:val="00C10681"/>
    <w:rsid w:val="00C10822"/>
    <w:rsid w:val="00C15C89"/>
    <w:rsid w:val="00C27C0D"/>
    <w:rsid w:val="00C3049A"/>
    <w:rsid w:val="00C31B1E"/>
    <w:rsid w:val="00C32F2E"/>
    <w:rsid w:val="00C73888"/>
    <w:rsid w:val="00C77645"/>
    <w:rsid w:val="00CE04C3"/>
    <w:rsid w:val="00CE34BE"/>
    <w:rsid w:val="00CE76A0"/>
    <w:rsid w:val="00D148C6"/>
    <w:rsid w:val="00D17A8A"/>
    <w:rsid w:val="00D415BA"/>
    <w:rsid w:val="00D63780"/>
    <w:rsid w:val="00D644EE"/>
    <w:rsid w:val="00DD06FF"/>
    <w:rsid w:val="00DD5FE9"/>
    <w:rsid w:val="00E00C7A"/>
    <w:rsid w:val="00E37D6C"/>
    <w:rsid w:val="00E55B68"/>
    <w:rsid w:val="00E561AE"/>
    <w:rsid w:val="00E67BE6"/>
    <w:rsid w:val="00E8683C"/>
    <w:rsid w:val="00EA2B72"/>
    <w:rsid w:val="00F74360"/>
    <w:rsid w:val="00FB462F"/>
    <w:rsid w:val="00FE16FA"/>
    <w:rsid w:val="00FE328A"/>
    <w:rsid w:val="00FE6269"/>
    <w:rsid w:val="00FF5CD6"/>
    <w:rsid w:val="0132783D"/>
    <w:rsid w:val="01453D56"/>
    <w:rsid w:val="02B01361"/>
    <w:rsid w:val="02E56D2B"/>
    <w:rsid w:val="03451AAA"/>
    <w:rsid w:val="036D2DAF"/>
    <w:rsid w:val="04762137"/>
    <w:rsid w:val="04853F3D"/>
    <w:rsid w:val="05C220DB"/>
    <w:rsid w:val="06E31D05"/>
    <w:rsid w:val="07462294"/>
    <w:rsid w:val="074A3B33"/>
    <w:rsid w:val="075D7207"/>
    <w:rsid w:val="07C12FFE"/>
    <w:rsid w:val="07F72D3E"/>
    <w:rsid w:val="08153F8A"/>
    <w:rsid w:val="08EB4EA1"/>
    <w:rsid w:val="09000221"/>
    <w:rsid w:val="09027344"/>
    <w:rsid w:val="091C14FF"/>
    <w:rsid w:val="0958005D"/>
    <w:rsid w:val="09D12AA8"/>
    <w:rsid w:val="0A4505E1"/>
    <w:rsid w:val="0B2428ED"/>
    <w:rsid w:val="0C3A7854"/>
    <w:rsid w:val="0CAE6912"/>
    <w:rsid w:val="0F8E6586"/>
    <w:rsid w:val="10225C6B"/>
    <w:rsid w:val="10961B97"/>
    <w:rsid w:val="10BE10ED"/>
    <w:rsid w:val="119C142F"/>
    <w:rsid w:val="126006AE"/>
    <w:rsid w:val="12906AB9"/>
    <w:rsid w:val="129C0FBA"/>
    <w:rsid w:val="12A367ED"/>
    <w:rsid w:val="12CD5618"/>
    <w:rsid w:val="135033C8"/>
    <w:rsid w:val="143F42F3"/>
    <w:rsid w:val="14D26F15"/>
    <w:rsid w:val="155838BF"/>
    <w:rsid w:val="157D69EA"/>
    <w:rsid w:val="157E7F4C"/>
    <w:rsid w:val="15AD5603"/>
    <w:rsid w:val="15CE3B81"/>
    <w:rsid w:val="167834B8"/>
    <w:rsid w:val="16842D6E"/>
    <w:rsid w:val="169A6F32"/>
    <w:rsid w:val="16F77493"/>
    <w:rsid w:val="17070757"/>
    <w:rsid w:val="177249E0"/>
    <w:rsid w:val="18826D24"/>
    <w:rsid w:val="18F365DF"/>
    <w:rsid w:val="19DF45AE"/>
    <w:rsid w:val="1B0F64D5"/>
    <w:rsid w:val="1C6C7C4F"/>
    <w:rsid w:val="1C977070"/>
    <w:rsid w:val="1D97DEFF"/>
    <w:rsid w:val="1DEF6D8A"/>
    <w:rsid w:val="1DFF72E5"/>
    <w:rsid w:val="1E7C2EBB"/>
    <w:rsid w:val="1EBF2986"/>
    <w:rsid w:val="1EFC6F07"/>
    <w:rsid w:val="1F114ADE"/>
    <w:rsid w:val="1F402256"/>
    <w:rsid w:val="1F6966C8"/>
    <w:rsid w:val="20C444FE"/>
    <w:rsid w:val="210C37AF"/>
    <w:rsid w:val="21BA76AF"/>
    <w:rsid w:val="21F7445F"/>
    <w:rsid w:val="229E2B2D"/>
    <w:rsid w:val="22BE01BB"/>
    <w:rsid w:val="234436D4"/>
    <w:rsid w:val="23531B69"/>
    <w:rsid w:val="240370EB"/>
    <w:rsid w:val="246B21BA"/>
    <w:rsid w:val="246F4C2E"/>
    <w:rsid w:val="24945366"/>
    <w:rsid w:val="2527191A"/>
    <w:rsid w:val="254C4AC2"/>
    <w:rsid w:val="26263455"/>
    <w:rsid w:val="26F455CF"/>
    <w:rsid w:val="273A12C1"/>
    <w:rsid w:val="277A1762"/>
    <w:rsid w:val="27952750"/>
    <w:rsid w:val="27F61500"/>
    <w:rsid w:val="283261F1"/>
    <w:rsid w:val="28481571"/>
    <w:rsid w:val="28B3334E"/>
    <w:rsid w:val="28E123AB"/>
    <w:rsid w:val="2A204D0B"/>
    <w:rsid w:val="2A263B34"/>
    <w:rsid w:val="2AD74E2E"/>
    <w:rsid w:val="2BD82C0B"/>
    <w:rsid w:val="2BE75F17"/>
    <w:rsid w:val="2C231816"/>
    <w:rsid w:val="2C353D05"/>
    <w:rsid w:val="2C882A80"/>
    <w:rsid w:val="2CCB09C2"/>
    <w:rsid w:val="2D6230D5"/>
    <w:rsid w:val="2DB426C7"/>
    <w:rsid w:val="2E6D7F83"/>
    <w:rsid w:val="2E70537D"/>
    <w:rsid w:val="2E9372BE"/>
    <w:rsid w:val="2FC02334"/>
    <w:rsid w:val="2FDF85B8"/>
    <w:rsid w:val="2FF722FC"/>
    <w:rsid w:val="2FFFEE04"/>
    <w:rsid w:val="306058C5"/>
    <w:rsid w:val="30B04157"/>
    <w:rsid w:val="31097D0B"/>
    <w:rsid w:val="31D71BB7"/>
    <w:rsid w:val="326F590D"/>
    <w:rsid w:val="343155AF"/>
    <w:rsid w:val="34DF85B0"/>
    <w:rsid w:val="34E16FD5"/>
    <w:rsid w:val="35AD6EB7"/>
    <w:rsid w:val="365D6B2F"/>
    <w:rsid w:val="38CB73BE"/>
    <w:rsid w:val="393B2A2C"/>
    <w:rsid w:val="39DA0497"/>
    <w:rsid w:val="3A6F7B9E"/>
    <w:rsid w:val="3AB539A1"/>
    <w:rsid w:val="3B1E43B3"/>
    <w:rsid w:val="3B8F36BC"/>
    <w:rsid w:val="3D3E0D3C"/>
    <w:rsid w:val="3E12459C"/>
    <w:rsid w:val="3F3601F1"/>
    <w:rsid w:val="4105404B"/>
    <w:rsid w:val="43B11F00"/>
    <w:rsid w:val="45BE53AB"/>
    <w:rsid w:val="45EA380F"/>
    <w:rsid w:val="46E543AC"/>
    <w:rsid w:val="491FF225"/>
    <w:rsid w:val="4930106A"/>
    <w:rsid w:val="4A913E41"/>
    <w:rsid w:val="4AA961D5"/>
    <w:rsid w:val="4C312198"/>
    <w:rsid w:val="4CD314A1"/>
    <w:rsid w:val="4CF626D0"/>
    <w:rsid w:val="4D897A99"/>
    <w:rsid w:val="4DB210B7"/>
    <w:rsid w:val="4EA0552E"/>
    <w:rsid w:val="4FF72DA5"/>
    <w:rsid w:val="4FFD214C"/>
    <w:rsid w:val="5007515D"/>
    <w:rsid w:val="51484635"/>
    <w:rsid w:val="51C70EA9"/>
    <w:rsid w:val="529B480F"/>
    <w:rsid w:val="53010E60"/>
    <w:rsid w:val="531C3B06"/>
    <w:rsid w:val="545253A1"/>
    <w:rsid w:val="551B7D70"/>
    <w:rsid w:val="551C6281"/>
    <w:rsid w:val="55B64ADC"/>
    <w:rsid w:val="55B856D8"/>
    <w:rsid w:val="561C6CEB"/>
    <w:rsid w:val="563805C7"/>
    <w:rsid w:val="569A6B8C"/>
    <w:rsid w:val="57541431"/>
    <w:rsid w:val="5777D4F5"/>
    <w:rsid w:val="57EC78BB"/>
    <w:rsid w:val="5898359F"/>
    <w:rsid w:val="59DD8326"/>
    <w:rsid w:val="5ABD09B0"/>
    <w:rsid w:val="5AD07020"/>
    <w:rsid w:val="5AF727FF"/>
    <w:rsid w:val="5C190553"/>
    <w:rsid w:val="5C2E04A2"/>
    <w:rsid w:val="5C313AEE"/>
    <w:rsid w:val="5C3F26AF"/>
    <w:rsid w:val="5D6323CD"/>
    <w:rsid w:val="5DDE3955"/>
    <w:rsid w:val="5DEF592A"/>
    <w:rsid w:val="5F6B37BB"/>
    <w:rsid w:val="5FC6BB1E"/>
    <w:rsid w:val="5FDC6467"/>
    <w:rsid w:val="5FF720F1"/>
    <w:rsid w:val="60DB04CD"/>
    <w:rsid w:val="61A22D98"/>
    <w:rsid w:val="61C46412"/>
    <w:rsid w:val="61C86CA3"/>
    <w:rsid w:val="61EF537D"/>
    <w:rsid w:val="62496B99"/>
    <w:rsid w:val="626D1EE9"/>
    <w:rsid w:val="6296310B"/>
    <w:rsid w:val="62A82630"/>
    <w:rsid w:val="62B80AC5"/>
    <w:rsid w:val="62BB2364"/>
    <w:rsid w:val="6347009B"/>
    <w:rsid w:val="63780255"/>
    <w:rsid w:val="637A5C81"/>
    <w:rsid w:val="63F0603D"/>
    <w:rsid w:val="642055FC"/>
    <w:rsid w:val="64BB2AEF"/>
    <w:rsid w:val="6526485A"/>
    <w:rsid w:val="65285C22"/>
    <w:rsid w:val="65530F79"/>
    <w:rsid w:val="655C40E3"/>
    <w:rsid w:val="65A25A5D"/>
    <w:rsid w:val="65D2403E"/>
    <w:rsid w:val="66707909"/>
    <w:rsid w:val="66E31E89"/>
    <w:rsid w:val="66FC2F4B"/>
    <w:rsid w:val="67A535E2"/>
    <w:rsid w:val="67FF5C0B"/>
    <w:rsid w:val="68E00D76"/>
    <w:rsid w:val="695A7E28"/>
    <w:rsid w:val="6A6B466F"/>
    <w:rsid w:val="6D30394E"/>
    <w:rsid w:val="6E736523"/>
    <w:rsid w:val="6E91666F"/>
    <w:rsid w:val="6EC86534"/>
    <w:rsid w:val="6EFC0924"/>
    <w:rsid w:val="6FB74722"/>
    <w:rsid w:val="6FEC0000"/>
    <w:rsid w:val="6FEF8B7E"/>
    <w:rsid w:val="700147E0"/>
    <w:rsid w:val="70F523EF"/>
    <w:rsid w:val="713457C0"/>
    <w:rsid w:val="71453E6C"/>
    <w:rsid w:val="714A4075"/>
    <w:rsid w:val="71760F11"/>
    <w:rsid w:val="71A6591B"/>
    <w:rsid w:val="71CF7BDA"/>
    <w:rsid w:val="72353535"/>
    <w:rsid w:val="72457E9C"/>
    <w:rsid w:val="7301404E"/>
    <w:rsid w:val="736D1458"/>
    <w:rsid w:val="736D3206"/>
    <w:rsid w:val="737D59BA"/>
    <w:rsid w:val="73F456D6"/>
    <w:rsid w:val="745919DD"/>
    <w:rsid w:val="749E5B0A"/>
    <w:rsid w:val="74AD1A2C"/>
    <w:rsid w:val="75AC61F7"/>
    <w:rsid w:val="773109EF"/>
    <w:rsid w:val="777D29FF"/>
    <w:rsid w:val="77C37683"/>
    <w:rsid w:val="77DB72D8"/>
    <w:rsid w:val="77E141C3"/>
    <w:rsid w:val="785D7F69"/>
    <w:rsid w:val="79D19834"/>
    <w:rsid w:val="79FF515B"/>
    <w:rsid w:val="7A6F7B00"/>
    <w:rsid w:val="7BF549BF"/>
    <w:rsid w:val="7C482AF0"/>
    <w:rsid w:val="7D047E30"/>
    <w:rsid w:val="7DAC10B1"/>
    <w:rsid w:val="7DC26844"/>
    <w:rsid w:val="7DD56578"/>
    <w:rsid w:val="7E9E1962"/>
    <w:rsid w:val="7E9F11B4"/>
    <w:rsid w:val="7F37EC1E"/>
    <w:rsid w:val="7F4C0323"/>
    <w:rsid w:val="7F7DCD9D"/>
    <w:rsid w:val="7F970A6F"/>
    <w:rsid w:val="7FC1FFF3"/>
    <w:rsid w:val="7FC69637"/>
    <w:rsid w:val="7FDF8620"/>
    <w:rsid w:val="7FE8C8F7"/>
    <w:rsid w:val="7FFB242F"/>
    <w:rsid w:val="7FFDB408"/>
    <w:rsid w:val="7FFE4EEB"/>
    <w:rsid w:val="95FB2B98"/>
    <w:rsid w:val="9A639BC2"/>
    <w:rsid w:val="9BFA491D"/>
    <w:rsid w:val="9FF7D786"/>
    <w:rsid w:val="ABBFB23D"/>
    <w:rsid w:val="B6AFFE39"/>
    <w:rsid w:val="C3B4DA5A"/>
    <w:rsid w:val="CBFF70E0"/>
    <w:rsid w:val="CFF50B82"/>
    <w:rsid w:val="CFFFAD89"/>
    <w:rsid w:val="DFFE359E"/>
    <w:rsid w:val="DFFE4FFD"/>
    <w:rsid w:val="EEABED75"/>
    <w:rsid w:val="F56FDF51"/>
    <w:rsid w:val="F6B69F17"/>
    <w:rsid w:val="F77F1D61"/>
    <w:rsid w:val="F7FED3A9"/>
    <w:rsid w:val="F8C9DB26"/>
    <w:rsid w:val="F97E8EAE"/>
    <w:rsid w:val="FB36E1A6"/>
    <w:rsid w:val="FB3BE134"/>
    <w:rsid w:val="FCFF4275"/>
    <w:rsid w:val="FD7FEEEA"/>
    <w:rsid w:val="FDFFB577"/>
    <w:rsid w:val="FEEA50FE"/>
    <w:rsid w:val="FF7D47A9"/>
    <w:rsid w:val="FF7F63BE"/>
    <w:rsid w:val="FFCF21CB"/>
    <w:rsid w:val="FFFF1C8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qFormat="1" w:unhideWhenUsed="0" w:uiPriority="0" w:semiHidden="0"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99" w:semiHidden="0"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qFormat="1" w:unhideWhenUsed="0" w:uiPriority="0" w:semiHidden="0"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14">
    <w:name w:val="Default Paragraph Font"/>
    <w:semiHidden/>
    <w:unhideWhenUsed/>
    <w:qFormat/>
    <w:uiPriority w:val="1"/>
  </w:style>
  <w:style w:type="table" w:default="1" w:styleId="13">
    <w:name w:val="Normal Table"/>
    <w:semiHidden/>
    <w:unhideWhenUsed/>
    <w:qFormat/>
    <w:uiPriority w:val="99"/>
    <w:tblPr>
      <w:tblCellMar>
        <w:top w:w="0" w:type="dxa"/>
        <w:left w:w="108" w:type="dxa"/>
        <w:bottom w:w="0" w:type="dxa"/>
        <w:right w:w="108" w:type="dxa"/>
      </w:tblCellMar>
    </w:tblPr>
  </w:style>
  <w:style w:type="paragraph" w:styleId="2">
    <w:name w:val="Body Text First Indent 2"/>
    <w:basedOn w:val="3"/>
    <w:next w:val="1"/>
    <w:unhideWhenUsed/>
    <w:qFormat/>
    <w:uiPriority w:val="99"/>
    <w:pPr>
      <w:ind w:firstLine="420" w:firstLineChars="200"/>
    </w:pPr>
  </w:style>
  <w:style w:type="paragraph" w:styleId="3">
    <w:name w:val="Body Text Indent"/>
    <w:basedOn w:val="1"/>
    <w:next w:val="4"/>
    <w:unhideWhenUsed/>
    <w:qFormat/>
    <w:uiPriority w:val="99"/>
    <w:pPr>
      <w:widowControl/>
      <w:spacing w:after="120"/>
      <w:ind w:left="420" w:leftChars="200"/>
      <w:jc w:val="left"/>
    </w:pPr>
    <w:rPr>
      <w:rFonts w:ascii="宋体" w:hAnsi="宋体" w:eastAsia="宋体" w:cs="宋体"/>
      <w:kern w:val="0"/>
      <w:sz w:val="24"/>
    </w:rPr>
  </w:style>
  <w:style w:type="paragraph" w:styleId="4">
    <w:name w:val="Body Text Indent 3"/>
    <w:basedOn w:val="1"/>
    <w:next w:val="5"/>
    <w:qFormat/>
    <w:uiPriority w:val="0"/>
    <w:pPr>
      <w:widowControl/>
      <w:overflowPunct w:val="0"/>
      <w:autoSpaceDE w:val="0"/>
      <w:autoSpaceDN w:val="0"/>
      <w:adjustRightInd w:val="0"/>
      <w:spacing w:line="360" w:lineRule="auto"/>
      <w:ind w:firstLine="540"/>
      <w:textAlignment w:val="baseline"/>
    </w:pPr>
    <w:rPr>
      <w:rFonts w:ascii="宋体" w:hAnsi="MS Sans Serif"/>
      <w:color w:val="000000"/>
      <w:kern w:val="0"/>
      <w:sz w:val="24"/>
      <w:szCs w:val="20"/>
    </w:rPr>
  </w:style>
  <w:style w:type="paragraph" w:customStyle="1" w:styleId="5">
    <w:name w:val="Style23"/>
    <w:basedOn w:val="1"/>
    <w:next w:val="1"/>
    <w:unhideWhenUsed/>
    <w:qFormat/>
    <w:uiPriority w:val="99"/>
    <w:rPr>
      <w:rFonts w:ascii="Calibri" w:hAnsi="Calibri"/>
    </w:rPr>
  </w:style>
  <w:style w:type="paragraph" w:styleId="6">
    <w:name w:val="Body Text"/>
    <w:basedOn w:val="1"/>
    <w:next w:val="7"/>
    <w:qFormat/>
    <w:uiPriority w:val="99"/>
    <w:pPr>
      <w:spacing w:after="120"/>
    </w:pPr>
  </w:style>
  <w:style w:type="paragraph" w:styleId="7">
    <w:name w:val="toc 5"/>
    <w:basedOn w:val="1"/>
    <w:next w:val="1"/>
    <w:qFormat/>
    <w:uiPriority w:val="0"/>
    <w:pPr>
      <w:ind w:left="1680" w:leftChars="800"/>
    </w:pPr>
  </w:style>
  <w:style w:type="paragraph" w:styleId="8">
    <w:name w:val="Balloon Text"/>
    <w:basedOn w:val="1"/>
    <w:link w:val="19"/>
    <w:semiHidden/>
    <w:unhideWhenUsed/>
    <w:qFormat/>
    <w:uiPriority w:val="99"/>
    <w:rPr>
      <w:sz w:val="18"/>
      <w:szCs w:val="18"/>
    </w:rPr>
  </w:style>
  <w:style w:type="paragraph" w:styleId="9">
    <w:name w:val="footer"/>
    <w:basedOn w:val="1"/>
    <w:link w:val="16"/>
    <w:unhideWhenUsed/>
    <w:qFormat/>
    <w:uiPriority w:val="99"/>
    <w:pPr>
      <w:tabs>
        <w:tab w:val="center" w:pos="4153"/>
        <w:tab w:val="right" w:pos="8306"/>
      </w:tabs>
      <w:snapToGrid w:val="0"/>
      <w:jc w:val="left"/>
    </w:pPr>
    <w:rPr>
      <w:sz w:val="18"/>
      <w:szCs w:val="18"/>
    </w:rPr>
  </w:style>
  <w:style w:type="paragraph" w:styleId="10">
    <w:name w:val="header"/>
    <w:basedOn w:val="1"/>
    <w:link w:val="15"/>
    <w:unhideWhenUsed/>
    <w:qFormat/>
    <w:uiPriority w:val="99"/>
    <w:pPr>
      <w:pBdr>
        <w:bottom w:val="single" w:color="auto" w:sz="6" w:space="1"/>
      </w:pBdr>
      <w:tabs>
        <w:tab w:val="center" w:pos="4153"/>
        <w:tab w:val="right" w:pos="8306"/>
      </w:tabs>
      <w:snapToGrid w:val="0"/>
      <w:jc w:val="center"/>
    </w:pPr>
    <w:rPr>
      <w:sz w:val="18"/>
      <w:szCs w:val="18"/>
    </w:rPr>
  </w:style>
  <w:style w:type="paragraph" w:styleId="11">
    <w:name w:val="footnote text"/>
    <w:basedOn w:val="1"/>
    <w:next w:val="2"/>
    <w:semiHidden/>
    <w:qFormat/>
    <w:uiPriority w:val="0"/>
    <w:pPr>
      <w:snapToGrid w:val="0"/>
      <w:jc w:val="left"/>
    </w:pPr>
    <w:rPr>
      <w:sz w:val="18"/>
      <w:szCs w:val="18"/>
    </w:rPr>
  </w:style>
  <w:style w:type="paragraph" w:styleId="12">
    <w:name w:val="Normal (Web)"/>
    <w:basedOn w:val="1"/>
    <w:qFormat/>
    <w:uiPriority w:val="0"/>
    <w:pPr>
      <w:spacing w:before="100" w:beforeAutospacing="1" w:after="100" w:afterAutospacing="1"/>
      <w:jc w:val="left"/>
    </w:pPr>
    <w:rPr>
      <w:rFonts w:cs="Times New Roman"/>
      <w:kern w:val="0"/>
      <w:sz w:val="24"/>
    </w:rPr>
  </w:style>
  <w:style w:type="character" w:customStyle="1" w:styleId="15">
    <w:name w:val="页眉 Char"/>
    <w:basedOn w:val="14"/>
    <w:link w:val="10"/>
    <w:qFormat/>
    <w:uiPriority w:val="99"/>
    <w:rPr>
      <w:sz w:val="18"/>
      <w:szCs w:val="18"/>
    </w:rPr>
  </w:style>
  <w:style w:type="character" w:customStyle="1" w:styleId="16">
    <w:name w:val="页脚 Char"/>
    <w:basedOn w:val="14"/>
    <w:link w:val="9"/>
    <w:qFormat/>
    <w:uiPriority w:val="99"/>
    <w:rPr>
      <w:sz w:val="18"/>
      <w:szCs w:val="18"/>
    </w:rPr>
  </w:style>
  <w:style w:type="paragraph" w:customStyle="1" w:styleId="17">
    <w:name w:val="Default"/>
    <w:qFormat/>
    <w:uiPriority w:val="0"/>
    <w:pPr>
      <w:widowControl w:val="0"/>
      <w:autoSpaceDE w:val="0"/>
      <w:autoSpaceDN w:val="0"/>
      <w:adjustRightInd w:val="0"/>
    </w:pPr>
    <w:rPr>
      <w:rFonts w:ascii="黑体" w:eastAsia="黑体" w:cs="黑体" w:hAnsiTheme="minorHAnsi"/>
      <w:color w:val="000000"/>
      <w:sz w:val="24"/>
      <w:szCs w:val="24"/>
      <w:lang w:val="en-US" w:eastAsia="zh-CN" w:bidi="ar-SA"/>
    </w:rPr>
  </w:style>
  <w:style w:type="paragraph" w:styleId="18">
    <w:name w:val="List Paragraph"/>
    <w:basedOn w:val="1"/>
    <w:qFormat/>
    <w:uiPriority w:val="34"/>
    <w:pPr>
      <w:ind w:firstLine="420" w:firstLineChars="200"/>
    </w:pPr>
  </w:style>
  <w:style w:type="character" w:customStyle="1" w:styleId="19">
    <w:name w:val="批注框文本 Char"/>
    <w:basedOn w:val="14"/>
    <w:link w:val="8"/>
    <w:semiHidden/>
    <w:qFormat/>
    <w:uiPriority w:val="99"/>
    <w:rPr>
      <w:sz w:val="18"/>
      <w:szCs w:val="18"/>
    </w:rPr>
  </w:style>
  <w:style w:type="character" w:customStyle="1" w:styleId="20">
    <w:name w:val="font01"/>
    <w:basedOn w:val="14"/>
    <w:qFormat/>
    <w:uiPriority w:val="0"/>
    <w:rPr>
      <w:rFonts w:hint="eastAsia" w:ascii="宋体" w:hAnsi="宋体" w:eastAsia="宋体" w:cs="宋体"/>
      <w:color w:val="000000"/>
      <w:sz w:val="22"/>
      <w:szCs w:val="22"/>
      <w:u w:val="none"/>
    </w:rPr>
  </w:style>
  <w:style w:type="character" w:customStyle="1" w:styleId="21">
    <w:name w:val="font21"/>
    <w:basedOn w:val="14"/>
    <w:qFormat/>
    <w:uiPriority w:val="0"/>
    <w:rPr>
      <w:rFonts w:hint="eastAsia" w:ascii="宋体" w:hAnsi="宋体" w:eastAsia="宋体" w:cs="宋体"/>
      <w:color w:val="000000"/>
      <w:sz w:val="24"/>
      <w:szCs w:val="24"/>
      <w:u w:val="none"/>
    </w:rPr>
  </w:style>
  <w:style w:type="character" w:customStyle="1" w:styleId="22">
    <w:name w:val="font11"/>
    <w:basedOn w:val="14"/>
    <w:qFormat/>
    <w:uiPriority w:val="0"/>
    <w:rPr>
      <w:rFonts w:hint="eastAsia" w:ascii="宋体" w:hAnsi="宋体" w:eastAsia="宋体" w:cs="宋体"/>
      <w:color w:val="000000"/>
      <w:sz w:val="24"/>
      <w:szCs w:val="24"/>
      <w:u w:val="none"/>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38</Pages>
  <Words>2070</Words>
  <Characters>2499</Characters>
  <Lines>69</Lines>
  <Paragraphs>19</Paragraphs>
  <TotalTime>17</TotalTime>
  <ScaleCrop>false</ScaleCrop>
  <LinksUpToDate>false</LinksUpToDate>
  <CharactersWithSpaces>2745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2025-08-19T18:17:00Z</dcterms:created>
  <dc:creator>李航 null</dc:creator>
  <cp:lastModifiedBy>.々让心灵去旅行</cp:lastModifiedBy>
  <cp:lastPrinted>2024-08-10T02:20:00Z</cp:lastPrinted>
  <dcterms:modified xsi:type="dcterms:W3CDTF">2026-10-29T01:09:11Z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4F0B27C0AAC35EFA9177686ADDD5E058</vt:lpwstr>
  </property>
  <property fmtid="{D5CDD505-2E9C-101B-9397-08002B2CF9AE}" pid="4" name="KSOTemplateDocerSaveRecord">
    <vt:lpwstr>eyJoZGlkIjoiMTYxNTBmOTQ3MzdjMGE3YzcwZmI2MTYyOWUxYzAxOWQiLCJ1c2VySWQiOiIzNDc0NjQ4NzAifQ==</vt:lpwstr>
  </property>
</Properties>
</file>