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A59" w:rsidRDefault="00000000">
      <w:pPr>
        <w:pStyle w:val="Default"/>
        <w:jc w:val="both"/>
        <w:rPr>
          <w:rFonts w:hAnsi="黑体" w:hint="eastAsia"/>
          <w:sz w:val="36"/>
          <w:szCs w:val="36"/>
        </w:rPr>
      </w:pPr>
      <w:r>
        <w:rPr>
          <w:rFonts w:hAnsi="黑体" w:hint="eastAsia"/>
          <w:sz w:val="36"/>
          <w:szCs w:val="36"/>
        </w:rPr>
        <w:t xml:space="preserve"> </w:t>
      </w:r>
    </w:p>
    <w:p w:rsidR="005B2A59" w:rsidRDefault="005B2A59">
      <w:pPr>
        <w:pStyle w:val="Default"/>
        <w:jc w:val="center"/>
        <w:rPr>
          <w:rFonts w:ascii="Times New Roman" w:hAnsi="Times New Roman" w:cs="Times New Roman"/>
          <w:sz w:val="56"/>
          <w:szCs w:val="56"/>
        </w:rPr>
      </w:pPr>
    </w:p>
    <w:p w:rsidR="005B2A59" w:rsidRDefault="005B2A59">
      <w:pPr>
        <w:pStyle w:val="Default"/>
        <w:jc w:val="center"/>
        <w:rPr>
          <w:rFonts w:ascii="Times New Roman" w:hAnsi="Times New Roman" w:cs="Times New Roman"/>
          <w:sz w:val="84"/>
          <w:szCs w:val="84"/>
        </w:rPr>
      </w:pPr>
    </w:p>
    <w:p w:rsidR="005B2A59" w:rsidRDefault="005B2A59">
      <w:pPr>
        <w:pStyle w:val="Default"/>
        <w:jc w:val="center"/>
        <w:rPr>
          <w:rFonts w:ascii="Times New Roman" w:hAnsi="Times New Roman" w:cs="Times New Roman"/>
          <w:sz w:val="84"/>
          <w:szCs w:val="84"/>
        </w:rPr>
      </w:pPr>
    </w:p>
    <w:p w:rsidR="005B2A5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5B2A59"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祁阳市第四中学</w:t>
      </w:r>
      <w:r>
        <w:rPr>
          <w:rFonts w:ascii="Times New Roman" w:eastAsia="方正小标宋简体" w:hAnsi="Times New Roman" w:cs="Times New Roman"/>
          <w:sz w:val="72"/>
          <w:szCs w:val="72"/>
        </w:rPr>
        <w:t>部门决算</w:t>
      </w:r>
    </w:p>
    <w:p w:rsidR="005B2A59" w:rsidRDefault="005B2A59">
      <w:pPr>
        <w:pStyle w:val="Default"/>
        <w:jc w:val="center"/>
        <w:rPr>
          <w:rFonts w:ascii="Times New Roman" w:eastAsia="方正小标宋_GBK" w:hAnsi="Times New Roman" w:cs="Times New Roman"/>
          <w:sz w:val="56"/>
          <w:szCs w:val="56"/>
        </w:rPr>
      </w:pPr>
    </w:p>
    <w:p w:rsidR="005B2A59" w:rsidRDefault="005B2A59">
      <w:pPr>
        <w:pStyle w:val="Default"/>
        <w:jc w:val="center"/>
        <w:rPr>
          <w:rFonts w:ascii="Times New Roman" w:hAnsi="Times New Roman" w:cs="Times New Roman"/>
          <w:sz w:val="56"/>
          <w:szCs w:val="56"/>
        </w:rPr>
      </w:pPr>
    </w:p>
    <w:p w:rsidR="005B2A59" w:rsidRDefault="005B2A59">
      <w:pPr>
        <w:pStyle w:val="Default"/>
        <w:rPr>
          <w:rFonts w:ascii="Times New Roman" w:hAnsi="Times New Roman" w:cs="Times New Roman"/>
          <w:sz w:val="56"/>
          <w:szCs w:val="56"/>
        </w:rPr>
      </w:pPr>
    </w:p>
    <w:p w:rsidR="005B2A59" w:rsidRDefault="005B2A59">
      <w:pPr>
        <w:pStyle w:val="Default"/>
        <w:jc w:val="center"/>
        <w:rPr>
          <w:rFonts w:ascii="Times New Roman" w:hAnsi="Times New Roman" w:cs="Times New Roman"/>
          <w:sz w:val="32"/>
          <w:szCs w:val="32"/>
        </w:rPr>
      </w:pPr>
    </w:p>
    <w:p w:rsidR="005B2A59" w:rsidRDefault="005B2A59">
      <w:pPr>
        <w:pStyle w:val="Default"/>
        <w:jc w:val="center"/>
        <w:rPr>
          <w:rFonts w:ascii="Times New Roman" w:hAnsi="Times New Roman" w:cs="Times New Roman"/>
          <w:sz w:val="32"/>
          <w:szCs w:val="32"/>
        </w:rPr>
      </w:pPr>
    </w:p>
    <w:p w:rsidR="005B2A59" w:rsidRDefault="005B2A59">
      <w:pPr>
        <w:pStyle w:val="Default"/>
        <w:jc w:val="center"/>
        <w:rPr>
          <w:rFonts w:ascii="Times New Roman" w:hAnsi="Times New Roman" w:cs="Times New Roman"/>
          <w:sz w:val="32"/>
          <w:szCs w:val="32"/>
        </w:rPr>
      </w:pPr>
    </w:p>
    <w:p w:rsidR="005B2A59" w:rsidRDefault="005B2A59">
      <w:pPr>
        <w:pStyle w:val="Default"/>
        <w:jc w:val="center"/>
        <w:rPr>
          <w:rFonts w:ascii="Times New Roman" w:hAnsi="Times New Roman" w:cs="Times New Roman"/>
          <w:sz w:val="32"/>
          <w:szCs w:val="32"/>
        </w:rPr>
      </w:pPr>
    </w:p>
    <w:p w:rsidR="005B2A59" w:rsidRDefault="005B2A59">
      <w:pPr>
        <w:pStyle w:val="Default"/>
        <w:jc w:val="center"/>
        <w:rPr>
          <w:rFonts w:ascii="Times New Roman" w:hAnsi="Times New Roman" w:cs="Times New Roman"/>
          <w:sz w:val="32"/>
          <w:szCs w:val="32"/>
        </w:rPr>
      </w:pPr>
    </w:p>
    <w:p w:rsidR="005B2A59" w:rsidRDefault="005B2A59">
      <w:pPr>
        <w:pStyle w:val="Default"/>
        <w:jc w:val="center"/>
        <w:rPr>
          <w:rFonts w:ascii="Times New Roman" w:hAnsi="Times New Roman" w:cs="Times New Roman"/>
          <w:sz w:val="32"/>
          <w:szCs w:val="32"/>
        </w:rPr>
      </w:pPr>
    </w:p>
    <w:p w:rsidR="005B2A59" w:rsidRDefault="005B2A59">
      <w:pPr>
        <w:rPr>
          <w:rFonts w:ascii="Times New Roman" w:hAnsi="Times New Roman" w:cs="Times New Roman"/>
          <w:b/>
          <w:sz w:val="36"/>
          <w:szCs w:val="28"/>
        </w:rPr>
        <w:sectPr w:rsidR="005B2A59">
          <w:pgSz w:w="11906" w:h="16838"/>
          <w:pgMar w:top="1417" w:right="1588" w:bottom="1417" w:left="1588" w:header="851" w:footer="992" w:gutter="0"/>
          <w:cols w:space="425"/>
          <w:docGrid w:type="lines" w:linePitch="312"/>
        </w:sectPr>
      </w:pPr>
    </w:p>
    <w:p w:rsidR="005B2A59" w:rsidRDefault="005B2A59">
      <w:pPr>
        <w:pStyle w:val="Default"/>
        <w:spacing w:line="600" w:lineRule="exact"/>
        <w:jc w:val="both"/>
        <w:rPr>
          <w:rFonts w:ascii="Times New Roman" w:hAnsi="Times New Roman" w:cs="Times New Roman"/>
          <w:b/>
          <w:sz w:val="36"/>
          <w:szCs w:val="28"/>
        </w:rPr>
      </w:pPr>
    </w:p>
    <w:p w:rsidR="005B2A59"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5B2A59" w:rsidRDefault="005B2A59">
      <w:pPr>
        <w:pStyle w:val="Default"/>
        <w:spacing w:line="600" w:lineRule="exact"/>
        <w:jc w:val="center"/>
        <w:rPr>
          <w:rFonts w:ascii="Times New Roman" w:hAnsi="Times New Roman" w:cs="Times New Roman"/>
          <w:b/>
          <w:sz w:val="36"/>
          <w:szCs w:val="28"/>
        </w:rPr>
      </w:pPr>
    </w:p>
    <w:p w:rsidR="005B2A59"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祁阳市第四中学</w:t>
      </w:r>
      <w:r>
        <w:rPr>
          <w:rFonts w:ascii="Times New Roman" w:hAnsi="Times New Roman" w:cs="Times New Roman"/>
          <w:bCs/>
          <w:sz w:val="32"/>
          <w:szCs w:val="32"/>
        </w:rPr>
        <w:t>部门概况</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一、部门职责</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二、机构设置及决算单位构成</w:t>
      </w:r>
    </w:p>
    <w:p w:rsidR="005B2A5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一、收入支出决算总表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二、收入决算表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三、支出决算表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四、财政拨款收入支出决算总表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五、一般公共预算财政拨款支出决算表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六、一般公共预算财政拨款基本支出决算明细表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七、政府性基金预算财政拨款收入支出决算表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八、国有资本经营预算财政拨款支出决算表</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九、财政拨款“三公”经费支出决算表</w:t>
      </w:r>
    </w:p>
    <w:p w:rsidR="005B2A5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一、收入支出决算总体情况说明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二、收入决算情况说明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三、支出决算情况说明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四、财政拨款收入支出决算总体情况说明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五、一般公共预算财政拨款支出决算情况说明</w:t>
      </w:r>
    </w:p>
    <w:p w:rsidR="005B2A59" w:rsidRDefault="005B2A59">
      <w:pPr>
        <w:pStyle w:val="Default"/>
        <w:spacing w:line="600" w:lineRule="exact"/>
        <w:rPr>
          <w:rFonts w:ascii="仿宋_GB2312" w:eastAsia="仿宋_GB2312" w:hAnsi="仿宋_GB2312" w:cs="仿宋_GB2312" w:hint="eastAsia"/>
          <w:sz w:val="32"/>
          <w:szCs w:val="32"/>
        </w:rPr>
        <w:sectPr w:rsidR="005B2A59">
          <w:footerReference w:type="default" r:id="rId8"/>
          <w:pgSz w:w="11906" w:h="16838"/>
          <w:pgMar w:top="1417" w:right="1588" w:bottom="1417" w:left="1588" w:header="851" w:footer="992" w:gutter="0"/>
          <w:pgNumType w:start="1"/>
          <w:cols w:space="425"/>
          <w:docGrid w:type="lines" w:linePitch="312"/>
        </w:sectPr>
      </w:pP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六、一般公共预算财政拨款基本支出决算情况说明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七、财政拨款“三公”经费支出决算情况说明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八、政府性基金预算收入支出决算情况</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九、关于机关运行经费支出说明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十、一般性支出情况说明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十一、关于政府采购支出说明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十二、关于国有资产占用情况说明</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十三、关于2024年度预算绩效管理情况的说明</w:t>
      </w:r>
    </w:p>
    <w:p w:rsidR="005B2A5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5B2A59"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5B2A59" w:rsidRDefault="005B2A59">
      <w:pPr>
        <w:pStyle w:val="Default"/>
        <w:spacing w:line="600" w:lineRule="exact"/>
        <w:rPr>
          <w:rFonts w:ascii="Times New Roman" w:hAnsi="Times New Roman" w:cs="Times New Roman"/>
          <w:bCs/>
          <w:sz w:val="28"/>
          <w:szCs w:val="28"/>
        </w:rPr>
      </w:pPr>
    </w:p>
    <w:p w:rsidR="005B2A59" w:rsidRDefault="005B2A59">
      <w:pPr>
        <w:jc w:val="center"/>
        <w:rPr>
          <w:rFonts w:ascii="Times New Roman" w:hAnsi="Times New Roman" w:cs="Times New Roman"/>
          <w:sz w:val="72"/>
          <w:szCs w:val="72"/>
        </w:rPr>
      </w:pPr>
    </w:p>
    <w:p w:rsidR="005B2A59" w:rsidRDefault="005B2A59">
      <w:pPr>
        <w:pStyle w:val="ab"/>
        <w:rPr>
          <w:rFonts w:ascii="Times New Roman" w:hAnsi="Times New Roman" w:cs="Times New Roman"/>
        </w:rPr>
        <w:sectPr w:rsidR="005B2A59">
          <w:footerReference w:type="default" r:id="rId9"/>
          <w:pgSz w:w="11906" w:h="16838"/>
          <w:pgMar w:top="1417" w:right="1588" w:bottom="1417" w:left="1588" w:header="851" w:footer="992" w:gutter="0"/>
          <w:pgNumType w:start="1"/>
          <w:cols w:space="425"/>
          <w:docGrid w:type="lines" w:linePitch="312"/>
        </w:sectPr>
      </w:pPr>
    </w:p>
    <w:p w:rsidR="005B2A5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5B2A5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祁阳市第四中学</w:t>
      </w:r>
      <w:r>
        <w:rPr>
          <w:rFonts w:ascii="Times New Roman" w:eastAsia="方正小标宋_GBK" w:hAnsi="Times New Roman" w:cs="Times New Roman"/>
          <w:sz w:val="52"/>
          <w:szCs w:val="52"/>
        </w:rPr>
        <w:t>单位概况</w:t>
      </w:r>
    </w:p>
    <w:p w:rsidR="005B2A59" w:rsidRDefault="005B2A59">
      <w:pPr>
        <w:pStyle w:val="2"/>
        <w:ind w:leftChars="0" w:left="0" w:firstLineChars="0" w:firstLine="0"/>
        <w:rPr>
          <w:rFonts w:ascii="Times New Roman" w:hAnsi="Times New Roman" w:cs="Times New Roman"/>
        </w:rPr>
      </w:pPr>
    </w:p>
    <w:p w:rsidR="005B2A59"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(一）宣传贯彻执行党和国家的教育方针、政策、法律法规等，坚持依法治教、依法治学，贯彻执行各级教育部门的行政规章制度。</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（二）制定符合党的教育方针和国家教育法律法规以及本校实际的教育发展规划和学校布局调整规划，并抓好组织实施和落实工作。</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（三）加强党组织建设，发挥党建引领作用，坚持党的全面领导。</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（四）组织开展本校的教育教学科研和教育教学改革，科研兴教，科研兴校。负责对本校教育教学业务的具体管理，负责教育教学管理及教研教改工作，全力推进素质教育实施。</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（五）按照干部和教师的职数、编制和管理权限，负责本校教师人事管理、继续教育、考核考评等工作。</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（六）负责本校财务和基建管理，筹措资金，改善办学条件等工作。</w:t>
      </w:r>
    </w:p>
    <w:p w:rsidR="005B2A59" w:rsidRDefault="00000000">
      <w:pPr>
        <w:pStyle w:val="Default"/>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（七）指导、管理、检查、评价本校的教育教学工作，提高办学质量和办学效益。</w:t>
      </w:r>
    </w:p>
    <w:p w:rsidR="005B2A59"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5B2A59" w:rsidRDefault="00000000">
      <w:pPr>
        <w:pStyle w:val="Default"/>
        <w:spacing w:line="600" w:lineRule="exact"/>
        <w:rPr>
          <w:rFonts w:ascii="Times New Roman" w:eastAsia="仿宋_GB2312" w:hAnsi="Times New Roman" w:cs="Times New Roman"/>
          <w:bCs/>
          <w:sz w:val="32"/>
          <w:szCs w:val="32"/>
        </w:rPr>
      </w:pPr>
      <w:r>
        <w:rPr>
          <w:rFonts w:ascii="仿宋_GB2312" w:eastAsia="仿宋_GB2312" w:hAnsi="仿宋_GB2312" w:cs="仿宋_GB2312" w:hint="eastAsia"/>
          <w:sz w:val="32"/>
          <w:szCs w:val="32"/>
        </w:rPr>
        <w:lastRenderedPageBreak/>
        <w:t>（一）内设机构设置。祁阳市第四中学内设机构包括：办公室、教务处、政教处、教科督导室、党建纪检室、总务处、团委。2024年在职教职工372人，离退休教职工125人，在校学生4632人，遗</w:t>
      </w:r>
      <w:proofErr w:type="gramStart"/>
      <w:r>
        <w:rPr>
          <w:rFonts w:ascii="仿宋_GB2312" w:eastAsia="仿宋_GB2312" w:hAnsi="仿宋_GB2312" w:cs="仿宋_GB2312" w:hint="eastAsia"/>
          <w:sz w:val="32"/>
          <w:szCs w:val="32"/>
        </w:rPr>
        <w:t>抚人员</w:t>
      </w:r>
      <w:proofErr w:type="gramEnd"/>
      <w:r>
        <w:rPr>
          <w:rFonts w:ascii="仿宋_GB2312" w:eastAsia="仿宋_GB2312" w:hAnsi="仿宋_GB2312" w:cs="仿宋_GB2312" w:hint="eastAsia"/>
          <w:sz w:val="32"/>
          <w:szCs w:val="32"/>
        </w:rPr>
        <w:t>14人。</w:t>
      </w:r>
    </w:p>
    <w:p w:rsidR="005B2A59" w:rsidRDefault="00000000">
      <w:pPr>
        <w:widowControl/>
        <w:numPr>
          <w:ilvl w:val="0"/>
          <w:numId w:val="1"/>
        </w:numPr>
        <w:spacing w:line="600" w:lineRule="exact"/>
        <w:rPr>
          <w:rFonts w:ascii="仿宋_GB2312" w:eastAsia="仿宋_GB2312" w:hAnsi="仿宋_GB2312" w:cs="仿宋_GB2312" w:hint="eastAsia"/>
          <w:sz w:val="32"/>
          <w:szCs w:val="32"/>
        </w:rPr>
      </w:pPr>
      <w:r>
        <w:rPr>
          <w:rFonts w:ascii="Times New Roman" w:eastAsia="仿宋_GB2312" w:hAnsi="Times New Roman" w:cs="Times New Roman"/>
          <w:bCs/>
          <w:kern w:val="0"/>
          <w:sz w:val="32"/>
          <w:szCs w:val="32"/>
        </w:rPr>
        <w:t>决算单位构成。</w:t>
      </w:r>
      <w:r>
        <w:rPr>
          <w:rFonts w:ascii="Times New Roman" w:eastAsia="仿宋_GB2312" w:hAnsi="Times New Roman" w:cs="Times New Roman" w:hint="eastAsia"/>
          <w:bCs/>
          <w:kern w:val="0"/>
          <w:sz w:val="32"/>
          <w:szCs w:val="32"/>
        </w:rPr>
        <w:t>祁阳市第四中学</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仿宋_GB2312" w:eastAsia="仿宋_GB2312" w:hAnsi="仿宋_GB2312" w:cs="仿宋_GB2312" w:hint="eastAsia"/>
          <w:sz w:val="32"/>
          <w:szCs w:val="32"/>
        </w:rPr>
        <w:t>祁阳市第四中学本级，无下属单位。</w:t>
      </w:r>
    </w:p>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2"/>
        <w:ind w:firstLine="480"/>
        <w:rPr>
          <w:rFonts w:hint="eastAsia"/>
        </w:rPr>
      </w:pPr>
    </w:p>
    <w:p w:rsidR="005B2A59" w:rsidRDefault="005B2A59"/>
    <w:p w:rsidR="005B2A59" w:rsidRDefault="005B2A59">
      <w:pPr>
        <w:pStyle w:val="ab"/>
      </w:pPr>
    </w:p>
    <w:p w:rsidR="005B2A59" w:rsidRDefault="005B2A59">
      <w:pPr>
        <w:pStyle w:val="Default"/>
        <w:jc w:val="center"/>
        <w:rPr>
          <w:rFonts w:ascii="Times New Roman" w:eastAsia="方正小标宋_GBK" w:hAnsi="Times New Roman" w:cs="Times New Roman"/>
          <w:sz w:val="52"/>
          <w:szCs w:val="52"/>
        </w:rPr>
      </w:pPr>
    </w:p>
    <w:p w:rsidR="005B2A59" w:rsidRDefault="005B2A59">
      <w:pPr>
        <w:pStyle w:val="Default"/>
        <w:jc w:val="center"/>
        <w:rPr>
          <w:rFonts w:ascii="Times New Roman" w:eastAsia="方正小标宋_GBK" w:hAnsi="Times New Roman" w:cs="Times New Roman"/>
          <w:sz w:val="52"/>
          <w:szCs w:val="52"/>
        </w:rPr>
      </w:pPr>
    </w:p>
    <w:p w:rsidR="005B2A59" w:rsidRDefault="005B2A59">
      <w:pPr>
        <w:pStyle w:val="Default"/>
        <w:jc w:val="center"/>
        <w:rPr>
          <w:rFonts w:ascii="Times New Roman" w:eastAsia="方正小标宋_GBK" w:hAnsi="Times New Roman" w:cs="Times New Roman"/>
          <w:sz w:val="52"/>
          <w:szCs w:val="52"/>
        </w:rPr>
      </w:pPr>
    </w:p>
    <w:p w:rsidR="005B2A5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第二部分</w:t>
      </w:r>
    </w:p>
    <w:p w:rsidR="005B2A59" w:rsidRDefault="005B2A59">
      <w:pPr>
        <w:pStyle w:val="Default"/>
        <w:spacing w:line="360" w:lineRule="auto"/>
        <w:jc w:val="center"/>
        <w:rPr>
          <w:rFonts w:ascii="Times New Roman" w:eastAsia="方正小标宋_GBK" w:hAnsi="Times New Roman" w:cs="Times New Roman"/>
          <w:sz w:val="52"/>
          <w:szCs w:val="52"/>
        </w:rPr>
      </w:pPr>
    </w:p>
    <w:p w:rsidR="005B2A59" w:rsidRDefault="00000000">
      <w:pPr>
        <w:pStyle w:val="Default"/>
        <w:spacing w:line="360" w:lineRule="auto"/>
        <w:jc w:val="center"/>
        <w:rPr>
          <w:rFonts w:ascii="Times New Roman" w:eastAsia="方正小标宋_GBK" w:hAnsi="Times New Roman" w:cs="Times New Roman"/>
          <w:sz w:val="72"/>
          <w:szCs w:val="72"/>
        </w:rPr>
      </w:pPr>
      <w:r>
        <w:rPr>
          <w:rFonts w:ascii="Times New Roman" w:eastAsia="方正小标宋_GBK" w:hAnsi="Times New Roman" w:cs="Times New Roman" w:hint="eastAsia"/>
          <w:sz w:val="52"/>
          <w:szCs w:val="52"/>
        </w:rPr>
        <w:t>2024</w:t>
      </w:r>
      <w:r>
        <w:rPr>
          <w:rFonts w:ascii="Times New Roman" w:eastAsia="方正小标宋_GBK" w:hAnsi="Times New Roman" w:cs="Times New Roman" w:hint="eastAsia"/>
          <w:sz w:val="52"/>
          <w:szCs w:val="52"/>
        </w:rPr>
        <w:t>年</w:t>
      </w:r>
      <w:r>
        <w:rPr>
          <w:rFonts w:ascii="Times New Roman" w:eastAsia="方正小标宋_GBK" w:hAnsi="Times New Roman" w:cs="Times New Roman"/>
          <w:sz w:val="52"/>
          <w:szCs w:val="52"/>
        </w:rPr>
        <w:t>部门决算表</w:t>
      </w:r>
    </w:p>
    <w:p w:rsidR="005B2A59" w:rsidRDefault="005B2A59">
      <w:pPr>
        <w:pStyle w:val="Default"/>
        <w:spacing w:line="360" w:lineRule="auto"/>
        <w:jc w:val="center"/>
        <w:rPr>
          <w:rFonts w:ascii="Times New Roman" w:eastAsia="方正小标宋_GBK" w:hAnsi="Times New Roman" w:cs="Times New Roman"/>
          <w:sz w:val="72"/>
          <w:szCs w:val="72"/>
        </w:rPr>
      </w:pPr>
    </w:p>
    <w:p w:rsidR="005B2A59" w:rsidRDefault="005B2A59">
      <w:pPr>
        <w:jc w:val="center"/>
        <w:rPr>
          <w:rFonts w:ascii="Times New Roman" w:eastAsia="方正小标宋_GBK" w:hAnsi="Times New Roman" w:cs="Times New Roman"/>
          <w:sz w:val="72"/>
          <w:szCs w:val="72"/>
        </w:rPr>
      </w:pPr>
    </w:p>
    <w:p w:rsidR="005B2A59" w:rsidRDefault="005B2A59">
      <w:pPr>
        <w:jc w:val="center"/>
        <w:rPr>
          <w:rFonts w:ascii="Times New Roman" w:eastAsia="黑体" w:hAnsi="Times New Roman" w:cs="Times New Roman"/>
          <w:sz w:val="28"/>
          <w:szCs w:val="28"/>
        </w:rPr>
      </w:pPr>
    </w:p>
    <w:p w:rsidR="005B2A59" w:rsidRDefault="005B2A59">
      <w:pPr>
        <w:jc w:val="center"/>
        <w:rPr>
          <w:rFonts w:ascii="Times New Roman" w:eastAsia="黑体" w:hAnsi="Times New Roman" w:cs="Times New Roman"/>
          <w:sz w:val="28"/>
          <w:szCs w:val="28"/>
        </w:rPr>
      </w:pPr>
    </w:p>
    <w:p w:rsidR="005B2A59" w:rsidRDefault="005B2A59">
      <w:pPr>
        <w:jc w:val="center"/>
        <w:rPr>
          <w:rFonts w:ascii="Times New Roman" w:eastAsia="黑体" w:hAnsi="Times New Roman" w:cs="Times New Roman"/>
          <w:sz w:val="28"/>
          <w:szCs w:val="28"/>
        </w:rPr>
      </w:pPr>
    </w:p>
    <w:p w:rsidR="005B2A59" w:rsidRDefault="005B2A59">
      <w:pPr>
        <w:jc w:val="center"/>
        <w:rPr>
          <w:rFonts w:ascii="Times New Roman" w:eastAsia="黑体" w:hAnsi="Times New Roman" w:cs="Times New Roman"/>
          <w:sz w:val="28"/>
          <w:szCs w:val="28"/>
        </w:rPr>
      </w:pPr>
    </w:p>
    <w:p w:rsidR="005B2A59" w:rsidRDefault="005B2A59">
      <w:pPr>
        <w:pStyle w:val="ab"/>
        <w:rPr>
          <w:rFonts w:ascii="Times New Roman" w:hAnsi="Times New Roman" w:cs="Times New Roman"/>
        </w:rPr>
        <w:sectPr w:rsidR="005B2A59">
          <w:footerReference w:type="default" r:id="rId10"/>
          <w:pgSz w:w="11906" w:h="16838"/>
          <w:pgMar w:top="1417" w:right="1588" w:bottom="1417" w:left="1588" w:header="851" w:footer="992" w:gutter="0"/>
          <w:pgNumType w:start="1"/>
          <w:cols w:space="425"/>
          <w:docGrid w:type="lines" w:linePitch="312"/>
        </w:sectPr>
      </w:pPr>
    </w:p>
    <w:tbl>
      <w:tblPr>
        <w:tblW w:w="4911" w:type="pct"/>
        <w:tblInd w:w="118" w:type="dxa"/>
        <w:tblLook w:val="04A0" w:firstRow="1" w:lastRow="0" w:firstColumn="1" w:lastColumn="0" w:noHBand="0" w:noVBand="1"/>
      </w:tblPr>
      <w:tblGrid>
        <w:gridCol w:w="4113"/>
        <w:gridCol w:w="670"/>
        <w:gridCol w:w="2310"/>
        <w:gridCol w:w="3802"/>
        <w:gridCol w:w="807"/>
        <w:gridCol w:w="2265"/>
      </w:tblGrid>
      <w:tr w:rsidR="005B2A59">
        <w:trPr>
          <w:trHeight w:val="360"/>
        </w:trPr>
        <w:tc>
          <w:tcPr>
            <w:tcW w:w="5000" w:type="pct"/>
            <w:gridSpan w:val="6"/>
            <w:tcBorders>
              <w:top w:val="nil"/>
              <w:left w:val="nil"/>
              <w:bottom w:val="nil"/>
              <w:right w:val="nil"/>
            </w:tcBorders>
            <w:shd w:val="clear" w:color="auto" w:fill="auto"/>
            <w:noWrap/>
            <w:vAlign w:val="center"/>
          </w:tcPr>
          <w:p w:rsidR="005B2A59" w:rsidRDefault="00000000">
            <w:pPr>
              <w:widowControl/>
              <w:jc w:val="center"/>
              <w:rPr>
                <w:rFonts w:asciiTheme="minorEastAsia" w:hAnsiTheme="minorEastAsia" w:cs="宋体" w:hint="eastAsia"/>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5B2A59">
        <w:trPr>
          <w:trHeight w:val="199"/>
        </w:trPr>
        <w:tc>
          <w:tcPr>
            <w:tcW w:w="1472"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w:t>
            </w:r>
            <w:r>
              <w:rPr>
                <w:rFonts w:ascii="Times New Roman" w:hAnsi="Times New Roman" w:cs="Times New Roman"/>
                <w:color w:val="000000"/>
                <w:kern w:val="0"/>
                <w:szCs w:val="21"/>
              </w:rPr>
              <w:t>01</w:t>
            </w:r>
            <w:r>
              <w:rPr>
                <w:rFonts w:ascii="Times New Roman" w:hAnsi="Times New Roman" w:cs="Times New Roman"/>
                <w:color w:val="000000"/>
                <w:kern w:val="0"/>
                <w:szCs w:val="21"/>
              </w:rPr>
              <w:t>表</w:t>
            </w:r>
          </w:p>
        </w:tc>
      </w:tr>
      <w:tr w:rsidR="005B2A59">
        <w:trPr>
          <w:trHeight w:val="300"/>
        </w:trPr>
        <w:tc>
          <w:tcPr>
            <w:tcW w:w="1472" w:type="pct"/>
            <w:tcBorders>
              <w:top w:val="nil"/>
              <w:left w:val="nil"/>
              <w:bottom w:val="nil"/>
              <w:right w:val="nil"/>
            </w:tcBorders>
            <w:shd w:val="clear" w:color="000000" w:fill="FFFFFF"/>
            <w:noWrap/>
            <w:vAlign w:val="center"/>
          </w:tcPr>
          <w:p w:rsidR="005B2A59" w:rsidRDefault="00000000">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w:t>
            </w:r>
            <w:r>
              <w:rPr>
                <w:rFonts w:ascii="Times New Roman" w:hAnsi="Times New Roman" w:cs="Times New Roman" w:hint="eastAsia"/>
                <w:color w:val="000000"/>
                <w:kern w:val="0"/>
                <w:szCs w:val="21"/>
              </w:rPr>
              <w:t>祁阳市第四中学</w:t>
            </w:r>
            <w:r>
              <w:rPr>
                <w:rFonts w:ascii="Times New Roman" w:hAnsi="Times New Roman" w:cs="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9"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rsidR="005B2A59" w:rsidRDefault="00000000">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rsidR="005B2A59">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1" w:type="pct"/>
            <w:gridSpan w:val="3"/>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1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5905.60</w:t>
            </w: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6.80</w:t>
            </w: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700.05</w:t>
            </w: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5468.49</w:t>
            </w: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557.35</w:t>
            </w: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205.51</w:t>
            </w: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8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367.50</w:t>
            </w: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sz="4" w:space="0" w:color="auto"/>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single" w:sz="4" w:space="0" w:color="auto"/>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widowControl/>
              <w:jc w:val="right"/>
              <w:rPr>
                <w:rFonts w:ascii="Times New Roman" w:hAnsi="Times New Roman" w:cs="Times New Roman"/>
                <w:kern w:val="0"/>
                <w:szCs w:val="21"/>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二十六、抗</w:t>
            </w:r>
            <w:proofErr w:type="gramStart"/>
            <w:r>
              <w:rPr>
                <w:rFonts w:ascii="Times New Roman" w:hAnsi="Times New Roman" w:cs="Times New Roman"/>
                <w:kern w:val="0"/>
                <w:szCs w:val="21"/>
              </w:rPr>
              <w:t>疫</w:t>
            </w:r>
            <w:proofErr w:type="gramEnd"/>
            <w:r>
              <w:rPr>
                <w:rFonts w:ascii="Times New Roman" w:hAnsi="Times New Roman" w:cs="Times New Roman"/>
                <w:kern w:val="0"/>
                <w:szCs w:val="21"/>
              </w:rPr>
              <w:t>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6605.65</w:t>
            </w: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6605.65</w:t>
            </w: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000000">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auto" w:fill="auto"/>
            <w:noWrap/>
            <w:vAlign w:val="center"/>
          </w:tcPr>
          <w:p w:rsidR="005B2A59" w:rsidRDefault="00000000">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61" w:type="pct"/>
            <w:tcBorders>
              <w:top w:val="nil"/>
              <w:left w:val="nil"/>
              <w:bottom w:val="single" w:sz="4" w:space="0" w:color="auto"/>
              <w:right w:val="single" w:sz="4" w:space="0" w:color="auto"/>
            </w:tcBorders>
            <w:shd w:val="clear" w:color="auto" w:fill="auto"/>
            <w:noWrap/>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811" w:type="pct"/>
            <w:tcBorders>
              <w:top w:val="nil"/>
              <w:left w:val="nil"/>
              <w:bottom w:val="single" w:sz="4" w:space="0" w:color="auto"/>
              <w:right w:val="single" w:sz="4" w:space="0" w:color="auto"/>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5B2A59">
            <w:pPr>
              <w:widowControl/>
              <w:jc w:val="center"/>
              <w:rPr>
                <w:rFonts w:ascii="Times New Roman" w:hAnsi="Times New Roman" w:cs="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hint="eastAsia"/>
                <w:color w:val="000000"/>
                <w:sz w:val="22"/>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5B2A59">
            <w:pPr>
              <w:widowControl/>
              <w:jc w:val="center"/>
              <w:rPr>
                <w:rFonts w:ascii="Times New Roman" w:hAnsi="Times New Roman" w:cs="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rPr>
                <w:rFonts w:ascii="宋体" w:eastAsia="宋体" w:hAnsi="宋体" w:cs="宋体" w:hint="eastAsia"/>
                <w:color w:val="000000"/>
                <w:sz w:val="22"/>
              </w:rPr>
            </w:pPr>
            <w:r>
              <w:rPr>
                <w:rFonts w:hint="eastAsia"/>
                <w:color w:val="000000"/>
                <w:sz w:val="22"/>
              </w:rPr>
              <w:t xml:space="preserve">　</w:t>
            </w:r>
          </w:p>
        </w:tc>
      </w:tr>
      <w:tr w:rsidR="005B2A59">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827"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6605.65</w:t>
            </w:r>
          </w:p>
        </w:tc>
        <w:tc>
          <w:tcPr>
            <w:tcW w:w="1361"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5B2A59"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811" w:type="pct"/>
            <w:tcBorders>
              <w:top w:val="nil"/>
              <w:left w:val="nil"/>
              <w:bottom w:val="single" w:sz="4" w:space="0" w:color="auto"/>
              <w:right w:val="single" w:sz="4" w:space="0" w:color="auto"/>
            </w:tcBorders>
            <w:shd w:val="clear" w:color="auto" w:fill="auto"/>
            <w:noWrap/>
            <w:vAlign w:val="center"/>
          </w:tcPr>
          <w:p w:rsidR="005B2A59" w:rsidRDefault="00000000">
            <w:pPr>
              <w:jc w:val="right"/>
              <w:rPr>
                <w:rFonts w:ascii="宋体" w:eastAsia="宋体" w:hAnsi="宋体" w:cs="宋体" w:hint="eastAsia"/>
                <w:color w:val="000000"/>
                <w:sz w:val="22"/>
              </w:rPr>
            </w:pPr>
            <w:r>
              <w:rPr>
                <w:rFonts w:eastAsia="宋体" w:hint="eastAsia"/>
                <w:color w:val="000000"/>
                <w:sz w:val="22"/>
              </w:rPr>
              <w:t>6605.65</w:t>
            </w:r>
          </w:p>
        </w:tc>
      </w:tr>
      <w:tr w:rsidR="005B2A59">
        <w:trPr>
          <w:trHeight w:val="1020"/>
        </w:trPr>
        <w:tc>
          <w:tcPr>
            <w:tcW w:w="5000" w:type="pct"/>
            <w:gridSpan w:val="6"/>
            <w:tcBorders>
              <w:top w:val="nil"/>
              <w:left w:val="nil"/>
              <w:bottom w:val="nil"/>
              <w:right w:val="nil"/>
            </w:tcBorders>
            <w:shd w:val="clear" w:color="auto" w:fill="auto"/>
            <w:vAlign w:val="center"/>
          </w:tcPr>
          <w:p w:rsidR="005B2A59"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w:t>
            </w:r>
            <w:r>
              <w:rPr>
                <w:rFonts w:ascii="Times New Roman" w:hAnsi="Times New Roman" w:cs="Times New Roman"/>
                <w:kern w:val="0"/>
                <w:szCs w:val="21"/>
              </w:rPr>
              <w:t>1.</w:t>
            </w:r>
            <w:r>
              <w:rPr>
                <w:rFonts w:ascii="Times New Roman" w:hAnsi="Times New Roman" w:cs="Times New Roman"/>
                <w:kern w:val="0"/>
                <w:szCs w:val="21"/>
              </w:rPr>
              <w:t>本表反映部门本年度的总收支和年末结转结余情况。</w:t>
            </w:r>
            <w:r>
              <w:rPr>
                <w:rFonts w:ascii="Times New Roman" w:hAnsi="Times New Roman" w:cs="Times New Roman"/>
                <w:kern w:val="0"/>
                <w:szCs w:val="21"/>
              </w:rPr>
              <w:br/>
              <w:t xml:space="preserve"> 2.</w:t>
            </w:r>
            <w:r>
              <w:rPr>
                <w:rFonts w:ascii="Times New Roman" w:hAnsi="Times New Roman" w:cs="Times New Roman"/>
                <w:kern w:val="0"/>
                <w:szCs w:val="21"/>
              </w:rPr>
              <w:t>本套报表金额单位转换时可能存在尾数误差。</w:t>
            </w:r>
          </w:p>
        </w:tc>
      </w:tr>
    </w:tbl>
    <w:p w:rsidR="005B2A59" w:rsidRDefault="005B2A59">
      <w:pPr>
        <w:widowControl/>
        <w:jc w:val="left"/>
        <w:textAlignment w:val="center"/>
        <w:rPr>
          <w:rFonts w:ascii="Times New Roman" w:eastAsia="宋体" w:hAnsi="Times New Roman" w:cs="Times New Roman"/>
          <w:color w:val="000000"/>
          <w:kern w:val="0"/>
          <w:sz w:val="24"/>
          <w:szCs w:val="24"/>
          <w:lang w:bidi="ar"/>
        </w:rPr>
      </w:pPr>
    </w:p>
    <w:p w:rsidR="005B2A59" w:rsidRDefault="005B2A59">
      <w:pPr>
        <w:widowControl/>
        <w:spacing w:line="400" w:lineRule="exact"/>
        <w:jc w:val="center"/>
        <w:textAlignment w:val="center"/>
        <w:rPr>
          <w:rFonts w:ascii="Times New Roman" w:eastAsia="黑体" w:hAnsi="Times New Roman" w:cs="Times New Roman"/>
          <w:color w:val="000000"/>
          <w:kern w:val="0"/>
          <w:sz w:val="32"/>
          <w:szCs w:val="32"/>
          <w:lang w:bidi="ar"/>
        </w:rPr>
      </w:pPr>
    </w:p>
    <w:p w:rsidR="005B2A59" w:rsidRDefault="005B2A59">
      <w:pPr>
        <w:pStyle w:val="Default"/>
        <w:spacing w:line="360" w:lineRule="auto"/>
        <w:jc w:val="center"/>
        <w:rPr>
          <w:rFonts w:ascii="Times New Roman" w:hAnsi="Times New Roman" w:cs="Times New Roman"/>
          <w:sz w:val="36"/>
          <w:szCs w:val="36"/>
          <w:lang w:bidi="ar"/>
        </w:rPr>
      </w:pPr>
    </w:p>
    <w:p w:rsidR="005B2A59" w:rsidRDefault="005B2A59">
      <w:pPr>
        <w:pStyle w:val="Default"/>
        <w:spacing w:line="360" w:lineRule="auto"/>
        <w:jc w:val="center"/>
        <w:rPr>
          <w:rFonts w:ascii="Times New Roman" w:hAnsi="Times New Roman" w:cs="Times New Roman"/>
          <w:sz w:val="36"/>
          <w:szCs w:val="36"/>
          <w:lang w:bidi="ar"/>
        </w:rPr>
      </w:pPr>
    </w:p>
    <w:p w:rsidR="005B2A59" w:rsidRDefault="005B2A59">
      <w:pPr>
        <w:pStyle w:val="Default"/>
        <w:spacing w:line="360" w:lineRule="auto"/>
        <w:jc w:val="center"/>
        <w:rPr>
          <w:rFonts w:ascii="Times New Roman" w:hAnsi="Times New Roman" w:cs="Times New Roman"/>
          <w:sz w:val="36"/>
          <w:szCs w:val="36"/>
          <w:lang w:bidi="ar"/>
        </w:rPr>
      </w:pPr>
    </w:p>
    <w:p w:rsidR="005B2A59" w:rsidRDefault="005B2A59">
      <w:pPr>
        <w:pStyle w:val="Default"/>
        <w:spacing w:line="360" w:lineRule="auto"/>
        <w:jc w:val="center"/>
        <w:rPr>
          <w:rFonts w:ascii="Times New Roman" w:hAnsi="Times New Roman" w:cs="Times New Roman"/>
          <w:sz w:val="36"/>
          <w:szCs w:val="36"/>
          <w:lang w:bidi="ar"/>
        </w:rPr>
      </w:pPr>
    </w:p>
    <w:p w:rsidR="005B2A59" w:rsidRDefault="005B2A59">
      <w:pPr>
        <w:pStyle w:val="Default"/>
        <w:spacing w:line="360" w:lineRule="auto"/>
        <w:jc w:val="center"/>
        <w:rPr>
          <w:rFonts w:ascii="Times New Roman" w:hAnsi="Times New Roman" w:cs="Times New Roman"/>
          <w:sz w:val="36"/>
          <w:szCs w:val="36"/>
          <w:lang w:bidi="ar"/>
        </w:rPr>
      </w:pPr>
    </w:p>
    <w:p w:rsidR="005B2A59" w:rsidRDefault="005B2A59">
      <w:pPr>
        <w:pStyle w:val="Default"/>
        <w:spacing w:line="360" w:lineRule="auto"/>
        <w:jc w:val="center"/>
        <w:rPr>
          <w:rFonts w:ascii="Times New Roman" w:hAnsi="Times New Roman" w:cs="Times New Roman"/>
          <w:sz w:val="36"/>
          <w:szCs w:val="36"/>
          <w:lang w:bidi="ar"/>
        </w:rPr>
      </w:pPr>
    </w:p>
    <w:p w:rsidR="005B2A59" w:rsidRDefault="00000000">
      <w:pPr>
        <w:pStyle w:val="Default"/>
        <w:spacing w:line="360" w:lineRule="auto"/>
        <w:jc w:val="center"/>
        <w:rPr>
          <w:rFonts w:ascii="Times New Roman" w:hAnsi="Times New Roman" w:cs="Times New Roman"/>
          <w:sz w:val="36"/>
          <w:szCs w:val="36"/>
          <w:lang w:bidi="ar"/>
        </w:rPr>
      </w:pPr>
      <w:r>
        <w:rPr>
          <w:rFonts w:ascii="Times New Roman" w:hAnsi="Times New Roman" w:cs="Times New Roman"/>
          <w:sz w:val="36"/>
          <w:szCs w:val="36"/>
          <w:lang w:bidi="ar"/>
        </w:rPr>
        <w:lastRenderedPageBreak/>
        <w:t>收入决算表</w:t>
      </w:r>
    </w:p>
    <w:p w:rsidR="005B2A59"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5B2A59"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rPr>
        <w:t>祁阳市第四中学</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286" w:type="dxa"/>
        <w:tblInd w:w="93" w:type="dxa"/>
        <w:tblLayout w:type="fixed"/>
        <w:tblLook w:val="04A0" w:firstRow="1" w:lastRow="0" w:firstColumn="1" w:lastColumn="0" w:noHBand="0" w:noVBand="1"/>
      </w:tblPr>
      <w:tblGrid>
        <w:gridCol w:w="1401"/>
        <w:gridCol w:w="4290"/>
        <w:gridCol w:w="1515"/>
        <w:gridCol w:w="1515"/>
        <w:gridCol w:w="1005"/>
        <w:gridCol w:w="1155"/>
        <w:gridCol w:w="1005"/>
        <w:gridCol w:w="1155"/>
        <w:gridCol w:w="1245"/>
      </w:tblGrid>
      <w:tr w:rsidR="005B2A59">
        <w:trPr>
          <w:trHeight w:val="280"/>
        </w:trPr>
        <w:tc>
          <w:tcPr>
            <w:tcW w:w="56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本年收入</w:t>
            </w:r>
          </w:p>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财政拨款</w:t>
            </w:r>
          </w:p>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收入</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上级补助收入</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事业</w:t>
            </w:r>
          </w:p>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收入</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经营</w:t>
            </w:r>
          </w:p>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收入</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附属单位上缴收入</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其他收入</w:t>
            </w:r>
          </w:p>
        </w:tc>
      </w:tr>
      <w:tr w:rsidR="005B2A59">
        <w:trPr>
          <w:trHeight w:val="312"/>
        </w:trPr>
        <w:tc>
          <w:tcPr>
            <w:tcW w:w="14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科目代码</w:t>
            </w:r>
          </w:p>
        </w:tc>
        <w:tc>
          <w:tcPr>
            <w:tcW w:w="42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科目名称</w:t>
            </w: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312"/>
        </w:trPr>
        <w:tc>
          <w:tcPr>
            <w:tcW w:w="14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312"/>
        </w:trPr>
        <w:tc>
          <w:tcPr>
            <w:tcW w:w="14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2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280"/>
        </w:trPr>
        <w:tc>
          <w:tcPr>
            <w:tcW w:w="56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栏次</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w:t>
            </w:r>
          </w:p>
        </w:tc>
      </w:tr>
      <w:tr w:rsidR="005B2A59">
        <w:trPr>
          <w:trHeight w:val="280"/>
        </w:trPr>
        <w:tc>
          <w:tcPr>
            <w:tcW w:w="56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6,605.65</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5,905.60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700.05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一般公共服务支出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20132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组织事务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2013202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5,468.49</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4,768.44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700.05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教育管理事务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38.00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38.00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2050102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2050199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其他教育管理事务支出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普通教育</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5,407.38</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4,707.33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700.05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2050204</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高中教育</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5,348.03</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4,647.98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700.05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2050299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其他普通教育支出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59.36</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59.36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教育费附加安排的支出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2050999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其他教育费附加安排的支出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20599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2059999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社会保障和就业支出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行政事业单位养老支出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494.63</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494.63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2080505</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2080507</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对机关事业单位基本养老保险基金的补助</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财政对其他社会保险基金的补助</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62.72</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62.72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2082701</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财政对失业保险基金的补助</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17.98</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17.98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2082702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财政对工伤保险基金的补助</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23.12</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2082799</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其他财政对社会保险基金的补助</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21.62</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21.62</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卫生健康支出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行政事业单位医疗</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2101102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事业单位医疗</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22102</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2210201</w:t>
            </w:r>
          </w:p>
        </w:tc>
        <w:tc>
          <w:tcPr>
            <w:tcW w:w="42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bl>
    <w:p w:rsidR="005B2A59"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5B2A59" w:rsidRDefault="00000000">
      <w:pPr>
        <w:widowControl/>
        <w:jc w:val="left"/>
        <w:rPr>
          <w:rFonts w:ascii="Times New Roman" w:eastAsia="黑体" w:hAnsi="Times New Roman" w:cs="Times New Roman"/>
          <w:color w:val="000000"/>
          <w:kern w:val="0"/>
          <w:sz w:val="32"/>
          <w:szCs w:val="32"/>
          <w:lang w:bidi="ar"/>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5B2A5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5B2A59"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5B2A59"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祁阳市第四中学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196" w:type="dxa"/>
        <w:tblInd w:w="93" w:type="dxa"/>
        <w:tblLayout w:type="fixed"/>
        <w:tblLook w:val="04A0" w:firstRow="1" w:lastRow="0" w:firstColumn="1" w:lastColumn="0" w:noHBand="0" w:noVBand="1"/>
      </w:tblPr>
      <w:tblGrid>
        <w:gridCol w:w="1446"/>
        <w:gridCol w:w="4545"/>
        <w:gridCol w:w="1545"/>
        <w:gridCol w:w="1635"/>
        <w:gridCol w:w="1245"/>
        <w:gridCol w:w="1005"/>
        <w:gridCol w:w="1050"/>
        <w:gridCol w:w="1725"/>
      </w:tblGrid>
      <w:tr w:rsidR="005B2A59">
        <w:trPr>
          <w:trHeight w:val="240"/>
        </w:trPr>
        <w:tc>
          <w:tcPr>
            <w:tcW w:w="59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本年支出合计</w:t>
            </w:r>
          </w:p>
        </w:tc>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基本支出</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项目支出</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上缴上级支出</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经营支出</w:t>
            </w:r>
          </w:p>
        </w:tc>
        <w:tc>
          <w:tcPr>
            <w:tcW w:w="17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对附属单位补助支出</w:t>
            </w:r>
          </w:p>
        </w:tc>
      </w:tr>
      <w:tr w:rsidR="005B2A59">
        <w:trPr>
          <w:trHeight w:val="312"/>
        </w:trPr>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科目代码</w:t>
            </w:r>
          </w:p>
        </w:tc>
        <w:tc>
          <w:tcPr>
            <w:tcW w:w="45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科目名称</w:t>
            </w: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312"/>
        </w:trPr>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5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312"/>
        </w:trPr>
        <w:tc>
          <w:tcPr>
            <w:tcW w:w="14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5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6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7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280"/>
        </w:trPr>
        <w:tc>
          <w:tcPr>
            <w:tcW w:w="59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栏次</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w:t>
            </w:r>
          </w:p>
        </w:tc>
      </w:tr>
      <w:tr w:rsidR="005B2A59">
        <w:trPr>
          <w:trHeight w:val="280"/>
        </w:trPr>
        <w:tc>
          <w:tcPr>
            <w:tcW w:w="599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6,605.65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6,567.22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38.43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b/>
                <w:bCs/>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一般公共服务支出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20132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组织事务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2013202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5,468.49</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5,436.86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31.63</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教育管理事务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38.00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2050102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2050199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其他教育管理事务支出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普通教育</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5,407.38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5,400.14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2050204</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高中教育</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5,348.03</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5,340.78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7.25</w:t>
            </w: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2050299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其他普通教育支出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59.36</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59.36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教育费附加安排的支出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2050999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其他教育费附加安排的支出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20599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2059999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社会保障和就业支出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行政事业单位养老支出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494.63</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494.63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2080505</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2080507</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对机关事业单位基本养老保险基金的补助</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财政对其他社会保险基金的补助</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62.72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62.72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2082701</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财政对失业保险基金的补助</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17.98</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17.98</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2082702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财政对工伤保险基金的补助</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2082799</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其他财政对社会保险基金的补助</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21.62</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卫生健康支出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行政事业单位医疗</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2101102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事业单位医疗</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22102</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4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2210201</w:t>
            </w:r>
          </w:p>
        </w:tc>
        <w:tc>
          <w:tcPr>
            <w:tcW w:w="4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6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bl>
    <w:p w:rsidR="005B2A59"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5B2A59"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5B2A59" w:rsidRDefault="005B2A59">
      <w:pPr>
        <w:widowControl/>
        <w:spacing w:line="400" w:lineRule="exact"/>
        <w:jc w:val="center"/>
        <w:textAlignment w:val="center"/>
        <w:rPr>
          <w:rFonts w:ascii="Times New Roman" w:eastAsia="黑体" w:hAnsi="Times New Roman" w:cs="Times New Roman"/>
          <w:color w:val="000000"/>
          <w:kern w:val="0"/>
          <w:sz w:val="32"/>
          <w:szCs w:val="32"/>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5B2A59"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部门：祁阳市第四中学</w:t>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5B2A59" w:rsidRDefault="00000000">
      <w:pPr>
        <w:pStyle w:val="ab"/>
        <w:jc w:val="right"/>
      </w:pPr>
      <w:r>
        <w:rPr>
          <w:rFonts w:hint="eastAsia"/>
        </w:rPr>
        <w:t xml:space="preserve"> </w:t>
      </w:r>
      <w:r>
        <w:rPr>
          <w:rFonts w:ascii="Times New Roman" w:eastAsia="仿宋_GB2312" w:hAnsi="Times New Roman" w:cs="Times New Roman"/>
          <w:color w:val="000000"/>
          <w:kern w:val="0"/>
          <w:sz w:val="20"/>
          <w:szCs w:val="20"/>
        </w:rPr>
        <w:t>单位：万元</w:t>
      </w:r>
    </w:p>
    <w:tbl>
      <w:tblPr>
        <w:tblpPr w:leftFromText="180" w:rightFromText="180" w:vertAnchor="text" w:horzAnchor="page" w:tblpX="1402" w:tblpY="286"/>
        <w:tblOverlap w:val="never"/>
        <w:tblW w:w="14661" w:type="dxa"/>
        <w:tblLayout w:type="fixed"/>
        <w:tblLook w:val="04A0" w:firstRow="1" w:lastRow="0" w:firstColumn="1" w:lastColumn="0" w:noHBand="0" w:noVBand="1"/>
      </w:tblPr>
      <w:tblGrid>
        <w:gridCol w:w="3296"/>
        <w:gridCol w:w="570"/>
        <w:gridCol w:w="1414"/>
        <w:gridCol w:w="4033"/>
        <w:gridCol w:w="519"/>
        <w:gridCol w:w="1154"/>
        <w:gridCol w:w="1303"/>
        <w:gridCol w:w="1207"/>
        <w:gridCol w:w="1165"/>
      </w:tblGrid>
      <w:tr w:rsidR="005B2A59">
        <w:trPr>
          <w:trHeight w:val="240"/>
        </w:trPr>
        <w:tc>
          <w:tcPr>
            <w:tcW w:w="528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收     入</w:t>
            </w:r>
          </w:p>
        </w:tc>
        <w:tc>
          <w:tcPr>
            <w:tcW w:w="9381"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支     出</w:t>
            </w:r>
          </w:p>
        </w:tc>
      </w:tr>
      <w:tr w:rsidR="005B2A59">
        <w:trPr>
          <w:trHeight w:val="312"/>
        </w:trPr>
        <w:tc>
          <w:tcPr>
            <w:tcW w:w="32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行次</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金额</w:t>
            </w:r>
          </w:p>
        </w:tc>
        <w:tc>
          <w:tcPr>
            <w:tcW w:w="40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行次</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3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一般公共预算财政拨款</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政府性基金预算财政拨款</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国有资本经营预算财政拨款</w:t>
            </w:r>
          </w:p>
        </w:tc>
      </w:tr>
      <w:tr w:rsidR="005B2A59">
        <w:trPr>
          <w:trHeight w:val="312"/>
        </w:trPr>
        <w:tc>
          <w:tcPr>
            <w:tcW w:w="32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0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3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栏次</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栏次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一、一般公共预算财政拨款</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一、一般公共服务支出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二、政府性基金预算财政拨款</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二、外交支出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三、国有资本经营预算财政拨款</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三、国防支出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四、公共安全支出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五、教育支出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37</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4,768.44</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4,768.44</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六、科学技术支出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38</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七、文化旅游体育与传媒支出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八、社会保障和就业支出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九、卫生健康支出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41</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10</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十、节能环保支出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十一、城乡社区支出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十二、农林水支出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十三、交通运输支出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45</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14</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十四、资源勘探工业信息等支出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十五、商业服务业等支出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十六、金融支出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十七、援助其他地区支出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18</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十八、自然资源海洋气象等支出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50</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19</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十九、住房保障支出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二十、粮油物资储备支出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二十一、国有资本经营预算支出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二十二、灾害防治及应急管理支出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二十三、其他支出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b/>
                <w:bCs/>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二十四、债务还本支出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56</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25</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二十五、债务付息支出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57</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0"/>
                <w:szCs w:val="20"/>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26</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二十六、抗</w:t>
            </w:r>
            <w:proofErr w:type="gramStart"/>
            <w:r>
              <w:rPr>
                <w:rFonts w:ascii="宋体" w:eastAsia="宋体" w:hAnsi="宋体" w:cs="宋体" w:hint="eastAsia"/>
                <w:color w:val="000000"/>
                <w:kern w:val="0"/>
                <w:sz w:val="22"/>
                <w:lang w:bidi="ar"/>
              </w:rPr>
              <w:t>疫</w:t>
            </w:r>
            <w:proofErr w:type="gramEnd"/>
            <w:r>
              <w:rPr>
                <w:rFonts w:ascii="宋体" w:eastAsia="宋体" w:hAnsi="宋体" w:cs="宋体" w:hint="eastAsia"/>
                <w:color w:val="000000"/>
                <w:kern w:val="0"/>
                <w:sz w:val="22"/>
                <w:lang w:bidi="ar"/>
              </w:rPr>
              <w:t>特别国债安排的支出</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58</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本年收入合计</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本年支出合计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年初财政拨款结转和结余</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28</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widowControl/>
              <w:jc w:val="right"/>
              <w:textAlignment w:val="center"/>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年末财政拨款结转和结余</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60</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一般公共预算财政拨款</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widowControl/>
              <w:jc w:val="right"/>
              <w:textAlignment w:val="center"/>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政府性基金预算财政拨款</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国有资本经营预算财政拨款</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63</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60"/>
        </w:trPr>
        <w:tc>
          <w:tcPr>
            <w:tcW w:w="32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总计</w:t>
            </w:r>
          </w:p>
        </w:tc>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32</w:t>
            </w:r>
          </w:p>
        </w:tc>
        <w:tc>
          <w:tcPr>
            <w:tcW w:w="14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40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总计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64</w:t>
            </w: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13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5,905.60</w:t>
            </w:r>
          </w:p>
        </w:tc>
        <w:tc>
          <w:tcPr>
            <w:tcW w:w="12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bl>
    <w:p w:rsidR="005B2A59"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5B2A59" w:rsidRDefault="005B2A59">
      <w:pPr>
        <w:widowControl/>
        <w:jc w:val="center"/>
        <w:rPr>
          <w:rFonts w:ascii="Times New Roman" w:eastAsia="方正小标宋_GBK" w:hAnsi="Times New Roman" w:cs="Times New Roman"/>
          <w:kern w:val="0"/>
          <w:sz w:val="36"/>
          <w:szCs w:val="36"/>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一般公共预算财政拨款支出决算表</w:t>
      </w:r>
      <w:bookmarkEnd w:id="1"/>
    </w:p>
    <w:p w:rsidR="005B2A59"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祁阳市第四中学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5B2A59"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3836" w:type="dxa"/>
        <w:tblInd w:w="93" w:type="dxa"/>
        <w:tblLayout w:type="fixed"/>
        <w:tblLook w:val="04A0" w:firstRow="1" w:lastRow="0" w:firstColumn="1" w:lastColumn="0" w:noHBand="0" w:noVBand="1"/>
      </w:tblPr>
      <w:tblGrid>
        <w:gridCol w:w="1656"/>
        <w:gridCol w:w="4800"/>
        <w:gridCol w:w="2505"/>
        <w:gridCol w:w="2595"/>
        <w:gridCol w:w="2280"/>
      </w:tblGrid>
      <w:tr w:rsidR="005B2A59">
        <w:trPr>
          <w:trHeight w:val="280"/>
        </w:trPr>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w:t>
            </w:r>
          </w:p>
        </w:tc>
        <w:tc>
          <w:tcPr>
            <w:tcW w:w="73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本年支出</w:t>
            </w:r>
          </w:p>
        </w:tc>
      </w:tr>
      <w:tr w:rsidR="005B2A59">
        <w:trPr>
          <w:trHeight w:val="312"/>
        </w:trPr>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科目代码</w:t>
            </w:r>
          </w:p>
        </w:tc>
        <w:tc>
          <w:tcPr>
            <w:tcW w:w="4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科目名称</w:t>
            </w:r>
          </w:p>
        </w:tc>
        <w:tc>
          <w:tcPr>
            <w:tcW w:w="2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小计</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基本支出</w:t>
            </w:r>
          </w:p>
        </w:tc>
        <w:tc>
          <w:tcPr>
            <w:tcW w:w="2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项目支出</w:t>
            </w:r>
          </w:p>
        </w:tc>
      </w:tr>
      <w:tr w:rsidR="005B2A59">
        <w:trPr>
          <w:trHeight w:val="312"/>
        </w:trPr>
        <w:tc>
          <w:tcPr>
            <w:tcW w:w="1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2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312"/>
        </w:trPr>
        <w:tc>
          <w:tcPr>
            <w:tcW w:w="1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48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center"/>
              <w:rPr>
                <w:rFonts w:ascii="宋体" w:eastAsia="宋体" w:hAnsi="宋体" w:cs="宋体" w:hint="eastAsia"/>
                <w:color w:val="000000"/>
                <w:sz w:val="22"/>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2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280"/>
        </w:trPr>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栏次</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w:t>
            </w:r>
          </w:p>
        </w:tc>
      </w:tr>
      <w:tr w:rsidR="005B2A59">
        <w:trPr>
          <w:trHeight w:val="280"/>
        </w:trPr>
        <w:tc>
          <w:tcPr>
            <w:tcW w:w="6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5,905.60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5,867.17</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38.43</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一般公共服务支出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20132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组织事务</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2013202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4,768.44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4,736.81</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31.63</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教育管理事务</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38.00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2050102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一般行政管理事务</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24.38</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2050199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其他教育管理事务支出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13.62</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普通教育</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4,707.33</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4,700.09</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7.25</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2050204</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高中教育</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4,647.98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4,640.73</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7.25</w:t>
            </w: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2050299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其他普通教育支出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59.36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59.36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教育费附加安排的支出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2050999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其他教育费附加安排的支出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20599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2059999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其他教育支出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20.94</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社会保障和就业支出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557.35</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行政事业单位养老支出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494.63</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494.63</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2080505</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机关事业单位基本养老保险缴费支出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2080507</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对机关事业单位基本养老保险基金的补助</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4.64</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财政对其他社会保险基金的补助</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62.72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62.72</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2082701</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财政对失业保险基金的补助</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17.98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17.98</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2082702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财政对工伤保险基金的补助</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23.12</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2082799</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其他财政对社会保险基金的补助</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21.62</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21.62</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卫生健康支出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行政事业单位医疗</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2101102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事业单位医疗</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住房保障支出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22102</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住房改革支出</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2210201</w:t>
            </w:r>
          </w:p>
        </w:tc>
        <w:tc>
          <w:tcPr>
            <w:tcW w:w="4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住房公积金</w:t>
            </w:r>
          </w:p>
        </w:tc>
        <w:tc>
          <w:tcPr>
            <w:tcW w:w="25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22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bl>
    <w:p w:rsidR="005B2A59"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5B2A59" w:rsidRDefault="005B2A59">
      <w:pPr>
        <w:widowControl/>
        <w:jc w:val="left"/>
        <w:rPr>
          <w:rFonts w:ascii="Times New Roman" w:eastAsia="仿宋_GB2312" w:hAnsi="Times New Roman" w:cs="Times New Roman"/>
          <w:bCs/>
          <w:kern w:val="0"/>
          <w:szCs w:val="21"/>
        </w:rPr>
      </w:pPr>
    </w:p>
    <w:p w:rsidR="005B2A59"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5B2A59"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5B2A59" w:rsidRDefault="00000000">
      <w:pPr>
        <w:widowControl/>
        <w:wordWrap w:val="0"/>
        <w:spacing w:line="240" w:lineRule="exac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祁阳市第四中学</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5B2A59"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pPr w:leftFromText="180" w:rightFromText="180" w:vertAnchor="text" w:horzAnchor="page" w:tblpX="1012" w:tblpY="259"/>
        <w:tblOverlap w:val="never"/>
        <w:tblW w:w="15130" w:type="dxa"/>
        <w:tblLayout w:type="fixed"/>
        <w:tblLook w:val="04A0" w:firstRow="1" w:lastRow="0" w:firstColumn="1" w:lastColumn="0" w:noHBand="0" w:noVBand="1"/>
      </w:tblPr>
      <w:tblGrid>
        <w:gridCol w:w="862"/>
        <w:gridCol w:w="2964"/>
        <w:gridCol w:w="1239"/>
        <w:gridCol w:w="885"/>
        <w:gridCol w:w="2670"/>
        <w:gridCol w:w="1200"/>
        <w:gridCol w:w="1050"/>
        <w:gridCol w:w="3315"/>
        <w:gridCol w:w="945"/>
      </w:tblGrid>
      <w:tr w:rsidR="005B2A59">
        <w:trPr>
          <w:trHeight w:val="300"/>
        </w:trPr>
        <w:tc>
          <w:tcPr>
            <w:tcW w:w="506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人员经费</w:t>
            </w:r>
          </w:p>
        </w:tc>
        <w:tc>
          <w:tcPr>
            <w:tcW w:w="100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公用经费</w:t>
            </w:r>
          </w:p>
        </w:tc>
      </w:tr>
      <w:tr w:rsidR="005B2A59">
        <w:trPr>
          <w:trHeight w:val="312"/>
        </w:trPr>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科目代码</w:t>
            </w:r>
          </w:p>
        </w:tc>
        <w:tc>
          <w:tcPr>
            <w:tcW w:w="29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科目名称</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决算数</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科目代码</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科目名称</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决算数</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科目代码</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科目名称</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决算数</w:t>
            </w:r>
          </w:p>
        </w:tc>
      </w:tr>
      <w:tr w:rsidR="005B2A59">
        <w:trPr>
          <w:trHeight w:val="312"/>
        </w:trPr>
        <w:tc>
          <w:tcPr>
            <w:tcW w:w="8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29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2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工资福利支出</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4,993.53</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商品和服务支出</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665.00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307</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债务利息及费用支出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30101</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基本工资</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1,783.06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30201</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办公费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94.52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30701</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国内债务付息</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30102</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津贴补贴</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441.56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30202</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印刷费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70.20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30702</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国外债务付息</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30103</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奖金</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30203</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咨询费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资本性支出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29.75</w:t>
            </w: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30106</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伙食补助费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30204</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手续费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31001</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房屋建筑物购建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30107</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绩效工资</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1,638.54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30205</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水费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47.29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31002</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办公设备购置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29.75</w:t>
            </w: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30108</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机关事业单位基本养老保险缴费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489.99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30206</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电费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113.03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31003</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专用设备购置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30109</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职业年金缴费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30207</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邮电费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5.78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31005</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基础设施建设</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30110</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职工基本医疗保险缴费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205.51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30208</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取暖费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31006</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大型修缮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30111</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公务员医疗补助缴费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30209</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物业管理费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31007</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信息网络及软件购置更新</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30112</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其他社会保障缴费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67.36</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30211</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差旅费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6.42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31008</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物资储备</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30113</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住房公积金</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367.50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30212</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因公出国（境）费用</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31009</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土地补偿</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30114</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医疗费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30213</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维修（护）费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58.23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31010</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安置补助</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30199</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其他工资福利支出</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30214</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租赁费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31011</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地上附着物和青苗补偿</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对个人和家庭的补助</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178.89</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30215</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会议费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31012</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拆迁补偿</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30301</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离休费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30216</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培训费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16.44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31013</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公务用车购置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30302</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退休费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30217</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公务接待费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31019</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其他交通工具购置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30303</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退职（役）费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30218</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专用材料费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31021</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文物和陈列品购置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30304</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抚恤金</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15.55</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30224</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被装购置费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31022</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无形资产购置</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30305</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生活补助</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58.21</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30225</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专用燃料费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31099</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其他资本性支出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30306</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救济费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30226</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劳务费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46.36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399</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其他支出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lastRenderedPageBreak/>
              <w:t>30307</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医疗费补助</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30227</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委托业务费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39907</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国家赔偿费用支出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30308</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助学金</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75.24</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30228</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工会经费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62.65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39908</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对民间非营利组织和群众性自治组织补贴</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30309</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奖励金</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6.80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30229</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福利费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39909</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经常性赠与</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30310</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个人农业生产补贴</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30231</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公务用车运行维护费</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39910</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资本性赠与</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30311</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代缴社会保险费</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30239</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其他交通费用</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2.85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39999</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其他支出</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30399</w:t>
            </w: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其他对个人和家庭的补助</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23.10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30240</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税金及附加费用</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30299</w:t>
            </w:r>
          </w:p>
        </w:tc>
        <w:tc>
          <w:tcPr>
            <w:tcW w:w="2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 xml:space="preserve">  其他商品和服务支出</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136.12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left"/>
              <w:rPr>
                <w:rFonts w:ascii="宋体" w:eastAsia="宋体" w:hAnsi="宋体" w:cs="宋体" w:hint="eastAsia"/>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5B2A59">
            <w:pPr>
              <w:jc w:val="right"/>
              <w:rPr>
                <w:rFonts w:ascii="宋体" w:eastAsia="宋体" w:hAnsi="宋体" w:cs="宋体" w:hint="eastAsia"/>
                <w:color w:val="000000"/>
                <w:sz w:val="22"/>
              </w:rPr>
            </w:pPr>
          </w:p>
        </w:tc>
      </w:tr>
      <w:tr w:rsidR="005B2A59">
        <w:trPr>
          <w:trHeight w:val="280"/>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人员经费合计</w:t>
            </w:r>
          </w:p>
        </w:tc>
        <w:tc>
          <w:tcPr>
            <w:tcW w:w="12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5,172.42</w:t>
            </w:r>
          </w:p>
        </w:tc>
        <w:tc>
          <w:tcPr>
            <w:tcW w:w="91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公用经费合计</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B2A59"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694.75</w:t>
            </w:r>
          </w:p>
        </w:tc>
      </w:tr>
    </w:tbl>
    <w:p w:rsidR="005B2A59"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5B2A59" w:rsidRDefault="005B2A59">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5B2A59">
      <w:pPr>
        <w:widowControl/>
        <w:spacing w:afterLines="50" w:after="156"/>
        <w:jc w:val="center"/>
        <w:textAlignment w:val="center"/>
        <w:rPr>
          <w:rFonts w:ascii="Times New Roman" w:eastAsia="黑体" w:hAnsi="Times New Roman" w:cs="Times New Roman"/>
          <w:color w:val="000000"/>
          <w:kern w:val="0"/>
          <w:sz w:val="36"/>
          <w:szCs w:val="36"/>
          <w:lang w:bidi="ar"/>
        </w:rPr>
      </w:pPr>
    </w:p>
    <w:p w:rsidR="005B2A5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政府性基金预算财政拨款收入支出决算表</w:t>
      </w:r>
    </w:p>
    <w:p w:rsidR="005B2A59"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5B2A59"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祁阳市第四中学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5B2A59">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5B2A59">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widowControl/>
              <w:jc w:val="center"/>
              <w:rPr>
                <w:rFonts w:ascii="Times New Roman" w:eastAsia="仿宋_GB2312" w:hAnsi="Times New Roman" w:cs="Times New Roman"/>
                <w:color w:val="000000"/>
                <w:sz w:val="24"/>
                <w:szCs w:val="24"/>
              </w:rPr>
            </w:pPr>
          </w:p>
        </w:tc>
      </w:tr>
      <w:tr w:rsidR="005B2A59">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r>
      <w:tr w:rsidR="005B2A59">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r>
      <w:tr w:rsidR="005B2A59">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5B2A59">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r>
      <w:tr w:rsidR="005B2A5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bl>
    <w:p w:rsidR="005B2A5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5B2A59" w:rsidRDefault="005B2A59">
      <w:pPr>
        <w:widowControl/>
        <w:jc w:val="left"/>
        <w:textAlignment w:val="center"/>
        <w:rPr>
          <w:rFonts w:ascii="Times New Roman" w:eastAsia="仿宋_GB2312" w:hAnsi="Times New Roman" w:cs="Times New Roman"/>
          <w:color w:val="000000"/>
          <w:kern w:val="0"/>
          <w:sz w:val="24"/>
          <w:szCs w:val="24"/>
          <w:lang w:bidi="ar"/>
        </w:rPr>
      </w:pPr>
    </w:p>
    <w:p w:rsidR="005B2A59"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5B2A59" w:rsidRDefault="005B2A59">
      <w:pPr>
        <w:widowControl/>
        <w:jc w:val="center"/>
        <w:rPr>
          <w:rFonts w:ascii="Times New Roman" w:eastAsia="方正小标宋_GBK" w:hAnsi="Times New Roman" w:cs="Times New Roman"/>
          <w:color w:val="000000"/>
          <w:kern w:val="0"/>
          <w:sz w:val="36"/>
          <w:szCs w:val="36"/>
        </w:rPr>
      </w:pPr>
    </w:p>
    <w:p w:rsidR="005B2A59" w:rsidRDefault="005B2A59">
      <w:pPr>
        <w:widowControl/>
        <w:spacing w:line="400" w:lineRule="exact"/>
        <w:textAlignment w:val="center"/>
        <w:rPr>
          <w:rFonts w:ascii="Times New Roman" w:eastAsia="黑体" w:hAnsi="Times New Roman" w:cs="Times New Roman"/>
          <w:color w:val="000000"/>
          <w:kern w:val="0"/>
          <w:sz w:val="36"/>
          <w:szCs w:val="36"/>
          <w:lang w:bidi="ar"/>
        </w:rPr>
      </w:pPr>
    </w:p>
    <w:p w:rsidR="005B2A5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国有资本经营预算财政拨款支出决算表</w:t>
      </w:r>
    </w:p>
    <w:p w:rsidR="005B2A59"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hint="eastAsia"/>
          <w:color w:val="000000"/>
          <w:kern w:val="0"/>
          <w:sz w:val="20"/>
          <w:szCs w:val="20"/>
          <w:lang w:bidi="ar"/>
        </w:rPr>
        <w:t xml:space="preserve">   </w:t>
      </w: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5B2A59"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祁阳市第四中学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5B2A59">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5B2A59">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5B2A59">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r>
      <w:tr w:rsidR="005B2A59">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r>
      <w:tr w:rsidR="005B2A59">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5B2A59">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r>
      <w:tr w:rsidR="005B2A5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4"/>
                <w:szCs w:val="24"/>
              </w:rPr>
            </w:pPr>
          </w:p>
        </w:tc>
      </w:tr>
      <w:tr w:rsidR="005B2A5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r>
      <w:tr w:rsidR="005B2A5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r>
      <w:tr w:rsidR="005B2A5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r>
      <w:tr w:rsidR="005B2A59">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宋体" w:hAnsi="Times New Roman" w:cs="Times New Roman"/>
                <w:color w:val="000000"/>
                <w:sz w:val="24"/>
                <w:szCs w:val="24"/>
              </w:rPr>
            </w:pPr>
          </w:p>
        </w:tc>
      </w:tr>
    </w:tbl>
    <w:p w:rsidR="005B2A5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5B2A59" w:rsidRDefault="005B2A59">
      <w:pPr>
        <w:widowControl/>
        <w:jc w:val="left"/>
        <w:textAlignment w:val="center"/>
        <w:rPr>
          <w:rFonts w:ascii="Times New Roman" w:eastAsia="宋体" w:hAnsi="Times New Roman" w:cs="Times New Roman"/>
          <w:color w:val="000000"/>
          <w:kern w:val="0"/>
          <w:sz w:val="24"/>
          <w:szCs w:val="24"/>
          <w:lang w:bidi="ar"/>
        </w:rPr>
      </w:pPr>
    </w:p>
    <w:p w:rsidR="005B2A59"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5B2A59" w:rsidRDefault="005B2A59">
      <w:pPr>
        <w:widowControl/>
        <w:jc w:val="center"/>
        <w:rPr>
          <w:rFonts w:ascii="Times New Roman" w:eastAsia="方正小标宋_GBK" w:hAnsi="Times New Roman" w:cs="Times New Roman"/>
          <w:color w:val="000000"/>
          <w:kern w:val="0"/>
          <w:sz w:val="36"/>
          <w:szCs w:val="36"/>
        </w:rPr>
      </w:pPr>
    </w:p>
    <w:p w:rsidR="005B2A59" w:rsidRDefault="005B2A59">
      <w:pPr>
        <w:pStyle w:val="ab"/>
        <w:spacing w:line="400" w:lineRule="exact"/>
        <w:rPr>
          <w:rFonts w:ascii="Times New Roman" w:eastAsia="华文中宋" w:hAnsi="Times New Roman" w:cs="Times New Roman"/>
          <w:color w:val="000000"/>
          <w:kern w:val="0"/>
          <w:sz w:val="32"/>
          <w:szCs w:val="32"/>
          <w:lang w:bidi="ar"/>
        </w:rPr>
      </w:pPr>
    </w:p>
    <w:p w:rsidR="005B2A59"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5B2A59"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5B2A59"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hint="eastAsia"/>
          <w:color w:val="000000"/>
          <w:kern w:val="0"/>
          <w:sz w:val="20"/>
          <w:szCs w:val="20"/>
          <w:lang w:bidi="ar"/>
        </w:rPr>
        <w:t>祁阳市第四中学</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5B2A59">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5B2A59">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5B2A59">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jc w:val="center"/>
              <w:rPr>
                <w:rFonts w:ascii="Times New Roman" w:eastAsia="仿宋_GB2312" w:hAnsi="Times New Roman" w:cs="Times New Roman"/>
                <w:color w:val="000000"/>
                <w:sz w:val="22"/>
              </w:rPr>
            </w:pPr>
          </w:p>
        </w:tc>
      </w:tr>
      <w:tr w:rsidR="005B2A59">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5B2A59">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5B2A59" w:rsidRDefault="005B2A59">
            <w:pPr>
              <w:rPr>
                <w:rFonts w:ascii="Times New Roman" w:eastAsia="仿宋_GB2312" w:hAnsi="Times New Roman" w:cs="Times New Roman"/>
                <w:color w:val="000000"/>
                <w:sz w:val="22"/>
              </w:rPr>
            </w:pPr>
          </w:p>
        </w:tc>
      </w:tr>
    </w:tbl>
    <w:p w:rsidR="005B2A59"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5B2A59" w:rsidRDefault="005B2A59">
      <w:pPr>
        <w:pStyle w:val="ab"/>
      </w:pPr>
    </w:p>
    <w:p w:rsidR="005B2A59"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w:t>
      </w:r>
      <w:r>
        <w:rPr>
          <w:rFonts w:ascii="Times New Roman" w:eastAsia="楷体_GB2312" w:hAnsi="Times New Roman" w:cs="Times New Roman" w:hint="eastAsia"/>
          <w:b/>
          <w:bCs/>
          <w:kern w:val="0"/>
          <w:sz w:val="24"/>
          <w:szCs w:val="24"/>
          <w:lang w:bidi="ar"/>
        </w:rPr>
        <w:t>“三公”经费</w:t>
      </w:r>
      <w:r>
        <w:rPr>
          <w:rFonts w:ascii="Times New Roman" w:eastAsia="楷体_GB2312" w:hAnsi="Times New Roman" w:cs="Times New Roman"/>
          <w:b/>
          <w:bCs/>
          <w:kern w:val="0"/>
          <w:sz w:val="24"/>
          <w:szCs w:val="24"/>
          <w:lang w:bidi="ar"/>
        </w:rPr>
        <w:t>安排的支出，故本表无数据。</w:t>
      </w:r>
    </w:p>
    <w:p w:rsidR="005B2A59" w:rsidRDefault="005B2A59">
      <w:pPr>
        <w:autoSpaceDE w:val="0"/>
        <w:autoSpaceDN w:val="0"/>
        <w:adjustRightInd w:val="0"/>
        <w:ind w:leftChars="150" w:left="315"/>
        <w:jc w:val="left"/>
        <w:rPr>
          <w:rFonts w:ascii="Times New Roman" w:eastAsia="宋体" w:hAnsi="Times New Roman" w:cs="Times New Roman"/>
          <w:kern w:val="0"/>
          <w:sz w:val="24"/>
          <w:szCs w:val="24"/>
        </w:rPr>
      </w:pPr>
    </w:p>
    <w:p w:rsidR="005B2A59" w:rsidRDefault="005B2A59">
      <w:pPr>
        <w:autoSpaceDE w:val="0"/>
        <w:autoSpaceDN w:val="0"/>
        <w:adjustRightInd w:val="0"/>
        <w:ind w:leftChars="150" w:left="315"/>
        <w:jc w:val="left"/>
        <w:rPr>
          <w:rFonts w:ascii="Times New Roman" w:eastAsia="宋体" w:hAnsi="Times New Roman" w:cs="Times New Roman"/>
          <w:kern w:val="0"/>
          <w:sz w:val="24"/>
          <w:szCs w:val="24"/>
        </w:rPr>
      </w:pPr>
    </w:p>
    <w:p w:rsidR="005B2A59" w:rsidRDefault="005B2A59">
      <w:pPr>
        <w:autoSpaceDE w:val="0"/>
        <w:autoSpaceDN w:val="0"/>
        <w:adjustRightInd w:val="0"/>
        <w:ind w:leftChars="150" w:left="315"/>
        <w:jc w:val="left"/>
        <w:rPr>
          <w:rFonts w:ascii="Times New Roman" w:eastAsia="宋体" w:hAnsi="Times New Roman" w:cs="Times New Roman"/>
          <w:kern w:val="0"/>
          <w:sz w:val="24"/>
          <w:szCs w:val="24"/>
        </w:rPr>
      </w:pPr>
    </w:p>
    <w:p w:rsidR="005B2A59" w:rsidRDefault="005B2A59">
      <w:pPr>
        <w:widowControl/>
        <w:rPr>
          <w:rFonts w:ascii="Times New Roman" w:hAnsi="Times New Roman" w:cs="Times New Roman"/>
          <w:sz w:val="72"/>
          <w:szCs w:val="72"/>
        </w:rPr>
        <w:sectPr w:rsidR="005B2A59">
          <w:pgSz w:w="16838" w:h="11906" w:orient="landscape"/>
          <w:pgMar w:top="1134" w:right="1417" w:bottom="1134" w:left="1417" w:header="851" w:footer="992" w:gutter="0"/>
          <w:cols w:space="425"/>
          <w:docGrid w:type="lines" w:linePitch="312"/>
        </w:sectPr>
      </w:pPr>
    </w:p>
    <w:p w:rsidR="005B2A59" w:rsidRDefault="005B2A59">
      <w:pPr>
        <w:pStyle w:val="Default"/>
        <w:jc w:val="both"/>
        <w:rPr>
          <w:rFonts w:ascii="Times New Roman" w:eastAsia="方正小标宋_GBK" w:hAnsi="Times New Roman" w:cs="Times New Roman"/>
          <w:sz w:val="72"/>
          <w:szCs w:val="72"/>
        </w:rPr>
      </w:pPr>
    </w:p>
    <w:p w:rsidR="005B2A5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5B2A59" w:rsidRDefault="005B2A59">
      <w:pPr>
        <w:pStyle w:val="Default"/>
        <w:spacing w:line="360" w:lineRule="auto"/>
        <w:jc w:val="center"/>
        <w:rPr>
          <w:rFonts w:ascii="Times New Roman" w:eastAsia="方正小标宋_GBK" w:hAnsi="Times New Roman" w:cs="Times New Roman"/>
          <w:sz w:val="52"/>
          <w:szCs w:val="52"/>
        </w:rPr>
      </w:pPr>
    </w:p>
    <w:p w:rsidR="005B2A5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5B2A59" w:rsidRDefault="005B2A59">
      <w:pPr>
        <w:pStyle w:val="Default"/>
        <w:overflowPunct w:val="0"/>
        <w:autoSpaceDE/>
        <w:autoSpaceDN/>
        <w:spacing w:line="600" w:lineRule="exact"/>
        <w:ind w:firstLineChars="200" w:firstLine="640"/>
        <w:jc w:val="both"/>
        <w:rPr>
          <w:rFonts w:ascii="Times New Roman" w:hAnsi="Times New Roman" w:cs="Times New Roman"/>
          <w:bCs/>
          <w:sz w:val="32"/>
          <w:szCs w:val="32"/>
        </w:rPr>
      </w:pP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2024年度收、支总计6605.65万元。与上年相比，增加419.19万元，增长6.78%，主要是因为人员经费增加等。</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2024年度收入合计6605.65万元，其中：财政拨款收入5905.60万元，占89.4%；上级补助收0万元，占0%；事业收入700.05万元，占10.6%；经营收入0万元，占0%；附属单位上缴收入0万元，占0%；其他收0万元，占0%。</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2024年度支出合计6605.65万元，其中：基本支出6567.22万元，占99.42%；项目支出38.43万元，占0.58%；上缴上级支出0万元，占0%；经营支出0万元，占0%；对附属单位补助支出0万元，占0%。</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2024年度财政拨款收、支总计5905.60万元，与上年相比，增加569.14万元,增长10.67%，主要是</w:t>
      </w:r>
      <w:proofErr w:type="gramStart"/>
      <w:r>
        <w:rPr>
          <w:rFonts w:ascii="仿宋_GB2312" w:eastAsia="仿宋_GB2312" w:hAnsi="仿宋_GB2312" w:cs="仿宋_GB2312" w:hint="eastAsia"/>
          <w:sz w:val="32"/>
          <w:szCs w:val="32"/>
        </w:rPr>
        <w:t>因为因为</w:t>
      </w:r>
      <w:proofErr w:type="gramEnd"/>
      <w:r>
        <w:rPr>
          <w:rFonts w:ascii="仿宋_GB2312" w:eastAsia="仿宋_GB2312" w:hAnsi="仿宋_GB2312" w:cs="仿宋_GB2312" w:hint="eastAsia"/>
          <w:sz w:val="32"/>
          <w:szCs w:val="32"/>
        </w:rPr>
        <w:t>人员经费增加</w:t>
      </w:r>
      <w:r>
        <w:rPr>
          <w:rFonts w:ascii="仿宋_GB2312" w:eastAsia="仿宋_GB2312" w:hAnsi="仿宋_GB2312" w:cs="仿宋_GB2312" w:hint="eastAsia"/>
          <w:sz w:val="32"/>
          <w:szCs w:val="32"/>
        </w:rPr>
        <w:lastRenderedPageBreak/>
        <w:t>等。</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5B2A5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2024年度财政拨款支出5905.60万元，占本年支出合计的89.4%，与上年相比，财政拨款支出增加569.14万元，增长10.67%，主要是因为人员经费增加等。</w:t>
      </w:r>
    </w:p>
    <w:p w:rsidR="005B2A5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5B2A59" w:rsidRDefault="00000000">
      <w:pPr>
        <w:pStyle w:val="Default"/>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5905.60万元，主要用于以下方面：一般公共服务（类）支出6.8万元，占0.12%；教育（类）支出4768.44万元，占80.74%;社会保障和就业（类）支出557.35万元，占9.44%；卫生健康（类）支出205.51万元，占3.48%；住房保障（类）支出367.50万元，占6.22%。</w:t>
      </w:r>
    </w:p>
    <w:p w:rsidR="005B2A5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2024年度财政拨款支出年初预算数为5336.456万元，支出决算数为5905.60万元，完成年初预算的110.67%，其中：</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1、一般公共服务（类）组织事务（款）一般行政管理事务（项）。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年初预算为0万元，支出决算为6.8万元，无法计算百分比，决算数大于年初预算数的主要原因是：本年新增本项专项经费。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2、教育支出（类）教育管理事务（款）一般行政管理事务（项）。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年初预算为0万元，支出决算为24.38万元，无法计算百</w:t>
      </w:r>
      <w:r>
        <w:rPr>
          <w:rFonts w:ascii="仿宋_GB2312" w:eastAsia="仿宋_GB2312" w:hAnsi="仿宋_GB2312" w:cs="仿宋_GB2312" w:hint="eastAsia"/>
          <w:sz w:val="32"/>
          <w:szCs w:val="32"/>
        </w:rPr>
        <w:lastRenderedPageBreak/>
        <w:t>分比，决算数大于年初预算数的主要原因是：本年新增本项专项经费。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3、教育支出（类）教育管理事务（款）其他教育管理事务支出（项）。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年初预算为0万元，支出决算为13.62万元，无法计算百分比，决算数大于年初预算数的主要原因是：本年新增本项专项经费。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4、教育支出（类）普通教育（款）高中教育（项）。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年初预算为4195.19万元，支出决算为4647.98万元，完成年初预算的110.79%，决算数大于年初预算数的主要原因是：人员经费增加等。</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5、教育支出（类）普通教育（款）其他普通教育支出（项）。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年初预算为0万元，支出决算为59.36万元，无法计算百分比，决算数大于年初预算数的主要原因是：本年新增本项专项经费。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6、教育支出（类）教育费附加安排的支出（款）其他教育费附加安排的支出（项）。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年初预算为0万元，支出决算为2.16万元，无法计算百分比，决算数大于年初预算数的主要原因是：本年新增本项专项经费。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7、教育支出（类）其他教育支出（款）其他教育支出（项）。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年初预算为0万元，支出决算为20.94万元，无法计算百分比，决算数大于年初预算数的主要原因是：本年新增本项专</w:t>
      </w:r>
      <w:r>
        <w:rPr>
          <w:rFonts w:ascii="仿宋_GB2312" w:eastAsia="仿宋_GB2312" w:hAnsi="仿宋_GB2312" w:cs="仿宋_GB2312" w:hint="eastAsia"/>
          <w:sz w:val="32"/>
          <w:szCs w:val="32"/>
        </w:rPr>
        <w:lastRenderedPageBreak/>
        <w:t>项经费。</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社会保障和就业支出（类）行政事业单位养老支出（款）机关事业单位基本养老保险缴费支出（项）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年初预算为489.99万元，支出决算为489.99万元，完成年初预算的100%，决算数与年初预算数持平。</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社会保障和就业支出（类）行政事业单位养老支出（款）对机关事业单位基本养老保险</w:t>
      </w:r>
      <w:proofErr w:type="gramStart"/>
      <w:r>
        <w:rPr>
          <w:rFonts w:ascii="仿宋_GB2312" w:eastAsia="仿宋_GB2312" w:hAnsi="仿宋_GB2312" w:cs="仿宋_GB2312" w:hint="eastAsia"/>
          <w:sz w:val="32"/>
          <w:szCs w:val="32"/>
        </w:rPr>
        <w:t>缴</w:t>
      </w:r>
      <w:proofErr w:type="gramEnd"/>
      <w:r>
        <w:rPr>
          <w:rFonts w:ascii="仿宋_GB2312" w:eastAsia="仿宋_GB2312" w:hAnsi="仿宋_GB2312" w:cs="仿宋_GB2312" w:hint="eastAsia"/>
          <w:sz w:val="32"/>
          <w:szCs w:val="32"/>
        </w:rPr>
        <w:t>基金的补助（项）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年初预算为0万元，支出决算为4.64万元，无法计算百分比，决算数大于年初预算数的主要原因是：本年新增本项专项经费。</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社会保障和就业支出（类）财政对其他社会保险基金的补助（款）财政对失业保险基金的补助（项）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年初预算为17.98万元，支出决算为17.98万元，完成年初预算的100%，决算数与年初预算数持平。</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社会保障和就业支出（类）财政对其他社会保险基金的补助（款）财政对工伤保险基金的补助（项）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年初预算为23.12万元，支出决算为23.12万元，完成年初预算的100%，决算数与年初预算数持平。</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社会保障和就业支出（类）财政对其他社会保险基金的补助（款）其他财政对社会保险基金的补助（项）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年初预算为21.62万元，支出决算为21.62万元，完成年初预算的100%，决算数与年初预算数持平。</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卫生健康支出（类）行政事业单位医疗（款）事业</w:t>
      </w:r>
      <w:r>
        <w:rPr>
          <w:rFonts w:ascii="仿宋_GB2312" w:eastAsia="仿宋_GB2312" w:hAnsi="仿宋_GB2312" w:cs="仿宋_GB2312" w:hint="eastAsia"/>
          <w:sz w:val="32"/>
          <w:szCs w:val="32"/>
        </w:rPr>
        <w:lastRenderedPageBreak/>
        <w:t>单位医疗（项）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年初预算为205.51万元，支出决算为205.51万元，完成年初预算的100%，决算数与年初预算数持平。</w:t>
      </w:r>
    </w:p>
    <w:p w:rsidR="005B2A59" w:rsidRDefault="00000000">
      <w:pPr>
        <w:pStyle w:val="Default"/>
        <w:numPr>
          <w:ilvl w:val="0"/>
          <w:numId w:val="2"/>
        </w:numPr>
        <w:overflowPunct w:val="0"/>
        <w:autoSpaceDE/>
        <w:autoSpaceDN/>
        <w:spacing w:line="600" w:lineRule="exact"/>
        <w:ind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住房保障支出（类）住房改革支出（款）住房公积金（项）</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年初预算为367.5万元，支出决算为367.5万元，完成年初预算的100%，决算数与年初预算数持平。</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2024年度一般公共预算财政拨款基本支出5867.17万元，其中：</w:t>
      </w:r>
    </w:p>
    <w:p w:rsidR="005B2A59" w:rsidRDefault="00000000">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人员经费</w:t>
      </w:r>
      <w:r>
        <w:rPr>
          <w:rFonts w:ascii="仿宋_GB2312" w:eastAsia="仿宋_GB2312" w:hAnsi="仿宋_GB2312" w:cs="仿宋_GB2312" w:hint="eastAsia"/>
          <w:sz w:val="32"/>
          <w:szCs w:val="32"/>
        </w:rPr>
        <w:t>5172.42万元，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88.16%,主要包括基本工资、津贴补贴、绩效工资、机关事业单位基本养老保险缴费、职工基本医疗保险缴费、其他社会保障缴费、住房公积金、抚恤金、生活补助、助学金、奖励金、其他对个人和家庭的补助等。</w:t>
      </w:r>
    </w:p>
    <w:p w:rsidR="005B2A59" w:rsidRDefault="00000000">
      <w:pPr>
        <w:pStyle w:val="Default"/>
        <w:spacing w:line="600" w:lineRule="exact"/>
        <w:ind w:firstLineChars="200" w:firstLine="643"/>
        <w:rPr>
          <w:rFonts w:ascii="仿宋_GB2312" w:eastAsia="仿宋_GB2312" w:hAnsi="仿宋_GB2312" w:cs="仿宋_GB2312" w:hint="eastAsia"/>
          <w:color w:val="auto"/>
          <w:kern w:val="2"/>
          <w:sz w:val="32"/>
          <w:szCs w:val="32"/>
        </w:rPr>
      </w:pPr>
      <w:r>
        <w:rPr>
          <w:rFonts w:ascii="仿宋_GB2312" w:eastAsia="仿宋_GB2312" w:hAnsi="仿宋_GB2312" w:cs="仿宋_GB2312" w:hint="eastAsia"/>
          <w:b/>
          <w:bCs/>
          <w:sz w:val="32"/>
          <w:szCs w:val="32"/>
        </w:rPr>
        <w:t>公用经费</w:t>
      </w:r>
      <w:r>
        <w:rPr>
          <w:rFonts w:ascii="仿宋_GB2312" w:eastAsia="仿宋_GB2312" w:hAnsi="仿宋_GB2312" w:cs="仿宋_GB2312" w:hint="eastAsia"/>
          <w:sz w:val="32"/>
          <w:szCs w:val="32"/>
        </w:rPr>
        <w:t>694.75万元，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支出的</w:t>
      </w:r>
      <w:r>
        <w:rPr>
          <w:rFonts w:ascii="仿宋_GB2312" w:eastAsia="仿宋_GB2312" w:hAnsi="仿宋_GB2312" w:cs="仿宋_GB2312" w:hint="eastAsia"/>
          <w:color w:val="auto"/>
          <w:kern w:val="2"/>
          <w:sz w:val="32"/>
          <w:szCs w:val="32"/>
        </w:rPr>
        <w:t>11.84%，主要包括办公费、印刷费、水费、电费、邮电费、差旅费、维修（护）费、培训费、劳务费、工会经费、其他交通费用、其他商品和服务支出、办公设备购置等。</w:t>
      </w:r>
    </w:p>
    <w:p w:rsidR="005B2A5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5B2A5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2024年度“三公”经费财政拨款支出预算为0万元，支出决算为0万元，完成预算的0%；与上年相比持平。</w:t>
      </w:r>
      <w:r>
        <w:rPr>
          <w:rFonts w:ascii="仿宋_GB2312" w:eastAsia="仿宋_GB2312" w:hAnsi="仿宋_GB2312" w:cs="仿宋_GB2312" w:hint="eastAsia"/>
          <w:color w:val="auto"/>
          <w:sz w:val="32"/>
          <w:szCs w:val="32"/>
        </w:rPr>
        <w:t>主要原因是</w:t>
      </w:r>
      <w:r>
        <w:rPr>
          <w:rFonts w:ascii="仿宋_GB2312" w:eastAsia="仿宋_GB2312" w:hAnsi="仿宋_GB2312" w:cs="仿宋_GB2312" w:hint="eastAsia"/>
          <w:sz w:val="32"/>
          <w:szCs w:val="32"/>
        </w:rPr>
        <w:lastRenderedPageBreak/>
        <w:t>无此项预算及支出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与上年相比无变化的主要原因是严格按照预算执行相关经费支出。</w:t>
      </w:r>
    </w:p>
    <w:p w:rsidR="005B2A59"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1.因公出国（境）费支出预算为0万元，支出决算为0万元，完成预算的0%；与上年相比持平。</w:t>
      </w:r>
      <w:r>
        <w:rPr>
          <w:rFonts w:ascii="仿宋_GB2312" w:eastAsia="仿宋_GB2312" w:hAnsi="仿宋_GB2312" w:cs="仿宋_GB2312" w:hint="eastAsia"/>
          <w:color w:val="auto"/>
          <w:sz w:val="32"/>
          <w:szCs w:val="32"/>
        </w:rPr>
        <w:t>主要原因是</w:t>
      </w:r>
      <w:r>
        <w:rPr>
          <w:rFonts w:ascii="仿宋_GB2312" w:eastAsia="仿宋_GB2312" w:hAnsi="仿宋_GB2312" w:cs="仿宋_GB2312" w:hint="eastAsia"/>
          <w:sz w:val="32"/>
          <w:szCs w:val="32"/>
        </w:rPr>
        <w:t>无此项预算及支出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与上年相比无变化的主要原因是严格按照预算执行相关经费支出。</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b/>
          <w:bCs/>
          <w:i/>
          <w:color w:val="auto"/>
          <w:sz w:val="32"/>
          <w:szCs w:val="32"/>
        </w:rPr>
      </w:pPr>
      <w:r>
        <w:rPr>
          <w:rFonts w:ascii="仿宋_GB2312" w:eastAsia="仿宋_GB2312" w:hAnsi="仿宋_GB2312" w:cs="仿宋_GB2312" w:hint="eastAsia"/>
          <w:sz w:val="32"/>
          <w:szCs w:val="32"/>
        </w:rPr>
        <w:t>2024年度安排因公出国（境）团组0个，累计0人次。</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2.公务用车购置费及运行维护费支出预算为0万元，支出决算为0万元，完成预算的0%；与上年相比持平。</w:t>
      </w:r>
      <w:r>
        <w:rPr>
          <w:rFonts w:ascii="仿宋_GB2312" w:eastAsia="仿宋_GB2312" w:hAnsi="仿宋_GB2312" w:cs="仿宋_GB2312" w:hint="eastAsia"/>
          <w:color w:val="auto"/>
          <w:sz w:val="32"/>
          <w:szCs w:val="32"/>
        </w:rPr>
        <w:t>主要原因是</w:t>
      </w:r>
      <w:r>
        <w:rPr>
          <w:rFonts w:ascii="仿宋_GB2312" w:eastAsia="仿宋_GB2312" w:hAnsi="仿宋_GB2312" w:cs="仿宋_GB2312" w:hint="eastAsia"/>
          <w:sz w:val="32"/>
          <w:szCs w:val="32"/>
        </w:rPr>
        <w:t>无此项预算及支出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与上年相比无变化的主要原因是严格按照预算执行相关经费支出。其中：</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公务用车购置费支出预算为0万元，支出决算为0万元，完成预算的0%；与上年相比持平。</w:t>
      </w:r>
      <w:r>
        <w:rPr>
          <w:rFonts w:ascii="仿宋_GB2312" w:eastAsia="仿宋_GB2312" w:hAnsi="仿宋_GB2312" w:cs="仿宋_GB2312" w:hint="eastAsia"/>
          <w:color w:val="auto"/>
          <w:sz w:val="32"/>
          <w:szCs w:val="32"/>
        </w:rPr>
        <w:t>主要原因是</w:t>
      </w:r>
      <w:r>
        <w:rPr>
          <w:rFonts w:ascii="仿宋_GB2312" w:eastAsia="仿宋_GB2312" w:hAnsi="仿宋_GB2312" w:cs="仿宋_GB2312" w:hint="eastAsia"/>
          <w:sz w:val="32"/>
          <w:szCs w:val="32"/>
        </w:rPr>
        <w:t>无此项预算及支出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与上年相比无变化的主要原因是严格按照预算执行相关经费支出。</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公务用车运行维护费支出预算为0万元，支出决算为0万元，完成预算的0%；与上年相比持平。</w:t>
      </w:r>
      <w:r>
        <w:rPr>
          <w:rFonts w:ascii="仿宋_GB2312" w:eastAsia="仿宋_GB2312" w:hAnsi="仿宋_GB2312" w:cs="仿宋_GB2312" w:hint="eastAsia"/>
          <w:color w:val="auto"/>
          <w:sz w:val="32"/>
          <w:szCs w:val="32"/>
        </w:rPr>
        <w:t>主要原因是</w:t>
      </w:r>
      <w:r>
        <w:rPr>
          <w:rFonts w:ascii="仿宋_GB2312" w:eastAsia="仿宋_GB2312" w:hAnsi="仿宋_GB2312" w:cs="仿宋_GB2312" w:hint="eastAsia"/>
          <w:sz w:val="32"/>
          <w:szCs w:val="32"/>
        </w:rPr>
        <w:t>无此项预算及支出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t>与上年相比无变化的主要原因是严格按照预算执行相关经费支出。截止2024年12月31日，我单位开支财政拨款的公务用车保有量为0辆。</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3.公务接待费支出预算为0万元，支出决算为0万元，完成预算的0%；与上年相比持平。</w:t>
      </w:r>
      <w:r>
        <w:rPr>
          <w:rFonts w:ascii="仿宋_GB2312" w:eastAsia="仿宋_GB2312" w:hAnsi="仿宋_GB2312" w:cs="仿宋_GB2312" w:hint="eastAsia"/>
          <w:color w:val="auto"/>
          <w:sz w:val="32"/>
          <w:szCs w:val="32"/>
        </w:rPr>
        <w:t>主要原因是</w:t>
      </w:r>
      <w:r>
        <w:rPr>
          <w:rFonts w:ascii="仿宋_GB2312" w:eastAsia="仿宋_GB2312" w:hAnsi="仿宋_GB2312" w:cs="仿宋_GB2312" w:hint="eastAsia"/>
          <w:sz w:val="32"/>
          <w:szCs w:val="32"/>
        </w:rPr>
        <w:t>无此项预算及支出</w:t>
      </w:r>
      <w:r>
        <w:rPr>
          <w:rFonts w:ascii="仿宋_GB2312" w:eastAsia="仿宋_GB2312" w:hAnsi="仿宋_GB2312" w:cs="仿宋_GB2312" w:hint="eastAsia"/>
          <w:color w:val="auto"/>
          <w:sz w:val="32"/>
          <w:szCs w:val="32"/>
        </w:rPr>
        <w:t>，</w:t>
      </w:r>
      <w:r>
        <w:rPr>
          <w:rFonts w:ascii="仿宋_GB2312" w:eastAsia="仿宋_GB2312" w:hAnsi="仿宋_GB2312" w:cs="仿宋_GB2312" w:hint="eastAsia"/>
          <w:sz w:val="32"/>
          <w:szCs w:val="32"/>
        </w:rPr>
        <w:lastRenderedPageBreak/>
        <w:t>与上年相比无变化的主要原因是严格按照预算执行相关经费支出。。2024年度共接待来访团组0个、来宾0人次。</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2024年度政府性基金预算财政拨款收入0万元；年初结转和结余0万元；支出0万元，其中基本支出0万元，项目支出0万元；年末结转和结余0万元。 </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2024年度本单位无政府性基金收支。</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5B2A59"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本部门2024年度机关运行经费支出694.75万元，比年初预算数增加694.75 万元，年初预算为0万元，无法计算百分比。主要原因是：高中生均公用经费、高中助学金、免学费等县级配套资金，年初预算由教育局统一预算，而决算在本校，从而造成决算数大于年初预算数。</w:t>
      </w:r>
    </w:p>
    <w:p w:rsidR="005B2A59"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机关运行经费主要用于为保障本部门运行用于购买货物和服务的各项资金，包括办公费、印刷费、水费、电费、邮电费、差旅费、维修（护）费、培训费、劳务费、工会经费、其他交通费用、其他商品和服务支出、办公设备购置、专用设备购置等。</w:t>
      </w:r>
    </w:p>
    <w:p w:rsidR="005B2A59" w:rsidRDefault="005B2A59">
      <w:pPr>
        <w:pStyle w:val="ab"/>
        <w:rPr>
          <w:rFonts w:eastAsia="仿宋_GB2312"/>
        </w:rPr>
      </w:pP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5B2A59"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b/>
          <w:bCs/>
          <w:i/>
          <w:color w:val="auto"/>
          <w:sz w:val="32"/>
          <w:szCs w:val="32"/>
        </w:rPr>
      </w:pPr>
      <w:r>
        <w:rPr>
          <w:rFonts w:ascii="仿宋_GB2312" w:eastAsia="仿宋_GB2312" w:hAnsi="仿宋_GB2312" w:cs="仿宋_GB2312" w:hint="eastAsia"/>
          <w:sz w:val="32"/>
          <w:szCs w:val="32"/>
        </w:rPr>
        <w:t>2024年本部门开支会议费0万元，人数0人；开支培训费16.44万元，用于开展教师培训，人数200人，内容为教师继续教育培训；举办0节庆、晚会、论坛、赛事活动，开支0万元。</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十一、关于政府采购支出说明</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仿宋_GB2312" w:eastAsia="仿宋_GB2312" w:hAnsi="仿宋_GB2312" w:cs="仿宋_GB2312" w:hint="eastAsia"/>
          <w:sz w:val="32"/>
          <w:szCs w:val="32"/>
        </w:rPr>
        <w:t>本部门2024年度政府采购支出总额0万元，其中：政府采购货物支出0万元、政府采购工程支出0万元、政府采购服务支出0万元。授予中小企业合同金额0万元，占政府采购支出总额的0%，其中：授予小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合同金额0万元，</w:t>
      </w:r>
      <w:r>
        <w:rPr>
          <w:rFonts w:ascii="仿宋_GB2312" w:eastAsia="仿宋_GB2312" w:hAnsi="仿宋_GB2312" w:cs="仿宋_GB2312" w:hint="eastAsia"/>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r>
        <w:rPr>
          <w:rFonts w:ascii="Times New Roman" w:hAnsi="Times New Roman" w:cs="Times New Roman"/>
          <w:bCs/>
          <w:color w:val="auto"/>
          <w:sz w:val="32"/>
          <w:szCs w:val="32"/>
        </w:rPr>
        <w:t>十二、关于国有资产占用情况说明</w:t>
      </w:r>
    </w:p>
    <w:p w:rsidR="005B2A59"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仿宋_GB2312" w:eastAsia="仿宋_GB2312" w:hAnsi="仿宋_GB2312" w:cs="仿宋_GB2312" w:hint="eastAsia"/>
          <w:color w:val="auto"/>
          <w:sz w:val="32"/>
          <w:szCs w:val="32"/>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rsidR="005B2A59"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5B2A59" w:rsidRDefault="00000000">
      <w:pPr>
        <w:pStyle w:val="Default"/>
        <w:overflowPunct w:val="0"/>
        <w:autoSpaceDE/>
        <w:autoSpaceDN/>
        <w:spacing w:line="600" w:lineRule="exact"/>
        <w:ind w:firstLineChars="200" w:firstLine="643"/>
        <w:jc w:val="both"/>
        <w:rPr>
          <w:rFonts w:ascii="仿宋_GB2312" w:eastAsia="仿宋_GB2312" w:hAnsi="仿宋_GB2312" w:cs="仿宋_GB2312" w:hint="eastAsia"/>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仿宋_GB2312" w:eastAsia="仿宋_GB2312" w:hAnsi="仿宋_GB2312" w:cs="仿宋_GB2312" w:hint="eastAsia"/>
          <w:sz w:val="32"/>
          <w:szCs w:val="32"/>
        </w:rPr>
        <w:t xml:space="preserve">组织对2024年度本部门（单位）整体支出开展绩效自评，涉及项目4个，共涉及资金38.43万元。其中，一般公共预算项目3个38.43万元，占一般公共预算支出总额的6.51%；政府性基金预算项目0个0万元，占政府性基金预算支出总额的0%；国有资本经营预算项目0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 xml:space="preserve">0 万元，占国有资本经营预算支出总额的0%；社会保险基金预算项目0 </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0万元，占社会保险基金预算支出总额的0%。</w:t>
      </w:r>
      <w:r>
        <w:rPr>
          <w:rFonts w:ascii="Times New Roman" w:eastAsia="仿宋_GB2312" w:hAnsi="Times New Roman" w:cs="Times New Roman"/>
          <w:b/>
          <w:bCs/>
          <w:sz w:val="32"/>
          <w:szCs w:val="32"/>
        </w:rPr>
        <w:t>二是部门评价开展情况。</w:t>
      </w:r>
      <w:r>
        <w:rPr>
          <w:rFonts w:ascii="仿宋_GB2312" w:eastAsia="仿宋_GB2312" w:hAnsi="仿宋_GB2312" w:cs="仿宋_GB2312" w:hint="eastAsia"/>
          <w:sz w:val="32"/>
          <w:szCs w:val="32"/>
        </w:rPr>
        <w:t>组织对所属单位</w:t>
      </w:r>
      <w:r>
        <w:rPr>
          <w:rFonts w:ascii="仿宋_GB2312" w:eastAsia="仿宋_GB2312" w:hAnsi="仿宋_GB2312" w:cs="仿宋_GB2312" w:hint="eastAsia"/>
          <w:sz w:val="32"/>
          <w:szCs w:val="32"/>
        </w:rPr>
        <w:lastRenderedPageBreak/>
        <w:t>2024年度“一般公共服务（类）组织事务（款）一般行政管理事务（项）引进人才生活补贴”、“教育支出（类）教育管理事务（款）一般行政管理事务（项）退休人员考核奖励”、</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教育支出（类）教育管理事务（款）一般行政管理事务（项）“陶铸故里好家风”等好老人表彰</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教育支出（类）教育管理事务（款）其他教育管理事务支出（项）”等4个项目开展了部门评价，涉及一般公共预算支出38.43万元，政府性基金预算支出0万元，国有资本经营预算支出0万元，社会保险基金预算支出0万元。</w:t>
      </w:r>
      <w:r>
        <w:rPr>
          <w:rFonts w:ascii="Times New Roman" w:eastAsia="仿宋_GB2312" w:hAnsi="Times New Roman" w:cs="Times New Roman"/>
          <w:b/>
          <w:bCs/>
          <w:sz w:val="32"/>
          <w:szCs w:val="32"/>
        </w:rPr>
        <w:t>三是事前绩效评估开展情况。</w:t>
      </w:r>
      <w:r>
        <w:rPr>
          <w:rFonts w:ascii="仿宋_GB2312" w:eastAsia="仿宋_GB2312" w:hAnsi="仿宋_GB2312" w:cs="仿宋_GB2312" w:hint="eastAsia"/>
          <w:sz w:val="32"/>
          <w:szCs w:val="32"/>
        </w:rPr>
        <w:t>组织对2024年度0个新增重大政策和0个重大项目开展事前绩效评估，共涉及资金0万元。</w:t>
      </w:r>
    </w:p>
    <w:p w:rsidR="005B2A59" w:rsidRDefault="00000000">
      <w:pPr>
        <w:autoSpaceDE w:val="0"/>
        <w:autoSpaceDN w:val="0"/>
        <w:adjustRightInd w:val="0"/>
        <w:ind w:firstLineChars="200" w:firstLine="643"/>
        <w:jc w:val="left"/>
        <w:rPr>
          <w:rFonts w:ascii="仿宋_GB2312" w:eastAsia="仿宋_GB2312" w:hAnsi="仿宋_GB2312" w:cs="仿宋_GB2312" w:hint="eastAsia"/>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仿宋_GB2312" w:eastAsia="仿宋_GB2312" w:hAnsi="仿宋_GB2312" w:cs="仿宋_GB2312" w:hint="eastAsia"/>
          <w:kern w:val="0"/>
          <w:sz w:val="32"/>
          <w:szCs w:val="32"/>
        </w:rPr>
        <w:t>2024年度本部门（单位）整体支出</w:t>
      </w:r>
      <w:r>
        <w:rPr>
          <w:rFonts w:ascii="仿宋_GB2312" w:eastAsia="仿宋_GB2312" w:hAnsi="仿宋_GB2312" w:cs="仿宋_GB2312" w:hint="eastAsia"/>
          <w:sz w:val="32"/>
          <w:szCs w:val="32"/>
        </w:rPr>
        <w:t>全年预算数6186.456万元，执行数6605.65万元，完成预算的106.78%</w:t>
      </w:r>
      <w:r>
        <w:rPr>
          <w:rFonts w:ascii="仿宋_GB2312" w:eastAsia="仿宋_GB2312" w:hAnsi="仿宋_GB2312" w:cs="仿宋_GB2312" w:hint="eastAsia"/>
          <w:kern w:val="0"/>
          <w:sz w:val="32"/>
          <w:szCs w:val="32"/>
        </w:rPr>
        <w:t>，绩效自评得分</w:t>
      </w:r>
      <w:r>
        <w:rPr>
          <w:rFonts w:ascii="仿宋_GB2312" w:eastAsia="仿宋_GB2312" w:hAnsi="仿宋_GB2312" w:cs="仿宋_GB2312" w:hint="eastAsia"/>
          <w:sz w:val="32"/>
          <w:szCs w:val="32"/>
        </w:rPr>
        <w:t>96分</w:t>
      </w:r>
      <w:r>
        <w:rPr>
          <w:rFonts w:ascii="仿宋_GB2312" w:eastAsia="仿宋_GB2312" w:hAnsi="仿宋_GB2312" w:cs="仿宋_GB2312" w:hint="eastAsia"/>
          <w:kern w:val="0"/>
          <w:sz w:val="32"/>
          <w:szCs w:val="32"/>
        </w:rPr>
        <w:t>，评价等级为</w:t>
      </w:r>
      <w:r>
        <w:rPr>
          <w:rFonts w:ascii="仿宋_GB2312" w:eastAsia="仿宋_GB2312" w:hAnsi="仿宋_GB2312" w:cs="仿宋_GB2312" w:hint="eastAsia"/>
          <w:sz w:val="32"/>
          <w:szCs w:val="32"/>
        </w:rPr>
        <w:t>“优”。绩效目标完成情况：</w:t>
      </w:r>
      <w:r>
        <w:rPr>
          <w:rFonts w:ascii="仿宋_GB2312" w:eastAsia="仿宋_GB2312" w:hAnsi="仿宋_GB2312" w:cs="仿宋_GB2312" w:hint="eastAsia"/>
          <w:color w:val="000000"/>
          <w:kern w:val="0"/>
          <w:sz w:val="32"/>
          <w:szCs w:val="32"/>
        </w:rPr>
        <w:t>本单位落实年初预算，明确安排资金支出方向，保证资金用途，严格预算约束，规范预算使用范围，项目立项程序完整、规范，设计了较明确的绩效目标，财务相关管理制度健全，预算执行及时、有效，师生满意度高，社会效益良好。部门整体支出产出和效果达到预期目标。总体自评效果较好。</w:t>
      </w:r>
      <w:r>
        <w:rPr>
          <w:rFonts w:ascii="仿宋_GB2312" w:eastAsia="仿宋_GB2312" w:hAnsi="仿宋_GB2312" w:cs="仿宋_GB2312" w:hint="eastAsia"/>
          <w:sz w:val="32"/>
          <w:szCs w:val="32"/>
        </w:rPr>
        <w:t>发现的主要问题及原因：</w:t>
      </w:r>
      <w:r>
        <w:rPr>
          <w:rFonts w:ascii="仿宋_GB2312" w:eastAsia="仿宋_GB2312" w:hAnsi="仿宋_GB2312" w:cs="仿宋_GB2312" w:hint="eastAsia"/>
          <w:color w:val="000000"/>
          <w:kern w:val="0"/>
          <w:sz w:val="32"/>
          <w:szCs w:val="32"/>
        </w:rPr>
        <w:t>一是部分项目设计有待提高，应该更加科学合理，利用率高；二是部分项目产出指标低于预期。下一步改进措施：一是设计项目时多方听取建议，尽量做到资金的最大使用功效；二是进一步规范绩效管理评价，</w:t>
      </w:r>
      <w:r>
        <w:rPr>
          <w:rFonts w:ascii="仿宋_GB2312" w:eastAsia="仿宋_GB2312" w:hAnsi="仿宋_GB2312" w:cs="仿宋_GB2312" w:hint="eastAsia"/>
          <w:color w:val="000000"/>
          <w:kern w:val="0"/>
          <w:sz w:val="32"/>
          <w:szCs w:val="32"/>
        </w:rPr>
        <w:lastRenderedPageBreak/>
        <w:t>规范项目预算及支出管理。</w:t>
      </w:r>
      <w:r>
        <w:rPr>
          <w:rFonts w:ascii="Times New Roman" w:eastAsia="仿宋_GB2312" w:hAnsi="Times New Roman" w:cs="Times New Roman"/>
          <w:b/>
          <w:bCs/>
          <w:kern w:val="0"/>
          <w:sz w:val="32"/>
          <w:szCs w:val="32"/>
        </w:rPr>
        <w:t>二是部门评价结果。</w:t>
      </w:r>
      <w:r>
        <w:rPr>
          <w:rFonts w:ascii="仿宋_GB2312" w:eastAsia="仿宋_GB2312" w:hAnsi="仿宋_GB2312" w:cs="仿宋_GB2312" w:hint="eastAsia"/>
          <w:sz w:val="32"/>
          <w:szCs w:val="32"/>
        </w:rPr>
        <w:t>第四中学国内债务付息项目全年预算数0万元，执行数7.25万元，资金使用率100%；引进人才生活补贴项目年预算数0万元，执行数6.8万元，资金使用率100%；退休人员考核奖励项目年预算数0万元，执行数22.38万元，资金使用率100% ；“陶铸故里好家风”等好老人表彰2万元，资金使用率100%。各项专项资金，做到了及时到位，专款专用，无截留、卡扣、占用和挪用等情况，财务制度健全，会计核算规范，支付依据合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。部门评价得分96分，评价等级为“优”。</w:t>
      </w:r>
      <w:r>
        <w:rPr>
          <w:rFonts w:ascii="仿宋_GB2312" w:eastAsia="仿宋_GB2312" w:hAnsi="仿宋_GB2312" w:cs="仿宋_GB2312" w:hint="eastAsia"/>
          <w:color w:val="000000"/>
          <w:kern w:val="0"/>
          <w:sz w:val="32"/>
          <w:szCs w:val="32"/>
        </w:rPr>
        <w:t>项目立项符合部门职责和相关管理规定，绩效目标合理，评价指标体系较完善，评价指标体系业务管理制度较健全，业务监控有效性较好；财务管理制度规范，任务完成质量较高，项目实施的效益比较显著，社会效益及可持续影响明显。</w:t>
      </w:r>
      <w:r>
        <w:rPr>
          <w:rFonts w:ascii="Times New Roman" w:eastAsia="仿宋_GB2312" w:hAnsi="Times New Roman" w:cs="Times New Roman"/>
          <w:b/>
          <w:bCs/>
          <w:kern w:val="0"/>
          <w:sz w:val="32"/>
          <w:szCs w:val="32"/>
        </w:rPr>
        <w:t>三是事前绩效评估结果。</w:t>
      </w:r>
      <w:r>
        <w:rPr>
          <w:rFonts w:ascii="仿宋_GB2312" w:eastAsia="仿宋_GB2312" w:hAnsi="仿宋_GB2312" w:cs="仿宋_GB2312" w:hint="eastAsia"/>
          <w:kern w:val="0"/>
          <w:sz w:val="32"/>
          <w:szCs w:val="32"/>
        </w:rPr>
        <w:t>2024年度</w:t>
      </w:r>
      <w:r>
        <w:rPr>
          <w:rFonts w:ascii="仿宋_GB2312" w:eastAsia="仿宋_GB2312" w:hAnsi="仿宋_GB2312" w:cs="仿宋_GB2312" w:hint="eastAsia"/>
          <w:sz w:val="32"/>
          <w:szCs w:val="32"/>
        </w:rPr>
        <w:t>0</w:t>
      </w:r>
      <w:r>
        <w:rPr>
          <w:rFonts w:ascii="仿宋_GB2312" w:eastAsia="仿宋_GB2312" w:hAnsi="仿宋_GB2312" w:cs="仿宋_GB2312" w:hint="eastAsia"/>
          <w:kern w:val="0"/>
          <w:sz w:val="32"/>
          <w:szCs w:val="32"/>
        </w:rPr>
        <w:t>个重大项目事前绩效评估，其中，</w:t>
      </w:r>
      <w:r>
        <w:rPr>
          <w:rFonts w:ascii="仿宋_GB2312" w:eastAsia="仿宋_GB2312" w:hAnsi="仿宋_GB2312" w:cs="仿宋_GB2312" w:hint="eastAsia"/>
          <w:sz w:val="32"/>
          <w:szCs w:val="32"/>
        </w:rPr>
        <w:t>0</w:t>
      </w:r>
      <w:r>
        <w:rPr>
          <w:rFonts w:ascii="仿宋_GB2312" w:eastAsia="仿宋_GB2312" w:hAnsi="仿宋_GB2312" w:cs="仿宋_GB2312" w:hint="eastAsia"/>
          <w:kern w:val="0"/>
          <w:sz w:val="32"/>
          <w:szCs w:val="32"/>
        </w:rPr>
        <w:t>个项目评估通过，涉及资金</w:t>
      </w:r>
      <w:r>
        <w:rPr>
          <w:rFonts w:ascii="仿宋_GB2312" w:eastAsia="仿宋_GB2312" w:hAnsi="仿宋_GB2312" w:cs="仿宋_GB2312" w:hint="eastAsia"/>
          <w:sz w:val="32"/>
          <w:szCs w:val="32"/>
        </w:rPr>
        <w:t>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sz w:val="32"/>
          <w:szCs w:val="32"/>
        </w:rPr>
        <w:t>0</w:t>
      </w:r>
      <w:r>
        <w:rPr>
          <w:rFonts w:ascii="仿宋_GB2312" w:eastAsia="仿宋_GB2312" w:hAnsi="仿宋_GB2312" w:cs="仿宋_GB2312" w:hint="eastAsia"/>
          <w:kern w:val="0"/>
          <w:sz w:val="32"/>
          <w:szCs w:val="32"/>
        </w:rPr>
        <w:t>个项目评估不通过，涉及资金</w:t>
      </w:r>
      <w:r>
        <w:rPr>
          <w:rFonts w:ascii="仿宋_GB2312" w:eastAsia="仿宋_GB2312" w:hAnsi="仿宋_GB2312" w:cs="仿宋_GB2312" w:hint="eastAsia"/>
          <w:sz w:val="32"/>
          <w:szCs w:val="32"/>
        </w:rPr>
        <w:t>0</w:t>
      </w:r>
      <w:r>
        <w:rPr>
          <w:rFonts w:ascii="仿宋_GB2312" w:eastAsia="仿宋_GB2312" w:hAnsi="仿宋_GB2312" w:cs="仿宋_GB2312" w:hint="eastAsia"/>
          <w:kern w:val="0"/>
          <w:sz w:val="32"/>
          <w:szCs w:val="32"/>
        </w:rPr>
        <w:t>万元。</w:t>
      </w:r>
    </w:p>
    <w:p w:rsidR="005B2A59" w:rsidRDefault="00000000">
      <w:pPr>
        <w:pStyle w:val="Default"/>
        <w:overflowPunct w:val="0"/>
        <w:autoSpaceDE/>
        <w:autoSpaceDN/>
        <w:spacing w:line="600" w:lineRule="exact"/>
        <w:ind w:firstLineChars="200" w:firstLine="643"/>
        <w:jc w:val="both"/>
        <w:rPr>
          <w:rFonts w:ascii="仿宋_GB2312" w:eastAsia="仿宋_GB2312" w:hAnsi="仿宋_GB2312" w:cs="仿宋_GB2312" w:hint="eastAsia"/>
          <w:color w:val="auto"/>
          <w:sz w:val="32"/>
          <w:szCs w:val="32"/>
        </w:rPr>
      </w:pPr>
      <w:r>
        <w:rPr>
          <w:rFonts w:ascii="Times New Roman" w:eastAsia="楷体_GB2312" w:hAnsi="Times New Roman" w:cs="Times New Roman" w:hint="eastAsia"/>
          <w:b/>
          <w:bCs/>
          <w:color w:val="auto"/>
          <w:kern w:val="2"/>
          <w:sz w:val="32"/>
          <w:szCs w:val="32"/>
        </w:rPr>
        <w:t>（三）</w:t>
      </w:r>
      <w:r>
        <w:rPr>
          <w:rFonts w:ascii="Times New Roman" w:eastAsia="楷体_GB2312" w:hAnsi="Times New Roman" w:cs="Times New Roman"/>
          <w:b/>
          <w:bCs/>
          <w:color w:val="auto"/>
          <w:kern w:val="2"/>
          <w:sz w:val="32"/>
          <w:szCs w:val="32"/>
        </w:rPr>
        <w:t>评价结果应用情况。</w:t>
      </w:r>
      <w:r>
        <w:rPr>
          <w:rFonts w:ascii="仿宋_GB2312" w:eastAsia="仿宋_GB2312" w:hAnsi="仿宋_GB2312" w:cs="仿宋_GB2312" w:hint="eastAsia"/>
          <w:color w:val="auto"/>
          <w:sz w:val="32"/>
          <w:szCs w:val="32"/>
        </w:rPr>
        <w:t>请根据2024年度绩效自评结果、部门评价结果、财政评价结果对本部门2025年度预算安排，支出结构调整，资金管理，制度建设等方面结果运用进行简要说明。</w:t>
      </w:r>
    </w:p>
    <w:p w:rsidR="005B2A59" w:rsidRDefault="00000000">
      <w:pPr>
        <w:pStyle w:val="Default"/>
        <w:overflowPunct w:val="0"/>
        <w:autoSpaceDE/>
        <w:autoSpaceDN/>
        <w:spacing w:line="600" w:lineRule="exact"/>
        <w:jc w:val="both"/>
        <w:rPr>
          <w:rFonts w:ascii="仿宋_GB2312" w:eastAsia="仿宋_GB2312" w:hAnsi="仿宋_GB2312" w:cs="仿宋_GB2312" w:hint="eastAsia"/>
          <w:color w:val="auto"/>
          <w:sz w:val="32"/>
          <w:szCs w:val="32"/>
        </w:rPr>
      </w:pPr>
      <w:r>
        <w:rPr>
          <w:rFonts w:ascii="仿宋_GB2312" w:eastAsia="仿宋_GB2312" w:hAnsi="仿宋_GB2312" w:cs="仿宋_GB2312" w:hint="eastAsia"/>
          <w:color w:val="auto"/>
          <w:sz w:val="32"/>
          <w:szCs w:val="32"/>
        </w:rPr>
        <w:t xml:space="preserve">   全年按照绩效总体目标实施，各项绩效指标均已完成。</w:t>
      </w:r>
    </w:p>
    <w:p w:rsidR="005B2A59" w:rsidRDefault="005B2A59">
      <w:pPr>
        <w:pStyle w:val="Default"/>
        <w:overflowPunct w:val="0"/>
        <w:autoSpaceDE/>
        <w:autoSpaceDN/>
        <w:spacing w:line="600" w:lineRule="exact"/>
        <w:jc w:val="both"/>
        <w:rPr>
          <w:rFonts w:ascii="Times New Roman" w:eastAsia="仿宋_GB2312" w:hAnsi="Times New Roman" w:cs="Times New Roman"/>
          <w:color w:val="auto"/>
          <w:sz w:val="32"/>
          <w:szCs w:val="32"/>
        </w:rPr>
      </w:pPr>
    </w:p>
    <w:p w:rsidR="005B2A59" w:rsidRDefault="005B2A59">
      <w:pPr>
        <w:pStyle w:val="Default"/>
        <w:jc w:val="both"/>
        <w:rPr>
          <w:rFonts w:ascii="Times New Roman" w:hAnsi="Times New Roman" w:cs="Times New Roman"/>
          <w:sz w:val="72"/>
          <w:szCs w:val="72"/>
        </w:rPr>
      </w:pPr>
    </w:p>
    <w:p w:rsidR="005B2A59"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5B2A59" w:rsidRDefault="005B2A59">
      <w:pPr>
        <w:widowControl/>
        <w:jc w:val="left"/>
        <w:rPr>
          <w:rFonts w:ascii="Times New Roman" w:hAnsi="Times New Roman" w:cs="Times New Roman"/>
          <w:color w:val="000000"/>
          <w:kern w:val="0"/>
          <w:sz w:val="32"/>
          <w:szCs w:val="32"/>
        </w:rPr>
      </w:pPr>
    </w:p>
    <w:p w:rsidR="005B2A59"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1、财政拨款收入：指财政当年拨付的资金。</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2、事业收入：指事业单位开展专业业务活动及辅助活动取得的收入。</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3、经营收入：指事业单位在专业业务活动及其辅助活动之外开展非独立核算经营活动取得的收入。</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4、其他收入：指除上述“财政拨款收入”、“事业收入”、“经营收入”等以外的收入。</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6、上年结转：指以前年尚未完成、结转到本年按有关规定继续使用的资金。</w:t>
      </w:r>
    </w:p>
    <w:p w:rsidR="005B2A59"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1、基本支出：是为保障其机构正常运转、完成日常工作任务而发生的人员支出和公用支出。</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2、项目支出：是指在基本支出之外完成特定行政任务和事业发展目标所发生的支出。</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lastRenderedPageBreak/>
        <w:t>3、工资福利支出：反映单位开支的在职职工和编制</w:t>
      </w:r>
      <w:proofErr w:type="gramStart"/>
      <w:r>
        <w:rPr>
          <w:rFonts w:ascii="仿宋_GB2312" w:eastAsia="仿宋_GB2312" w:hAnsi="仿宋_GB2312" w:cs="仿宋_GB2312" w:hint="eastAsia"/>
          <w:color w:val="000000"/>
          <w:sz w:val="32"/>
          <w:szCs w:val="32"/>
          <w:shd w:val="clear" w:color="auto" w:fill="FFFFFF"/>
        </w:rPr>
        <w:t>外长期</w:t>
      </w:r>
      <w:proofErr w:type="gramEnd"/>
      <w:r>
        <w:rPr>
          <w:rFonts w:ascii="仿宋_GB2312" w:eastAsia="仿宋_GB2312" w:hAnsi="仿宋_GB2312" w:cs="仿宋_GB2312" w:hint="eastAsia"/>
          <w:color w:val="000000"/>
          <w:sz w:val="32"/>
          <w:szCs w:val="32"/>
          <w:shd w:val="clear" w:color="auto" w:fill="FFFFFF"/>
        </w:rPr>
        <w:t>聘用人员的各类劳动报酬，以及为上述人员缴纳的各项社会保险费等。</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4、商品和服务支出：反映单位购买商品和服务的支出。</w:t>
      </w:r>
    </w:p>
    <w:p w:rsidR="005B2A59" w:rsidRDefault="00000000">
      <w:pPr>
        <w:pStyle w:val="ac"/>
        <w:widowControl/>
        <w:shd w:val="clear" w:color="auto" w:fill="FFFFFF"/>
        <w:spacing w:before="0" w:beforeAutospacing="0" w:after="0" w:afterAutospacing="0" w:line="560" w:lineRule="atLeast"/>
        <w:ind w:firstLine="640"/>
        <w:rPr>
          <w:rFonts w:ascii="仿宋_GB2312" w:eastAsia="仿宋_GB2312" w:hAnsi="仿宋_GB2312" w:cs="仿宋_GB2312" w:hint="eastAsia"/>
          <w:color w:val="666666"/>
          <w:sz w:val="32"/>
          <w:szCs w:val="32"/>
        </w:rPr>
      </w:pPr>
      <w:r>
        <w:rPr>
          <w:rFonts w:ascii="仿宋_GB2312" w:eastAsia="仿宋_GB2312" w:hAnsi="仿宋_GB2312" w:cs="仿宋_GB2312" w:hint="eastAsia"/>
          <w:color w:val="000000"/>
          <w:sz w:val="32"/>
          <w:szCs w:val="32"/>
          <w:shd w:val="clear" w:color="auto" w:fill="FFFFFF"/>
        </w:rPr>
        <w:t>5、对个人和家庭的补助：反映单位用于对个人和家庭的补助支出。</w:t>
      </w:r>
    </w:p>
    <w:p w:rsidR="005B2A59"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000000"/>
          <w:sz w:val="32"/>
          <w:szCs w:val="32"/>
          <w:shd w:val="clear" w:color="auto" w:fill="FFFFFF"/>
        </w:rPr>
      </w:pPr>
      <w:r>
        <w:rPr>
          <w:rFonts w:ascii="仿宋" w:eastAsia="仿宋" w:hAnsi="仿宋" w:cs="仿宋" w:hint="eastAsia"/>
          <w:color w:val="000000"/>
          <w:sz w:val="32"/>
          <w:szCs w:val="32"/>
          <w:shd w:val="clear" w:color="auto" w:fill="FFFFFF"/>
        </w:rPr>
        <w:t>三、机关运行经费：</w:t>
      </w:r>
      <w:r>
        <w:rPr>
          <w:rFonts w:ascii="仿宋_GB2312" w:eastAsia="仿宋_GB2312" w:hAnsi="仿宋_GB2312" w:cs="仿宋_GB2312" w:hint="eastAsia"/>
          <w:color w:val="000000"/>
          <w:sz w:val="32"/>
          <w:szCs w:val="32"/>
          <w:shd w:val="clear" w:color="auto" w:fill="FFFFFF"/>
        </w:rPr>
        <w:t>是指各部门的公用经费，包括办公费、印刷费、邮电费、差旅费、会议费、福利费、日常维修费、专用材料及一般设备购置费、办公用房水电费、办公用房取暖费、办公用房物业管理费、公务用车运行维护费以及其他费用。</w:t>
      </w:r>
    </w:p>
    <w:p w:rsidR="005B2A59" w:rsidRDefault="00000000">
      <w:pPr>
        <w:pStyle w:val="ac"/>
        <w:widowControl/>
        <w:shd w:val="clear" w:color="auto" w:fill="FFFFFF"/>
        <w:spacing w:before="0" w:beforeAutospacing="0" w:after="0" w:afterAutospacing="0" w:line="560" w:lineRule="atLeast"/>
        <w:ind w:firstLine="64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四、“三公”经费科目</w:t>
      </w:r>
    </w:p>
    <w:p w:rsidR="005B2A59"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、因公出国（境）费用：反映单位公务出国（境）的国际旅费、国内城市间交通费、住宿费、伙食费、培训费、公杂费等支出。</w:t>
      </w:r>
    </w:p>
    <w:p w:rsidR="005B2A59"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、公务接待费：反映单位按规定开支的各类公务接待（含外宾接待）费用。</w:t>
      </w:r>
    </w:p>
    <w:p w:rsidR="005B2A59" w:rsidRDefault="00000000">
      <w:pPr>
        <w:pStyle w:val="ac"/>
        <w:widowControl/>
        <w:shd w:val="clear" w:color="auto" w:fill="FFFFFF"/>
        <w:spacing w:before="0" w:beforeAutospacing="0" w:after="0" w:afterAutospacing="0" w:line="560" w:lineRule="atLeast"/>
        <w:ind w:firstLine="640"/>
        <w:jc w:val="both"/>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、公务用车购置及运行维护费：反映单位公务用车车辆购置支出（</w:t>
      </w:r>
      <w:proofErr w:type="gramStart"/>
      <w:r>
        <w:rPr>
          <w:rFonts w:ascii="仿宋_GB2312" w:eastAsia="仿宋_GB2312" w:hAnsi="仿宋_GB2312" w:cs="仿宋_GB2312" w:hint="eastAsia"/>
          <w:color w:val="000000"/>
          <w:sz w:val="32"/>
          <w:szCs w:val="32"/>
          <w:shd w:val="clear" w:color="auto" w:fill="FFFFFF"/>
        </w:rPr>
        <w:t>含车辆</w:t>
      </w:r>
      <w:proofErr w:type="gramEnd"/>
      <w:r>
        <w:rPr>
          <w:rFonts w:ascii="仿宋_GB2312" w:eastAsia="仿宋_GB2312" w:hAnsi="仿宋_GB2312" w:cs="仿宋_GB2312" w:hint="eastAsia"/>
          <w:color w:val="000000"/>
          <w:sz w:val="32"/>
          <w:szCs w:val="32"/>
          <w:shd w:val="clear" w:color="auto" w:fill="FFFFFF"/>
        </w:rPr>
        <w:t>购置税），以及燃料费、维修费、过路过桥费、保险费等支出。</w:t>
      </w:r>
    </w:p>
    <w:p w:rsidR="005B2A59" w:rsidRDefault="005B2A59">
      <w:pPr>
        <w:pStyle w:val="Default"/>
        <w:jc w:val="center"/>
        <w:rPr>
          <w:rFonts w:ascii="Times New Roman" w:hAnsi="Times New Roman" w:cs="Times New Roman"/>
          <w:sz w:val="72"/>
          <w:szCs w:val="72"/>
        </w:rPr>
      </w:pPr>
    </w:p>
    <w:p w:rsidR="005B2A59" w:rsidRDefault="005B2A59">
      <w:pPr>
        <w:pStyle w:val="Default"/>
        <w:spacing w:line="360" w:lineRule="auto"/>
        <w:jc w:val="both"/>
        <w:rPr>
          <w:rFonts w:ascii="Times New Roman" w:eastAsia="方正小标宋_GBK" w:hAnsi="Times New Roman" w:cs="Times New Roman"/>
          <w:sz w:val="52"/>
          <w:szCs w:val="52"/>
        </w:rPr>
      </w:pPr>
    </w:p>
    <w:p w:rsidR="005B2A59" w:rsidRDefault="005B2A59">
      <w:pPr>
        <w:pStyle w:val="Default"/>
        <w:spacing w:line="360" w:lineRule="auto"/>
        <w:jc w:val="center"/>
        <w:rPr>
          <w:rFonts w:ascii="Times New Roman" w:eastAsia="方正小标宋_GBK" w:hAnsi="Times New Roman" w:cs="Times New Roman"/>
          <w:sz w:val="52"/>
          <w:szCs w:val="52"/>
        </w:rPr>
      </w:pPr>
    </w:p>
    <w:p w:rsidR="005B2A59"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5B2A59" w:rsidRDefault="005B2A59">
      <w:pPr>
        <w:jc w:val="center"/>
        <w:rPr>
          <w:rFonts w:ascii="方正小标宋简体" w:eastAsia="方正小标宋简体" w:hAnsi="方正小标宋简体" w:cs="方正小标宋简体" w:hint="eastAsia"/>
          <w:sz w:val="40"/>
          <w:szCs w:val="40"/>
        </w:rPr>
      </w:pPr>
    </w:p>
    <w:p w:rsidR="005B2A59" w:rsidRDefault="00000000">
      <w:pPr>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2024年度部门整体支出绩效自评报告</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一、部门（单位）概况</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我校是独立核算的财政全额拨款事业单位，执行新政府会计制度，市示范性高中，创办于1939年9月，位于祁阳县黎家坪镇东正街13号。</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单位职责主要是实施高中教育，促进教育事业发展。</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内设七个机构，分别为：办公室、教务处、政教处、教科督导室、党建纪检室、总务处、工会团委。2024年在职教职工372人，离退休教职工125人，在校学生4632人，遗</w:t>
      </w:r>
      <w:proofErr w:type="gramStart"/>
      <w:r>
        <w:rPr>
          <w:rFonts w:ascii="仿宋_GB2312" w:eastAsia="仿宋_GB2312" w:hAnsi="仿宋_GB2312" w:cs="仿宋_GB2312" w:hint="eastAsia"/>
          <w:sz w:val="32"/>
          <w:szCs w:val="32"/>
        </w:rPr>
        <w:t>抚人员</w:t>
      </w:r>
      <w:proofErr w:type="gramEnd"/>
      <w:r>
        <w:rPr>
          <w:rFonts w:ascii="仿宋_GB2312" w:eastAsia="仿宋_GB2312" w:hAnsi="仿宋_GB2312" w:cs="仿宋_GB2312" w:hint="eastAsia"/>
          <w:sz w:val="32"/>
          <w:szCs w:val="32"/>
        </w:rPr>
        <w:t>14人。</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（二）部门（单位）整体支出规模、使用方向和主要内容、涉及范围等</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整体支出规模为6605.65万元；使用方向为实施高中教育，促进教育事业发展；主要内容、涉及范围：基本支出6567.22万元，使用内容为人员经费和公用经费；项目支出38.43万元，使用内容为了国内债务利息支出。</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二、部门（单位）整体支出管理及使用情况</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本部门基本支出主要用于维持学校正常运转发生的基本</w:t>
      </w:r>
      <w:r>
        <w:rPr>
          <w:rFonts w:ascii="仿宋_GB2312" w:eastAsia="仿宋_GB2312" w:hAnsi="仿宋_GB2312" w:cs="仿宋_GB2312" w:hint="eastAsia"/>
          <w:sz w:val="32"/>
          <w:szCs w:val="32"/>
        </w:rPr>
        <w:lastRenderedPageBreak/>
        <w:t>支出和完成各项教育教学任务而发生的各项支出。</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本年基本支出6567.22万元，其中：</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1、人员经费支出：5760.42万元，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支出87.71%，其中：工资福利支出5447.69万元，对个人和家庭补助支出312.73万元。</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2、日常公用支出806.8万元，</w:t>
      </w:r>
      <w:proofErr w:type="gramStart"/>
      <w:r>
        <w:rPr>
          <w:rFonts w:ascii="仿宋_GB2312" w:eastAsia="仿宋_GB2312" w:hAnsi="仿宋_GB2312" w:cs="仿宋_GB2312" w:hint="eastAsia"/>
          <w:sz w:val="32"/>
          <w:szCs w:val="32"/>
        </w:rPr>
        <w:t>占基本</w:t>
      </w:r>
      <w:proofErr w:type="gramEnd"/>
      <w:r>
        <w:rPr>
          <w:rFonts w:ascii="仿宋_GB2312" w:eastAsia="仿宋_GB2312" w:hAnsi="仿宋_GB2312" w:cs="仿宋_GB2312" w:hint="eastAsia"/>
          <w:sz w:val="32"/>
          <w:szCs w:val="32"/>
        </w:rPr>
        <w:t>支出12.29%，其中：商品和服务支出777.05万元，用于我校正</w:t>
      </w:r>
      <w:proofErr w:type="gramStart"/>
      <w:r>
        <w:rPr>
          <w:rFonts w:ascii="仿宋_GB2312" w:eastAsia="仿宋_GB2312" w:hAnsi="仿宋_GB2312" w:cs="仿宋_GB2312" w:hint="eastAsia"/>
          <w:sz w:val="32"/>
          <w:szCs w:val="32"/>
        </w:rPr>
        <w:t>常基本</w:t>
      </w:r>
      <w:proofErr w:type="gramEnd"/>
      <w:r>
        <w:rPr>
          <w:rFonts w:ascii="仿宋_GB2312" w:eastAsia="仿宋_GB2312" w:hAnsi="仿宋_GB2312" w:cs="仿宋_GB2312" w:hint="eastAsia"/>
          <w:sz w:val="32"/>
          <w:szCs w:val="32"/>
        </w:rPr>
        <w:t>运行而发生的费用，包括办公费、印刷费、水费、电费、邮电费、物业管理费、差旅费、维修（护）费、培训费、专用材料费、劳务费、工会经费、福利费、公务用车运行维护费、其他交通费用、其他商品和服务支出（用于学生的经费和计提费用）；资本性支出29.75万元，用于办公设备购置、专用设备购置等。</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3、“三公”经费的使用和管理情况</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贯彻落实中央八项规定，学校多次对“三公”</w:t>
      </w:r>
      <w:r w:rsidR="003248AF">
        <w:rPr>
          <w:rFonts w:ascii="仿宋_GB2312" w:eastAsia="仿宋_GB2312" w:hAnsi="仿宋_GB2312" w:cs="仿宋_GB2312" w:hint="eastAsia"/>
          <w:sz w:val="32"/>
          <w:szCs w:val="32"/>
        </w:rPr>
        <w:t>经费</w:t>
      </w:r>
      <w:r>
        <w:rPr>
          <w:rFonts w:ascii="仿宋_GB2312" w:eastAsia="仿宋_GB2312" w:hAnsi="仿宋_GB2312" w:cs="仿宋_GB2312" w:hint="eastAsia"/>
          <w:sz w:val="32"/>
          <w:szCs w:val="32"/>
        </w:rPr>
        <w:t>使用情况进行，严控，自查，完善了“三公”经费各项使用制度，有效控制了“三公”经费开支。</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2024年“三公”经费预算总额为0万元。决算支出总额为0万元。</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w:t>
      </w:r>
    </w:p>
    <w:p w:rsidR="005B2A59"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项目资金安排落实、总投入等情况分析</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2024年祁阳市财政专项资金在我校安排38.43元。其中：用于第四中学国内债务付息7.25万元，资金到位率100%，资金到位及时率100%；引进人才生活补贴6.8万元，资金到位率</w:t>
      </w:r>
      <w:r>
        <w:rPr>
          <w:rFonts w:ascii="仿宋_GB2312" w:eastAsia="仿宋_GB2312" w:hAnsi="仿宋_GB2312" w:cs="仿宋_GB2312" w:hint="eastAsia"/>
          <w:sz w:val="32"/>
          <w:szCs w:val="32"/>
        </w:rPr>
        <w:lastRenderedPageBreak/>
        <w:t>100%，资金到位及时率100%；退休人员考核奖励22.38万元，资金到位率100%，资金到位及时率100%；“陶铸故里好家风”等好老人表彰2万元，资金到位率100%，资金到位及时率100%。</w:t>
      </w:r>
    </w:p>
    <w:p w:rsidR="005B2A59"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项目资金实际使用情况分析</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本年项目支出38.43万元，财政专项资金实际支出38.43万元。其中：用于第四中学国内债务付息7.25万元，资金使用率100%；引进人才生活补贴6.8万元，资金使用率100%；退休人员考核奖励22.38万元，资金使用率100% ；“陶铸故里好家风”等好老人表彰2万元，资金使用率100%。</w:t>
      </w:r>
    </w:p>
    <w:p w:rsidR="005B2A59"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项目资金管理情况分析</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按照省、市、县财政专项资金管理办法，《中华人民共和国招标投标法》，学校专门制订了建设项目管理制度、专项资金管理制度、严格按照审批程序支付专项资金，严格管</w:t>
      </w:r>
      <w:proofErr w:type="gramStart"/>
      <w:r>
        <w:rPr>
          <w:rFonts w:ascii="仿宋_GB2312" w:eastAsia="仿宋_GB2312" w:hAnsi="仿宋_GB2312" w:cs="仿宋_GB2312" w:hint="eastAsia"/>
          <w:sz w:val="32"/>
          <w:szCs w:val="32"/>
        </w:rPr>
        <w:t>控建设</w:t>
      </w:r>
      <w:proofErr w:type="gramEnd"/>
      <w:r>
        <w:rPr>
          <w:rFonts w:ascii="仿宋_GB2312" w:eastAsia="仿宋_GB2312" w:hAnsi="仿宋_GB2312" w:cs="仿宋_GB2312" w:hint="eastAsia"/>
          <w:sz w:val="32"/>
          <w:szCs w:val="32"/>
        </w:rPr>
        <w:t>成本和质量管控，加强支出审核控制，全面审核各类单据。财务人员认真审核财政预算报告书、工程项目合同、公开招标书、政府采购合同、财政结算报告书、验收报告等，再经教育局、财政有关部门审批签章后，方可到</w:t>
      </w:r>
      <w:proofErr w:type="gramStart"/>
      <w:r>
        <w:rPr>
          <w:rFonts w:ascii="仿宋_GB2312" w:eastAsia="仿宋_GB2312" w:hAnsi="仿宋_GB2312" w:cs="仿宋_GB2312" w:hint="eastAsia"/>
          <w:sz w:val="32"/>
          <w:szCs w:val="32"/>
        </w:rPr>
        <w:t>支付局</w:t>
      </w:r>
      <w:proofErr w:type="gramEnd"/>
      <w:r>
        <w:rPr>
          <w:rFonts w:ascii="仿宋_GB2312" w:eastAsia="仿宋_GB2312" w:hAnsi="仿宋_GB2312" w:cs="仿宋_GB2312" w:hint="eastAsia"/>
          <w:sz w:val="32"/>
          <w:szCs w:val="32"/>
        </w:rPr>
        <w:t>办理支付手续。</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各项专项资金，做到了及时到位，专款专用，无截留、卡扣、占用和挪用等情况，财务制度健全，会计核算规范，支付依据合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三、部门（单位）整体支出绩效情况</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5B2A59" w:rsidRDefault="00000000">
      <w:pPr>
        <w:rPr>
          <w:rFonts w:ascii="仿宋_GB2312" w:eastAsia="仿宋_GB2312" w:hAnsi="仿宋_GB2312" w:cs="仿宋_GB2312" w:hint="eastAsia"/>
          <w:kern w:val="0"/>
          <w:sz w:val="32"/>
          <w:szCs w:val="32"/>
        </w:rPr>
      </w:pPr>
      <w:r>
        <w:rPr>
          <w:rFonts w:asciiTheme="minorEastAsia" w:hAnsiTheme="minorEastAsia" w:cs="宋体" w:hint="eastAsia"/>
          <w:kern w:val="0"/>
          <w:sz w:val="32"/>
          <w:szCs w:val="32"/>
        </w:rPr>
        <w:t xml:space="preserve">   </w:t>
      </w:r>
      <w:r>
        <w:rPr>
          <w:rFonts w:ascii="仿宋_GB2312" w:eastAsia="仿宋_GB2312" w:hAnsi="仿宋_GB2312" w:cs="仿宋_GB2312" w:hint="eastAsia"/>
          <w:kern w:val="0"/>
          <w:sz w:val="32"/>
          <w:szCs w:val="32"/>
        </w:rPr>
        <w:t xml:space="preserve"> 1、完成本年度单位人员经费保障任务。教职工372人，</w:t>
      </w:r>
      <w:r>
        <w:rPr>
          <w:rFonts w:ascii="仿宋_GB2312" w:eastAsia="仿宋_GB2312" w:hAnsi="仿宋_GB2312" w:cs="仿宋_GB2312" w:hint="eastAsia"/>
          <w:kern w:val="0"/>
          <w:sz w:val="32"/>
          <w:szCs w:val="32"/>
        </w:rPr>
        <w:lastRenderedPageBreak/>
        <w:t>学生4632人。人员工资按月保障到位，人员经费保障率100%。</w:t>
      </w:r>
    </w:p>
    <w:p w:rsidR="005B2A59" w:rsidRDefault="00000000">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2、积极开展教师培训、课题研究，教育教学质量有新提升。教职工外出参培200人次。</w:t>
      </w:r>
    </w:p>
    <w:p w:rsidR="005B2A59" w:rsidRDefault="00000000">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3、校园文化生活丰富，促进学生德、智、体全面发展。高一、高二、高三各年级组织4次文化竞赛活动，教职工活动4次。</w:t>
      </w:r>
    </w:p>
    <w:p w:rsidR="005B2A59" w:rsidRDefault="00000000">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4、改善了校园环境、师生的学习、工作条件。学校设施设备维护、电教网络维护，实验仪器设备、体育器材添置，电线管道维修，校园保洁绿化等</w:t>
      </w:r>
    </w:p>
    <w:p w:rsidR="005B2A59" w:rsidRDefault="00000000">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5、加强了饮用水卫生、传染病防治。校园常规消毒每周一次。对全校办公室、教室直饮水机消毒、更换滤芯每期一次，一年两次以上；防疫物资充足，全年无事故。</w:t>
      </w:r>
    </w:p>
    <w:p w:rsidR="005B2A59" w:rsidRDefault="00000000">
      <w:pP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6、加强了学生德育工作，规范了学生行为，抓好了学校安全工作。每周一进行升旗仪式及德育安全教育，保安定期巡防，消防设备定期检修。每周进行一次国旗下的演讲，每期进行两次以上的文体艺术活动，全年无安全事故，德育、安全、艺术活动达到目标的95%以上。</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（二）部门整体支出效益情况</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1、由于财务制度健全，会计核算规范，2024年各项资金及时到位后，学校各项日常工作进展顺利，取得较好成效。</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2、预期社会和经济效益</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学校改善了办学条件，设计更合理，功能齐全，学校环境</w:t>
      </w:r>
      <w:r>
        <w:rPr>
          <w:rFonts w:ascii="仿宋_GB2312" w:eastAsia="仿宋_GB2312" w:hAnsi="仿宋_GB2312" w:cs="仿宋_GB2312" w:hint="eastAsia"/>
          <w:sz w:val="32"/>
          <w:szCs w:val="32"/>
        </w:rPr>
        <w:lastRenderedPageBreak/>
        <w:t>焕然一新。有宽敞明亮的教室和现代化的教学设施，为培养更多的品学兼优的中学生奠定了基础。</w:t>
      </w:r>
    </w:p>
    <w:p w:rsidR="005B2A59" w:rsidRDefault="00000000">
      <w:pPr>
        <w:pStyle w:val="ac"/>
        <w:spacing w:before="0" w:beforeAutospacing="0" w:after="0" w:afterAutospacing="0"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（1）经济性评价：2024年我校收入6567.22万元，其中财政预算收入5905.6万元。2024年支出6567.22万元，收支平衡。预算保证了人员的基本支出及业务工作所需的必备开支，从而保证了目标任务的顺利完成。</w:t>
      </w:r>
    </w:p>
    <w:p w:rsidR="005B2A59" w:rsidRDefault="00000000">
      <w:pPr>
        <w:pStyle w:val="ac"/>
        <w:spacing w:before="0" w:beforeAutospacing="0" w:after="0" w:afterAutospacing="0"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（2）社会效益：书香校园建设富有成效，校园内各种建筑，国学经典、诗词歌赋、校史校训与墙体文化紧密结合，学生在休闲娱乐、举手投足之间受到潜移默化的熏陶，校园变得更有书香气息。</w:t>
      </w:r>
    </w:p>
    <w:p w:rsidR="005B2A59" w:rsidRDefault="00000000">
      <w:pPr>
        <w:pStyle w:val="ac"/>
        <w:spacing w:before="0" w:beforeAutospacing="0" w:after="0" w:afterAutospacing="0"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（3）可持续性分析：我校内部管理有特色。通过“六个严抓”，抓领导的巡查，抓教师的出勤，抓课堂的实效，抓教研的开展，抓常规的落实，抓考风的严明，在校园营造风清气正的教学氛围。</w:t>
      </w:r>
    </w:p>
    <w:p w:rsidR="005B2A59" w:rsidRDefault="00000000">
      <w:pPr>
        <w:pStyle w:val="ac"/>
        <w:spacing w:before="0" w:beforeAutospacing="0" w:after="0" w:afterAutospacing="0"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社会公众满意度：在上级教育主管部门的关心和支持下，学校积极改善办学条件，努力提升办学品位。学校进一步硬化、绿化、美化、亮化校园。学校积极推进“智慧校园”建设，打造“智慧课堂”，多媒体数字化覆盖全校，实现校园网、高速互联网、教育网三网合一，实现多媒体网络教学系统、智能语音广播系统等现代教育网络系统的升级改造。学校完成了教师宿舍楼外墙主水管改造，并铺设一条独立的大供水管直接送水到学生宿舍的四楼、五楼，还铺设一条专门供水通道到5栋老教师宿舍楼，彻底解决了学校长期以来饱受诟病的师生用</w:t>
      </w:r>
      <w:r>
        <w:rPr>
          <w:rFonts w:ascii="仿宋_GB2312" w:eastAsia="仿宋_GB2312" w:hAnsi="仿宋_GB2312" w:cs="仿宋_GB2312" w:hint="eastAsia"/>
          <w:sz w:val="32"/>
          <w:szCs w:val="32"/>
        </w:rPr>
        <w:lastRenderedPageBreak/>
        <w:t>水问题。学校更新了全校教师办公桌椅，为师生营造温馨舒适的学习和生活环境。建设了电信信号塔，增强了电信通讯信号。改造学生厕所，增加厕所蹲位，解决学生入厕难的问题。对风雨球场进行硅PU改造，减少学生打篮球倒地擦伤的风险，丰富学生文体活动。特别是2024年高考成绩，更上新台阶，再创新辉煌。600分以上13人（2023届4人，增长率225%），特殊类本科控制线490人（2023年349人，增长率40.4%），本科上线1049人（2023年859人，增长率22.1）。高考优异成绩的取得，得到上级领导的认可和社会各界的好评。师生及家长满意度达95%以上。</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四、绩效评价结论</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经综合考评2024年祁阳市第四中学整体支出绩效自评96分，自评等级：优。</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五、存在的主要问题</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（一）预算编制有待更严格执行，加强科学合理的编制预算，更加合理地编制预算，使预算、决算差异更小。</w:t>
      </w:r>
    </w:p>
    <w:p w:rsidR="005B2A59" w:rsidRDefault="00000000">
      <w:pPr>
        <w:pStyle w:val="ac"/>
        <w:spacing w:before="0" w:beforeAutospacing="0" w:after="0" w:afterAutospacing="0"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（二）固定资产管理有待加强，学校资产分种类多、数量大，部分固定资产已报废未及时进行清理；对于需要报废的资产，处置手续办理不及时，相关管理制度还有待完善。</w:t>
      </w:r>
    </w:p>
    <w:p w:rsidR="005B2A59"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六、改进措施和有关建议</w:t>
      </w:r>
    </w:p>
    <w:p w:rsidR="005B2A59" w:rsidRDefault="00000000">
      <w:pPr>
        <w:pStyle w:val="ac"/>
        <w:shd w:val="clear" w:color="auto" w:fill="FFFFFF"/>
        <w:spacing w:before="0" w:beforeAutospacing="0" w:after="0" w:afterAutospacing="0" w:line="503" w:lineRule="atLeast"/>
        <w:rPr>
          <w:rFonts w:ascii="仿宋_GB2312" w:eastAsia="仿宋_GB2312" w:hAnsi="仿宋_GB2312" w:cs="仿宋_GB2312" w:hint="eastAsia"/>
          <w:sz w:val="32"/>
          <w:szCs w:val="32"/>
        </w:rPr>
      </w:pPr>
      <w:r>
        <w:rPr>
          <w:rFonts w:asciiTheme="minorEastAsia" w:hAnsiTheme="minorEastAsia" w:hint="eastAsia"/>
          <w:sz w:val="32"/>
          <w:szCs w:val="32"/>
        </w:rPr>
        <w:t xml:space="preserve">   </w:t>
      </w:r>
      <w:r>
        <w:rPr>
          <w:rFonts w:ascii="仿宋_GB2312" w:eastAsia="仿宋_GB2312" w:hAnsi="仿宋_GB2312" w:cs="仿宋_GB2312" w:hint="eastAsia"/>
          <w:sz w:val="32"/>
          <w:szCs w:val="32"/>
        </w:rPr>
        <w:t>（一）完善管理制度。进一步加强公共预算支出管理进一步贯彻落实中央八项规定和湖南省委“九条规定”，建立本单位支出管理制度，加强经费审批和控制，规范支出标准和范围</w:t>
      </w:r>
      <w:r>
        <w:rPr>
          <w:rFonts w:ascii="仿宋_GB2312" w:eastAsia="仿宋_GB2312" w:hAnsi="仿宋_GB2312" w:cs="仿宋_GB2312" w:hint="eastAsia"/>
          <w:sz w:val="32"/>
          <w:szCs w:val="32"/>
        </w:rPr>
        <w:lastRenderedPageBreak/>
        <w:t>并严格执行。</w:t>
      </w:r>
    </w:p>
    <w:p w:rsidR="005B2A59" w:rsidRDefault="00000000">
      <w:pPr>
        <w:pStyle w:val="ac"/>
        <w:shd w:val="clear" w:color="auto" w:fill="FFFFFF"/>
        <w:spacing w:before="0" w:beforeAutospacing="0" w:after="0" w:afterAutospacing="0" w:line="503"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（二）科学合理编制预算，严格执行预算。</w:t>
      </w:r>
    </w:p>
    <w:p w:rsidR="005B2A59" w:rsidRDefault="00000000">
      <w:pPr>
        <w:pStyle w:val="ac"/>
        <w:shd w:val="clear" w:color="auto" w:fill="FFFFFF"/>
        <w:spacing w:before="0" w:beforeAutospacing="0" w:after="0" w:afterAutospacing="0" w:line="503"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（三）加强各类财务制度及预算绩效管理工作学习培训。</w:t>
      </w:r>
    </w:p>
    <w:p w:rsidR="005B2A59" w:rsidRDefault="00000000">
      <w:pPr>
        <w:pStyle w:val="ac"/>
        <w:shd w:val="clear" w:color="auto" w:fill="FFFFFF"/>
        <w:spacing w:before="0" w:beforeAutospacing="0" w:after="0" w:afterAutospacing="0" w:line="503"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（四）加强新《预算法》《预算绩效管理工作考核办法》等学习培训，进一步规范部门预算收支核算，切实提高部门预算管理力度和水平，积极开展绩效目标管理和评价工作。</w:t>
      </w:r>
    </w:p>
    <w:p w:rsidR="005B2A59" w:rsidRDefault="00000000">
      <w:pPr>
        <w:pStyle w:val="ac"/>
        <w:shd w:val="clear" w:color="auto" w:fill="FFFFFF"/>
        <w:spacing w:before="0" w:beforeAutospacing="0" w:after="0" w:afterAutospacing="0" w:line="503"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五）加强财务管理，规范账务处理。严格按照预算规定的项目和用途使用财政资金，按照实际支出项目内容进行财务核算。严格按照《会计法》《行政事业单位会计制度》等规定，结合实际情况，根据预算设置支出科目，规范财务核算，完整披露相关信息。</w:t>
      </w:r>
    </w:p>
    <w:p w:rsidR="005B2A59" w:rsidRDefault="00000000">
      <w:pPr>
        <w:pStyle w:val="ac"/>
        <w:shd w:val="clear" w:color="auto" w:fill="FFFFFF"/>
        <w:spacing w:before="0" w:beforeAutospacing="0" w:after="0" w:afterAutospacing="0" w:line="503" w:lineRule="atLeas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（六）预算财务分析常态化。定期做好支出预算财务分析，及时对预算执行情况进行实时监控。对预算执行情况和年度的收支进行准确预测，避免超预算支出，为下年度财政预算决策提供依据。</w:t>
      </w:r>
    </w:p>
    <w:p w:rsidR="005B2A59" w:rsidRDefault="005B2A59">
      <w:pPr>
        <w:pStyle w:val="Default"/>
        <w:spacing w:line="600" w:lineRule="exact"/>
        <w:ind w:firstLineChars="200" w:firstLine="640"/>
        <w:rPr>
          <w:rFonts w:ascii="Times New Roman" w:eastAsia="仿宋_GB2312" w:hAnsi="Times New Roman" w:cs="Times New Roman"/>
          <w:sz w:val="32"/>
          <w:szCs w:val="32"/>
        </w:rPr>
      </w:pPr>
    </w:p>
    <w:p w:rsidR="005B2A59" w:rsidRDefault="005B2A59">
      <w:pPr>
        <w:pStyle w:val="Default"/>
        <w:jc w:val="center"/>
        <w:rPr>
          <w:rFonts w:ascii="Times New Roman" w:hAnsi="Times New Roman" w:cs="Times New Roman"/>
          <w:sz w:val="72"/>
          <w:szCs w:val="72"/>
        </w:rPr>
      </w:pPr>
    </w:p>
    <w:p w:rsidR="005B2A59" w:rsidRDefault="005B2A59">
      <w:pPr>
        <w:pStyle w:val="Default"/>
        <w:jc w:val="center"/>
        <w:rPr>
          <w:rFonts w:ascii="Times New Roman" w:hAnsi="Times New Roman" w:cs="Times New Roman"/>
          <w:sz w:val="72"/>
          <w:szCs w:val="72"/>
        </w:rPr>
      </w:pPr>
    </w:p>
    <w:p w:rsidR="005B2A59" w:rsidRDefault="005B2A59">
      <w:pPr>
        <w:jc w:val="left"/>
        <w:rPr>
          <w:rFonts w:ascii="Times New Roman" w:hAnsi="Times New Roman" w:cs="Times New Roman"/>
          <w:color w:val="000000"/>
          <w:kern w:val="0"/>
          <w:sz w:val="32"/>
          <w:szCs w:val="32"/>
        </w:rPr>
      </w:pPr>
    </w:p>
    <w:sectPr w:rsidR="005B2A59">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B1F" w:rsidRDefault="009D7B1F">
      <w:r>
        <w:separator/>
      </w:r>
    </w:p>
  </w:endnote>
  <w:endnote w:type="continuationSeparator" w:id="0">
    <w:p w:rsidR="009D7B1F" w:rsidRDefault="009D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59" w:rsidRDefault="005B2A5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59" w:rsidRDefault="005B2A5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A59"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2A59"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5B2A59"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B1F" w:rsidRDefault="009D7B1F">
      <w:r>
        <w:separator/>
      </w:r>
    </w:p>
  </w:footnote>
  <w:footnote w:type="continuationSeparator" w:id="0">
    <w:p w:rsidR="009D7B1F" w:rsidRDefault="009D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46F1F0"/>
    <w:multiLevelType w:val="singleLevel"/>
    <w:tmpl w:val="8246F1F0"/>
    <w:lvl w:ilvl="0">
      <w:start w:val="8"/>
      <w:numFmt w:val="decimal"/>
      <w:suff w:val="nothing"/>
      <w:lvlText w:val="%1、"/>
      <w:lvlJc w:val="left"/>
      <w:pPr>
        <w:ind w:left="410"/>
      </w:pPr>
    </w:lvl>
  </w:abstractNum>
  <w:abstractNum w:abstractNumId="1" w15:restartNumberingAfterBreak="0">
    <w:nsid w:val="8F2B76BC"/>
    <w:multiLevelType w:val="singleLevel"/>
    <w:tmpl w:val="8F2B76BC"/>
    <w:lvl w:ilvl="0">
      <w:start w:val="2"/>
      <w:numFmt w:val="chineseCounting"/>
      <w:suff w:val="nothing"/>
      <w:lvlText w:val="（%1）"/>
      <w:lvlJc w:val="left"/>
      <w:rPr>
        <w:rFonts w:hint="eastAsia"/>
      </w:rPr>
    </w:lvl>
  </w:abstractNum>
  <w:num w:numId="1" w16cid:durableId="1553226603">
    <w:abstractNumId w:val="1"/>
  </w:num>
  <w:num w:numId="2" w16cid:durableId="169365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248AF"/>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2A59"/>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D7B1F"/>
    <w:rsid w:val="009E6817"/>
    <w:rsid w:val="009E6E9A"/>
    <w:rsid w:val="00A01D2B"/>
    <w:rsid w:val="00A1330F"/>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145195"/>
    <w:rsid w:val="062F259D"/>
    <w:rsid w:val="0CD56426"/>
    <w:rsid w:val="15D42B4C"/>
    <w:rsid w:val="17143815"/>
    <w:rsid w:val="17A76437"/>
    <w:rsid w:val="1D97DEFF"/>
    <w:rsid w:val="1DFF72E5"/>
    <w:rsid w:val="1EFC6F07"/>
    <w:rsid w:val="2A3F0751"/>
    <w:rsid w:val="2B0879A1"/>
    <w:rsid w:val="2FDF85B8"/>
    <w:rsid w:val="2FFFEE04"/>
    <w:rsid w:val="309E6B0E"/>
    <w:rsid w:val="30AC7588"/>
    <w:rsid w:val="318452F0"/>
    <w:rsid w:val="34DF85B0"/>
    <w:rsid w:val="396C39A5"/>
    <w:rsid w:val="3B8F36BC"/>
    <w:rsid w:val="3D0F527E"/>
    <w:rsid w:val="3F1C374E"/>
    <w:rsid w:val="46F748BC"/>
    <w:rsid w:val="491FF225"/>
    <w:rsid w:val="4E2A241D"/>
    <w:rsid w:val="4E855C93"/>
    <w:rsid w:val="4FFD214C"/>
    <w:rsid w:val="5777D4F5"/>
    <w:rsid w:val="59DD8326"/>
    <w:rsid w:val="5DEF592A"/>
    <w:rsid w:val="5FC6BB1E"/>
    <w:rsid w:val="5FF720F1"/>
    <w:rsid w:val="67FF5C0B"/>
    <w:rsid w:val="6EFC0924"/>
    <w:rsid w:val="6FB74722"/>
    <w:rsid w:val="6FEF8B7E"/>
    <w:rsid w:val="71A6591B"/>
    <w:rsid w:val="737D59BA"/>
    <w:rsid w:val="73E947BF"/>
    <w:rsid w:val="740924A3"/>
    <w:rsid w:val="765863F0"/>
    <w:rsid w:val="77C37683"/>
    <w:rsid w:val="78633547"/>
    <w:rsid w:val="79D19834"/>
    <w:rsid w:val="79FF515B"/>
    <w:rsid w:val="7E9E1962"/>
    <w:rsid w:val="7E9F11B4"/>
    <w:rsid w:val="7F37EC1E"/>
    <w:rsid w:val="7F7DCD9D"/>
    <w:rsid w:val="7F970A6F"/>
    <w:rsid w:val="7FC1FFF3"/>
    <w:rsid w:val="7FC69637"/>
    <w:rsid w:val="7FDF8620"/>
    <w:rsid w:val="7FE8C8F7"/>
    <w:rsid w:val="7FF32CE5"/>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37E8"/>
  <w15:docId w15:val="{D24D4B41-294F-4D5D-9907-61D8A773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40</Pages>
  <Words>2879</Words>
  <Characters>16413</Characters>
  <Application>Microsoft Office Word</Application>
  <DocSecurity>0</DocSecurity>
  <Lines>136</Lines>
  <Paragraphs>38</Paragraphs>
  <ScaleCrop>false</ScaleCrop>
  <Company>Microsoft</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2025-09-23T01:56:00Z</cp:lastPrinted>
  <dcterms:created xsi:type="dcterms:W3CDTF">2025-08-18T10:17:00Z</dcterms:created>
  <dcterms:modified xsi:type="dcterms:W3CDTF">2025-09-23T02:38:00Z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47676F52750E4123908412371732A4BF_13</vt:lpwstr>
  </property>
  <property fmtid="{D5CDD505-2E9C-101B-9397-08002B2CF9AE}" pid="4" name="KSOTemplateDocerSaveRecord">
    <vt:lpwstr>eyJoZGlkIjoiMjIwMGJlZjA4NzNjOTYxMTY3YTIzZGIyNmUwYmEyNzUiLCJ1c2VySWQiOiI1OTE4NzkzODcifQ==</vt:lpwstr>
  </property>
</Properties>
</file>