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hint="eastAsia" w:ascii="宋体" w:hAnsi="宋体" w:eastAsia="宋体" w:cs="宋体"/>
          <w:sz w:val="72"/>
          <w:szCs w:val="72"/>
        </w:rPr>
      </w:pPr>
      <w:r>
        <w:rPr>
          <w:rFonts w:hint="eastAsia" w:ascii="宋体" w:hAnsi="宋体" w:eastAsia="宋体" w:cs="宋体"/>
          <w:sz w:val="84"/>
          <w:szCs w:val="84"/>
        </w:rPr>
        <w:t>2024年度</w:t>
      </w:r>
    </w:p>
    <w:p>
      <w:pPr>
        <w:pStyle w:val="15"/>
        <w:jc w:val="center"/>
        <w:rPr>
          <w:rFonts w:hint="eastAsia" w:ascii="宋体" w:hAnsi="宋体" w:eastAsia="宋体" w:cs="宋体"/>
          <w:sz w:val="84"/>
          <w:szCs w:val="84"/>
        </w:rPr>
      </w:pPr>
      <w:r>
        <w:rPr>
          <w:rFonts w:hint="eastAsia" w:ascii="宋体" w:hAnsi="宋体" w:eastAsia="宋体" w:cs="宋体"/>
          <w:sz w:val="84"/>
          <w:szCs w:val="84"/>
          <w:lang w:eastAsia="zh-CN"/>
        </w:rPr>
        <w:t>中国共产党祁阳市委员会政法委员会</w:t>
      </w:r>
      <w:r>
        <w:rPr>
          <w:rFonts w:hint="eastAsia" w:ascii="宋体" w:hAnsi="宋体" w:eastAsia="宋体" w:cs="宋体"/>
          <w:sz w:val="84"/>
          <w:szCs w:val="84"/>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0" w:gutter="0"/>
          <w:pgBorders>
            <w:top w:val="none" w:sz="0" w:space="0"/>
            <w:left w:val="none" w:sz="0" w:space="0"/>
            <w:bottom w:val="none" w:sz="0" w:space="0"/>
            <w:right w:val="none" w:sz="0" w:space="0"/>
          </w:pgBorders>
          <w:cols w:space="425" w:num="1"/>
          <w:docGrid w:type="lines" w:linePitch="312" w:charSpace="0"/>
        </w:sect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hAnsi="黑体"/>
          <w:bCs/>
          <w:sz w:val="28"/>
          <w:szCs w:val="28"/>
          <w:lang w:eastAsia="zh-CN"/>
        </w:rPr>
        <w:t>中国共产党祁阳市委员会政法委员会</w:t>
      </w:r>
      <w:r>
        <w:rPr>
          <w:rFonts w:ascii="Times New Roman" w:hAnsi="Times New Roman" w:cs="Times New Roman"/>
          <w:bCs/>
          <w:sz w:val="32"/>
          <w:szCs w:val="32"/>
        </w:rPr>
        <w:t>部门概况</w:t>
      </w:r>
    </w:p>
    <w:p>
      <w:pPr>
        <w:pStyle w:val="15"/>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第二部分 </w:t>
      </w:r>
      <w:r>
        <w:rPr>
          <w:rFonts w:hint="eastAsia" w:ascii="Times New Roman" w:hAnsi="Times New Roman" w:cs="Times New Roman"/>
          <w:bCs/>
          <w:sz w:val="32"/>
          <w:szCs w:val="32"/>
          <w:lang w:val="en-US" w:eastAsia="zh-CN"/>
        </w:rPr>
        <w:t>2024年度</w:t>
      </w:r>
      <w:r>
        <w:rPr>
          <w:rFonts w:ascii="Times New Roman" w:hAnsi="Times New Roman" w:cs="Times New Roman"/>
          <w:bCs/>
          <w:sz w:val="32"/>
          <w:szCs w:val="32"/>
        </w:rPr>
        <w:t>部门决算表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第三部分 </w:t>
      </w:r>
      <w:r>
        <w:rPr>
          <w:rFonts w:hint="eastAsia" w:ascii="Times New Roman" w:hAnsi="Times New Roman" w:cs="Times New Roman"/>
          <w:bCs/>
          <w:sz w:val="32"/>
          <w:szCs w:val="32"/>
          <w:lang w:val="en-US" w:eastAsia="zh-CN"/>
        </w:rPr>
        <w:t>2024年度</w:t>
      </w:r>
      <w:r>
        <w:rPr>
          <w:rFonts w:ascii="Times New Roman" w:hAnsi="Times New Roman" w:cs="Times New Roman"/>
          <w:bCs/>
          <w:sz w:val="32"/>
          <w:szCs w:val="32"/>
        </w:rPr>
        <w:t>部门决算情况说明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pPr>
        <w:pStyle w:val="15"/>
        <w:spacing w:line="500" w:lineRule="exact"/>
        <w:rPr>
          <w:rFonts w:hint="eastAsia" w:ascii="仿宋_GB2312" w:hAnsi="仿宋_GB2312" w:eastAsia="仿宋_GB2312" w:cs="仿宋_GB2312"/>
          <w:sz w:val="28"/>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七、财政拨款“三公”经费支出决算情况说明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八、政府性基金预算收入支出决算情况</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九、关于机关运行经费支出说明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十、一般性支出情况说明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十一、关于政府采购支出说明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5"/>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ascii="Times New Roman" w:hAnsi="Times New Roman" w:eastAsia="方正小标宋_GBK" w:cs="Times New Roman"/>
          <w:sz w:val="72"/>
          <w:szCs w:val="72"/>
        </w:rPr>
      </w:pPr>
    </w:p>
    <w:p>
      <w:pPr>
        <w:pStyle w:val="9"/>
        <w:rPr>
          <w:rFonts w:ascii="Times New Roman" w:hAnsi="Times New Roman" w:eastAsia="方正小标宋_GBK" w:cs="Times New Roman"/>
          <w:sz w:val="72"/>
          <w:szCs w:val="72"/>
        </w:rPr>
      </w:pPr>
    </w:p>
    <w:p>
      <w:pPr>
        <w:pStyle w:val="5"/>
        <w:rPr>
          <w:rFonts w:ascii="Times New Roman" w:hAnsi="Times New Roman" w:eastAsia="方正小标宋_GBK" w:cs="Times New Roman"/>
          <w:sz w:val="72"/>
          <w:szCs w:val="72"/>
        </w:rPr>
      </w:pPr>
    </w:p>
    <w:p/>
    <w:p>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第一部分</w:t>
      </w:r>
    </w:p>
    <w:p>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中国共产党祁阳市委员会政法委员会单位概况</w:t>
      </w:r>
    </w:p>
    <w:p>
      <w:pPr>
        <w:pStyle w:val="5"/>
        <w:ind w:left="0" w:leftChars="0" w:firstLine="0" w:firstLineChars="0"/>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5"/>
        <w:rPr>
          <w:rFonts w:ascii="Times New Roman" w:hAnsi="Times New Roman" w:cs="Times New Roman"/>
        </w:rPr>
      </w:pPr>
    </w:p>
    <w:p>
      <w:pPr>
        <w:rPr>
          <w:rFonts w:ascii="Times New Roman" w:hAnsi="Times New Roman" w:cs="Times New Roman"/>
        </w:rPr>
      </w:pPr>
    </w:p>
    <w:p>
      <w:pPr>
        <w:pStyle w:val="9"/>
        <w:rPr>
          <w:rFonts w:ascii="Times New Roman" w:hAnsi="Times New Roman" w:cs="Times New Roman"/>
        </w:rPr>
      </w:pPr>
    </w:p>
    <w:p>
      <w:pPr>
        <w:pStyle w:val="5"/>
        <w:ind w:left="0" w:leftChars="0" w:firstLine="0" w:firstLineChars="0"/>
      </w:pPr>
    </w:p>
    <w:p>
      <w:pPr>
        <w:pStyle w:val="16"/>
        <w:numPr>
          <w:ilvl w:val="0"/>
          <w:numId w:val="0"/>
        </w:numPr>
        <w:spacing w:line="600" w:lineRule="exact"/>
        <w:jc w:val="lef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一、</w:t>
      </w:r>
      <w:r>
        <w:rPr>
          <w:rFonts w:ascii="Times New Roman" w:hAnsi="Times New Roman" w:eastAsia="黑体" w:cs="Times New Roman"/>
          <w:sz w:val="32"/>
          <w:szCs w:val="32"/>
        </w:rPr>
        <w:t>部门职责</w:t>
      </w:r>
    </w:p>
    <w:p>
      <w:pPr>
        <w:pStyle w:val="16"/>
        <w:numPr>
          <w:ilvl w:val="0"/>
          <w:numId w:val="0"/>
        </w:numPr>
        <w:spacing w:line="600" w:lineRule="exact"/>
        <w:ind w:firstLine="640" w:firstLineChars="200"/>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val="en-US" w:eastAsia="zh-CN"/>
        </w:rPr>
        <w:t>根据党的路线、方针、政策和永州市委政法委、市委的部署，统一政法各部门的思想和行动，对一定时期内全市的政法工作作出全局性部署，并督促贯彻落实。</w:t>
      </w:r>
    </w:p>
    <w:p>
      <w:pPr>
        <w:widowControl/>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（二）组织、协调、指导维护社会稳定的工作，必须时直接参与影响稳定的重大群体性事件的处置。</w:t>
      </w:r>
    </w:p>
    <w:p>
      <w:pPr>
        <w:widowControl/>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（三）检查政法部门执行法律法规和党的方针、政策的情况，结合实际研究制定严肃执法，落实党的方针、政策的具体措施。</w:t>
      </w:r>
    </w:p>
    <w:p>
      <w:pPr>
        <w:widowControl/>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（四）大力支持和严格监督政法各部门依法行使职权，指导和协调政法各部门在依法相互制约的同时密切配合，督促和推动大案、要案的查处工作，研究、协调有争议的重大、疑难案件。</w:t>
      </w:r>
    </w:p>
    <w:p>
      <w:pPr>
        <w:widowControl/>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（五）组织、协调社会管理综合治理工作，推动社会管理综合治理各项措施的落实。</w:t>
      </w:r>
    </w:p>
    <w:p>
      <w:pPr>
        <w:widowControl/>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（六）组织推动政法战线的调查研究工作，总结新经验、解决新问题，改革和加强政法工作。</w:t>
      </w:r>
    </w:p>
    <w:p>
      <w:pPr>
        <w:widowControl/>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（七）协助党委及其他组织部门管理好政法部门的领导班子和干部队伍。组织查处政法系统干部、干警中有重大影响的违法违纪案件。</w:t>
      </w:r>
    </w:p>
    <w:p>
      <w:pPr>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（八）承办祁阳市委、市人民政府和上级政法委员会交办的其他事项。</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ascii="Times New Roman" w:hAnsi="Times New Roman" w:eastAsia="仿宋_GB2312" w:cs="Times New Roman"/>
          <w:bCs/>
          <w:kern w:val="0"/>
          <w:sz w:val="32"/>
          <w:szCs w:val="32"/>
        </w:rPr>
        <w:t>（一）内设机构设置。</w:t>
      </w:r>
      <w:r>
        <w:rPr>
          <w:rFonts w:hint="default" w:ascii="Times New Roman" w:hAnsi="Times New Roman" w:eastAsia="仿宋_GB2312" w:cs="Times New Roman"/>
          <w:bCs/>
          <w:kern w:val="0"/>
          <w:sz w:val="32"/>
          <w:szCs w:val="32"/>
        </w:rPr>
        <w:t>中国共产党祁阳市委员会政法委员会</w:t>
      </w:r>
      <w:r>
        <w:rPr>
          <w:rFonts w:hint="eastAsia" w:ascii="仿宋_GB2312" w:hAnsi="仿宋_GB2312" w:eastAsia="仿宋_GB2312" w:cs="仿宋_GB2312"/>
          <w:b w:val="0"/>
          <w:bCs w:val="0"/>
          <w:color w:val="auto"/>
          <w:sz w:val="32"/>
          <w:szCs w:val="32"/>
          <w:lang w:val="zh-CN" w:eastAsia="zh-CN"/>
        </w:rPr>
        <w:t>共设</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zh-CN" w:eastAsia="zh-CN"/>
        </w:rPr>
        <w:t>个内设机构和</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zh-CN" w:eastAsia="zh-CN"/>
        </w:rPr>
        <w:t>个下设机构，分别为办公室、政研宣传室、政工室、维稳反邪室、综治督导室、执法监督室、常态化扫黑除恶</w:t>
      </w:r>
      <w:r>
        <w:rPr>
          <w:rFonts w:hint="eastAsia" w:ascii="仿宋_GB2312" w:hAnsi="仿宋_GB2312" w:eastAsia="仿宋_GB2312" w:cs="仿宋_GB2312"/>
          <w:b w:val="0"/>
          <w:bCs w:val="0"/>
          <w:color w:val="auto"/>
          <w:sz w:val="32"/>
          <w:szCs w:val="32"/>
          <w:highlight w:val="none"/>
          <w:lang w:val="zh-CN" w:eastAsia="zh-CN"/>
        </w:rPr>
        <w:t>督导室，下设机构为祁阳市综治中心（网格事务中心）和祁阳市法学会办公室。</w:t>
      </w:r>
      <w:r>
        <w:rPr>
          <w:rFonts w:hint="eastAsia" w:ascii="仿宋_GB2312" w:hAnsi="仿宋_GB2312" w:eastAsia="仿宋_GB2312" w:cs="仿宋_GB2312"/>
          <w:b w:val="0"/>
          <w:bCs w:val="0"/>
          <w:color w:val="auto"/>
          <w:sz w:val="32"/>
          <w:szCs w:val="32"/>
          <w:highlight w:val="none"/>
          <w:lang w:eastAsia="zh-CN"/>
        </w:rPr>
        <w:t>行政编制</w:t>
      </w: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lang w:eastAsia="zh-CN"/>
        </w:rPr>
        <w:t>个，事业编制</w:t>
      </w: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lang w:eastAsia="zh-CN"/>
        </w:rPr>
        <w:t>个</w:t>
      </w:r>
      <w:r>
        <w:rPr>
          <w:rFonts w:hint="eastAsia" w:ascii="仿宋_GB2312" w:hAnsi="仿宋_GB2312" w:eastAsia="仿宋_GB2312" w:cs="仿宋_GB2312"/>
          <w:b w:val="0"/>
          <w:bCs w:val="0"/>
          <w:color w:val="auto"/>
          <w:sz w:val="32"/>
          <w:szCs w:val="32"/>
          <w:highlight w:val="none"/>
          <w:lang w:val="en-US" w:eastAsia="zh-CN"/>
        </w:rPr>
        <w:t>(含工勤岗1个）。至2024年12月底，在职人数24人</w:t>
      </w:r>
      <w:r>
        <w:rPr>
          <w:rFonts w:hint="eastAsia" w:ascii="仿宋" w:hAnsi="仿宋" w:eastAsia="仿宋" w:cs="仿宋"/>
          <w:color w:val="000000"/>
          <w:kern w:val="0"/>
          <w:sz w:val="30"/>
          <w:szCs w:val="30"/>
          <w:highlight w:val="none"/>
          <w:lang w:val="en-US" w:eastAsia="zh-CN"/>
        </w:rPr>
        <w:t>（原27人，退休1人，调出2人）</w:t>
      </w:r>
      <w:r>
        <w:rPr>
          <w:rFonts w:hint="eastAsia" w:ascii="仿宋_GB2312" w:hAnsi="仿宋_GB2312" w:eastAsia="仿宋_GB2312" w:cs="仿宋_GB2312"/>
          <w:b w:val="0"/>
          <w:bCs w:val="0"/>
          <w:color w:val="auto"/>
          <w:sz w:val="32"/>
          <w:szCs w:val="32"/>
          <w:highlight w:val="none"/>
          <w:lang w:val="en-US" w:eastAsia="zh-CN"/>
        </w:rPr>
        <w:t>，离退休人员15人（</w:t>
      </w:r>
      <w:r>
        <w:rPr>
          <w:rFonts w:hint="eastAsia" w:ascii="仿宋" w:hAnsi="仿宋" w:eastAsia="仿宋" w:cs="仿宋"/>
          <w:color w:val="000000"/>
          <w:kern w:val="0"/>
          <w:sz w:val="30"/>
          <w:szCs w:val="30"/>
          <w:highlight w:val="none"/>
          <w:lang w:val="en-US" w:eastAsia="zh-CN"/>
        </w:rPr>
        <w:t>原15人，退休1人，死亡1人）</w:t>
      </w:r>
      <w:r>
        <w:rPr>
          <w:rFonts w:hint="eastAsia" w:ascii="仿宋_GB2312" w:hAnsi="仿宋_GB2312" w:eastAsia="仿宋_GB2312" w:cs="仿宋_GB2312"/>
          <w:b w:val="0"/>
          <w:bCs w:val="0"/>
          <w:color w:val="auto"/>
          <w:sz w:val="32"/>
          <w:szCs w:val="32"/>
          <w:highlight w:val="none"/>
          <w:lang w:val="en-US" w:eastAsia="zh-CN"/>
        </w:rPr>
        <w:t>。</w:t>
      </w:r>
    </w:p>
    <w:p>
      <w:pPr>
        <w:ind w:firstLine="640" w:firstLineChars="200"/>
        <w:jc w:val="left"/>
        <w:rPr>
          <w:rFonts w:hint="default" w:ascii="Times New Roman" w:hAnsi="Times New Roman" w:eastAsia="仿宋_GB2312" w:cs="Times New Roman"/>
          <w:bCs/>
          <w:kern w:val="0"/>
          <w:sz w:val="32"/>
          <w:szCs w:val="32"/>
        </w:rPr>
      </w:pPr>
      <w:r>
        <w:rPr>
          <w:rFonts w:hint="eastAsia" w:ascii="Times New Roman" w:hAnsi="Times New Roman" w:eastAsia="仿宋_GB2312" w:cs="仿宋_GB2312"/>
          <w:bCs/>
          <w:kern w:val="0"/>
          <w:sz w:val="32"/>
          <w:szCs w:val="32"/>
        </w:rPr>
        <w:t>（二）决算单位构成。</w:t>
      </w:r>
      <w:r>
        <w:rPr>
          <w:rFonts w:hint="default" w:ascii="Times New Roman" w:hAnsi="Times New Roman" w:eastAsia="仿宋_GB2312" w:cs="Times New Roman"/>
          <w:bCs/>
          <w:kern w:val="0"/>
          <w:sz w:val="32"/>
          <w:szCs w:val="32"/>
        </w:rPr>
        <w:t>中国共产党祁阳市委员会政法委员会</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年部门决算汇总公开单位构成</w:t>
      </w:r>
      <w:r>
        <w:rPr>
          <w:rFonts w:hint="eastAsia" w:ascii="Times New Roman" w:hAnsi="Times New Roman" w:eastAsia="仿宋_GB2312" w:cs="仿宋_GB2312"/>
          <w:sz w:val="32"/>
          <w:szCs w:val="32"/>
          <w:lang w:eastAsia="zh-CN"/>
        </w:rPr>
        <w:t>只</w:t>
      </w:r>
      <w:r>
        <w:rPr>
          <w:rFonts w:hint="eastAsia" w:ascii="Times New Roman" w:hAnsi="Times New Roman" w:eastAsia="仿宋_GB2312" w:cs="仿宋_GB2312"/>
          <w:sz w:val="32"/>
          <w:szCs w:val="32"/>
        </w:rPr>
        <w:t>包括中国共产党祁阳市委员会政法委员会本级</w:t>
      </w:r>
      <w:r>
        <w:rPr>
          <w:rFonts w:hint="default" w:ascii="Times New Roman" w:hAnsi="Times New Roman" w:eastAsia="仿宋_GB2312" w:cs="Times New Roman"/>
          <w:bCs/>
          <w:kern w:val="0"/>
          <w:sz w:val="32"/>
          <w:szCs w:val="32"/>
        </w:rPr>
        <w:t>。</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5"/>
        <w:jc w:val="both"/>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ascii="方正小标宋_GBK" w:hAnsi="方正小标宋_GBK" w:eastAsia="方正小标宋_GBK" w:cs="方正小标宋_GBK"/>
          <w:sz w:val="72"/>
          <w:szCs w:val="72"/>
        </w:rPr>
      </w:pPr>
    </w:p>
    <w:p>
      <w:pPr>
        <w:jc w:val="center"/>
        <w:rPr>
          <w:rFonts w:asciiTheme="minorEastAsia" w:hAnsiTheme="minorEastAsia"/>
          <w:sz w:val="72"/>
          <w:szCs w:val="72"/>
        </w:rPr>
      </w:pPr>
      <w:r>
        <w:rPr>
          <w:rFonts w:hint="eastAsia" w:ascii="方正小标宋_GBK" w:hAnsi="方正小标宋_GBK" w:eastAsia="方正小标宋_GBK" w:cs="方正小标宋_GBK"/>
          <w:sz w:val="84"/>
          <w:szCs w:val="84"/>
          <w:lang w:val="en-US" w:eastAsia="zh-CN"/>
        </w:rPr>
        <w:t>2024年度</w:t>
      </w:r>
      <w:r>
        <w:rPr>
          <w:rFonts w:hint="eastAsia" w:ascii="方正小标宋_GBK" w:hAnsi="方正小标宋_GBK" w:eastAsia="方正小标宋_GBK" w:cs="方正小标宋_GBK"/>
          <w:sz w:val="84"/>
          <w:szCs w:val="84"/>
        </w:rPr>
        <w:t>部门决算表</w:t>
      </w: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p>
    <w:p>
      <w:pPr>
        <w:widowControl/>
        <w:spacing w:after="156" w:afterLines="50"/>
        <w:jc w:val="both"/>
        <w:textAlignment w:val="center"/>
        <w:rPr>
          <w:rFonts w:ascii="Times New Roman" w:hAnsi="Times New Roman" w:eastAsia="黑体" w:cs="Times New Roman"/>
          <w:color w:val="000000"/>
          <w:kern w:val="0"/>
          <w:sz w:val="36"/>
          <w:szCs w:val="36"/>
          <w:lang w:bidi="ar"/>
        </w:rPr>
      </w:pPr>
    </w:p>
    <w:tbl>
      <w:tblPr>
        <w:tblStyle w:val="11"/>
        <w:tblW w:w="4911" w:type="pct"/>
        <w:tblInd w:w="118" w:type="dxa"/>
        <w:tblLayout w:type="autofit"/>
        <w:tblCellMar>
          <w:top w:w="0" w:type="dxa"/>
          <w:left w:w="108" w:type="dxa"/>
          <w:bottom w:w="0" w:type="dxa"/>
          <w:right w:w="108" w:type="dxa"/>
        </w:tblCellMar>
      </w:tblPr>
      <w:tblGrid>
        <w:gridCol w:w="4454"/>
        <w:gridCol w:w="676"/>
        <w:gridCol w:w="2477"/>
        <w:gridCol w:w="4114"/>
        <w:gridCol w:w="826"/>
        <w:gridCol w:w="2789"/>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widowControl/>
              <w:ind w:left="-418" w:leftChars="-199" w:firstLine="218" w:firstLineChars="68"/>
              <w:jc w:val="center"/>
              <w:rPr>
                <w:rFonts w:cs="宋体" w:asciiTheme="minorEastAsia" w:hAnsiTheme="minorEastAsia"/>
                <w:color w:val="000000"/>
                <w:kern w:val="0"/>
                <w:sz w:val="32"/>
                <w:szCs w:val="32"/>
              </w:rPr>
            </w:pPr>
            <w:r>
              <w:rPr>
                <w:rFonts w:hint="eastAsia" w:ascii="华文中宋" w:hAnsi="华文中宋" w:eastAsia="华文中宋" w:cs="华文中宋"/>
                <w:b/>
                <w:bCs/>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147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8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公开01表</w:t>
            </w:r>
          </w:p>
        </w:tc>
      </w:tr>
      <w:tr>
        <w:tblPrEx>
          <w:tblCellMar>
            <w:top w:w="0" w:type="dxa"/>
            <w:left w:w="108" w:type="dxa"/>
            <w:bottom w:w="0" w:type="dxa"/>
            <w:right w:w="108" w:type="dxa"/>
          </w:tblCellMar>
        </w:tblPrEx>
        <w:trPr>
          <w:trHeight w:val="300" w:hRule="atLeast"/>
        </w:trPr>
        <w:tc>
          <w:tcPr>
            <w:tcW w:w="1472" w:type="pct"/>
            <w:tcBorders>
              <w:top w:val="nil"/>
              <w:left w:val="nil"/>
              <w:bottom w:val="nil"/>
              <w:right w:val="nil"/>
            </w:tcBorders>
            <w:shd w:val="clear" w:color="000000" w:fill="FFFFFF"/>
            <w:noWrap/>
            <w:vAlign w:val="center"/>
          </w:tcPr>
          <w:p>
            <w:pPr>
              <w:widowControl/>
              <w:jc w:val="left"/>
              <w:rPr>
                <w:rFonts w:hint="eastAsia" w:ascii="Times New Roman" w:hAnsi="Times New Roman" w:cs="Times New Roman" w:eastAsiaTheme="minorEastAsia"/>
                <w:color w:val="000000"/>
                <w:kern w:val="0"/>
                <w:sz w:val="21"/>
                <w:szCs w:val="21"/>
                <w:lang w:eastAsia="zh-CN"/>
              </w:rPr>
            </w:pPr>
            <w:r>
              <w:rPr>
                <w:rFonts w:hint="default" w:ascii="Times New Roman" w:hAnsi="Times New Roman" w:cs="Times New Roman" w:eastAsiaTheme="minorEastAsia"/>
                <w:color w:val="000000"/>
                <w:kern w:val="0"/>
                <w:sz w:val="21"/>
                <w:szCs w:val="21"/>
              </w:rPr>
              <w:t xml:space="preserve">部门： </w:t>
            </w:r>
            <w:r>
              <w:rPr>
                <w:rFonts w:hint="eastAsia" w:ascii="Times New Roman" w:hAnsi="Times New Roman" w:cs="Times New Roman"/>
                <w:color w:val="000000"/>
                <w:kern w:val="0"/>
                <w:sz w:val="21"/>
                <w:szCs w:val="21"/>
                <w:lang w:eastAsia="zh-CN"/>
              </w:rPr>
              <w:t>中国共产党祁阳市委员会政法委员会</w:t>
            </w:r>
          </w:p>
        </w:tc>
        <w:tc>
          <w:tcPr>
            <w:tcW w:w="240"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8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tblPrEx>
          <w:tblCellMar>
            <w:top w:w="0" w:type="dxa"/>
            <w:left w:w="108" w:type="dxa"/>
            <w:bottom w:w="0" w:type="dxa"/>
            <w:right w:w="108" w:type="dxa"/>
          </w:tblCellMar>
        </w:tblPrEx>
        <w:trPr>
          <w:trHeight w:val="340"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支出</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项    目</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行次</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决算数</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27"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    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8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869.63</w:t>
            </w: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32</w:t>
            </w:r>
          </w:p>
        </w:tc>
        <w:tc>
          <w:tcPr>
            <w:tcW w:w="809"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760.16</w:t>
            </w: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二、外交支出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33</w:t>
            </w:r>
          </w:p>
        </w:tc>
        <w:tc>
          <w:tcPr>
            <w:tcW w:w="809"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三、国防支出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34</w:t>
            </w:r>
          </w:p>
        </w:tc>
        <w:tc>
          <w:tcPr>
            <w:tcW w:w="809"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4</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35</w:t>
            </w:r>
          </w:p>
        </w:tc>
        <w:tc>
          <w:tcPr>
            <w:tcW w:w="809"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8.50</w:t>
            </w: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9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五、事业收入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5</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五、教育支出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36</w:t>
            </w:r>
          </w:p>
        </w:tc>
        <w:tc>
          <w:tcPr>
            <w:tcW w:w="809"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六、经营收入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6</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37</w:t>
            </w:r>
          </w:p>
        </w:tc>
        <w:tc>
          <w:tcPr>
            <w:tcW w:w="809"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7</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38</w:t>
            </w:r>
          </w:p>
        </w:tc>
        <w:tc>
          <w:tcPr>
            <w:tcW w:w="809"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八、其他收入</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8</w:t>
            </w:r>
          </w:p>
        </w:tc>
        <w:tc>
          <w:tcPr>
            <w:tcW w:w="827"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39</w:t>
            </w:r>
          </w:p>
        </w:tc>
        <w:tc>
          <w:tcPr>
            <w:tcW w:w="8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rPr>
            </w:pPr>
            <w:r>
              <w:rPr>
                <w:rFonts w:hint="eastAsia" w:ascii="Times New Roman" w:hAnsi="Times New Roman" w:cs="Times New Roman"/>
                <w:kern w:val="0"/>
                <w:sz w:val="21"/>
                <w:szCs w:val="21"/>
                <w:lang w:val="en-US" w:eastAsia="zh-CN"/>
              </w:rPr>
              <w:t xml:space="preserve">                  59.90</w:t>
            </w: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9</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40</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lang w:val="en-US" w:eastAsia="zh-CN"/>
              </w:rPr>
            </w:pPr>
            <w:r>
              <w:rPr>
                <w:rFonts w:hint="default" w:ascii="Times New Roman" w:hAnsi="Times New Roman" w:cs="Times New Roman" w:eastAsiaTheme="minorEastAsia"/>
                <w:b/>
                <w:bCs/>
                <w:kern w:val="0"/>
                <w:sz w:val="21"/>
                <w:szCs w:val="21"/>
              </w:rPr>
              <w:t>　</w:t>
            </w:r>
            <w:r>
              <w:rPr>
                <w:rFonts w:hint="eastAsia" w:ascii="Times New Roman" w:hAnsi="Times New Roman" w:cs="Times New Roman"/>
                <w:b/>
                <w:bCs/>
                <w:kern w:val="0"/>
                <w:sz w:val="21"/>
                <w:szCs w:val="21"/>
                <w:lang w:val="en-US" w:eastAsia="zh-CN"/>
              </w:rPr>
              <w:t xml:space="preserve">           </w:t>
            </w:r>
            <w:r>
              <w:rPr>
                <w:rFonts w:hint="eastAsia" w:ascii="Times New Roman" w:hAnsi="Times New Roman" w:cs="Times New Roman"/>
                <w:kern w:val="0"/>
                <w:sz w:val="21"/>
                <w:szCs w:val="21"/>
                <w:lang w:val="en-US" w:eastAsia="zh-CN"/>
              </w:rPr>
              <w:t xml:space="preserve">      14.67</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10</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41</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11</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42</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12</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43</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13</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44</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14</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45</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9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15</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46</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16</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47</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17</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48</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49</w:t>
            </w:r>
          </w:p>
        </w:tc>
        <w:tc>
          <w:tcPr>
            <w:tcW w:w="8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50</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ind w:firstLine="2100" w:firstLineChars="1000"/>
              <w:jc w:val="left"/>
              <w:rPr>
                <w:rFonts w:hint="default" w:ascii="Times New Roman" w:hAnsi="Times New Roman" w:cs="Times New Roman" w:eastAsiaTheme="minorEastAsia"/>
                <w:b/>
                <w:bCs/>
                <w:kern w:val="0"/>
                <w:sz w:val="21"/>
                <w:szCs w:val="21"/>
                <w:lang w:val="en-US" w:eastAsia="zh-CN"/>
              </w:rPr>
            </w:pPr>
            <w:r>
              <w:rPr>
                <w:rFonts w:hint="eastAsia" w:ascii="Times New Roman" w:hAnsi="Times New Roman" w:cs="Times New Roman"/>
                <w:b w:val="0"/>
                <w:bCs w:val="0"/>
                <w:kern w:val="0"/>
                <w:sz w:val="21"/>
                <w:szCs w:val="21"/>
                <w:lang w:val="en-US" w:eastAsia="zh-CN"/>
              </w:rPr>
              <w:t>26.40</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20</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51</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21</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52</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22</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53</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54</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24</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二十四、债务还本支出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55</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25</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二十五、债务付息支出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56</w:t>
            </w:r>
          </w:p>
        </w:tc>
        <w:tc>
          <w:tcPr>
            <w:tcW w:w="809"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25"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26</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rPr>
              <w:t>二十六、抗疫特别国债安排的支出</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57</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本年收入合计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27</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b/>
                <w:bCs/>
                <w:kern w:val="0"/>
                <w:sz w:val="21"/>
                <w:szCs w:val="21"/>
                <w:lang w:val="en-US" w:eastAsia="zh-CN"/>
              </w:rPr>
              <w:t>869.63</w:t>
            </w: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本年支出合计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58</w:t>
            </w:r>
          </w:p>
        </w:tc>
        <w:tc>
          <w:tcPr>
            <w:tcW w:w="809" w:type="pct"/>
            <w:tcBorders>
              <w:top w:val="nil"/>
              <w:left w:val="nil"/>
              <w:bottom w:val="single" w:color="auto" w:sz="4" w:space="0"/>
              <w:right w:val="single" w:color="auto" w:sz="4" w:space="0"/>
            </w:tcBorders>
            <w:shd w:val="clear" w:color="auto" w:fill="auto"/>
            <w:noWrap/>
            <w:vAlign w:val="center"/>
          </w:tcPr>
          <w:p>
            <w:pPr>
              <w:widowControl/>
              <w:ind w:firstLine="1687" w:firstLineChars="800"/>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b/>
                <w:bCs/>
                <w:kern w:val="0"/>
                <w:sz w:val="21"/>
                <w:szCs w:val="21"/>
              </w:rPr>
              <w:t>　</w:t>
            </w:r>
            <w:r>
              <w:rPr>
                <w:rFonts w:hint="eastAsia" w:ascii="Times New Roman" w:hAnsi="Times New Roman" w:cs="Times New Roman"/>
                <w:b/>
                <w:bCs/>
                <w:kern w:val="0"/>
                <w:sz w:val="21"/>
                <w:szCs w:val="21"/>
                <w:lang w:val="en-US" w:eastAsia="zh-CN"/>
              </w:rPr>
              <w:t>869.63</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28</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结余分配</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59</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60</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　</w:t>
            </w: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61</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rPr>
            </w:pPr>
          </w:p>
        </w:tc>
      </w:tr>
      <w:tr>
        <w:tblPrEx>
          <w:tblCellMar>
            <w:top w:w="0" w:type="dxa"/>
            <w:left w:w="108" w:type="dxa"/>
            <w:bottom w:w="0" w:type="dxa"/>
            <w:right w:w="108" w:type="dxa"/>
          </w:tblCellMar>
        </w:tblPrEx>
        <w:trPr>
          <w:trHeight w:val="34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40"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eastAsiaTheme="minorEastAsia"/>
                <w:kern w:val="0"/>
                <w:sz w:val="21"/>
                <w:szCs w:val="21"/>
              </w:rPr>
            </w:pPr>
            <w:r>
              <w:rPr>
                <w:rFonts w:hint="eastAsia" w:ascii="Times New Roman" w:hAnsi="Times New Roman" w:cs="Times New Roman"/>
                <w:b/>
                <w:bCs/>
                <w:kern w:val="0"/>
                <w:sz w:val="21"/>
                <w:szCs w:val="21"/>
                <w:lang w:val="en-US" w:eastAsia="zh-CN"/>
              </w:rPr>
              <w:t>869.63</w:t>
            </w:r>
            <w:r>
              <w:rPr>
                <w:rFonts w:hint="default" w:ascii="Times New Roman" w:hAnsi="Times New Roman" w:cs="Times New Roman" w:eastAsiaTheme="minorEastAsia"/>
                <w:kern w:val="0"/>
                <w:sz w:val="21"/>
                <w:szCs w:val="21"/>
              </w:rPr>
              <w:t>　</w:t>
            </w:r>
          </w:p>
        </w:tc>
        <w:tc>
          <w:tcPr>
            <w:tcW w:w="136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b/>
                <w:bCs/>
                <w:kern w:val="0"/>
                <w:sz w:val="21"/>
                <w:szCs w:val="21"/>
              </w:rPr>
            </w:pPr>
            <w:r>
              <w:rPr>
                <w:rFonts w:hint="default" w:ascii="Times New Roman" w:hAnsi="Times New Roman" w:cs="Times New Roman" w:eastAsiaTheme="minorEastAsia"/>
                <w:b/>
                <w:bCs/>
                <w:kern w:val="0"/>
                <w:sz w:val="21"/>
                <w:szCs w:val="21"/>
              </w:rPr>
              <w:t>总计</w:t>
            </w:r>
          </w:p>
        </w:tc>
        <w:tc>
          <w:tcPr>
            <w:tcW w:w="28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eastAsiaTheme="minorEastAsia"/>
                <w:kern w:val="0"/>
                <w:sz w:val="21"/>
                <w:szCs w:val="21"/>
                <w:lang w:val="en-US" w:eastAsia="zh-CN"/>
              </w:rPr>
              <w:t>62</w:t>
            </w:r>
          </w:p>
        </w:tc>
        <w:tc>
          <w:tcPr>
            <w:tcW w:w="809"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b/>
                <w:bCs/>
                <w:kern w:val="0"/>
                <w:sz w:val="21"/>
                <w:szCs w:val="21"/>
                <w:lang w:val="en-US" w:eastAsia="zh-CN"/>
              </w:rPr>
            </w:pPr>
            <w:r>
              <w:rPr>
                <w:rFonts w:hint="default" w:ascii="Times New Roman" w:hAnsi="Times New Roman" w:cs="Times New Roman" w:eastAsiaTheme="minorEastAsia"/>
                <w:b/>
                <w:bCs/>
                <w:kern w:val="0"/>
                <w:sz w:val="21"/>
                <w:szCs w:val="21"/>
              </w:rPr>
              <w:t>　</w:t>
            </w:r>
            <w:r>
              <w:rPr>
                <w:rFonts w:hint="eastAsia" w:ascii="Times New Roman" w:hAnsi="Times New Roman" w:cs="Times New Roman"/>
                <w:b/>
                <w:bCs/>
                <w:kern w:val="0"/>
                <w:sz w:val="21"/>
                <w:szCs w:val="21"/>
                <w:lang w:val="en-US" w:eastAsia="zh-CN"/>
              </w:rPr>
              <w:t xml:space="preserve">                869.63</w:t>
            </w:r>
          </w:p>
        </w:tc>
      </w:tr>
      <w:tr>
        <w:tblPrEx>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kern w:val="0"/>
                <w:sz w:val="21"/>
                <w:szCs w:val="21"/>
              </w:rPr>
            </w:pPr>
            <w:r>
              <w:rPr>
                <w:rFonts w:hint="eastAsia" w:ascii="仿宋" w:hAnsi="仿宋" w:eastAsia="仿宋" w:cs="仿宋"/>
                <w:kern w:val="0"/>
                <w:sz w:val="24"/>
                <w:szCs w:val="24"/>
              </w:rPr>
              <w:t>注：1.本表反映部门本年度的总收支和年末结转结余情况。</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2.本套报表金额单位转换时可能存在尾数误差。</w:t>
            </w:r>
          </w:p>
        </w:tc>
      </w:tr>
    </w:tbl>
    <w:p>
      <w:pPr>
        <w:widowControl/>
        <w:spacing w:line="400" w:lineRule="exact"/>
        <w:jc w:val="center"/>
        <w:textAlignment w:val="center"/>
        <w:rPr>
          <w:rFonts w:ascii="Times New Roman" w:hAnsi="Times New Roman" w:eastAsia="黑体" w:cs="Times New Roman"/>
          <w:color w:val="000000"/>
          <w:kern w:val="0"/>
          <w:sz w:val="32"/>
          <w:szCs w:val="32"/>
          <w:lang w:bidi="ar"/>
        </w:rPr>
      </w:pPr>
      <w:r>
        <w:rPr>
          <w:rFonts w:hint="eastAsia" w:asciiTheme="minorEastAsia" w:hAnsiTheme="minorEastAsia"/>
          <w:color w:val="000000"/>
          <w:sz w:val="32"/>
          <w:szCs w:val="32"/>
        </w:rPr>
        <w:br w:type="page"/>
      </w:r>
    </w:p>
    <w:tbl>
      <w:tblPr>
        <w:tblStyle w:val="11"/>
        <w:tblW w:w="5000"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rPr>
            </w:pPr>
            <w:r>
              <w:rPr>
                <w:rFonts w:hint="eastAsia" w:ascii="华文中宋" w:hAnsi="华文中宋" w:eastAsia="华文中宋"/>
                <w:b/>
                <w:bCs/>
                <w:color w:val="000000"/>
                <w:sz w:val="32"/>
                <w:szCs w:val="32"/>
              </w:rPr>
              <w:t>收入决算表</w:t>
            </w:r>
          </w:p>
        </w:tc>
      </w:tr>
      <w:tr>
        <w:tblPrEx>
          <w:tblCellMar>
            <w:top w:w="0" w:type="dxa"/>
            <w:left w:w="0" w:type="dxa"/>
            <w:bottom w:w="0" w:type="dxa"/>
            <w:right w:w="0" w:type="dxa"/>
          </w:tblCellMar>
        </w:tblPrEx>
        <w:trPr>
          <w:trHeight w:val="90"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公开02表</w:t>
            </w:r>
          </w:p>
        </w:tc>
      </w:tr>
      <w:tr>
        <w:tblPrEx>
          <w:tblCellMar>
            <w:top w:w="0" w:type="dxa"/>
            <w:left w:w="0" w:type="dxa"/>
            <w:bottom w:w="0" w:type="dxa"/>
            <w:right w:w="0" w:type="dxa"/>
          </w:tblCellMar>
        </w:tblPrEx>
        <w:trPr>
          <w:trHeight w:val="285"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部门：</w:t>
            </w:r>
            <w:r>
              <w:rPr>
                <w:rFonts w:hint="default" w:ascii="Times New Roman" w:hAnsi="Times New Roman" w:cs="Times New Roman" w:eastAsiaTheme="minorEastAsia"/>
                <w:sz w:val="21"/>
                <w:szCs w:val="21"/>
              </w:rPr>
              <w:t>　</w:t>
            </w:r>
            <w:r>
              <w:rPr>
                <w:rFonts w:hint="eastAsia" w:ascii="Times New Roman" w:hAnsi="Times New Roman" w:cs="Times New Roman"/>
                <w:color w:val="000000"/>
                <w:kern w:val="0"/>
                <w:sz w:val="21"/>
                <w:szCs w:val="21"/>
                <w:lang w:eastAsia="zh-CN"/>
              </w:rPr>
              <w:t>中国共产党祁阳市委员会政法委员会</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hint="default" w:ascii="Times New Roman" w:hAnsi="Times New Roman" w:cs="Times New Roman" w:eastAsiaTheme="minorEastAsia"/>
                <w:color w:val="000000"/>
                <w:sz w:val="21"/>
                <w:szCs w:val="21"/>
              </w:rPr>
            </w:pPr>
            <w:r>
              <w:rPr>
                <w:rFonts w:hint="default" w:ascii="Times New Roman" w:hAnsi="Times New Roman" w:cs="Times New Roman" w:eastAsiaTheme="minorEastAsia"/>
                <w:color w:val="000000"/>
                <w:sz w:val="21"/>
                <w:szCs w:val="21"/>
              </w:rPr>
              <w:t>单位：万元</w:t>
            </w:r>
          </w:p>
        </w:tc>
      </w:tr>
      <w:tr>
        <w:tblPrEx>
          <w:tblCellMar>
            <w:top w:w="0" w:type="dxa"/>
            <w:left w:w="0" w:type="dxa"/>
            <w:bottom w:w="0" w:type="dxa"/>
            <w:right w:w="0" w:type="dxa"/>
          </w:tblCellMar>
        </w:tblPrEx>
        <w:trPr>
          <w:trHeight w:val="2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功能分类</w:t>
            </w:r>
          </w:p>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r>
      <w:tr>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1450" w:type="pct"/>
            <w:vMerge w:val="continue"/>
            <w:tcBorders>
              <w:top w:val="nil"/>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7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869.63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869.63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760.16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760.16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1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20103</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4.22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4.22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2010301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4.22</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4.22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31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20131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755.94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755.94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30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2013101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407.91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407.91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33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2013102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348.03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348.03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31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8.50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rPr>
            </w:pPr>
            <w:r>
              <w:rPr>
                <w:rFonts w:hint="eastAsia" w:ascii="Times New Roman" w:hAnsi="Times New Roman" w:eastAsia="宋体" w:cs="Times New Roman"/>
                <w:i w:val="0"/>
                <w:iCs w:val="0"/>
                <w:color w:val="000000"/>
                <w:kern w:val="0"/>
                <w:sz w:val="21"/>
                <w:szCs w:val="21"/>
                <w:u w:val="none"/>
                <w:lang w:val="en-US" w:eastAsia="zh-CN" w:bidi="ar"/>
              </w:rPr>
              <w:t>8.5</w:t>
            </w:r>
            <w:r>
              <w:rPr>
                <w:rFonts w:hint="default" w:ascii="Times New Roman" w:hAnsi="Times New Roman" w:eastAsia="宋体" w:cs="Times New Roman"/>
                <w:i w:val="0"/>
                <w:iCs w:val="0"/>
                <w:color w:val="000000"/>
                <w:kern w:val="0"/>
                <w:sz w:val="21"/>
                <w:szCs w:val="21"/>
                <w:u w:val="none"/>
                <w:lang w:val="en-US" w:eastAsia="zh-CN" w:bidi="ar"/>
              </w:rPr>
              <w:t>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8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20499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8.50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8.50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30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2049902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国家司法救助支出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2.00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2.00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28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2049999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6.50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6.50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8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59.90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59.90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282"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36.17</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36.17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28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36.17</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36.17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8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20808</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抚恤</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20.73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20.73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30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2080801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死亡抚恤</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20.73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20.73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33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20899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2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2089999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4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2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cs="Times New Roman" w:eastAsiaTheme="minorEastAsia"/>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cs="Times New Roman" w:eastAsiaTheme="minorEastAsia"/>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　</w:t>
            </w:r>
          </w:p>
        </w:tc>
      </w:tr>
      <w:tr>
        <w:tblPrEx>
          <w:tblCellMar>
            <w:top w:w="0" w:type="dxa"/>
            <w:left w:w="0" w:type="dxa"/>
            <w:bottom w:w="0" w:type="dxa"/>
            <w:right w:w="0" w:type="dxa"/>
          </w:tblCellMar>
        </w:tblPrEx>
        <w:trPr>
          <w:trHeight w:val="22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2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26.40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26.40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2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26.40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26.40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22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26.40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26.40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imes New Roman" w:hAnsi="Times New Roman" w:cs="Times New Roman" w:eastAsiaTheme="minorEastAsia"/>
                <w:sz w:val="21"/>
                <w:szCs w:val="21"/>
              </w:rPr>
            </w:pPr>
          </w:p>
        </w:tc>
      </w:tr>
      <w:tr>
        <w:tblPrEx>
          <w:tblCellMar>
            <w:top w:w="0" w:type="dxa"/>
            <w:left w:w="0" w:type="dxa"/>
            <w:bottom w:w="0" w:type="dxa"/>
            <w:right w:w="0" w:type="dxa"/>
          </w:tblCellMar>
        </w:tblPrEx>
        <w:trPr>
          <w:trHeight w:val="92"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rPr>
                <w:rFonts w:hint="default" w:ascii="Times New Roman" w:hAnsi="Times New Roman" w:cs="Times New Roman" w:eastAsiaTheme="minorEastAsia"/>
                <w:sz w:val="21"/>
                <w:szCs w:val="21"/>
              </w:rPr>
            </w:pPr>
            <w:r>
              <w:rPr>
                <w:rFonts w:hint="eastAsia" w:ascii="仿宋" w:hAnsi="仿宋" w:eastAsia="仿宋" w:cs="仿宋"/>
                <w:sz w:val="24"/>
                <w:szCs w:val="24"/>
              </w:rPr>
              <w:t>注：本表反映部门本年度取得的各项收入情况。</w:t>
            </w:r>
          </w:p>
        </w:tc>
      </w:tr>
    </w:tbl>
    <w:p>
      <w:pPr>
        <w:widowControl/>
        <w:jc w:val="center"/>
        <w:textAlignment w:val="center"/>
        <w:rPr>
          <w:rFonts w:ascii="Times New Roman" w:hAnsi="Times New Roman" w:eastAsia="黑体" w:cs="Times New Roman"/>
          <w:color w:val="000000"/>
          <w:kern w:val="0"/>
          <w:sz w:val="32"/>
          <w:szCs w:val="32"/>
          <w:lang w:bidi="ar"/>
        </w:rPr>
      </w:pPr>
      <w:r>
        <w:rPr>
          <w:rFonts w:hint="eastAsia" w:cs="宋体" w:asciiTheme="minorEastAsia" w:hAnsiTheme="minorEastAsia"/>
          <w:color w:val="000000"/>
          <w:kern w:val="0"/>
          <w:sz w:val="32"/>
          <w:szCs w:val="32"/>
        </w:rPr>
        <w:br w:type="page"/>
      </w:r>
    </w:p>
    <w:tbl>
      <w:tblPr>
        <w:tblStyle w:val="11"/>
        <w:tblW w:w="4937" w:type="pct"/>
        <w:tblInd w:w="93" w:type="dxa"/>
        <w:tblLayout w:type="fixed"/>
        <w:tblCellMar>
          <w:top w:w="0" w:type="dxa"/>
          <w:left w:w="108" w:type="dxa"/>
          <w:bottom w:w="0" w:type="dxa"/>
          <w:right w:w="108" w:type="dxa"/>
        </w:tblCellMar>
      </w:tblPr>
      <w:tblGrid>
        <w:gridCol w:w="1271"/>
        <w:gridCol w:w="4477"/>
        <w:gridCol w:w="1694"/>
        <w:gridCol w:w="1663"/>
        <w:gridCol w:w="1558"/>
        <w:gridCol w:w="1579"/>
        <w:gridCol w:w="1580"/>
        <w:gridCol w:w="1596"/>
      </w:tblGrid>
      <w:tr>
        <w:tblPrEx>
          <w:tblCellMar>
            <w:top w:w="0" w:type="dxa"/>
            <w:left w:w="108" w:type="dxa"/>
            <w:bottom w:w="0" w:type="dxa"/>
            <w:right w:w="108" w:type="dxa"/>
          </w:tblCellMar>
        </w:tblPrEx>
        <w:trPr>
          <w:trHeight w:val="264" w:hRule="atLeast"/>
        </w:trPr>
        <w:tc>
          <w:tcPr>
            <w:tcW w:w="5000" w:type="pct"/>
            <w:gridSpan w:val="8"/>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bookmarkStart w:id="0" w:name="RANGE!A1:I22"/>
            <w:bookmarkEnd w:id="0"/>
            <w:bookmarkStart w:id="1" w:name="RANGE!A1:F16"/>
            <w:r>
              <w:rPr>
                <w:rFonts w:hint="eastAsia" w:ascii="华文中宋" w:hAnsi="华文中宋" w:eastAsia="华文中宋" w:cs="宋体"/>
                <w:b/>
                <w:bCs/>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49"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39"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05"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2"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2"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7"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widowControl/>
              <w:jc w:val="left"/>
              <w:rPr>
                <w:rFonts w:cs="宋体" w:asciiTheme="minorEastAsia" w:hAnsiTheme="minorEastAsia"/>
                <w:kern w:val="0"/>
                <w:sz w:val="24"/>
                <w:szCs w:val="24"/>
              </w:rPr>
            </w:pPr>
            <w:r>
              <w:rPr>
                <w:rFonts w:hint="eastAsia" w:cs="宋体" w:asciiTheme="minorEastAsia" w:hAnsiTheme="minorEastAsia"/>
                <w:color w:val="000000"/>
                <w:kern w:val="0"/>
                <w:sz w:val="20"/>
                <w:szCs w:val="20"/>
              </w:rPr>
              <w:t>部门：</w:t>
            </w:r>
            <w:r>
              <w:rPr>
                <w:rFonts w:hint="eastAsia" w:ascii="Times New Roman" w:hAnsi="Times New Roman" w:cs="Times New Roman"/>
                <w:color w:val="000000"/>
                <w:kern w:val="0"/>
                <w:sz w:val="21"/>
                <w:szCs w:val="21"/>
                <w:lang w:eastAsia="zh-CN"/>
              </w:rPr>
              <w:t>中国共产党祁阳市委员会政法委员会</w:t>
            </w:r>
            <w:r>
              <w:rPr>
                <w:rFonts w:hint="eastAsia" w:cs="宋体" w:asciiTheme="minorEastAsia" w:hAnsiTheme="minorEastAsia"/>
                <w:kern w:val="0"/>
                <w:sz w:val="24"/>
                <w:szCs w:val="24"/>
              </w:rPr>
              <w:t>　　</w:t>
            </w:r>
          </w:p>
        </w:tc>
        <w:tc>
          <w:tcPr>
            <w:tcW w:w="549"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39"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05" w:type="pct"/>
            <w:tcBorders>
              <w:top w:val="nil"/>
              <w:left w:val="nil"/>
              <w:bottom w:val="nil"/>
              <w:right w:val="nil"/>
            </w:tcBorders>
            <w:shd w:val="clear" w:color="000000" w:fill="FFFFFF"/>
            <w:noWrap/>
            <w:vAlign w:val="center"/>
          </w:tcPr>
          <w:p>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512"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2" w:type="pct"/>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517"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对附属单位补助支出</w:t>
            </w:r>
          </w:p>
        </w:tc>
      </w:tr>
      <w:tr>
        <w:tblPrEx>
          <w:tblCellMar>
            <w:top w:w="0" w:type="dxa"/>
            <w:left w:w="108" w:type="dxa"/>
            <w:bottom w:w="0" w:type="dxa"/>
            <w:right w:w="108" w:type="dxa"/>
          </w:tblCellMar>
        </w:tblPrEx>
        <w:trPr>
          <w:trHeight w:val="450" w:hRule="atLeast"/>
        </w:trPr>
        <w:tc>
          <w:tcPr>
            <w:tcW w:w="4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功能分类科目编码</w:t>
            </w:r>
          </w:p>
        </w:tc>
        <w:tc>
          <w:tcPr>
            <w:tcW w:w="145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r>
      <w:tr>
        <w:tblPrEx>
          <w:tblCellMar>
            <w:top w:w="0" w:type="dxa"/>
            <w:left w:w="108" w:type="dxa"/>
            <w:bottom w:w="0" w:type="dxa"/>
            <w:right w:w="108" w:type="dxa"/>
          </w:tblCellMar>
        </w:tblPrEx>
        <w:trPr>
          <w:trHeight w:val="552" w:hRule="atLeast"/>
        </w:trPr>
        <w:tc>
          <w:tcPr>
            <w:tcW w:w="4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1451"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1"/>
                <w:szCs w:val="21"/>
              </w:rPr>
            </w:pPr>
          </w:p>
        </w:tc>
      </w:tr>
      <w:tr>
        <w:tblPrEx>
          <w:tblCellMar>
            <w:top w:w="0" w:type="dxa"/>
            <w:left w:w="108" w:type="dxa"/>
            <w:bottom w:w="0" w:type="dxa"/>
            <w:right w:w="108" w:type="dxa"/>
          </w:tblCellMar>
        </w:tblPrEx>
        <w:trPr>
          <w:trHeight w:val="195"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栏次</w:t>
            </w:r>
          </w:p>
        </w:tc>
        <w:tc>
          <w:tcPr>
            <w:tcW w:w="549"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1</w:t>
            </w:r>
          </w:p>
        </w:tc>
        <w:tc>
          <w:tcPr>
            <w:tcW w:w="539"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2</w:t>
            </w:r>
          </w:p>
        </w:tc>
        <w:tc>
          <w:tcPr>
            <w:tcW w:w="505"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3</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4</w:t>
            </w:r>
          </w:p>
        </w:tc>
        <w:tc>
          <w:tcPr>
            <w:tcW w:w="512"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5</w:t>
            </w:r>
          </w:p>
        </w:tc>
        <w:tc>
          <w:tcPr>
            <w:tcW w:w="517" w:type="pct"/>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6</w:t>
            </w:r>
          </w:p>
        </w:tc>
      </w:tr>
      <w:tr>
        <w:tblPrEx>
          <w:tblCellMar>
            <w:top w:w="0" w:type="dxa"/>
            <w:left w:w="108" w:type="dxa"/>
            <w:bottom w:w="0" w:type="dxa"/>
            <w:right w:w="108" w:type="dxa"/>
          </w:tblCellMar>
        </w:tblPrEx>
        <w:trPr>
          <w:trHeight w:val="387"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合计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kern w:val="0"/>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869.63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b/>
                <w:bCs/>
                <w:i w:val="0"/>
                <w:iCs w:val="0"/>
                <w:color w:val="000000"/>
                <w:kern w:val="0"/>
                <w:sz w:val="21"/>
                <w:szCs w:val="21"/>
                <w:u w:val="none"/>
                <w:lang w:val="en-US" w:eastAsia="zh-CN" w:bidi="ar"/>
              </w:rPr>
              <w:t>513.10</w:t>
            </w: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Times New Roman" w:hAnsi="Times New Roman" w:eastAsia="宋体" w:cs="Times New Roman"/>
                <w:b/>
                <w:bCs/>
                <w:i w:val="0"/>
                <w:iCs w:val="0"/>
                <w:color w:val="000000"/>
                <w:kern w:val="0"/>
                <w:sz w:val="21"/>
                <w:szCs w:val="21"/>
                <w:u w:val="none"/>
                <w:lang w:val="en-US" w:eastAsia="zh-CN" w:bidi="ar"/>
              </w:rPr>
              <w:t>356.53</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tblPrEx>
          <w:tblCellMar>
            <w:top w:w="0" w:type="dxa"/>
            <w:left w:w="108" w:type="dxa"/>
            <w:bottom w:w="0" w:type="dxa"/>
            <w:right w:w="108" w:type="dxa"/>
          </w:tblCellMar>
        </w:tblPrEx>
        <w:trPr>
          <w:trHeight w:val="28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760.16</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412.13</w:t>
            </w: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348.03</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tblPrEx>
          <w:tblCellMar>
            <w:top w:w="0" w:type="dxa"/>
            <w:left w:w="108" w:type="dxa"/>
            <w:bottom w:w="0" w:type="dxa"/>
            <w:right w:w="108"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20103</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4.22</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4.22</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1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2010301</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4.22</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4.22</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4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20131</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755.94</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407.91</w:t>
            </w: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348.03</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7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2013101</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407.91</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407.91</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2013102</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348.03</w:t>
            </w:r>
          </w:p>
        </w:tc>
        <w:tc>
          <w:tcPr>
            <w:tcW w:w="166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348.03</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7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8.50</w:t>
            </w:r>
          </w:p>
        </w:tc>
        <w:tc>
          <w:tcPr>
            <w:tcW w:w="166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8.50</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tblPrEx>
          <w:tblCellMar>
            <w:top w:w="0" w:type="dxa"/>
            <w:left w:w="108" w:type="dxa"/>
            <w:bottom w:w="0" w:type="dxa"/>
            <w:right w:w="108" w:type="dxa"/>
          </w:tblCellMar>
        </w:tblPrEx>
        <w:trPr>
          <w:trHeight w:val="27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20499</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8.50</w:t>
            </w:r>
          </w:p>
        </w:tc>
        <w:tc>
          <w:tcPr>
            <w:tcW w:w="166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8.50</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2049902</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国家司法救助支出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166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2.00</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7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2049999</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6.50</w:t>
            </w:r>
          </w:p>
        </w:tc>
        <w:tc>
          <w:tcPr>
            <w:tcW w:w="166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15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6.50</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tblPrEx>
          <w:tblCellMar>
            <w:top w:w="0" w:type="dxa"/>
            <w:left w:w="108" w:type="dxa"/>
            <w:bottom w:w="0" w:type="dxa"/>
            <w:right w:w="108" w:type="dxa"/>
          </w:tblCellMar>
        </w:tblPrEx>
        <w:trPr>
          <w:trHeight w:val="27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59.90</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59.90</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tblPrEx>
          <w:tblCellMar>
            <w:top w:w="0" w:type="dxa"/>
            <w:left w:w="108" w:type="dxa"/>
            <w:bottom w:w="0" w:type="dxa"/>
            <w:right w:w="108" w:type="dxa"/>
          </w:tblCellMar>
        </w:tblPrEx>
        <w:trPr>
          <w:trHeight w:val="31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36.17</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36.17</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tblPrEx>
          <w:tblCellMar>
            <w:top w:w="0" w:type="dxa"/>
            <w:left w:w="108" w:type="dxa"/>
            <w:bottom w:w="0" w:type="dxa"/>
            <w:right w:w="108" w:type="dxa"/>
          </w:tblCellMar>
        </w:tblPrEx>
        <w:trPr>
          <w:trHeight w:val="28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36.17</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36.17</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8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20808</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抚恤</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20.73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20.73</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30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2080801</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死亡抚恤</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20.73</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20.73</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30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20899</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31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2089999</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3.00</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7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14.67</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14.67</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cs="Times New Roman"/>
                <w:kern w:val="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14.67</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sz w:val="21"/>
                <w:szCs w:val="21"/>
                <w:lang w:val="en-US" w:eastAsia="zh-CN"/>
              </w:rPr>
            </w:pPr>
            <w:r>
              <w:rPr>
                <w:rFonts w:hint="eastAsia" w:ascii="宋体" w:hAnsi="宋体" w:eastAsia="宋体" w:cs="宋体"/>
                <w:i w:val="0"/>
                <w:iCs w:val="0"/>
                <w:color w:val="000000"/>
                <w:kern w:val="0"/>
                <w:sz w:val="22"/>
                <w:szCs w:val="22"/>
                <w:u w:val="none"/>
                <w:lang w:val="en-US" w:eastAsia="zh-CN" w:bidi="ar"/>
              </w:rPr>
              <w:t>14.67</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r>
      <w:tr>
        <w:tblPrEx>
          <w:tblCellMar>
            <w:top w:w="0" w:type="dxa"/>
            <w:left w:w="108" w:type="dxa"/>
            <w:bottom w:w="0" w:type="dxa"/>
            <w:right w:w="108"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14.67</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14.67</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47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16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155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477" w:type="dxa"/>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9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166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1558"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255"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47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6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166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15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sz w:val="21"/>
                <w:szCs w:val="21"/>
                <w:lang w:val="en-US" w:eastAsia="zh-CN"/>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2"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c>
          <w:tcPr>
            <w:tcW w:w="517" w:type="pct"/>
            <w:tcBorders>
              <w:top w:val="nil"/>
              <w:left w:val="nil"/>
              <w:bottom w:val="single" w:color="auto" w:sz="4" w:space="0"/>
              <w:right w:val="single" w:color="auto" w:sz="4" w:space="0"/>
            </w:tcBorders>
            <w:shd w:val="clear" w:color="auto" w:fill="auto"/>
            <w:noWrap/>
            <w:vAlign w:val="center"/>
          </w:tcPr>
          <w:p>
            <w:pPr>
              <w:widowControl/>
              <w:jc w:val="right"/>
              <w:rPr>
                <w:rFonts w:hint="eastAsia" w:cs="宋体" w:asciiTheme="minorEastAsia" w:hAnsiTheme="minorEastAsia"/>
                <w:kern w:val="0"/>
                <w:sz w:val="21"/>
                <w:szCs w:val="21"/>
              </w:rPr>
            </w:pPr>
          </w:p>
        </w:tc>
      </w:tr>
      <w:tr>
        <w:tblPrEx>
          <w:tblCellMar>
            <w:top w:w="0" w:type="dxa"/>
            <w:left w:w="108" w:type="dxa"/>
            <w:bottom w:w="0" w:type="dxa"/>
            <w:right w:w="108" w:type="dxa"/>
          </w:tblCellMar>
        </w:tblPrEx>
        <w:trPr>
          <w:trHeight w:val="630" w:hRule="atLeast"/>
        </w:trPr>
        <w:tc>
          <w:tcPr>
            <w:tcW w:w="5000" w:type="pct"/>
            <w:gridSpan w:val="8"/>
            <w:tcBorders>
              <w:top w:val="nil"/>
              <w:left w:val="nil"/>
              <w:bottom w:val="nil"/>
              <w:right w:val="nil"/>
            </w:tcBorders>
            <w:shd w:val="clear" w:color="auto" w:fill="auto"/>
            <w:vAlign w:val="center"/>
          </w:tcPr>
          <w:p>
            <w:pPr>
              <w:widowControl/>
              <w:jc w:val="left"/>
              <w:rPr>
                <w:rFonts w:cs="宋体" w:asciiTheme="minorEastAsia" w:hAnsiTheme="minorEastAsia"/>
                <w:kern w:val="0"/>
                <w:sz w:val="21"/>
                <w:szCs w:val="21"/>
              </w:rPr>
            </w:pPr>
            <w:r>
              <w:rPr>
                <w:rFonts w:hint="eastAsia" w:ascii="仿宋" w:hAnsi="仿宋" w:eastAsia="仿宋" w:cs="仿宋"/>
                <w:kern w:val="0"/>
                <w:sz w:val="24"/>
                <w:szCs w:val="24"/>
              </w:rPr>
              <w:t>注：本表反映部门本年度各项支出情况。</w:t>
            </w:r>
          </w:p>
        </w:tc>
      </w:tr>
    </w:tbl>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pStyle w:val="9"/>
        <w:rPr>
          <w:rFonts w:ascii="Times New Roman" w:hAnsi="Times New Roman" w:eastAsia="黑体" w:cs="Times New Roman"/>
          <w:color w:val="000000"/>
          <w:kern w:val="0"/>
          <w:sz w:val="32"/>
          <w:szCs w:val="32"/>
          <w:lang w:bidi="ar"/>
        </w:rPr>
      </w:pPr>
    </w:p>
    <w:p>
      <w:pPr>
        <w:pStyle w:val="5"/>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9"/>
        <w:rPr>
          <w:rFonts w:ascii="Times New Roman" w:hAnsi="Times New Roman" w:eastAsia="黑体" w:cs="Times New Roman"/>
          <w:color w:val="000000"/>
          <w:kern w:val="0"/>
          <w:sz w:val="32"/>
          <w:szCs w:val="32"/>
          <w:lang w:bidi="ar"/>
        </w:rPr>
      </w:pPr>
    </w:p>
    <w:p>
      <w:pPr>
        <w:pStyle w:val="5"/>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9"/>
        <w:rPr>
          <w:rFonts w:ascii="Times New Roman" w:hAnsi="Times New Roman" w:eastAsia="黑体" w:cs="Times New Roman"/>
          <w:color w:val="000000"/>
          <w:kern w:val="0"/>
          <w:sz w:val="32"/>
          <w:szCs w:val="32"/>
          <w:lang w:bidi="ar"/>
        </w:rPr>
      </w:pPr>
    </w:p>
    <w:p>
      <w:pPr>
        <w:pStyle w:val="5"/>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9"/>
        <w:rPr>
          <w:rFonts w:ascii="Times New Roman" w:hAnsi="Times New Roman" w:eastAsia="黑体" w:cs="Times New Roman"/>
          <w:color w:val="000000"/>
          <w:kern w:val="0"/>
          <w:sz w:val="32"/>
          <w:szCs w:val="32"/>
          <w:lang w:bidi="ar"/>
        </w:rPr>
      </w:pPr>
    </w:p>
    <w:p>
      <w:pPr>
        <w:pStyle w:val="5"/>
        <w:rPr>
          <w:rFonts w:ascii="Times New Roman" w:hAnsi="Times New Roman" w:eastAsia="黑体" w:cs="Times New Roman"/>
          <w:color w:val="000000"/>
          <w:kern w:val="0"/>
          <w:sz w:val="32"/>
          <w:szCs w:val="32"/>
          <w:lang w:bidi="ar"/>
        </w:rPr>
      </w:pPr>
    </w:p>
    <w:p>
      <w:pPr>
        <w:rPr>
          <w:rFonts w:ascii="Times New Roman" w:hAnsi="Times New Roman" w:eastAsia="黑体" w:cs="Times New Roman"/>
          <w:color w:val="000000"/>
          <w:kern w:val="0"/>
          <w:sz w:val="32"/>
          <w:szCs w:val="32"/>
          <w:lang w:bidi="ar"/>
        </w:rPr>
      </w:pPr>
    </w:p>
    <w:p>
      <w:pPr>
        <w:pStyle w:val="9"/>
      </w:pPr>
    </w:p>
    <w:p/>
    <w:tbl>
      <w:tblPr>
        <w:tblStyle w:val="11"/>
        <w:tblW w:w="4959" w:type="pct"/>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tblGrid>
      <w:tr>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ascii="华文中宋" w:hAnsi="华文中宋" w:eastAsia="华文中宋" w:cs="宋体"/>
                <w:b/>
                <w:bCs/>
                <w:color w:val="000000"/>
                <w:kern w:val="0"/>
                <w:sz w:val="32"/>
                <w:szCs w:val="32"/>
              </w:rPr>
              <w:t>财政拨款收入支出决算总表</w:t>
            </w:r>
          </w:p>
        </w:tc>
      </w:tr>
      <w:tr>
        <w:tblPrEx>
          <w:tblCellMar>
            <w:top w:w="0" w:type="dxa"/>
            <w:left w:w="108" w:type="dxa"/>
            <w:bottom w:w="0" w:type="dxa"/>
            <w:right w:w="108" w:type="dxa"/>
          </w:tblCellMar>
        </w:tblPrEx>
        <w:trPr>
          <w:trHeight w:val="90" w:hRule="atLeast"/>
        </w:trPr>
        <w:tc>
          <w:tcPr>
            <w:tcW w:w="1085"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公开04表</w:t>
            </w:r>
          </w:p>
        </w:tc>
      </w:tr>
      <w:tr>
        <w:tblPrEx>
          <w:tblCellMar>
            <w:top w:w="0" w:type="dxa"/>
            <w:left w:w="108" w:type="dxa"/>
            <w:bottom w:w="0" w:type="dxa"/>
            <w:right w:w="108" w:type="dxa"/>
          </w:tblCellMar>
        </w:tblPrEx>
        <w:trPr>
          <w:trHeight w:val="300" w:hRule="atLeast"/>
        </w:trPr>
        <w:tc>
          <w:tcPr>
            <w:tcW w:w="1658" w:type="pct"/>
            <w:gridSpan w:val="3"/>
            <w:tcBorders>
              <w:top w:val="nil"/>
              <w:left w:val="nil"/>
              <w:bottom w:val="nil"/>
              <w:right w:val="nil"/>
            </w:tcBorders>
            <w:shd w:val="clear" w:color="000000" w:fill="FFFFFF"/>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部门：</w:t>
            </w:r>
            <w:r>
              <w:rPr>
                <w:rFonts w:hint="default" w:ascii="Times New Roman" w:hAnsi="Times New Roman" w:cs="Times New Roman"/>
                <w:kern w:val="0"/>
                <w:sz w:val="21"/>
                <w:szCs w:val="21"/>
              </w:rPr>
              <w:t>　</w:t>
            </w:r>
            <w:r>
              <w:rPr>
                <w:rFonts w:hint="eastAsia" w:ascii="Times New Roman" w:hAnsi="Times New Roman" w:cs="Times New Roman"/>
                <w:color w:val="000000"/>
                <w:kern w:val="0"/>
                <w:sz w:val="21"/>
                <w:szCs w:val="21"/>
                <w:lang w:eastAsia="zh-CN"/>
              </w:rPr>
              <w:t>中国共产党祁阳市委员会政法委员会</w:t>
            </w:r>
          </w:p>
        </w:tc>
        <w:tc>
          <w:tcPr>
            <w:tcW w:w="1162"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88"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nil"/>
              <w:right w:val="nil"/>
            </w:tcBorders>
            <w:shd w:val="clear" w:color="000000" w:fill="FFFFFF"/>
            <w:noWrap/>
            <w:vAlign w:val="center"/>
          </w:tcPr>
          <w:p>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单位：万元</w:t>
            </w:r>
          </w:p>
        </w:tc>
      </w:tr>
      <w:tr>
        <w:tblPrEx>
          <w:tblCellMar>
            <w:top w:w="0" w:type="dxa"/>
            <w:left w:w="108" w:type="dxa"/>
            <w:bottom w:w="0" w:type="dxa"/>
            <w:right w:w="108" w:type="dxa"/>
          </w:tblCellMar>
        </w:tblPrEx>
        <w:trPr>
          <w:trHeight w:val="402" w:hRule="atLeast"/>
        </w:trPr>
        <w:tc>
          <w:tcPr>
            <w:tcW w:w="16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收入</w:t>
            </w:r>
          </w:p>
        </w:tc>
        <w:tc>
          <w:tcPr>
            <w:tcW w:w="3341" w:type="pct"/>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支出</w:t>
            </w:r>
          </w:p>
        </w:tc>
      </w:tr>
      <w:tr>
        <w:tblPrEx>
          <w:tblCellMar>
            <w:top w:w="0" w:type="dxa"/>
            <w:left w:w="108" w:type="dxa"/>
            <w:bottom w:w="0" w:type="dxa"/>
            <w:right w:w="108" w:type="dxa"/>
          </w:tblCellMar>
        </w:tblPrEx>
        <w:trPr>
          <w:trHeight w:val="630"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金额</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合计</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54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w:t>
            </w:r>
          </w:p>
        </w:tc>
        <w:tc>
          <w:tcPr>
            <w:tcW w:w="544"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eastAsia" w:ascii="Times New Roman" w:hAnsi="Times New Roman" w:cs="Times New Roman"/>
                <w:kern w:val="0"/>
                <w:sz w:val="21"/>
                <w:szCs w:val="21"/>
                <w:lang w:val="en-US" w:eastAsia="zh-CN"/>
              </w:rPr>
              <w:t>869.63</w:t>
            </w: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kern w:val="0"/>
                <w:sz w:val="21"/>
                <w:szCs w:val="21"/>
                <w:lang w:val="en-US" w:eastAsia="zh-CN"/>
              </w:rPr>
              <w:t>33</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760.16</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kern w:val="0"/>
                <w:sz w:val="21"/>
                <w:szCs w:val="21"/>
                <w:lang w:val="en-US"/>
              </w:rPr>
            </w:pPr>
            <w:r>
              <w:rPr>
                <w:rFonts w:hint="eastAsia" w:ascii="Times New Roman" w:hAnsi="Times New Roman" w:eastAsia="宋体" w:cs="Times New Roman"/>
                <w:i w:val="0"/>
                <w:iCs w:val="0"/>
                <w:color w:val="000000"/>
                <w:kern w:val="0"/>
                <w:sz w:val="21"/>
                <w:szCs w:val="21"/>
                <w:u w:val="none"/>
                <w:lang w:val="en-US" w:eastAsia="zh-CN" w:bidi="ar"/>
              </w:rPr>
              <w:t>760.16</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二、外交支出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34</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35</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4</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四、公共安全支出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36</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8.50</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kern w:val="0"/>
                <w:sz w:val="21"/>
                <w:szCs w:val="21"/>
              </w:rPr>
            </w:pPr>
            <w:r>
              <w:rPr>
                <w:rFonts w:hint="eastAsia" w:ascii="Times New Roman" w:hAnsi="Times New Roman" w:eastAsia="宋体" w:cs="Times New Roman"/>
                <w:i w:val="0"/>
                <w:iCs w:val="0"/>
                <w:color w:val="000000"/>
                <w:kern w:val="0"/>
                <w:sz w:val="21"/>
                <w:szCs w:val="21"/>
                <w:u w:val="none"/>
                <w:lang w:val="en-US" w:eastAsia="zh-CN" w:bidi="ar"/>
              </w:rPr>
              <w:t>8.5</w:t>
            </w:r>
            <w:r>
              <w:rPr>
                <w:rFonts w:hint="default" w:ascii="Times New Roman" w:hAnsi="Times New Roman" w:eastAsia="宋体" w:cs="Times New Roman"/>
                <w:i w:val="0"/>
                <w:iCs w:val="0"/>
                <w:color w:val="000000"/>
                <w:kern w:val="0"/>
                <w:sz w:val="21"/>
                <w:szCs w:val="21"/>
                <w:u w:val="none"/>
                <w:lang w:val="en-US" w:eastAsia="zh-CN" w:bidi="ar"/>
              </w:rPr>
              <w:t>0</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5</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五、教育支出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37</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6</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六、科学技术支出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38</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7</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39</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8</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40</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59.90</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59.90</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9</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九、卫生健康支出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41</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14.67</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10</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十、节能环保支出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42</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11</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43</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12</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十二、农林水支出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44</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13</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45</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14</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46</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15</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47</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16</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十六、金融支出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48</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17</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49</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18</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50</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51</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26.40</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26.40</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52</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21</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53</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22</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54</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23</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二十三、其他支出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55</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24</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56</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25</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二十五、债务付息支出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57</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26</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二十六、抗疫特别国债安排的支出</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58</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本年收入合计</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27</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eastAsia" w:ascii="Times New Roman" w:hAnsi="Times New Roman" w:cs="Times New Roman"/>
                <w:b/>
                <w:bCs/>
                <w:kern w:val="0"/>
                <w:sz w:val="21"/>
                <w:szCs w:val="21"/>
                <w:lang w:val="en-US" w:eastAsia="zh-CN"/>
              </w:rPr>
              <w:t>869.63</w:t>
            </w: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本年支出合计</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59</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bCs/>
                <w:kern w:val="0"/>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869.63</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b/>
                <w:bCs/>
                <w:kern w:val="0"/>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869.63</w:t>
            </w: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28</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60</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29</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61</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30</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62</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31</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63</w:t>
            </w:r>
          </w:p>
        </w:tc>
        <w:tc>
          <w:tcPr>
            <w:tcW w:w="1175"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rPr>
            </w:pPr>
          </w:p>
        </w:tc>
        <w:tc>
          <w:tcPr>
            <w:tcW w:w="1513"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b/>
                <w:bCs/>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tblPrEx>
          <w:tblCellMar>
            <w:top w:w="0" w:type="dxa"/>
            <w:left w:w="108" w:type="dxa"/>
            <w:bottom w:w="0" w:type="dxa"/>
            <w:right w:w="108" w:type="dxa"/>
          </w:tblCellMar>
        </w:tblPrEx>
        <w:trPr>
          <w:trHeight w:val="402" w:hRule="atLeast"/>
        </w:trPr>
        <w:tc>
          <w:tcPr>
            <w:tcW w:w="1085"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01"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32</w:t>
            </w:r>
          </w:p>
        </w:tc>
        <w:tc>
          <w:tcPr>
            <w:tcW w:w="371" w:type="pct"/>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cs="Times New Roman"/>
                <w:kern w:val="0"/>
                <w:sz w:val="21"/>
                <w:szCs w:val="21"/>
              </w:rPr>
            </w:pPr>
            <w:r>
              <w:rPr>
                <w:rFonts w:hint="eastAsia" w:ascii="Times New Roman" w:hAnsi="Times New Roman" w:cs="Times New Roman"/>
                <w:b/>
                <w:bCs/>
                <w:kern w:val="0"/>
                <w:sz w:val="21"/>
                <w:szCs w:val="21"/>
                <w:lang w:val="en-US" w:eastAsia="zh-CN"/>
              </w:rPr>
              <w:t>869.63</w:t>
            </w:r>
            <w:r>
              <w:rPr>
                <w:rFonts w:hint="default" w:ascii="Times New Roman" w:hAnsi="Times New Roman" w:cs="Times New Roman"/>
                <w:kern w:val="0"/>
                <w:sz w:val="21"/>
                <w:szCs w:val="21"/>
              </w:rPr>
              <w:t>　</w:t>
            </w:r>
          </w:p>
        </w:tc>
        <w:tc>
          <w:tcPr>
            <w:tcW w:w="1162"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09" w:type="pct"/>
            <w:tcBorders>
              <w:top w:val="nil"/>
              <w:left w:val="nil"/>
              <w:bottom w:val="single" w:color="auto" w:sz="4" w:space="0"/>
              <w:right w:val="single" w:color="auto" w:sz="4" w:space="0"/>
            </w:tcBorders>
            <w:shd w:val="clear" w:color="000000" w:fill="FFFFFF"/>
            <w:noWrap/>
            <w:vAlign w:val="center"/>
          </w:tcPr>
          <w:p>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64</w:t>
            </w:r>
          </w:p>
        </w:tc>
        <w:tc>
          <w:tcPr>
            <w:tcW w:w="11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Times New Roman" w:hAnsi="Times New Roman" w:cs="Times New Roman"/>
                <w:b/>
                <w:bCs/>
                <w:kern w:val="0"/>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869.63</w:t>
            </w:r>
          </w:p>
        </w:tc>
        <w:tc>
          <w:tcPr>
            <w:tcW w:w="151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default" w:ascii="Times New Roman" w:hAnsi="Times New Roman" w:cs="Times New Roman"/>
                <w:b/>
                <w:bCs/>
                <w:kern w:val="0"/>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869.63</w:t>
            </w:r>
          </w:p>
        </w:tc>
        <w:tc>
          <w:tcPr>
            <w:tcW w:w="556"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c>
          <w:tcPr>
            <w:tcW w:w="544" w:type="pct"/>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r>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vAlign w:val="center"/>
          </w:tcPr>
          <w:p>
            <w:pPr>
              <w:widowControl/>
              <w:jc w:val="left"/>
              <w:rPr>
                <w:rFonts w:hint="default" w:ascii="Times New Roman" w:hAnsi="Times New Roman" w:cs="Times New Roman"/>
                <w:kern w:val="0"/>
                <w:sz w:val="24"/>
                <w:szCs w:val="24"/>
              </w:rPr>
            </w:pPr>
            <w:r>
              <w:rPr>
                <w:rFonts w:hint="eastAsia" w:ascii="仿宋" w:hAnsi="仿宋" w:eastAsia="仿宋" w:cs="仿宋"/>
                <w:kern w:val="0"/>
                <w:sz w:val="24"/>
                <w:szCs w:val="24"/>
              </w:rPr>
              <w:t>注：本表反映部门本年度一般公共预算财政拨款、政府性基金预算财政拨款和国有资本经营预算财政拨款的总收支和年末结转结余情况。</w:t>
            </w:r>
          </w:p>
        </w:tc>
      </w:tr>
    </w:tbl>
    <w:p>
      <w:pPr>
        <w:widowControl/>
        <w:jc w:val="left"/>
        <w:rPr>
          <w:rFonts w:ascii="Times New Roman" w:hAnsi="Times New Roman" w:eastAsia="方正小标宋_GBK" w:cs="Times New Roman"/>
          <w:kern w:val="0"/>
          <w:sz w:val="36"/>
          <w:szCs w:val="36"/>
        </w:rPr>
      </w:pPr>
      <w:r>
        <w:rPr>
          <w:rFonts w:cs="Times New Roman" w:asciiTheme="minorEastAsia" w:hAnsiTheme="minorEastAsia"/>
          <w:kern w:val="0"/>
          <w:sz w:val="36"/>
          <w:szCs w:val="36"/>
        </w:rPr>
        <w:br w:type="page"/>
      </w:r>
    </w:p>
    <w:bookmarkEnd w:id="1"/>
    <w:p>
      <w:pPr>
        <w:widowControl/>
        <w:jc w:val="center"/>
        <w:rPr>
          <w:rFonts w:cs="Times New Roman" w:asciiTheme="minorEastAsia" w:hAnsiTheme="minorEastAsia"/>
          <w:color w:val="000000"/>
          <w:kern w:val="0"/>
          <w:sz w:val="20"/>
          <w:szCs w:val="20"/>
        </w:rPr>
      </w:pPr>
      <w:r>
        <w:rPr>
          <w:rFonts w:hint="eastAsia" w:ascii="华文中宋" w:hAnsi="华文中宋" w:eastAsia="华文中宋" w:cs="宋体"/>
          <w:b/>
          <w:bCs/>
          <w:color w:val="000000"/>
          <w:kern w:val="0"/>
          <w:sz w:val="32"/>
          <w:szCs w:val="32"/>
        </w:rPr>
        <w:t xml:space="preserve">一般公共预算财政拨款支出决算表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p>
    <w:tbl>
      <w:tblPr>
        <w:tblStyle w:val="11"/>
        <w:tblpPr w:leftFromText="180" w:rightFromText="180" w:vertAnchor="text" w:horzAnchor="page" w:tblpX="811" w:tblpY="720"/>
        <w:tblOverlap w:val="never"/>
        <w:tblW w:w="4938" w:type="pct"/>
        <w:tblInd w:w="0" w:type="dxa"/>
        <w:tblLayout w:type="autofit"/>
        <w:tblCellMar>
          <w:top w:w="0" w:type="dxa"/>
          <w:left w:w="108" w:type="dxa"/>
          <w:bottom w:w="0" w:type="dxa"/>
          <w:right w:w="108" w:type="dxa"/>
        </w:tblCellMar>
      </w:tblPr>
      <w:tblGrid>
        <w:gridCol w:w="1067"/>
        <w:gridCol w:w="4473"/>
        <w:gridCol w:w="3254"/>
        <w:gridCol w:w="3270"/>
        <w:gridCol w:w="3356"/>
      </w:tblGrid>
      <w:tr>
        <w:tblPrEx>
          <w:tblCellMar>
            <w:top w:w="0" w:type="dxa"/>
            <w:left w:w="108" w:type="dxa"/>
            <w:bottom w:w="0" w:type="dxa"/>
            <w:right w:w="108" w:type="dxa"/>
          </w:tblCellMar>
        </w:tblPrEx>
        <w:trPr>
          <w:trHeight w:val="90" w:hRule="atLeast"/>
        </w:trPr>
        <w:tc>
          <w:tcPr>
            <w:tcW w:w="1796" w:type="pct"/>
            <w:gridSpan w:val="2"/>
            <w:tcBorders>
              <w:top w:val="nil"/>
              <w:left w:val="nil"/>
              <w:bottom w:val="nil"/>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rPr>
            </w:pPr>
          </w:p>
        </w:tc>
        <w:tc>
          <w:tcPr>
            <w:tcW w:w="3203" w:type="pct"/>
            <w:gridSpan w:val="3"/>
            <w:tcBorders>
              <w:top w:val="nil"/>
              <w:left w:val="nil"/>
              <w:bottom w:val="nil"/>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公开05表</w:t>
            </w:r>
          </w:p>
        </w:tc>
      </w:tr>
      <w:tr>
        <w:tblPrEx>
          <w:tblCellMar>
            <w:top w:w="0" w:type="dxa"/>
            <w:left w:w="108" w:type="dxa"/>
            <w:bottom w:w="0" w:type="dxa"/>
            <w:right w:w="108" w:type="dxa"/>
          </w:tblCellMar>
        </w:tblPrEx>
        <w:trPr>
          <w:trHeight w:val="405" w:hRule="atLeast"/>
        </w:trPr>
        <w:tc>
          <w:tcPr>
            <w:tcW w:w="1796" w:type="pct"/>
            <w:gridSpan w:val="2"/>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部门：</w:t>
            </w:r>
            <w:r>
              <w:rPr>
                <w:rFonts w:hint="eastAsia" w:ascii="Times New Roman" w:hAnsi="Times New Roman" w:cs="Times New Roman"/>
                <w:color w:val="000000"/>
                <w:kern w:val="0"/>
                <w:sz w:val="21"/>
                <w:szCs w:val="21"/>
                <w:lang w:eastAsia="zh-CN"/>
              </w:rPr>
              <w:t>中国共产党祁阳市委员会政法委员会</w:t>
            </w:r>
          </w:p>
        </w:tc>
        <w:tc>
          <w:tcPr>
            <w:tcW w:w="3203" w:type="pct"/>
            <w:gridSpan w:val="3"/>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b/>
                <w:kern w:val="0"/>
                <w:sz w:val="21"/>
                <w:szCs w:val="21"/>
              </w:rPr>
            </w:pPr>
            <w:r>
              <w:rPr>
                <w:rFonts w:hint="default" w:ascii="Times New Roman" w:hAnsi="Times New Roman" w:cs="Times New Roman" w:eastAsiaTheme="minorEastAsia"/>
                <w:color w:val="000000"/>
                <w:kern w:val="0"/>
                <w:sz w:val="21"/>
                <w:szCs w:val="21"/>
              </w:rPr>
              <w:t>单位：万元</w:t>
            </w:r>
          </w:p>
        </w:tc>
      </w:tr>
      <w:tr>
        <w:tblPrEx>
          <w:tblCellMar>
            <w:top w:w="0" w:type="dxa"/>
            <w:left w:w="108" w:type="dxa"/>
            <w:bottom w:w="0" w:type="dxa"/>
            <w:right w:w="108" w:type="dxa"/>
          </w:tblCellMar>
        </w:tblPrEx>
        <w:trPr>
          <w:trHeight w:val="405" w:hRule="atLeast"/>
        </w:trPr>
        <w:tc>
          <w:tcPr>
            <w:tcW w:w="1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 xml:space="preserve">项 </w:t>
            </w:r>
            <w:r>
              <w:rPr>
                <w:rFonts w:hint="default" w:ascii="Times New Roman" w:hAnsi="Times New Roman" w:cs="Times New Roman" w:eastAsiaTheme="minorEastAsia"/>
                <w:b w:val="0"/>
                <w:bCs/>
                <w:color w:val="000000"/>
                <w:kern w:val="0"/>
                <w:sz w:val="21"/>
                <w:szCs w:val="21"/>
              </w:rPr>
              <w:t xml:space="preserve">   </w:t>
            </w:r>
            <w:r>
              <w:rPr>
                <w:rFonts w:hint="default" w:ascii="Times New Roman" w:hAnsi="Times New Roman" w:cs="Times New Roman" w:eastAsiaTheme="minorEastAsia"/>
                <w:b w:val="0"/>
                <w:bCs/>
                <w:kern w:val="0"/>
                <w:sz w:val="21"/>
                <w:szCs w:val="21"/>
              </w:rPr>
              <w:t>目</w:t>
            </w:r>
          </w:p>
        </w:tc>
        <w:tc>
          <w:tcPr>
            <w:tcW w:w="32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b w:val="0"/>
                <w:bCs/>
                <w:kern w:val="0"/>
                <w:sz w:val="21"/>
                <w:szCs w:val="21"/>
              </w:rPr>
            </w:pPr>
            <w:r>
              <w:rPr>
                <w:rFonts w:hint="default" w:ascii="Times New Roman" w:hAnsi="Times New Roman" w:cs="Times New Roman" w:eastAsiaTheme="minorEastAsia"/>
                <w:b w:val="0"/>
                <w:bCs/>
                <w:kern w:val="0"/>
                <w:sz w:val="21"/>
                <w:szCs w:val="21"/>
              </w:rPr>
              <w:t>本年支出</w:t>
            </w:r>
          </w:p>
        </w:tc>
      </w:tr>
      <w:tr>
        <w:tblPrEx>
          <w:tblCellMar>
            <w:top w:w="0" w:type="dxa"/>
            <w:left w:w="108" w:type="dxa"/>
            <w:bottom w:w="0" w:type="dxa"/>
            <w:right w:w="108" w:type="dxa"/>
          </w:tblCellMar>
        </w:tblPrEx>
        <w:trPr>
          <w:trHeight w:val="360" w:hRule="atLeast"/>
        </w:trPr>
        <w:tc>
          <w:tcPr>
            <w:tcW w:w="346" w:type="pct"/>
            <w:vMerge w:val="restart"/>
            <w:tcBorders>
              <w:top w:val="single" w:color="auto" w:sz="4" w:space="0"/>
              <w:left w:val="single" w:color="auto" w:sz="8" w:space="0"/>
              <w:right w:val="single" w:color="auto" w:sz="4" w:space="0"/>
            </w:tcBorders>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功能分类</w:t>
            </w:r>
          </w:p>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科目编码</w:t>
            </w:r>
          </w:p>
        </w:tc>
        <w:tc>
          <w:tcPr>
            <w:tcW w:w="1449" w:type="pct"/>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科目名称</w:t>
            </w:r>
          </w:p>
        </w:tc>
        <w:tc>
          <w:tcPr>
            <w:tcW w:w="1055"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小计</w:t>
            </w:r>
          </w:p>
        </w:tc>
        <w:tc>
          <w:tcPr>
            <w:tcW w:w="1060" w:type="pct"/>
            <w:vMerge w:val="restar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基本支出</w:t>
            </w:r>
          </w:p>
        </w:tc>
        <w:tc>
          <w:tcPr>
            <w:tcW w:w="1088" w:type="pct"/>
            <w:vMerge w:val="restart"/>
            <w:tcBorders>
              <w:top w:val="single" w:color="auto" w:sz="4" w:space="0"/>
              <w:left w:val="single" w:color="auto" w:sz="4" w:space="0"/>
              <w:right w:val="single" w:color="auto" w:sz="8" w:space="0"/>
            </w:tcBorders>
            <w:vAlign w:val="center"/>
          </w:tcPr>
          <w:p>
            <w:pPr>
              <w:keepNext w:val="0"/>
              <w:keepLines w:val="0"/>
              <w:widowControl/>
              <w:suppressLineNumbers w:val="0"/>
              <w:jc w:val="center"/>
              <w:textAlignment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i w:val="0"/>
                <w:iCs w:val="0"/>
                <w:color w:val="000000"/>
                <w:kern w:val="0"/>
                <w:sz w:val="21"/>
                <w:szCs w:val="21"/>
                <w:u w:val="none"/>
                <w:lang w:val="en-US" w:eastAsia="zh-CN" w:bidi="ar"/>
              </w:rPr>
              <w:t>项目支出</w:t>
            </w:r>
          </w:p>
        </w:tc>
      </w:tr>
      <w:tr>
        <w:tblPrEx>
          <w:tblCellMar>
            <w:top w:w="0" w:type="dxa"/>
            <w:left w:w="108" w:type="dxa"/>
            <w:bottom w:w="0" w:type="dxa"/>
            <w:right w:w="108" w:type="dxa"/>
          </w:tblCellMar>
        </w:tblPrEx>
        <w:trPr>
          <w:trHeight w:val="312" w:hRule="atLeast"/>
        </w:trPr>
        <w:tc>
          <w:tcPr>
            <w:tcW w:w="346"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44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0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0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kern w:val="0"/>
                <w:sz w:val="21"/>
                <w:szCs w:val="21"/>
              </w:rPr>
            </w:pPr>
          </w:p>
        </w:tc>
        <w:tc>
          <w:tcPr>
            <w:tcW w:w="1088" w:type="pct"/>
            <w:vMerge w:val="continue"/>
            <w:tcBorders>
              <w:top w:val="single" w:color="auto" w:sz="4" w:space="0"/>
              <w:left w:val="single" w:color="auto" w:sz="4" w:space="0"/>
              <w:bottom w:val="single" w:color="auto" w:sz="4" w:space="0"/>
              <w:right w:val="single" w:color="auto" w:sz="8" w:space="0"/>
            </w:tcBorders>
            <w:vAlign w:val="center"/>
          </w:tcPr>
          <w:p>
            <w:pPr>
              <w:widowControl/>
              <w:jc w:val="lef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30" w:hRule="atLeast"/>
        </w:trPr>
        <w:tc>
          <w:tcPr>
            <w:tcW w:w="179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栏次</w:t>
            </w:r>
          </w:p>
        </w:tc>
        <w:tc>
          <w:tcPr>
            <w:tcW w:w="105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1</w:t>
            </w:r>
          </w:p>
        </w:tc>
        <w:tc>
          <w:tcPr>
            <w:tcW w:w="106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2</w:t>
            </w:r>
          </w:p>
        </w:tc>
        <w:tc>
          <w:tcPr>
            <w:tcW w:w="1088" w:type="pct"/>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3</w:t>
            </w:r>
          </w:p>
        </w:tc>
      </w:tr>
      <w:tr>
        <w:tblPrEx>
          <w:tblCellMar>
            <w:top w:w="0" w:type="dxa"/>
            <w:left w:w="108" w:type="dxa"/>
            <w:bottom w:w="0" w:type="dxa"/>
            <w:right w:w="108" w:type="dxa"/>
          </w:tblCellMar>
        </w:tblPrEx>
        <w:trPr>
          <w:trHeight w:val="315" w:hRule="atLeast"/>
        </w:trPr>
        <w:tc>
          <w:tcPr>
            <w:tcW w:w="179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 w:val="21"/>
                <w:szCs w:val="21"/>
              </w:rPr>
            </w:pPr>
            <w:r>
              <w:rPr>
                <w:rFonts w:hint="default" w:ascii="Times New Roman" w:hAnsi="Times New Roman" w:cs="Times New Roman" w:eastAsiaTheme="minorEastAsia"/>
                <w:kern w:val="0"/>
                <w:sz w:val="21"/>
                <w:szCs w:val="21"/>
              </w:rPr>
              <w:t>合计</w:t>
            </w:r>
          </w:p>
        </w:tc>
        <w:tc>
          <w:tcPr>
            <w:tcW w:w="3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869.63</w:t>
            </w:r>
          </w:p>
        </w:tc>
        <w:tc>
          <w:tcPr>
            <w:tcW w:w="32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513.10</w:t>
            </w:r>
          </w:p>
        </w:tc>
        <w:tc>
          <w:tcPr>
            <w:tcW w:w="335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lang w:val="en-US"/>
              </w:rPr>
            </w:pPr>
            <w:r>
              <w:rPr>
                <w:rFonts w:hint="eastAsia" w:ascii="Times New Roman" w:hAnsi="Times New Roman" w:eastAsia="宋体" w:cs="Times New Roman"/>
                <w:b/>
                <w:bCs/>
                <w:i w:val="0"/>
                <w:iCs w:val="0"/>
                <w:color w:val="000000"/>
                <w:kern w:val="0"/>
                <w:sz w:val="21"/>
                <w:szCs w:val="21"/>
                <w:u w:val="none"/>
                <w:lang w:val="en-US" w:eastAsia="zh-CN" w:bidi="ar"/>
              </w:rPr>
              <w:t>356.53</w:t>
            </w:r>
          </w:p>
        </w:tc>
      </w:tr>
      <w:tr>
        <w:tblPrEx>
          <w:tblCellMar>
            <w:top w:w="0" w:type="dxa"/>
            <w:left w:w="108" w:type="dxa"/>
            <w:bottom w:w="0" w:type="dxa"/>
            <w:right w:w="108" w:type="dxa"/>
          </w:tblCellMar>
        </w:tblPrEx>
        <w:trPr>
          <w:trHeight w:val="315" w:hRule="atLeast"/>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760.16</w:t>
            </w:r>
          </w:p>
        </w:tc>
        <w:tc>
          <w:tcPr>
            <w:tcW w:w="32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412.13</w:t>
            </w:r>
          </w:p>
        </w:tc>
        <w:tc>
          <w:tcPr>
            <w:tcW w:w="335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348.03</w:t>
            </w:r>
          </w:p>
        </w:tc>
      </w:tr>
      <w:tr>
        <w:tblPrEx>
          <w:tblCellMar>
            <w:top w:w="0" w:type="dxa"/>
            <w:left w:w="108" w:type="dxa"/>
            <w:bottom w:w="0" w:type="dxa"/>
            <w:right w:w="108" w:type="dxa"/>
          </w:tblCellMar>
        </w:tblPrEx>
        <w:trPr>
          <w:trHeight w:val="300" w:hRule="atLeast"/>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20103</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4.22</w:t>
            </w:r>
          </w:p>
        </w:tc>
        <w:tc>
          <w:tcPr>
            <w:tcW w:w="32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4.22</w:t>
            </w:r>
          </w:p>
        </w:tc>
        <w:tc>
          <w:tcPr>
            <w:tcW w:w="3358"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00" w:hRule="atLeast"/>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2010301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3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4.22</w:t>
            </w:r>
          </w:p>
        </w:tc>
        <w:tc>
          <w:tcPr>
            <w:tcW w:w="32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4.22</w:t>
            </w:r>
          </w:p>
        </w:tc>
        <w:tc>
          <w:tcPr>
            <w:tcW w:w="3358"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55" w:hRule="atLeast"/>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755.94</w:t>
            </w:r>
          </w:p>
        </w:tc>
        <w:tc>
          <w:tcPr>
            <w:tcW w:w="32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407.91</w:t>
            </w:r>
          </w:p>
        </w:tc>
        <w:tc>
          <w:tcPr>
            <w:tcW w:w="335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348.03</w:t>
            </w:r>
          </w:p>
        </w:tc>
      </w:tr>
      <w:tr>
        <w:tblPrEx>
          <w:tblCellMar>
            <w:top w:w="0" w:type="dxa"/>
            <w:left w:w="108" w:type="dxa"/>
            <w:bottom w:w="0" w:type="dxa"/>
            <w:right w:w="108" w:type="dxa"/>
          </w:tblCellMar>
        </w:tblPrEx>
        <w:trPr>
          <w:trHeight w:val="330" w:hRule="atLeast"/>
        </w:trPr>
        <w:tc>
          <w:tcPr>
            <w:tcW w:w="1067"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2013101</w:t>
            </w:r>
          </w:p>
        </w:tc>
        <w:tc>
          <w:tcPr>
            <w:tcW w:w="44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行政运行</w:t>
            </w:r>
          </w:p>
        </w:tc>
        <w:tc>
          <w:tcPr>
            <w:tcW w:w="325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407.91</w:t>
            </w:r>
          </w:p>
        </w:tc>
        <w:tc>
          <w:tcPr>
            <w:tcW w:w="32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407.91</w:t>
            </w:r>
          </w:p>
        </w:tc>
        <w:tc>
          <w:tcPr>
            <w:tcW w:w="3358" w:type="dxa"/>
            <w:tcBorders>
              <w:top w:val="nil"/>
              <w:left w:val="nil"/>
              <w:bottom w:val="single" w:color="auto" w:sz="4"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3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2013102</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348.03</w:t>
            </w:r>
          </w:p>
        </w:tc>
        <w:tc>
          <w:tcPr>
            <w:tcW w:w="3269"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348.03</w:t>
            </w:r>
          </w:p>
        </w:tc>
      </w:tr>
      <w:tr>
        <w:tblPrEx>
          <w:tblCellMar>
            <w:top w:w="0" w:type="dxa"/>
            <w:left w:w="108" w:type="dxa"/>
            <w:bottom w:w="0" w:type="dxa"/>
            <w:right w:w="108" w:type="dxa"/>
          </w:tblCellMar>
        </w:tblPrEx>
        <w:trPr>
          <w:trHeight w:val="31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204</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8.50</w:t>
            </w:r>
          </w:p>
        </w:tc>
        <w:tc>
          <w:tcPr>
            <w:tcW w:w="3269"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8.50</w:t>
            </w:r>
          </w:p>
        </w:tc>
      </w:tr>
      <w:tr>
        <w:tblPrEx>
          <w:tblCellMar>
            <w:top w:w="0" w:type="dxa"/>
            <w:left w:w="108" w:type="dxa"/>
            <w:bottom w:w="0" w:type="dxa"/>
            <w:right w:w="108" w:type="dxa"/>
          </w:tblCellMar>
        </w:tblPrEx>
        <w:trPr>
          <w:trHeight w:val="25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20499</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8.50</w:t>
            </w:r>
          </w:p>
        </w:tc>
        <w:tc>
          <w:tcPr>
            <w:tcW w:w="3269"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8.50</w:t>
            </w:r>
          </w:p>
        </w:tc>
      </w:tr>
      <w:tr>
        <w:tblPrEx>
          <w:tblCellMar>
            <w:top w:w="0" w:type="dxa"/>
            <w:left w:w="108" w:type="dxa"/>
            <w:bottom w:w="0" w:type="dxa"/>
            <w:right w:w="108" w:type="dxa"/>
          </w:tblCellMar>
        </w:tblPrEx>
        <w:trPr>
          <w:trHeight w:val="31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2049902</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国家司法救助支出</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3269"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2.00</w:t>
            </w:r>
          </w:p>
        </w:tc>
      </w:tr>
      <w:tr>
        <w:tblPrEx>
          <w:tblCellMar>
            <w:top w:w="0" w:type="dxa"/>
            <w:left w:w="108" w:type="dxa"/>
            <w:bottom w:w="0" w:type="dxa"/>
            <w:right w:w="108" w:type="dxa"/>
          </w:tblCellMar>
        </w:tblPrEx>
        <w:trPr>
          <w:trHeight w:val="34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2049999</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6.50</w:t>
            </w:r>
          </w:p>
        </w:tc>
        <w:tc>
          <w:tcPr>
            <w:tcW w:w="3269" w:type="dxa"/>
            <w:tcBorders>
              <w:top w:val="nil"/>
              <w:left w:val="nil"/>
              <w:bottom w:val="single" w:color="auto" w:sz="8" w:space="0"/>
              <w:right w:val="single" w:color="auto"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c>
          <w:tcPr>
            <w:tcW w:w="3358"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6.50</w:t>
            </w:r>
          </w:p>
        </w:tc>
      </w:tr>
      <w:tr>
        <w:tblPrEx>
          <w:tblCellMar>
            <w:top w:w="0" w:type="dxa"/>
            <w:left w:w="108" w:type="dxa"/>
            <w:bottom w:w="0" w:type="dxa"/>
            <w:right w:w="108" w:type="dxa"/>
          </w:tblCellMar>
        </w:tblPrEx>
        <w:trPr>
          <w:trHeight w:val="31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59.90</w:t>
            </w:r>
          </w:p>
        </w:tc>
        <w:tc>
          <w:tcPr>
            <w:tcW w:w="326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59.90</w:t>
            </w:r>
          </w:p>
        </w:tc>
        <w:tc>
          <w:tcPr>
            <w:tcW w:w="3358"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8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36.17</w:t>
            </w:r>
          </w:p>
        </w:tc>
        <w:tc>
          <w:tcPr>
            <w:tcW w:w="326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36.17</w:t>
            </w:r>
          </w:p>
        </w:tc>
        <w:tc>
          <w:tcPr>
            <w:tcW w:w="3358"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8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36.17</w:t>
            </w:r>
          </w:p>
        </w:tc>
        <w:tc>
          <w:tcPr>
            <w:tcW w:w="326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36.17</w:t>
            </w:r>
          </w:p>
        </w:tc>
        <w:tc>
          <w:tcPr>
            <w:tcW w:w="3358"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85"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20808</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抚恤</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20.73</w:t>
            </w:r>
          </w:p>
        </w:tc>
        <w:tc>
          <w:tcPr>
            <w:tcW w:w="326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20.73</w:t>
            </w:r>
          </w:p>
        </w:tc>
        <w:tc>
          <w:tcPr>
            <w:tcW w:w="3358"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30"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2080801</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死亡抚恤</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20.73</w:t>
            </w:r>
          </w:p>
        </w:tc>
        <w:tc>
          <w:tcPr>
            <w:tcW w:w="326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20.73</w:t>
            </w:r>
          </w:p>
        </w:tc>
        <w:tc>
          <w:tcPr>
            <w:tcW w:w="3358"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00" w:hRule="atLeast"/>
        </w:trPr>
        <w:tc>
          <w:tcPr>
            <w:tcW w:w="1067"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20899</w:t>
            </w:r>
          </w:p>
        </w:tc>
        <w:tc>
          <w:tcPr>
            <w:tcW w:w="44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25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3.00</w:t>
            </w:r>
          </w:p>
        </w:tc>
        <w:tc>
          <w:tcPr>
            <w:tcW w:w="3269"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3.00</w:t>
            </w:r>
          </w:p>
        </w:tc>
        <w:tc>
          <w:tcPr>
            <w:tcW w:w="3358" w:type="dxa"/>
            <w:tcBorders>
              <w:top w:val="nil"/>
              <w:left w:val="nil"/>
              <w:bottom w:val="single" w:color="auto" w:sz="8"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300" w:hRule="atLeast"/>
        </w:trPr>
        <w:tc>
          <w:tcPr>
            <w:tcW w:w="1067" w:type="dxa"/>
            <w:tcBorders>
              <w:top w:val="single" w:color="auto" w:sz="4" w:space="0"/>
              <w:left w:val="single" w:color="auto" w:sz="8"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2089999</w:t>
            </w:r>
          </w:p>
        </w:tc>
        <w:tc>
          <w:tcPr>
            <w:tcW w:w="4472" w:type="dxa"/>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254" w:type="dxa"/>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3.00</w:t>
            </w:r>
          </w:p>
        </w:tc>
        <w:tc>
          <w:tcPr>
            <w:tcW w:w="3269" w:type="dxa"/>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3.00</w:t>
            </w:r>
          </w:p>
        </w:tc>
        <w:tc>
          <w:tcPr>
            <w:tcW w:w="3358" w:type="dxa"/>
            <w:tcBorders>
              <w:top w:val="nil"/>
              <w:left w:val="nil"/>
              <w:bottom w:val="single" w:color="000000" w:sz="4" w:space="0"/>
              <w:right w:val="single" w:color="auto" w:sz="8"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70"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14.67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14.67</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8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21011</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14.67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eastAsiaTheme="minorEastAsia"/>
                <w:kern w:val="0"/>
                <w:sz w:val="21"/>
                <w:szCs w:val="21"/>
              </w:rPr>
            </w:pPr>
            <w:r>
              <w:rPr>
                <w:rFonts w:hint="eastAsia" w:ascii="宋体" w:hAnsi="宋体" w:eastAsia="宋体" w:cs="宋体"/>
                <w:i w:val="0"/>
                <w:iCs w:val="0"/>
                <w:color w:val="000000"/>
                <w:kern w:val="0"/>
                <w:sz w:val="22"/>
                <w:szCs w:val="22"/>
                <w:u w:val="none"/>
                <w:lang w:val="en-US" w:eastAsia="zh-CN" w:bidi="ar"/>
              </w:rPr>
              <w:t>14.67</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8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14.67</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14.67</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8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8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r>
      <w:tr>
        <w:tblPrEx>
          <w:tblCellMar>
            <w:top w:w="0" w:type="dxa"/>
            <w:left w:w="108" w:type="dxa"/>
            <w:bottom w:w="0" w:type="dxa"/>
            <w:right w:w="108" w:type="dxa"/>
          </w:tblCellMar>
        </w:tblPrEx>
        <w:trPr>
          <w:trHeight w:val="285"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26.40</w:t>
            </w:r>
          </w:p>
        </w:tc>
        <w:tc>
          <w:tcPr>
            <w:tcW w:w="3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cs="Times New Roman" w:eastAsiaTheme="minorEastAsia"/>
                <w:kern w:val="0"/>
                <w:sz w:val="21"/>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5022" w:type="pct"/>
        <w:jc w:val="center"/>
        <w:tblLayout w:type="fixed"/>
        <w:tblCellMar>
          <w:top w:w="0" w:type="dxa"/>
          <w:left w:w="108" w:type="dxa"/>
          <w:bottom w:w="0" w:type="dxa"/>
          <w:right w:w="108" w:type="dxa"/>
        </w:tblCellMar>
      </w:tblPr>
      <w:tblGrid>
        <w:gridCol w:w="1067"/>
        <w:gridCol w:w="3370"/>
        <w:gridCol w:w="858"/>
        <w:gridCol w:w="1110"/>
        <w:gridCol w:w="2235"/>
        <w:gridCol w:w="870"/>
        <w:gridCol w:w="1110"/>
        <w:gridCol w:w="4213"/>
        <w:gridCol w:w="850"/>
      </w:tblGrid>
      <w:tr>
        <w:tblPrEx>
          <w:tblCellMar>
            <w:top w:w="0" w:type="dxa"/>
            <w:left w:w="108" w:type="dxa"/>
            <w:bottom w:w="0" w:type="dxa"/>
            <w:right w:w="108" w:type="dxa"/>
          </w:tblCellMar>
        </w:tblPrEx>
        <w:trPr>
          <w:trHeight w:val="429" w:hRule="atLeast"/>
          <w:jc w:val="center"/>
        </w:trPr>
        <w:tc>
          <w:tcPr>
            <w:tcW w:w="5000" w:type="pct"/>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Cs w:val="32"/>
              </w:rPr>
            </w:pPr>
            <w:r>
              <w:rPr>
                <w:rFonts w:hint="eastAsia" w:ascii="华文中宋" w:hAnsi="华文中宋" w:eastAsia="华文中宋" w:cs="宋体"/>
                <w:b/>
                <w:bCs/>
                <w:color w:val="000000"/>
                <w:kern w:val="0"/>
                <w:sz w:val="32"/>
                <w:szCs w:val="32"/>
              </w:rPr>
              <w:br w:type="page"/>
            </w:r>
            <w:bookmarkStart w:id="2" w:name="RANGE!A1:I34"/>
            <w:r>
              <w:rPr>
                <w:rFonts w:hint="eastAsia" w:ascii="华文中宋" w:hAnsi="华文中宋" w:eastAsia="华文中宋" w:cs="宋体"/>
                <w:b/>
                <w:bCs/>
                <w:color w:val="000000"/>
                <w:kern w:val="0"/>
                <w:sz w:val="32"/>
                <w:szCs w:val="32"/>
              </w:rPr>
              <w:t>一般公共预算财政拨款基本支出决算明细表</w:t>
            </w:r>
            <w:bookmarkEnd w:id="2"/>
          </w:p>
        </w:tc>
      </w:tr>
      <w:tr>
        <w:tblPrEx>
          <w:tblCellMar>
            <w:top w:w="0" w:type="dxa"/>
            <w:left w:w="108" w:type="dxa"/>
            <w:bottom w:w="0" w:type="dxa"/>
            <w:right w:w="108" w:type="dxa"/>
          </w:tblCellMar>
        </w:tblPrEx>
        <w:trPr>
          <w:trHeight w:val="147" w:hRule="atLeast"/>
          <w:jc w:val="center"/>
        </w:trPr>
        <w:tc>
          <w:tcPr>
            <w:tcW w:w="5000" w:type="pct"/>
            <w:gridSpan w:val="9"/>
            <w:tcBorders>
              <w:top w:val="nil"/>
              <w:left w:val="nil"/>
              <w:bottom w:val="nil"/>
              <w:right w:val="nil"/>
            </w:tcBorders>
            <w:shd w:val="clear" w:color="auto" w:fill="auto"/>
            <w:noWrap/>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公开06表</w:t>
            </w:r>
          </w:p>
        </w:tc>
      </w:tr>
      <w:tr>
        <w:tblPrEx>
          <w:tblCellMar>
            <w:top w:w="0" w:type="dxa"/>
            <w:left w:w="108" w:type="dxa"/>
            <w:bottom w:w="0" w:type="dxa"/>
            <w:right w:w="108" w:type="dxa"/>
          </w:tblCellMar>
        </w:tblPrEx>
        <w:trPr>
          <w:trHeight w:val="212" w:hRule="atLeast"/>
          <w:jc w:val="center"/>
        </w:trPr>
        <w:tc>
          <w:tcPr>
            <w:tcW w:w="1688" w:type="pct"/>
            <w:gridSpan w:val="3"/>
            <w:tcBorders>
              <w:top w:val="nil"/>
              <w:left w:val="nil"/>
              <w:bottom w:val="single" w:color="auto" w:sz="4" w:space="0"/>
              <w:right w:val="nil"/>
            </w:tcBorders>
            <w:shd w:val="clear" w:color="auto" w:fill="auto"/>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部门：</w:t>
            </w:r>
            <w:r>
              <w:rPr>
                <w:rFonts w:hint="eastAsia" w:ascii="Times New Roman" w:hAnsi="Times New Roman" w:cs="Times New Roman"/>
                <w:color w:val="000000"/>
                <w:kern w:val="0"/>
                <w:sz w:val="21"/>
                <w:szCs w:val="21"/>
                <w:lang w:eastAsia="zh-CN"/>
              </w:rPr>
              <w:t>中国共产党祁阳市委员会政法委员会</w:t>
            </w:r>
          </w:p>
        </w:tc>
        <w:tc>
          <w:tcPr>
            <w:tcW w:w="353"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p>
        </w:tc>
        <w:tc>
          <w:tcPr>
            <w:tcW w:w="712"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p>
        </w:tc>
        <w:tc>
          <w:tcPr>
            <w:tcW w:w="277"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p>
        </w:tc>
        <w:tc>
          <w:tcPr>
            <w:tcW w:w="353" w:type="pct"/>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p>
        </w:tc>
        <w:tc>
          <w:tcPr>
            <w:tcW w:w="1614" w:type="pct"/>
            <w:gridSpan w:val="2"/>
            <w:tcBorders>
              <w:top w:val="nil"/>
              <w:left w:val="nil"/>
              <w:bottom w:val="single" w:color="auto" w:sz="4" w:space="0"/>
              <w:right w:val="nil"/>
            </w:tcBorders>
            <w:shd w:val="clear" w:color="auto" w:fill="auto"/>
            <w:vAlign w:val="center"/>
          </w:tcPr>
          <w:p>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tblPrEx>
          <w:tblCellMar>
            <w:top w:w="0" w:type="dxa"/>
            <w:left w:w="108" w:type="dxa"/>
            <w:bottom w:w="0" w:type="dxa"/>
            <w:right w:w="108" w:type="dxa"/>
          </w:tblCellMar>
        </w:tblPrEx>
        <w:trPr>
          <w:trHeight w:val="404" w:hRule="atLeast"/>
          <w:jc w:val="center"/>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r>
      <w:tr>
        <w:tblPrEx>
          <w:tblCellMar>
            <w:top w:w="0" w:type="dxa"/>
            <w:left w:w="108" w:type="dxa"/>
            <w:bottom w:w="0" w:type="dxa"/>
            <w:right w:w="108" w:type="dxa"/>
          </w:tblCellMar>
        </w:tblPrEx>
        <w:trPr>
          <w:trHeight w:val="284" w:hRule="exact"/>
          <w:jc w:val="center"/>
        </w:trPr>
        <w:tc>
          <w:tcPr>
            <w:tcW w:w="10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w:t>
            </w:r>
          </w:p>
        </w:tc>
        <w:tc>
          <w:tcPr>
            <w:tcW w:w="337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工资福利支出</w:t>
            </w:r>
          </w:p>
        </w:tc>
        <w:tc>
          <w:tcPr>
            <w:tcW w:w="8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374.68</w:t>
            </w:r>
          </w:p>
        </w:tc>
        <w:tc>
          <w:tcPr>
            <w:tcW w:w="111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w:t>
            </w:r>
          </w:p>
        </w:tc>
        <w:tc>
          <w:tcPr>
            <w:tcW w:w="2235"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商品和服务支出</w:t>
            </w:r>
          </w:p>
        </w:tc>
        <w:tc>
          <w:tcPr>
            <w:tcW w:w="87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105.88</w:t>
            </w:r>
          </w:p>
        </w:tc>
        <w:tc>
          <w:tcPr>
            <w:tcW w:w="111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w:t>
            </w:r>
          </w:p>
        </w:tc>
        <w:tc>
          <w:tcPr>
            <w:tcW w:w="4213"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债务利息及费用支出</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30101</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基本工资</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117.28</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30201</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16.10</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30701</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国内债务付息</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30102</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津贴补贴</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93.61</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30202</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印刷费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16.72</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30702</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国外债务付息</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30103</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奖金</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83.54</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30203</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咨询费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资本性支出</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rPr>
              <w:t>　</w:t>
            </w:r>
            <w:r>
              <w:rPr>
                <w:rFonts w:hint="eastAsia" w:ascii="Times New Roman" w:hAnsi="Times New Roman" w:cs="Times New Roman"/>
                <w:color w:val="000000"/>
                <w:kern w:val="0"/>
                <w:sz w:val="21"/>
                <w:szCs w:val="21"/>
                <w:lang w:val="en-US" w:eastAsia="zh-CN"/>
              </w:rPr>
              <w:t>4.99</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30106</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伙食补助费</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30204</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手续费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31001</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房屋建筑物购建</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30107</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绩效工资</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30205</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水费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31002</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办公设备购置</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lang w:val="en-US" w:eastAsia="zh-CN"/>
              </w:rPr>
            </w:pPr>
            <w:r>
              <w:rPr>
                <w:rFonts w:hint="default" w:ascii="Times New Roman" w:hAnsi="Times New Roman" w:cs="Times New Roman" w:eastAsiaTheme="minorEastAsia"/>
                <w:color w:val="000000"/>
                <w:kern w:val="0"/>
                <w:sz w:val="21"/>
                <w:szCs w:val="21"/>
              </w:rPr>
              <w:t>　</w:t>
            </w:r>
            <w:r>
              <w:rPr>
                <w:rFonts w:hint="eastAsia" w:ascii="Times New Roman" w:hAnsi="Times New Roman" w:cs="Times New Roman"/>
                <w:color w:val="000000"/>
                <w:kern w:val="0"/>
                <w:sz w:val="21"/>
                <w:szCs w:val="21"/>
                <w:lang w:val="en-US" w:eastAsia="zh-CN"/>
              </w:rPr>
              <w:t>4.99</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30108</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机关事业单位基本养老保险缴费</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36.17</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30206</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电费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31003</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专用设备购置</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30109</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职业年金缴费</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30207</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邮电费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0.85</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31005</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基础设施建设</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30110</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职工基本医疗保险缴费</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14.67</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30208</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取暖费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31006</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大型修缮</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30111</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公务员医疗补助缴费</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30209</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物业管理费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31007</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信息网络及软件购置更新</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30112</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其他社会保障缴费</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3.00</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30211</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差旅费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19.04</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31008</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物资储备</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30113</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住房公积金</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26.40</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30212</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因公出国（境）费用</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31009</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土地补偿</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30114</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30213</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维修（护）费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3.23</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31010</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安置补助</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30199</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其他工资福利支出</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30214</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租赁费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31011</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地上附着物和青苗补偿</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对个人和家庭的补助</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27.55</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30215</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会议费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1.14</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31012</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拆迁补偿</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30301</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离休费</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30216</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培训费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1.63</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31013</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公务用车购置</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30302</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退休费</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30217</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公务接待费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1.51</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31019</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其他交通工具购置</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30303</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退职（役）费</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30218</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专用材料费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31021</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文物和陈列品购置</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30304</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抚恤金</w:t>
            </w:r>
          </w:p>
        </w:tc>
        <w:tc>
          <w:tcPr>
            <w:tcW w:w="85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20.73</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30224</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被装购置费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31022</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无形资产购置</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30305</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生活补助</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30225</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专用燃料费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31099</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其他资本性支出</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30306</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救济费</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30226</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劳务费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5.61</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其他支出</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30307</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医疗费补助</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30227</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委托业务费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39906</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赠与</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30308</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助学金</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30228</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工会经费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13.25</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39907</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国家赔偿费用支出</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30309</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奖励金</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30229</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福利费</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12.75</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39908</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对民间非营利组织和群众性自治组织补贴</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30310</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个人农业生产补贴</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30231</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公务用车运行维护费</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39999</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其他支出</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30311</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代缴社会保险费</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30239</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其他交通费用</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4.69</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30399</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其他对个人和家庭的补助</w:t>
            </w:r>
          </w:p>
        </w:tc>
        <w:tc>
          <w:tcPr>
            <w:tcW w:w="858"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6.82</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30240</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税金及附加费用</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106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337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8" w:type="dxa"/>
            <w:tcBorders>
              <w:top w:val="nil"/>
              <w:left w:val="nil"/>
              <w:bottom w:val="single" w:color="000000" w:sz="4" w:space="0"/>
              <w:right w:val="single" w:color="auto" w:sz="4" w:space="0"/>
            </w:tcBorders>
            <w:shd w:val="clear" w:color="auto" w:fill="auto"/>
            <w:noWrap/>
            <w:vAlign w:val="center"/>
          </w:tcPr>
          <w:p>
            <w:pPr>
              <w:jc w:val="right"/>
              <w:rPr>
                <w:rFonts w:hint="default" w:ascii="Times New Roman" w:hAnsi="Times New Roman" w:cs="Times New Roman" w:eastAsiaTheme="minorEastAsia"/>
                <w:color w:val="000000"/>
                <w:kern w:val="0"/>
                <w:sz w:val="21"/>
                <w:szCs w:val="21"/>
              </w:rPr>
            </w:pP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30299</w:t>
            </w:r>
          </w:p>
        </w:tc>
        <w:tc>
          <w:tcPr>
            <w:tcW w:w="223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其他商品和服务支出</w:t>
            </w:r>
          </w:p>
        </w:tc>
        <w:tc>
          <w:tcPr>
            <w:tcW w:w="87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9.37</w:t>
            </w:r>
          </w:p>
        </w:tc>
        <w:tc>
          <w:tcPr>
            <w:tcW w:w="1110"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850" w:type="dxa"/>
            <w:tcBorders>
              <w:top w:val="nil"/>
              <w:left w:val="nil"/>
              <w:bottom w:val="single" w:color="000000" w:sz="4" w:space="0"/>
              <w:right w:val="single" w:color="auto" w:sz="4" w:space="0"/>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5" w:hRule="exact"/>
          <w:jc w:val="center"/>
        </w:trPr>
        <w:tc>
          <w:tcPr>
            <w:tcW w:w="1414"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人员经费合计</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auto"/>
              <w:rPr>
                <w:rFonts w:hint="default" w:ascii="Times New Roman" w:hAnsi="Times New Roman" w:cs="Times New Roman" w:eastAsiaTheme="minorEastAsia"/>
                <w:color w:val="000000"/>
                <w:kern w:val="0"/>
                <w:sz w:val="21"/>
                <w:szCs w:val="21"/>
                <w:lang w:val="en-US" w:eastAsia="zh-CN"/>
              </w:rPr>
            </w:pPr>
            <w:r>
              <w:rPr>
                <w:rFonts w:hint="eastAsia" w:ascii="Times New Roman" w:hAnsi="Times New Roman" w:cs="Times New Roman"/>
                <w:color w:val="000000"/>
                <w:kern w:val="0"/>
                <w:sz w:val="21"/>
                <w:szCs w:val="21"/>
                <w:lang w:val="en-US" w:eastAsia="zh-CN"/>
              </w:rPr>
              <w:t>402.23</w:t>
            </w:r>
          </w:p>
        </w:tc>
        <w:tc>
          <w:tcPr>
            <w:tcW w:w="3040" w:type="pct"/>
            <w:gridSpan w:val="5"/>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公用经费合计</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textAlignment w:val="auto"/>
              <w:rPr>
                <w:rFonts w:hint="default" w:ascii="Times New Roman" w:hAnsi="Times New Roman" w:cs="Times New Roman" w:eastAsiaTheme="minorEastAsia"/>
                <w:color w:val="000000"/>
                <w:kern w:val="0"/>
                <w:sz w:val="21"/>
                <w:szCs w:val="21"/>
              </w:rPr>
            </w:pPr>
            <w:r>
              <w:rPr>
                <w:rFonts w:hint="eastAsia" w:ascii="Times New Roman" w:hAnsi="Times New Roman" w:cs="Times New Roman"/>
                <w:color w:val="000000"/>
                <w:kern w:val="0"/>
                <w:sz w:val="21"/>
                <w:szCs w:val="21"/>
                <w:lang w:val="en-US" w:eastAsia="zh-CN"/>
              </w:rPr>
              <w:t>110.87</w:t>
            </w:r>
            <w:r>
              <w:rPr>
                <w:rFonts w:hint="default" w:ascii="Times New Roman" w:hAnsi="Times New Roman" w:cs="Times New Roman" w:eastAsiaTheme="minorEastAsia"/>
                <w:color w:val="000000"/>
                <w:kern w:val="0"/>
                <w:sz w:val="21"/>
                <w:szCs w:val="21"/>
              </w:rPr>
              <w:t>　</w:t>
            </w:r>
          </w:p>
        </w:tc>
      </w:tr>
      <w:tr>
        <w:tblPrEx>
          <w:tblCellMar>
            <w:top w:w="0" w:type="dxa"/>
            <w:left w:w="108" w:type="dxa"/>
            <w:bottom w:w="0" w:type="dxa"/>
            <w:right w:w="108" w:type="dxa"/>
          </w:tblCellMar>
        </w:tblPrEx>
        <w:trPr>
          <w:trHeight w:val="284" w:hRule="exact"/>
          <w:jc w:val="center"/>
        </w:trPr>
        <w:tc>
          <w:tcPr>
            <w:tcW w:w="5000" w:type="pct"/>
            <w:gridSpan w:val="9"/>
            <w:tcBorders>
              <w:top w:val="nil"/>
              <w:left w:val="nil"/>
              <w:bottom w:val="nil"/>
              <w:right w:val="nil"/>
            </w:tcBorders>
            <w:shd w:val="clear" w:color="auto" w:fill="auto"/>
            <w:noWrap/>
            <w:vAlign w:val="center"/>
          </w:tcPr>
          <w:p>
            <w:pPr>
              <w:widowControl/>
              <w:jc w:val="left"/>
              <w:rPr>
                <w:rFonts w:hint="default" w:ascii="Times New Roman" w:hAnsi="Times New Roman" w:cs="Times New Roman" w:eastAsiaTheme="minorEastAsia"/>
                <w:color w:val="000000"/>
                <w:kern w:val="0"/>
                <w:sz w:val="21"/>
                <w:szCs w:val="21"/>
              </w:rPr>
            </w:pPr>
            <w:r>
              <w:rPr>
                <w:rFonts w:hint="eastAsia" w:ascii="仿宋" w:hAnsi="仿宋" w:eastAsia="仿宋" w:cs="仿宋"/>
                <w:color w:val="000000"/>
                <w:kern w:val="0"/>
                <w:sz w:val="21"/>
                <w:szCs w:val="21"/>
              </w:rPr>
              <w:t>注：本表反映部门本年度一般公共预算财政拨款基本支出明细情况。</w:t>
            </w:r>
          </w:p>
        </w:tc>
      </w:tr>
    </w:tbl>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jc w:val="center"/>
        <w:rPr>
          <w:rFonts w:cs="Times New Roman" w:asciiTheme="minorEastAsia" w:hAnsiTheme="minorEastAsia"/>
          <w:color w:val="000000"/>
          <w:kern w:val="0"/>
          <w:szCs w:val="21"/>
        </w:rPr>
      </w:pPr>
      <w:r>
        <w:rPr>
          <w:rFonts w:hint="eastAsia" w:ascii="华文中宋" w:hAnsi="华文中宋" w:eastAsia="华文中宋" w:cs="宋体"/>
          <w:b/>
          <w:bCs/>
          <w:color w:val="000000"/>
          <w:kern w:val="0"/>
          <w:sz w:val="32"/>
          <w:szCs w:val="32"/>
        </w:rPr>
        <w:t xml:space="preserve">政府性基金预算财政拨款收入支出决算表  </w:t>
      </w:r>
      <w:r>
        <w:rPr>
          <w:rFonts w:cs="Times New Roman" w:asciiTheme="minorEastAsia" w:hAnsiTheme="minorEastAsia"/>
          <w:color w:val="000000"/>
          <w:kern w:val="0"/>
          <w:szCs w:val="21"/>
        </w:rPr>
        <w:t xml:space="preserve">     </w:t>
      </w:r>
    </w:p>
    <w:p>
      <w:pPr>
        <w:widowControl/>
        <w:jc w:val="center"/>
        <w:rPr>
          <w:rFonts w:cs="Times New Roman" w:asciiTheme="minorEastAsia" w:hAnsiTheme="minorEastAsia"/>
          <w:color w:val="000000"/>
          <w:kern w:val="0"/>
          <w:szCs w:val="21"/>
        </w:rPr>
      </w:pPr>
      <w:r>
        <w:rPr>
          <w:rFonts w:cs="Times New Roman" w:asciiTheme="minorEastAsia" w:hAnsiTheme="minorEastAsia"/>
          <w:color w:val="000000"/>
          <w:kern w:val="0"/>
          <w:szCs w:val="21"/>
        </w:rPr>
        <w:t xml:space="preserve">                                                                                                          </w:t>
      </w:r>
    </w:p>
    <w:tbl>
      <w:tblPr>
        <w:tblStyle w:val="11"/>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4"/>
        <w:gridCol w:w="3932"/>
        <w:gridCol w:w="1719"/>
        <w:gridCol w:w="1719"/>
        <w:gridCol w:w="1713"/>
        <w:gridCol w:w="1719"/>
        <w:gridCol w:w="1732"/>
        <w:gridCol w:w="17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widowControl/>
              <w:jc w:val="center"/>
              <w:rPr>
                <w:rFonts w:cs="Times New Roman" w:asciiTheme="minorEastAsia" w:hAnsiTheme="minorEastAsia"/>
                <w:b/>
                <w:kern w:val="0"/>
                <w:szCs w:val="21"/>
              </w:rPr>
            </w:pPr>
          </w:p>
        </w:tc>
        <w:tc>
          <w:tcPr>
            <w:tcW w:w="557" w:type="pct"/>
            <w:tcBorders>
              <w:top w:val="nil"/>
              <w:left w:val="nil"/>
              <w:bottom w:val="nil"/>
              <w:right w:val="nil"/>
            </w:tcBorders>
            <w:shd w:val="clear" w:color="auto" w:fill="auto"/>
            <w:vAlign w:val="center"/>
          </w:tcPr>
          <w:p>
            <w:pPr>
              <w:widowControl/>
              <w:jc w:val="center"/>
              <w:rPr>
                <w:rFonts w:cs="Times New Roman" w:asciiTheme="minorEastAsia" w:hAnsiTheme="minorEastAsia"/>
                <w:b/>
                <w:kern w:val="0"/>
                <w:szCs w:val="21"/>
              </w:rPr>
            </w:pPr>
          </w:p>
        </w:tc>
        <w:tc>
          <w:tcPr>
            <w:tcW w:w="557" w:type="pct"/>
            <w:tcBorders>
              <w:top w:val="nil"/>
              <w:left w:val="nil"/>
              <w:bottom w:val="nil"/>
              <w:right w:val="nil"/>
            </w:tcBorders>
            <w:shd w:val="clear" w:color="auto" w:fill="auto"/>
            <w:vAlign w:val="center"/>
          </w:tcPr>
          <w:p>
            <w:pPr>
              <w:widowControl/>
              <w:jc w:val="center"/>
              <w:rPr>
                <w:rFonts w:cs="Times New Roman" w:asciiTheme="minorEastAsia" w:hAnsiTheme="minorEastAsia"/>
                <w:b/>
                <w:kern w:val="0"/>
                <w:szCs w:val="21"/>
              </w:rPr>
            </w:pPr>
          </w:p>
        </w:tc>
        <w:tc>
          <w:tcPr>
            <w:tcW w:w="1673" w:type="pct"/>
            <w:gridSpan w:val="3"/>
            <w:tcBorders>
              <w:top w:val="nil"/>
              <w:left w:val="nil"/>
              <w:bottom w:val="nil"/>
              <w:right w:val="nil"/>
            </w:tcBorders>
            <w:shd w:val="clear" w:color="auto" w:fill="auto"/>
            <w:vAlign w:val="center"/>
          </w:tcPr>
          <w:p>
            <w:pPr>
              <w:widowControl/>
              <w:jc w:val="center"/>
              <w:rPr>
                <w:rFonts w:cs="Times New Roman" w:asciiTheme="minorEastAsia" w:hAnsiTheme="minorEastAsia"/>
                <w:b/>
                <w:kern w:val="0"/>
                <w:szCs w:val="21"/>
              </w:rPr>
            </w:pPr>
          </w:p>
        </w:tc>
        <w:tc>
          <w:tcPr>
            <w:tcW w:w="561" w:type="pct"/>
            <w:tcBorders>
              <w:top w:val="nil"/>
              <w:left w:val="nil"/>
              <w:bottom w:val="nil"/>
              <w:right w:val="nil"/>
            </w:tcBorders>
            <w:shd w:val="clear" w:color="auto" w:fill="auto"/>
            <w:vAlign w:val="center"/>
          </w:tcPr>
          <w:p>
            <w:pPr>
              <w:widowControl/>
              <w:jc w:val="right"/>
              <w:rPr>
                <w:rFonts w:cs="Times New Roman" w:asciiTheme="minorEastAsia" w:hAnsiTheme="minorEastAsia"/>
                <w:b/>
                <w:kern w:val="0"/>
                <w:szCs w:val="21"/>
              </w:rPr>
            </w:pPr>
            <w:r>
              <w:rPr>
                <w:rFonts w:cs="Times New Roman" w:asciiTheme="minorEastAsia" w:hAnsiTheme="minorEastAsia"/>
                <w:color w:val="000000"/>
                <w:kern w:val="0"/>
                <w:szCs w:val="21"/>
              </w:rPr>
              <w:t>公开0</w:t>
            </w:r>
            <w:r>
              <w:rPr>
                <w:rFonts w:hint="eastAsia" w:cs="Times New Roman" w:asciiTheme="minorEastAsia" w:hAnsiTheme="minorEastAsia"/>
                <w:color w:val="000000"/>
                <w:kern w:val="0"/>
                <w:szCs w:val="21"/>
                <w:lang w:val="en-US" w:eastAsia="zh-CN"/>
              </w:rPr>
              <w:t>7</w:t>
            </w:r>
            <w:r>
              <w:rPr>
                <w:rFonts w:cs="Times New Roman" w:asciiTheme="minorEastAsia" w:hAnsiTheme="minorEastAsia"/>
                <w:color w:val="000000"/>
                <w:kern w:val="0"/>
                <w:szCs w:val="21"/>
              </w:rPr>
              <w:t>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widowControl/>
              <w:jc w:val="left"/>
              <w:rPr>
                <w:rFonts w:cs="Times New Roman" w:asciiTheme="minorEastAsia" w:hAnsiTheme="minorEastAsia"/>
                <w:b/>
                <w:kern w:val="0"/>
                <w:szCs w:val="21"/>
              </w:rPr>
            </w:pPr>
            <w:r>
              <w:rPr>
                <w:rFonts w:cs="Times New Roman" w:asciiTheme="minorEastAsia" w:hAnsiTheme="minorEastAsia"/>
                <w:color w:val="000000"/>
                <w:kern w:val="0"/>
                <w:szCs w:val="21"/>
              </w:rPr>
              <w:t>部门：</w:t>
            </w:r>
            <w:r>
              <w:rPr>
                <w:rFonts w:hint="eastAsia" w:ascii="Times New Roman" w:hAnsi="Times New Roman" w:cs="Times New Roman"/>
                <w:color w:val="000000"/>
                <w:kern w:val="0"/>
                <w:sz w:val="21"/>
                <w:szCs w:val="21"/>
                <w:lang w:eastAsia="zh-CN"/>
              </w:rPr>
              <w:t>中国共产党祁阳市委员会政法委员会</w:t>
            </w:r>
          </w:p>
        </w:tc>
        <w:tc>
          <w:tcPr>
            <w:tcW w:w="557" w:type="pct"/>
            <w:tcBorders>
              <w:top w:val="nil"/>
              <w:left w:val="nil"/>
              <w:bottom w:val="single" w:color="auto" w:sz="4" w:space="0"/>
              <w:right w:val="nil"/>
            </w:tcBorders>
            <w:shd w:val="clear" w:color="auto" w:fill="auto"/>
            <w:vAlign w:val="center"/>
          </w:tcPr>
          <w:p>
            <w:pPr>
              <w:widowControl/>
              <w:jc w:val="center"/>
              <w:rPr>
                <w:rFonts w:cs="Times New Roman" w:asciiTheme="minorEastAsia" w:hAnsiTheme="minorEastAsia"/>
                <w:b/>
                <w:kern w:val="0"/>
                <w:szCs w:val="21"/>
              </w:rPr>
            </w:pPr>
          </w:p>
        </w:tc>
        <w:tc>
          <w:tcPr>
            <w:tcW w:w="557" w:type="pct"/>
            <w:tcBorders>
              <w:top w:val="nil"/>
              <w:left w:val="nil"/>
              <w:bottom w:val="single" w:color="auto" w:sz="4" w:space="0"/>
              <w:right w:val="nil"/>
            </w:tcBorders>
            <w:shd w:val="clear" w:color="auto" w:fill="auto"/>
            <w:vAlign w:val="center"/>
          </w:tcPr>
          <w:p>
            <w:pPr>
              <w:widowControl/>
              <w:jc w:val="center"/>
              <w:rPr>
                <w:rFonts w:cs="Times New Roman" w:asciiTheme="minorEastAsia" w:hAnsiTheme="minorEastAsia"/>
                <w:b/>
                <w:kern w:val="0"/>
                <w:szCs w:val="21"/>
              </w:rPr>
            </w:pPr>
          </w:p>
        </w:tc>
        <w:tc>
          <w:tcPr>
            <w:tcW w:w="1673" w:type="pct"/>
            <w:gridSpan w:val="3"/>
            <w:tcBorders>
              <w:top w:val="nil"/>
              <w:left w:val="nil"/>
              <w:bottom w:val="single" w:color="auto" w:sz="4" w:space="0"/>
              <w:right w:val="nil"/>
            </w:tcBorders>
            <w:shd w:val="clear" w:color="auto" w:fill="auto"/>
            <w:vAlign w:val="center"/>
          </w:tcPr>
          <w:p>
            <w:pPr>
              <w:widowControl/>
              <w:jc w:val="center"/>
              <w:rPr>
                <w:rFonts w:cs="Times New Roman" w:asciiTheme="minorEastAsia" w:hAnsiTheme="minorEastAsia"/>
                <w:b/>
                <w:kern w:val="0"/>
                <w:szCs w:val="21"/>
              </w:rPr>
            </w:pPr>
          </w:p>
        </w:tc>
        <w:tc>
          <w:tcPr>
            <w:tcW w:w="561" w:type="pct"/>
            <w:tcBorders>
              <w:top w:val="nil"/>
              <w:left w:val="nil"/>
              <w:bottom w:val="single" w:color="auto" w:sz="4" w:space="0"/>
              <w:right w:val="nil"/>
            </w:tcBorders>
            <w:shd w:val="clear" w:color="auto" w:fill="auto"/>
            <w:vAlign w:val="center"/>
          </w:tcPr>
          <w:p>
            <w:pPr>
              <w:widowControl/>
              <w:jc w:val="right"/>
              <w:rPr>
                <w:rFonts w:cs="Times New Roman" w:asciiTheme="minorEastAsia" w:hAnsiTheme="minorEastAsia"/>
                <w:b/>
                <w:kern w:val="0"/>
                <w:szCs w:val="21"/>
              </w:rPr>
            </w:pPr>
            <w:r>
              <w:rPr>
                <w:rFonts w:cs="Times New Roman" w:asciiTheme="minorEastAsia" w:hAnsiTheme="minorEastAsia"/>
                <w:color w:val="000000"/>
                <w:kern w:val="0"/>
                <w:szCs w:val="21"/>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项 </w:t>
            </w:r>
            <w:r>
              <w:rPr>
                <w:rFonts w:cs="Times New Roman" w:asciiTheme="minorEastAsia" w:hAnsiTheme="minorEastAsia"/>
                <w:b/>
                <w:color w:val="000000"/>
                <w:kern w:val="0"/>
                <w:szCs w:val="21"/>
              </w:rPr>
              <w:t xml:space="preserve">   </w:t>
            </w:r>
            <w:r>
              <w:rPr>
                <w:rFonts w:cs="Times New Roman" w:asciiTheme="minorEastAsia" w:hAnsiTheme="minorEastAsia"/>
                <w:b/>
                <w:kern w:val="0"/>
                <w:szCs w:val="21"/>
              </w:rPr>
              <w:t>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功能分类科目编码</w:t>
            </w:r>
          </w:p>
        </w:tc>
        <w:tc>
          <w:tcPr>
            <w:tcW w:w="1273"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科目名称</w:t>
            </w:r>
          </w:p>
        </w:tc>
        <w:tc>
          <w:tcPr>
            <w:tcW w:w="55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b/>
                <w:kern w:val="0"/>
                <w:szCs w:val="21"/>
              </w:rPr>
            </w:pPr>
          </w:p>
        </w:tc>
        <w:tc>
          <w:tcPr>
            <w:tcW w:w="55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b/>
                <w:kern w:val="0"/>
                <w:szCs w:val="21"/>
              </w:rPr>
            </w:pPr>
          </w:p>
        </w:tc>
        <w:tc>
          <w:tcPr>
            <w:tcW w:w="555"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小计</w:t>
            </w:r>
          </w:p>
        </w:tc>
        <w:tc>
          <w:tcPr>
            <w:tcW w:w="557"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 xml:space="preserve">基本支出  </w:t>
            </w:r>
          </w:p>
        </w:tc>
        <w:tc>
          <w:tcPr>
            <w:tcW w:w="560" w:type="pct"/>
            <w:vMerge w:val="restart"/>
            <w:tcBorders>
              <w:top w:val="single" w:color="auto" w:sz="4" w:space="0"/>
              <w:bottom w:val="single" w:color="auto" w:sz="4" w:space="0"/>
            </w:tcBorders>
            <w:shd w:val="clear" w:color="auto" w:fill="auto"/>
            <w:vAlign w:val="center"/>
          </w:tcPr>
          <w:p>
            <w:pPr>
              <w:widowControl/>
              <w:jc w:val="center"/>
              <w:rPr>
                <w:rFonts w:cs="Times New Roman" w:asciiTheme="minorEastAsia" w:hAnsiTheme="minorEastAsia"/>
                <w:b/>
                <w:kern w:val="0"/>
                <w:szCs w:val="21"/>
              </w:rPr>
            </w:pPr>
            <w:r>
              <w:rPr>
                <w:rFonts w:cs="Times New Roman" w:asciiTheme="minorEastAsia" w:hAnsiTheme="minorEastAsia"/>
                <w:b/>
                <w:kern w:val="0"/>
                <w:szCs w:val="21"/>
              </w:rPr>
              <w:t>项目支出</w:t>
            </w: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cs="Times New Roman" w:asciiTheme="minorEastAsia" w:hAnsiTheme="minorEastAsia"/>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1273"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5"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60"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1273"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5"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57"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60" w:type="pct"/>
            <w:vMerge w:val="continue"/>
            <w:tcBorders>
              <w:top w:val="single" w:color="auto" w:sz="4" w:space="0"/>
              <w:bottom w:val="single" w:color="auto" w:sz="4" w:space="0"/>
            </w:tcBorders>
            <w:vAlign w:val="center"/>
          </w:tcPr>
          <w:p>
            <w:pPr>
              <w:widowControl/>
              <w:jc w:val="left"/>
              <w:rPr>
                <w:rFonts w:cs="Times New Roman" w:asciiTheme="minorEastAsia" w:hAnsiTheme="minorEastAsia"/>
                <w:kern w:val="0"/>
                <w:szCs w:val="21"/>
              </w:rPr>
            </w:pPr>
          </w:p>
        </w:tc>
        <w:tc>
          <w:tcPr>
            <w:tcW w:w="561" w:type="pct"/>
            <w:vMerge w:val="continue"/>
            <w:tcBorders>
              <w:top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栏次</w:t>
            </w:r>
          </w:p>
        </w:tc>
        <w:tc>
          <w:tcPr>
            <w:tcW w:w="557" w:type="pct"/>
            <w:tcBorders>
              <w:top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557" w:type="pct"/>
            <w:tcBorders>
              <w:top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555" w:type="pct"/>
            <w:tcBorders>
              <w:top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557" w:type="pct"/>
            <w:tcBorders>
              <w:top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560" w:type="pct"/>
            <w:tcBorders>
              <w:top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561" w:type="pct"/>
            <w:tcBorders>
              <w:top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3348" w:type="pct"/>
            <w:gridSpan w:val="6"/>
            <w:shd w:val="clear" w:color="auto" w:fill="auto"/>
            <w:vAlign w:val="center"/>
          </w:tcPr>
          <w:p>
            <w:pPr>
              <w:widowControl/>
              <w:jc w:val="center"/>
              <w:rPr>
                <w:rFonts w:cs="Times New Roman" w:asciiTheme="minorEastAsia" w:hAnsiTheme="minorEastAsia"/>
                <w:kern w:val="0"/>
                <w:szCs w:val="21"/>
              </w:rPr>
            </w:pPr>
            <w:r>
              <w:rPr>
                <w:rFonts w:hint="eastAsia" w:cs="Times New Roman" w:asciiTheme="minorEastAsia" w:hAnsiTheme="minorEastAsia"/>
                <w:color w:val="auto"/>
                <w:kern w:val="0"/>
                <w:szCs w:val="21"/>
                <w:lang w:eastAsia="zh-CN"/>
              </w:rPr>
              <w:t>本</w:t>
            </w:r>
            <w:r>
              <w:rPr>
                <w:rFonts w:hint="eastAsia" w:cs="Times New Roman" w:asciiTheme="minorEastAsia" w:hAnsiTheme="minorEastAsia"/>
                <w:color w:val="auto"/>
                <w:kern w:val="0"/>
                <w:szCs w:val="21"/>
              </w:rPr>
              <w:t>单位没有政府性基金收入，也没有使用政府性基金安排的支出，故本表无数据</w:t>
            </w:r>
            <w:r>
              <w:rPr>
                <w:rFonts w:hint="eastAsia" w:cs="Times New Roman" w:asciiTheme="minorEastAsia" w:hAnsiTheme="minorEastAsia"/>
                <w:color w:val="auto"/>
                <w:kern w:val="0"/>
                <w:szCs w:val="21"/>
                <w:lang w:eastAsia="zh-CN"/>
              </w:rPr>
              <w:t>。</w:t>
            </w: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0"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0"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0"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0"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0"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7" w:type="pct"/>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　</w:t>
            </w:r>
          </w:p>
        </w:tc>
        <w:tc>
          <w:tcPr>
            <w:tcW w:w="1273"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5"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57"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0"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c>
          <w:tcPr>
            <w:tcW w:w="561" w:type="pct"/>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　</w:t>
            </w:r>
          </w:p>
        </w:tc>
      </w:tr>
    </w:tbl>
    <w:p>
      <w:pPr>
        <w:widowControl/>
        <w:jc w:val="left"/>
        <w:rPr>
          <w:rFonts w:hint="eastAsia" w:cs="Times New Roman" w:asciiTheme="minorEastAsia" w:hAnsiTheme="minorEastAsia" w:eastAsiaTheme="minorEastAsia"/>
          <w:kern w:val="0"/>
          <w:sz w:val="24"/>
          <w:szCs w:val="24"/>
          <w:lang w:eastAsia="zh-CN"/>
        </w:rPr>
      </w:pPr>
      <w:r>
        <w:rPr>
          <w:rFonts w:cs="Times New Roman" w:asciiTheme="minorEastAsia" w:hAnsiTheme="minorEastAsia"/>
          <w:kern w:val="0"/>
          <w:sz w:val="24"/>
          <w:szCs w:val="24"/>
        </w:rPr>
        <w:t>注：本表反映部门本年度政府性基金预算财政拨款收入、支出及结转和结余情况</w:t>
      </w:r>
      <w:r>
        <w:rPr>
          <w:rFonts w:hint="eastAsia" w:cs="Times New Roman" w:asciiTheme="minorEastAsia" w:hAnsiTheme="minorEastAsia"/>
          <w:kern w:val="0"/>
          <w:sz w:val="24"/>
          <w:szCs w:val="24"/>
          <w:lang w:eastAsia="zh-CN"/>
        </w:rPr>
        <w:t>。</w:t>
      </w:r>
    </w:p>
    <w:p>
      <w:pPr>
        <w:widowControl/>
        <w:jc w:val="left"/>
        <w:rPr>
          <w:rFonts w:hint="eastAsia" w:ascii="楷体" w:hAnsi="楷体" w:eastAsia="楷体" w:cs="楷体"/>
          <w:b/>
          <w:bCs/>
          <w:i/>
          <w:iCs/>
          <w:color w:val="FF0000"/>
          <w:kern w:val="0"/>
          <w:sz w:val="24"/>
          <w:szCs w:val="24"/>
          <w:lang w:eastAsia="zh-CN"/>
        </w:rPr>
      </w:pPr>
      <w:r>
        <w:rPr>
          <w:rFonts w:hint="eastAsia" w:ascii="楷体" w:hAnsi="楷体" w:eastAsia="楷体" w:cs="楷体"/>
          <w:b/>
          <w:bCs/>
          <w:color w:val="auto"/>
          <w:kern w:val="0"/>
          <w:sz w:val="24"/>
          <w:szCs w:val="24"/>
        </w:rPr>
        <w:t>说明：本单位没有政府性基金收入，也没有使用政府性基金安排的支出，故本表无数据。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pStyle w:val="9"/>
        <w:rPr>
          <w:rFonts w:ascii="Times New Roman" w:hAnsi="Times New Roman" w:eastAsia="方正小标宋_GBK" w:cs="Times New Roman"/>
          <w:color w:val="000000"/>
          <w:kern w:val="0"/>
          <w:sz w:val="36"/>
          <w:szCs w:val="36"/>
        </w:rPr>
      </w:pPr>
    </w:p>
    <w:p>
      <w:pPr>
        <w:pStyle w:val="5"/>
      </w:pPr>
    </w:p>
    <w:p>
      <w:pPr>
        <w:widowControl/>
        <w:spacing w:line="400" w:lineRule="exact"/>
        <w:textAlignment w:val="center"/>
        <w:rPr>
          <w:rFonts w:ascii="Times New Roman" w:hAnsi="Times New Roman" w:eastAsia="黑体" w:cs="Times New Roman"/>
          <w:color w:val="000000"/>
          <w:kern w:val="0"/>
          <w:sz w:val="36"/>
          <w:szCs w:val="36"/>
          <w:lang w:bidi="ar"/>
        </w:rPr>
      </w:pPr>
    </w:p>
    <w:p>
      <w:pPr>
        <w:pStyle w:val="9"/>
      </w:pPr>
    </w:p>
    <w:tbl>
      <w:tblPr>
        <w:tblStyle w:val="11"/>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rPr>
            </w:pPr>
            <w:r>
              <w:rPr>
                <w:rFonts w:hint="eastAsia" w:ascii="华文中宋" w:hAnsi="华文中宋" w:eastAsia="华文中宋" w:cs="宋体"/>
                <w:b/>
                <w:bCs/>
                <w:color w:val="000000"/>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nil"/>
              <w:right w:val="nil"/>
            </w:tcBorders>
            <w:shd w:val="clear" w:color="000000" w:fill="FFFFFF"/>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nil"/>
              <w:right w:val="nil"/>
            </w:tcBorders>
            <w:shd w:val="clear" w:color="000000" w:fill="FFFFFF"/>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46"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公开0</w:t>
            </w:r>
            <w:r>
              <w:rPr>
                <w:rFonts w:hint="eastAsia" w:cs="宋体" w:asciiTheme="minorEastAsia" w:hAnsiTheme="minorEastAsia"/>
                <w:color w:val="000000"/>
                <w:kern w:val="0"/>
                <w:sz w:val="21"/>
                <w:szCs w:val="21"/>
                <w:lang w:val="en-US" w:eastAsia="zh-CN"/>
              </w:rPr>
              <w:t>8</w:t>
            </w:r>
            <w:r>
              <w:rPr>
                <w:rFonts w:hint="eastAsia" w:cs="宋体" w:asciiTheme="minorEastAsia" w:hAnsiTheme="minorEastAsia"/>
                <w:color w:val="000000"/>
                <w:kern w:val="0"/>
                <w:sz w:val="21"/>
                <w:szCs w:val="21"/>
              </w:rPr>
              <w:t>表</w:t>
            </w:r>
          </w:p>
        </w:tc>
      </w:tr>
      <w:tr>
        <w:tblPrEx>
          <w:tblCellMar>
            <w:top w:w="0" w:type="dxa"/>
            <w:left w:w="108" w:type="dxa"/>
            <w:bottom w:w="0" w:type="dxa"/>
            <w:right w:w="108" w:type="dxa"/>
          </w:tblCellMar>
        </w:tblPrEx>
        <w:trPr>
          <w:trHeight w:val="285" w:hRule="atLeast"/>
        </w:trPr>
        <w:tc>
          <w:tcPr>
            <w:tcW w:w="1789" w:type="pct"/>
            <w:gridSpan w:val="2"/>
            <w:tcBorders>
              <w:top w:val="nil"/>
              <w:left w:val="nil"/>
              <w:bottom w:val="nil"/>
              <w:right w:val="nil"/>
            </w:tcBorders>
            <w:shd w:val="clear" w:color="000000" w:fill="FFFFFF"/>
            <w:noWrap/>
            <w:vAlign w:val="center"/>
          </w:tcPr>
          <w:p>
            <w:pPr>
              <w:widowControl/>
              <w:jc w:val="left"/>
              <w:rPr>
                <w:rFonts w:cs="宋体" w:asciiTheme="minorEastAsia" w:hAnsiTheme="minorEastAsia"/>
                <w:kern w:val="0"/>
                <w:sz w:val="21"/>
                <w:szCs w:val="21"/>
              </w:rPr>
            </w:pPr>
            <w:r>
              <w:rPr>
                <w:rFonts w:hint="eastAsia" w:cs="宋体" w:asciiTheme="minorEastAsia" w:hAnsiTheme="minorEastAsia"/>
                <w:color w:val="000000"/>
                <w:kern w:val="0"/>
                <w:sz w:val="21"/>
                <w:szCs w:val="21"/>
              </w:rPr>
              <w:t>部门：</w:t>
            </w:r>
            <w:r>
              <w:rPr>
                <w:rFonts w:hint="eastAsia" w:ascii="Times New Roman" w:hAnsi="Times New Roman" w:cs="Times New Roman"/>
                <w:color w:val="000000"/>
                <w:kern w:val="0"/>
                <w:sz w:val="21"/>
                <w:szCs w:val="21"/>
                <w:lang w:eastAsia="zh-CN"/>
              </w:rPr>
              <w:t>中国共产党祁阳市委员会政法委员会</w:t>
            </w:r>
          </w:p>
        </w:tc>
        <w:tc>
          <w:tcPr>
            <w:tcW w:w="1081" w:type="pct"/>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81" w:type="pct"/>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046" w:type="pct"/>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单位：万元</w:t>
            </w:r>
          </w:p>
        </w:tc>
      </w:tr>
      <w:tr>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项 </w:t>
            </w:r>
            <w:r>
              <w:rPr>
                <w:rFonts w:hint="eastAsia" w:cs="宋体" w:asciiTheme="minorEastAsia" w:hAnsiTheme="minorEastAsia"/>
                <w:color w:val="000000"/>
                <w:kern w:val="0"/>
                <w:sz w:val="22"/>
              </w:rPr>
              <w:t xml:space="preserve">   </w:t>
            </w:r>
            <w:r>
              <w:rPr>
                <w:rFonts w:hint="eastAsia" w:cs="宋体" w:asciiTheme="minorEastAsia" w:hAnsiTheme="minorEastAsia"/>
                <w:kern w:val="0"/>
                <w:sz w:val="24"/>
                <w:szCs w:val="24"/>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1356" w:type="pct"/>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1081"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1046" w:type="pct"/>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08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104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3210" w:type="pct"/>
            <w:gridSpan w:val="3"/>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r>
              <w:rPr>
                <w:rFonts w:hint="eastAsia" w:cs="宋体" w:asciiTheme="minorEastAsia" w:hAnsiTheme="minorEastAsia"/>
                <w:kern w:val="0"/>
                <w:sz w:val="24"/>
                <w:szCs w:val="24"/>
                <w:lang w:eastAsia="zh-CN"/>
              </w:rPr>
              <w:t>。</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356"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81"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1046" w:type="pct"/>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pPr>
              <w:widowControl/>
              <w:jc w:val="left"/>
              <w:rPr>
                <w:rFonts w:hint="eastAsia" w:cs="宋体" w:asciiTheme="minorEastAsia" w:hAnsiTheme="minorEastAsia" w:eastAsiaTheme="minorEastAsia"/>
                <w:kern w:val="0"/>
                <w:sz w:val="24"/>
                <w:szCs w:val="24"/>
                <w:lang w:eastAsia="zh-CN"/>
              </w:rPr>
            </w:pPr>
            <w:r>
              <w:rPr>
                <w:rFonts w:hint="eastAsia" w:ascii="楷体" w:hAnsi="楷体" w:eastAsia="楷体" w:cs="楷体"/>
                <w:b/>
                <w:bCs/>
                <w:kern w:val="0"/>
                <w:sz w:val="24"/>
                <w:szCs w:val="24"/>
              </w:rPr>
              <w:t>说明：本单位没有使用国有资本经营预算安排的支出，故本表无数据。</w:t>
            </w:r>
          </w:p>
        </w:tc>
      </w:tr>
    </w:tbl>
    <w:p>
      <w:pPr>
        <w:widowControl/>
        <w:jc w:val="center"/>
        <w:rPr>
          <w:rFonts w:ascii="Times New Roman" w:hAnsi="Times New Roman" w:eastAsia="方正小标宋_GBK" w:cs="Times New Roman"/>
          <w:color w:val="000000"/>
          <w:kern w:val="0"/>
          <w:sz w:val="36"/>
          <w:szCs w:val="36"/>
        </w:rPr>
      </w:pPr>
      <w:r>
        <w:rPr>
          <w:rFonts w:hint="eastAsia" w:cs="Times New Roman" w:asciiTheme="minorEastAsia" w:hAnsiTheme="minorEastAsia"/>
          <w:color w:val="000000"/>
          <w:kern w:val="0"/>
          <w:sz w:val="36"/>
          <w:szCs w:val="36"/>
        </w:rPr>
        <w:br w:type="page"/>
      </w: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hint="eastAsia" w:ascii="宋体" w:hAnsi="宋体" w:eastAsia="宋体" w:cs="宋体"/>
          <w:color w:val="000000"/>
          <w:kern w:val="0"/>
          <w:sz w:val="21"/>
          <w:szCs w:val="21"/>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kern w:val="0"/>
          <w:sz w:val="21"/>
          <w:szCs w:val="21"/>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1"/>
          <w:szCs w:val="21"/>
        </w:rPr>
      </w:pPr>
      <w:r>
        <w:rPr>
          <w:rFonts w:hint="eastAsia" w:ascii="宋体" w:hAnsi="宋体" w:eastAsia="宋体" w:cs="宋体"/>
          <w:color w:val="000000"/>
          <w:kern w:val="0"/>
          <w:sz w:val="21"/>
          <w:szCs w:val="21"/>
          <w:lang w:bidi="ar"/>
        </w:rPr>
        <w:t>部门：</w:t>
      </w:r>
      <w:r>
        <w:rPr>
          <w:rFonts w:hint="eastAsia" w:ascii="宋体" w:hAnsi="宋体" w:eastAsia="宋体" w:cs="宋体"/>
          <w:color w:val="000000"/>
          <w:kern w:val="0"/>
          <w:sz w:val="21"/>
          <w:szCs w:val="21"/>
          <w:lang w:eastAsia="zh-CN" w:bidi="ar"/>
        </w:rPr>
        <w:t>中国共产党祁阳市委员会政法委员会</w:t>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sz w:val="21"/>
          <w:szCs w:val="21"/>
        </w:rPr>
        <w:tab/>
      </w:r>
      <w:r>
        <w:rPr>
          <w:rFonts w:hint="eastAsia" w:ascii="宋体" w:hAnsi="宋体" w:eastAsia="宋体" w:cs="宋体"/>
          <w:color w:val="000000"/>
          <w:kern w:val="0"/>
          <w:sz w:val="21"/>
          <w:szCs w:val="21"/>
          <w:lang w:bidi="ar"/>
        </w:rPr>
        <w:t>单位：万元</w:t>
      </w:r>
    </w:p>
    <w:tbl>
      <w:tblPr>
        <w:tblStyle w:val="11"/>
        <w:tblW w:w="5114" w:type="pct"/>
        <w:jc w:val="center"/>
        <w:tblLayout w:type="autofit"/>
        <w:tblCellMar>
          <w:top w:w="0" w:type="dxa"/>
          <w:left w:w="108" w:type="dxa"/>
          <w:bottom w:w="0" w:type="dxa"/>
          <w:right w:w="108" w:type="dxa"/>
        </w:tblCellMar>
      </w:tblPr>
      <w:tblGrid>
        <w:gridCol w:w="1025"/>
        <w:gridCol w:w="1348"/>
        <w:gridCol w:w="1191"/>
        <w:gridCol w:w="1303"/>
        <w:gridCol w:w="1565"/>
        <w:gridCol w:w="1514"/>
        <w:gridCol w:w="1153"/>
        <w:gridCol w:w="1281"/>
        <w:gridCol w:w="1281"/>
        <w:gridCol w:w="1281"/>
        <w:gridCol w:w="1492"/>
        <w:gridCol w:w="1536"/>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40" w:firstLineChars="2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6.9</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1.51</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720" w:right="720" w:bottom="720" w:left="720" w:header="850" w:footer="539" w:gutter="0"/>
          <w:pgBorders>
            <w:top w:val="none" w:sz="0" w:space="0"/>
            <w:left w:val="none" w:sz="0" w:space="0"/>
            <w:bottom w:val="none" w:sz="0" w:space="0"/>
            <w:right w:val="none" w:sz="0" w:space="0"/>
          </w:pgBorders>
          <w:cols w:space="0" w:num="1"/>
          <w:rtlGutter w:val="0"/>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t>第三部分</w:t>
      </w:r>
    </w:p>
    <w:p>
      <w:pPr>
        <w:pStyle w:val="15"/>
        <w:spacing w:line="360" w:lineRule="auto"/>
        <w:jc w:val="center"/>
        <w:rPr>
          <w:rFonts w:ascii="Times New Roman" w:hAnsi="Times New Roman" w:eastAsia="方正小标宋_GBK" w:cs="Times New Roman"/>
          <w:sz w:val="72"/>
          <w:szCs w:val="72"/>
        </w:rPr>
      </w:pPr>
      <w:r>
        <w:rPr>
          <w:rFonts w:ascii="Times New Roman" w:hAnsi="Times New Roman" w:eastAsia="方正小标宋_GBK" w:cs="Times New Roman"/>
          <w:sz w:val="72"/>
          <w:szCs w:val="7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869.63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13.41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厉行节约，压减经费支出。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869.63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869.63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869.63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513.10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356.53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869.63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13.41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厉行节约，压减经费支出。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869.63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13.41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厉行节约，压减经费支出。</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869.63</w:t>
      </w:r>
      <w:r>
        <w:rPr>
          <w:rFonts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760.16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87.41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hint="eastAsia" w:ascii="Times New Roman" w:hAnsi="Times New Roman" w:eastAsia="仿宋_GB2312" w:cs="Times New Roman"/>
          <w:sz w:val="32"/>
          <w:szCs w:val="32"/>
          <w:lang w:val="en-US" w:eastAsia="zh-CN"/>
        </w:rPr>
        <w:t>208</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59.90万元，占6.89%；卫生健康（210）支出14.67万元，占1.69%；住房保障（221）支出26.40万元，占3.03%。</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907.08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869.63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95.87</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党委办公厅（室）及相关机构事务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20103</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2010301</w:t>
      </w:r>
      <w:r>
        <w:rPr>
          <w:rFonts w:ascii="Times New Roman" w:hAnsi="Times New Roman" w:eastAsia="仿宋_GB2312" w:cs="Times New Roman"/>
          <w:sz w:val="32"/>
          <w:szCs w:val="32"/>
        </w:rPr>
        <w:t>）。</w:t>
      </w:r>
    </w:p>
    <w:p>
      <w:pPr>
        <w:pStyle w:val="15"/>
        <w:spacing w:line="600" w:lineRule="exact"/>
        <w:ind w:firstLine="640" w:firstLineChars="200"/>
        <w:rPr>
          <w:rFonts w:hint="eastAsia" w:ascii="Times New Roman" w:hAnsi="Times New Roman" w:eastAsia="仿宋_GB2312"/>
          <w:sz w:val="32"/>
          <w:szCs w:val="32"/>
          <w:highlight w:val="none"/>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4.22</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lang w:val="en-US" w:eastAsia="zh-CN"/>
        </w:rPr>
        <w:t>由于预算数为0，无法计算百分比，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部分行政运行经费未纳入年初预算，为本年财政追加。</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党委办公厅（室）及相关机构事务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20131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2013101</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392.11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407.91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104.03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highlight w:val="none"/>
          <w:lang w:eastAsia="zh-CN"/>
        </w:rPr>
        <w:t>本年财政追加。</w:t>
      </w:r>
    </w:p>
    <w:p>
      <w:pPr>
        <w:pStyle w:val="15"/>
        <w:numPr>
          <w:ilvl w:val="0"/>
          <w:numId w:val="1"/>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lang w:val="en-US" w:eastAsia="zh-CN"/>
        </w:rPr>
        <w:t>201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党委办公厅（室）及相关机构事务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一般行政管理事务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2013102</w:t>
      </w:r>
      <w:r>
        <w:rPr>
          <w:rFonts w:ascii="Times New Roman" w:hAnsi="Times New Roman" w:eastAsia="仿宋_GB2312" w:cs="Times New Roman"/>
          <w:sz w:val="32"/>
          <w:szCs w:val="32"/>
        </w:rPr>
        <w:t>）。</w:t>
      </w:r>
    </w:p>
    <w:p>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377.73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348.03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92.14</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严格控制经费开支。</w:t>
      </w:r>
    </w:p>
    <w:p>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4、公共安全支出（204）其他公共安全支出（20499）国家司法救助支出（2049902）。</w:t>
      </w:r>
    </w:p>
    <w:p>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3.33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根据实际情况安排本级财政司法救助支出。</w:t>
      </w:r>
    </w:p>
    <w:p>
      <w:pPr>
        <w:pStyle w:val="15"/>
        <w:numPr>
          <w:ilvl w:val="0"/>
          <w:numId w:val="0"/>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5、公共安全支出（204）其他公共安全支出（20499）其他公共安全支出（2049999）。</w:t>
      </w: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6.50</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lang w:val="en-US" w:eastAsia="zh-CN"/>
        </w:rPr>
        <w:t>由于预算数为0，无法计算百分比，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其他公共安全支出经费未纳入年初预算，为本年财政追加。</w:t>
      </w:r>
    </w:p>
    <w:p>
      <w:pPr>
        <w:pStyle w:val="15"/>
        <w:spacing w:line="600" w:lineRule="exact"/>
        <w:ind w:firstLine="800" w:firstLineChars="25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208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行政事业单位养老支出</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20805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机关事业单位基本养老保险缴费支出（</w:t>
      </w:r>
      <w:r>
        <w:rPr>
          <w:rFonts w:hint="eastAsia" w:ascii="Times New Roman" w:hAnsi="Times New Roman" w:eastAsia="仿宋_GB2312"/>
          <w:sz w:val="32"/>
          <w:szCs w:val="32"/>
          <w:highlight w:val="none"/>
          <w:lang w:val="en-US" w:eastAsia="zh-CN"/>
        </w:rPr>
        <w:t>2080505）。</w:t>
      </w:r>
    </w:p>
    <w:p>
      <w:pPr>
        <w:pStyle w:val="15"/>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36.17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36.17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与</w:t>
      </w:r>
      <w:r>
        <w:rPr>
          <w:rFonts w:hint="eastAsia" w:ascii="Times New Roman" w:hAnsi="Times New Roman" w:eastAsia="仿宋_GB2312"/>
          <w:sz w:val="32"/>
          <w:szCs w:val="32"/>
          <w:highlight w:val="none"/>
        </w:rPr>
        <w:t>年初预算数</w:t>
      </w:r>
      <w:r>
        <w:rPr>
          <w:rFonts w:hint="eastAsia" w:ascii="Times New Roman" w:hAnsi="Times New Roman" w:eastAsia="仿宋_GB2312"/>
          <w:sz w:val="32"/>
          <w:szCs w:val="32"/>
          <w:highlight w:val="none"/>
          <w:lang w:eastAsia="zh-CN"/>
        </w:rPr>
        <w:t>持平</w:t>
      </w:r>
      <w:r>
        <w:rPr>
          <w:rFonts w:hint="eastAsia" w:ascii="Times New Roman" w:hAnsi="Times New Roman" w:eastAsia="仿宋_GB2312"/>
          <w:sz w:val="32"/>
          <w:szCs w:val="32"/>
          <w:highlight w:val="none"/>
        </w:rPr>
        <w:t>的主要原因是：</w:t>
      </w:r>
      <w:r>
        <w:rPr>
          <w:rFonts w:hint="eastAsia" w:ascii="Times New Roman" w:hAnsi="Times New Roman" w:eastAsia="仿宋_GB2312"/>
          <w:sz w:val="32"/>
          <w:szCs w:val="32"/>
          <w:lang w:eastAsia="zh-CN"/>
        </w:rPr>
        <w:t>严格按预算数执行。</w:t>
      </w:r>
    </w:p>
    <w:p>
      <w:pPr>
        <w:pStyle w:val="15"/>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208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抚恤</w:t>
      </w:r>
      <w:r>
        <w:rPr>
          <w:rFonts w:hint="eastAsia" w:ascii="Times New Roman" w:hAnsi="Times New Roman" w:eastAsia="仿宋_GB2312"/>
          <w:sz w:val="32"/>
          <w:szCs w:val="32"/>
          <w:highlight w:val="none"/>
          <w:lang w:val="en-US" w:eastAsia="zh-CN"/>
        </w:rPr>
        <w:t>(20808)死亡抚恤(2080801)。</w:t>
      </w:r>
    </w:p>
    <w:p>
      <w:pPr>
        <w:pStyle w:val="15"/>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20.73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由于预算数为0，无法计算百分比，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本年中有一</w:t>
      </w:r>
      <w:r>
        <w:rPr>
          <w:rFonts w:hint="eastAsia" w:ascii="Times New Roman" w:hAnsi="Times New Roman" w:eastAsia="仿宋_GB2312"/>
          <w:sz w:val="32"/>
          <w:szCs w:val="32"/>
          <w:highlight w:val="none"/>
          <w:lang w:val="en-US" w:eastAsia="zh-CN"/>
        </w:rPr>
        <w:t>名退休人员死亡</w:t>
      </w:r>
      <w:r>
        <w:rPr>
          <w:rFonts w:hint="eastAsia" w:ascii="Times New Roman" w:hAnsi="Times New Roman" w:eastAsia="仿宋_GB2312"/>
          <w:sz w:val="32"/>
          <w:szCs w:val="32"/>
          <w:highlight w:val="none"/>
          <w:lang w:eastAsia="zh-CN"/>
        </w:rPr>
        <w:t>，财政追加预算</w:t>
      </w:r>
      <w:r>
        <w:rPr>
          <w:rFonts w:hint="eastAsia" w:ascii="Times New Roman" w:hAnsi="Times New Roman" w:eastAsia="仿宋_GB2312"/>
          <w:sz w:val="32"/>
          <w:szCs w:val="32"/>
          <w:highlight w:val="none"/>
        </w:rPr>
        <w:t>。</w:t>
      </w:r>
    </w:p>
    <w:p>
      <w:pPr>
        <w:pStyle w:val="15"/>
        <w:numPr>
          <w:ilvl w:val="0"/>
          <w:numId w:val="0"/>
        </w:num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lang w:eastAsia="zh-CN"/>
        </w:rPr>
        <w:t>社会保障和就业支出</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208</w:t>
      </w:r>
      <w:r>
        <w:rPr>
          <w:rFonts w:hint="eastAsia" w:ascii="Times New Roman" w:hAnsi="Times New Roman" w:eastAsia="仿宋_GB2312"/>
          <w:sz w:val="32"/>
          <w:szCs w:val="32"/>
          <w:highlight w:val="none"/>
        </w:rPr>
        <w:t>）其他社会保障和就业支出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20899</w:t>
      </w:r>
      <w:r>
        <w:rPr>
          <w:rFonts w:hint="eastAsia" w:ascii="Times New Roman" w:hAnsi="Times New Roman" w:eastAsia="仿宋_GB2312"/>
          <w:sz w:val="32"/>
          <w:szCs w:val="32"/>
          <w:highlight w:val="none"/>
          <w:lang w:eastAsia="zh-CN"/>
        </w:rPr>
        <w:t>）其他社会保障和就业支出（</w:t>
      </w:r>
      <w:r>
        <w:rPr>
          <w:rFonts w:hint="eastAsia" w:ascii="Times New Roman" w:hAnsi="Times New Roman" w:eastAsia="仿宋_GB2312"/>
          <w:sz w:val="32"/>
          <w:szCs w:val="32"/>
          <w:highlight w:val="none"/>
          <w:lang w:val="en-US" w:eastAsia="zh-CN"/>
        </w:rPr>
        <w:t>2089999</w:t>
      </w:r>
      <w:r>
        <w:rPr>
          <w:rFonts w:hint="eastAsia" w:ascii="Times New Roman" w:hAnsi="Times New Roman" w:eastAsia="仿宋_GB2312"/>
          <w:sz w:val="32"/>
          <w:szCs w:val="32"/>
          <w:highlight w:val="none"/>
          <w:lang w:eastAsia="zh-CN"/>
        </w:rPr>
        <w:t>）。</w:t>
      </w:r>
    </w:p>
    <w:p>
      <w:pPr>
        <w:pStyle w:val="15"/>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由于预算数为0，无法计算百分比，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本年财政追加。</w:t>
      </w:r>
    </w:p>
    <w:p>
      <w:pPr>
        <w:pStyle w:val="15"/>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卫生健康支出（210）行政事业单位医疗（21011）行政单位医疗（2101101）</w:t>
      </w:r>
      <w:r>
        <w:rPr>
          <w:rFonts w:hint="eastAsia" w:ascii="Times New Roman" w:hAnsi="Times New Roman" w:eastAsia="仿宋_GB2312"/>
          <w:sz w:val="32"/>
          <w:szCs w:val="32"/>
          <w:lang w:eastAsia="zh-CN"/>
        </w:rPr>
        <w:t>。</w:t>
      </w:r>
    </w:p>
    <w:p>
      <w:pPr>
        <w:pStyle w:val="15"/>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p>
    <w:p>
      <w:pPr>
        <w:pStyle w:val="15"/>
        <w:numPr>
          <w:ilvl w:val="0"/>
          <w:numId w:val="0"/>
        </w:num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10、住房保障支出（221）住房改革支出（22102）住房公积金（2210201）。</w:t>
      </w:r>
    </w:p>
    <w:p>
      <w:pPr>
        <w:pStyle w:val="15"/>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26.40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513.10</w:t>
      </w:r>
      <w:r>
        <w:rPr>
          <w:rFonts w:ascii="Times New Roman" w:hAnsi="Times New Roman" w:eastAsia="仿宋_GB2312" w:cs="Times New Roman"/>
          <w:sz w:val="32"/>
          <w:szCs w:val="32"/>
        </w:rPr>
        <w:t>万元，其中：</w:t>
      </w:r>
    </w:p>
    <w:p>
      <w:pPr>
        <w:pStyle w:val="15"/>
        <w:spacing w:line="600" w:lineRule="exact"/>
        <w:ind w:firstLine="640" w:firstLineChars="200"/>
        <w:rPr>
          <w:rFonts w:hint="eastAsia" w:ascii="Times New Roman" w:hAnsi="Times New Roman" w:eastAsia="仿宋_GB2312"/>
          <w:b w:val="0"/>
          <w:bCs w:val="0"/>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402.23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78.39</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b w:val="0"/>
          <w:bCs w:val="0"/>
          <w:sz w:val="32"/>
          <w:szCs w:val="32"/>
          <w:lang w:val="zh-CN"/>
        </w:rPr>
        <w:t>机关事业单位基本养老保险缴费、职工基本医疗保险缴费、其他社会保障缴费、住房公积金、抚恤金、其他对个人和家庭的补助等</w:t>
      </w:r>
      <w:r>
        <w:rPr>
          <w:rFonts w:hint="eastAsia" w:ascii="Times New Roman" w:hAnsi="Times New Roman" w:eastAsia="仿宋_GB2312"/>
          <w:b w:val="0"/>
          <w:bCs w:val="0"/>
          <w:sz w:val="32"/>
          <w:szCs w:val="32"/>
          <w:lang w:eastAsia="zh-CN"/>
        </w:rPr>
        <w:t>。</w:t>
      </w:r>
    </w:p>
    <w:p>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110.87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21.61</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邮电</w:t>
      </w:r>
      <w:r>
        <w:rPr>
          <w:rFonts w:ascii="Times New Roman" w:hAnsi="Times New Roman" w:eastAsia="仿宋_GB2312" w:cs="Times New Roman"/>
          <w:sz w:val="32"/>
          <w:szCs w:val="32"/>
        </w:rPr>
        <w:t>费、</w:t>
      </w:r>
      <w:r>
        <w:rPr>
          <w:rFonts w:hint="eastAsia" w:ascii="Times New Roman" w:hAnsi="Times New Roman" w:eastAsia="仿宋_GB2312"/>
          <w:b w:val="0"/>
          <w:bCs w:val="0"/>
          <w:sz w:val="32"/>
          <w:szCs w:val="32"/>
          <w:lang w:eastAsia="zh-CN"/>
        </w:rPr>
        <w:t>差</w:t>
      </w:r>
      <w:r>
        <w:rPr>
          <w:rFonts w:hint="eastAsia" w:ascii="Times New Roman" w:hAnsi="Times New Roman" w:eastAsia="仿宋_GB2312"/>
          <w:sz w:val="32"/>
          <w:szCs w:val="32"/>
          <w:lang w:eastAsia="zh-CN"/>
        </w:rPr>
        <w:t>旅费、维修（护）费、会议费、培训费、公务接待费、劳务费、工会经费、福利费、其他交通费用、其他商品和服务支出、办公设备购置。</w:t>
      </w:r>
    </w:p>
    <w:p>
      <w:pPr>
        <w:pStyle w:val="15"/>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5"/>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21.88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74.19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我单位加强“三公”经费管理，</w:t>
      </w:r>
      <w:r>
        <w:rPr>
          <w:rFonts w:hint="eastAsia" w:ascii="Times New Roman" w:hAnsi="Times New Roman" w:eastAsia="仿宋_GB2312"/>
          <w:sz w:val="32"/>
          <w:szCs w:val="32"/>
          <w:lang w:eastAsia="zh-CN"/>
        </w:rPr>
        <w:t>坚持“有预算不超支、无预算不列支”</w:t>
      </w:r>
      <w:r>
        <w:rPr>
          <w:rFonts w:hint="eastAsia" w:ascii="Times New Roman" w:hAnsi="Times New Roman" w:eastAsia="仿宋_GB2312"/>
          <w:sz w:val="32"/>
          <w:szCs w:val="32"/>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中央八项规定，严控“三公”经费支出</w:t>
      </w:r>
      <w:r>
        <w:rPr>
          <w:rFonts w:hint="eastAsia" w:ascii="Times New Roman" w:hAnsi="Times New Roman" w:eastAsia="仿宋_GB2312"/>
          <w:sz w:val="32"/>
          <w:szCs w:val="32"/>
          <w:lang w:eastAsia="zh-CN"/>
        </w:rPr>
        <w:t>，公务接待活动大幅压缩</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spacing w:line="600" w:lineRule="exact"/>
        <w:ind w:firstLine="800" w:firstLineChars="250"/>
        <w:rPr>
          <w:rFonts w:ascii="Times New Roman" w:hAnsi="Times New Roman" w:eastAsia="楷体" w:cs="Times New Roman"/>
          <w:b/>
          <w:bCs/>
          <w:i/>
          <w:color w:val="auto"/>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w:t>
      </w:r>
      <w:r>
        <w:rPr>
          <w:rFonts w:hint="eastAsia" w:ascii="Times New Roman" w:hAnsi="Times New Roman" w:eastAsia="仿宋_GB2312"/>
          <w:sz w:val="32"/>
          <w:szCs w:val="32"/>
        </w:rPr>
        <w:t>于预算数为0，无法计算百分比，决算数与预算数持平的主要原因是无因公出国（境）费支出，与上年相比持平，无增减变化，无变化的主要原因是无因公出国（境）费支出。</w:t>
      </w:r>
    </w:p>
    <w:p>
      <w:pPr>
        <w:pStyle w:val="15"/>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olor w:val="000000" w:themeColor="text1"/>
          <w:sz w:val="32"/>
          <w:szCs w:val="32"/>
          <w14:textFill>
            <w14:solidFill>
              <w14:schemeClr w14:val="tx1"/>
            </w14:solidFill>
          </w14:textFill>
        </w:rPr>
        <w:t>由于预算数为0，无法计算百分比，决算数与预算数持平的主要原因是无公务用车购置费</w:t>
      </w:r>
      <w:r>
        <w:rPr>
          <w:rFonts w:hint="eastAsia" w:ascii="Times New Roman" w:hAnsi="Times New Roman" w:eastAsia="仿宋_GB2312"/>
          <w:color w:val="000000" w:themeColor="text1"/>
          <w:sz w:val="32"/>
          <w:szCs w:val="32"/>
          <w:lang w:eastAsia="zh-CN"/>
          <w14:textFill>
            <w14:solidFill>
              <w14:schemeClr w14:val="tx1"/>
            </w14:solidFill>
          </w14:textFill>
        </w:rPr>
        <w:t>及运行维护费</w:t>
      </w:r>
      <w:r>
        <w:rPr>
          <w:rFonts w:hint="eastAsia" w:ascii="Times New Roman" w:hAnsi="Times New Roman" w:eastAsia="仿宋_GB2312"/>
          <w:color w:val="000000" w:themeColor="text1"/>
          <w:sz w:val="32"/>
          <w:szCs w:val="32"/>
          <w14:textFill>
            <w14:solidFill>
              <w14:schemeClr w14:val="tx1"/>
            </w14:solidFill>
          </w14:textFill>
        </w:rPr>
        <w:t>支出，与上年相比持平，无增减变化，无变化的主要原因是无公务用车购置费</w:t>
      </w:r>
      <w:r>
        <w:rPr>
          <w:rFonts w:hint="eastAsia" w:ascii="Times New Roman" w:hAnsi="Times New Roman" w:eastAsia="仿宋_GB2312"/>
          <w:color w:val="000000" w:themeColor="text1"/>
          <w:sz w:val="32"/>
          <w:szCs w:val="32"/>
          <w:lang w:eastAsia="zh-CN"/>
          <w14:textFill>
            <w14:solidFill>
              <w14:schemeClr w14:val="tx1"/>
            </w14:solidFill>
          </w14:textFill>
        </w:rPr>
        <w:t>及运行维护费</w:t>
      </w:r>
      <w:r>
        <w:rPr>
          <w:rFonts w:hint="eastAsia" w:ascii="Times New Roman" w:hAnsi="Times New Roman" w:eastAsia="仿宋_GB2312"/>
          <w:color w:val="000000" w:themeColor="text1"/>
          <w:sz w:val="32"/>
          <w:szCs w:val="32"/>
          <w14:textFill>
            <w14:solidFill>
              <w14:schemeClr w14:val="tx1"/>
            </w14:solidFill>
          </w14:textFill>
        </w:rPr>
        <w:t>支出。</w:t>
      </w:r>
    </w:p>
    <w:p>
      <w:pPr>
        <w:pStyle w:val="15"/>
        <w:overflowPunct w:val="0"/>
        <w:autoSpaceDE/>
        <w:autoSpaceDN/>
        <w:spacing w:line="600" w:lineRule="exact"/>
        <w:ind w:firstLine="640" w:firstLineChars="200"/>
        <w:jc w:val="both"/>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由于预算数为0，无法计算百分比，决算数与预算数持平的主要原因是无公务用车购置费支出，与上年相比持平，无增减变化，无变化的主要原因是无公务用车购置费支出。</w:t>
      </w:r>
    </w:p>
    <w:p>
      <w:pPr>
        <w:pStyle w:val="15"/>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由于预算数为0，无法计算百分比，决算数与预算数持平的主要原因是无公务用车运行维护费支出，与上年相比持平，无增减变化，无变化的主要原因是无公务用车运行维护费支出。</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21.88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4.34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74.19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sz w:val="32"/>
          <w:szCs w:val="32"/>
        </w:rPr>
        <w:t>我单位加强“三公”经费管理，</w:t>
      </w:r>
      <w:r>
        <w:rPr>
          <w:rFonts w:hint="eastAsia" w:ascii="Times New Roman" w:hAnsi="Times New Roman" w:eastAsia="仿宋_GB2312"/>
          <w:sz w:val="32"/>
          <w:szCs w:val="32"/>
          <w:lang w:eastAsia="zh-CN"/>
        </w:rPr>
        <w:t>坚持“有预算不超支、无预算不列支”</w:t>
      </w:r>
      <w:r>
        <w:rPr>
          <w:rFonts w:hint="eastAsia" w:ascii="Times New Roman" w:hAnsi="Times New Roman" w:eastAsia="仿宋_GB2312"/>
          <w:sz w:val="32"/>
          <w:szCs w:val="32"/>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中央八项规定，严控“三公”经费支出</w:t>
      </w:r>
      <w:r>
        <w:rPr>
          <w:rFonts w:hint="eastAsia" w:ascii="Times New Roman" w:hAnsi="Times New Roman" w:eastAsia="仿宋_GB2312"/>
          <w:sz w:val="32"/>
          <w:szCs w:val="32"/>
          <w:lang w:eastAsia="zh-CN"/>
        </w:rPr>
        <w:t>，公务接待活动大幅压缩</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val="zh-CN"/>
        </w:rPr>
        <w:t>与有关单位交流工作情况及接受相关部门调研、检查、指导工作发生的接待支出</w:t>
      </w:r>
      <w:r>
        <w:rPr>
          <w:rFonts w:hint="eastAsia" w:ascii="Times New Roman" w:hAnsi="Times New Roman" w:eastAsia="仿宋_GB2312"/>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hint="eastAsia" w:ascii="Times New Roman" w:hAnsi="Times New Roman" w:eastAsia="仿宋_GB2312" w:cstheme="minorBidi"/>
          <w:color w:val="auto"/>
          <w:kern w:val="2"/>
          <w:sz w:val="32"/>
          <w:szCs w:val="32"/>
          <w:lang w:val="zh-CN" w:eastAsia="zh-CN" w:bidi="ar-SA"/>
        </w:rPr>
      </w:pPr>
      <w:r>
        <w:rPr>
          <w:rFonts w:hint="eastAsia" w:ascii="Times New Roman" w:hAnsi="Times New Roman" w:eastAsia="仿宋_GB2312" w:cstheme="minorBidi"/>
          <w:color w:val="auto"/>
          <w:kern w:val="2"/>
          <w:sz w:val="32"/>
          <w:szCs w:val="32"/>
          <w:lang w:val="en-US" w:eastAsia="zh-CN" w:bidi="ar-SA"/>
        </w:rPr>
        <w:t>2024年度</w:t>
      </w:r>
      <w:r>
        <w:rPr>
          <w:rFonts w:hint="eastAsia" w:ascii="Times New Roman" w:hAnsi="Times New Roman" w:eastAsia="仿宋_GB2312" w:cstheme="minorBidi"/>
          <w:color w:val="auto"/>
          <w:kern w:val="2"/>
          <w:sz w:val="32"/>
          <w:szCs w:val="32"/>
          <w:lang w:val="zh-CN" w:eastAsia="zh-CN" w:bidi="ar-SA"/>
        </w:rPr>
        <w:t>本单位无政府性基金收支</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110.87</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27.51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19.88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积极响应财政过“紧日子”要求，厉行节约，大力压减经费支出。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spacing w:line="600" w:lineRule="exact"/>
        <w:ind w:firstLine="640" w:firstLineChars="200"/>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1.14</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政法工作、信访维稳、平安建设、综治民调</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280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政法重点工作调度、信访维稳、平安建设、综治民调等工作</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1.63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镇（街道）政法委员和本单位工作人员</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参加全国乡镇（街道）政法委员培训班</w:t>
      </w:r>
      <w:r>
        <w:rPr>
          <w:rFonts w:hint="eastAsia" w:ascii="Times New Roman" w:hAnsi="Times New Roman" w:eastAsia="仿宋_GB2312"/>
          <w:sz w:val="32"/>
          <w:szCs w:val="32"/>
        </w:rPr>
        <w:t>及本单位</w:t>
      </w:r>
      <w:r>
        <w:rPr>
          <w:rFonts w:hint="eastAsia" w:ascii="Times New Roman" w:hAnsi="Times New Roman" w:eastAsia="仿宋_GB2312"/>
          <w:sz w:val="32"/>
          <w:szCs w:val="32"/>
          <w:lang w:eastAsia="zh-CN"/>
        </w:rPr>
        <w:t>工作</w:t>
      </w:r>
      <w:r>
        <w:rPr>
          <w:rFonts w:hint="eastAsia" w:ascii="Times New Roman" w:hAnsi="Times New Roman" w:eastAsia="仿宋_GB2312"/>
          <w:sz w:val="32"/>
          <w:szCs w:val="32"/>
        </w:rPr>
        <w:t>人员</w:t>
      </w:r>
      <w:r>
        <w:rPr>
          <w:rFonts w:hint="eastAsia" w:ascii="Times New Roman" w:hAnsi="Times New Roman" w:eastAsia="仿宋_GB2312"/>
          <w:sz w:val="32"/>
          <w:szCs w:val="32"/>
          <w:lang w:eastAsia="zh-CN"/>
        </w:rPr>
        <w:t>继续教育和外出参加</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等</w:t>
      </w:r>
      <w:r>
        <w:rPr>
          <w:rFonts w:ascii="Times New Roman" w:hAnsi="Times New Roman" w:eastAsia="仿宋_GB2312" w:cs="Times New Roman"/>
          <w:sz w:val="32"/>
          <w:szCs w:val="32"/>
        </w:rPr>
        <w:t>；</w:t>
      </w:r>
      <w:r>
        <w:rPr>
          <w:rFonts w:hint="eastAsia" w:ascii="Times New Roman" w:hAnsi="Times New Roman" w:eastAsia="仿宋_GB2312"/>
          <w:sz w:val="32"/>
          <w:szCs w:val="32"/>
        </w:rPr>
        <w:t>未举办节庆、晚会、论坛、赛事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活动，开支0万元。</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78.90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49.55</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29.35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78.90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78.84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99.92</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62.77</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37.23</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numPr>
          <w:ilvl w:val="0"/>
          <w:numId w:val="3"/>
        </w:numP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5"/>
        <w:ind w:firstLine="640" w:firstLineChars="200"/>
        <w:rPr>
          <w:rFonts w:hint="eastAsia" w:ascii="Times New Roman" w:hAnsi="Times New Roman" w:eastAsia="仿宋_GB2312"/>
          <w:sz w:val="32"/>
          <w:szCs w:val="32"/>
          <w:highlight w:val="none"/>
          <w:lang w:val="en-US" w:eastAsia="zh-CN"/>
        </w:rPr>
      </w:pPr>
      <w:r>
        <w:rPr>
          <w:rFonts w:eastAsia="仿宋_GB2312"/>
          <w:bCs/>
          <w:kern w:val="0"/>
          <w:sz w:val="32"/>
          <w:szCs w:val="32"/>
        </w:rPr>
        <w:t>纳入</w:t>
      </w:r>
      <w:r>
        <w:rPr>
          <w:rFonts w:hint="eastAsia" w:eastAsia="仿宋_GB2312"/>
          <w:bCs/>
          <w:kern w:val="0"/>
          <w:sz w:val="32"/>
          <w:szCs w:val="32"/>
          <w:lang w:eastAsia="zh-CN"/>
        </w:rPr>
        <w:t>202</w:t>
      </w:r>
      <w:r>
        <w:rPr>
          <w:rFonts w:hint="eastAsia" w:eastAsia="仿宋_GB2312"/>
          <w:bCs/>
          <w:kern w:val="0"/>
          <w:sz w:val="32"/>
          <w:szCs w:val="32"/>
          <w:lang w:val="en-US" w:eastAsia="zh-CN"/>
        </w:rPr>
        <w:t>4</w:t>
      </w:r>
      <w:r>
        <w:rPr>
          <w:rFonts w:eastAsia="仿宋_GB2312"/>
          <w:bCs/>
          <w:kern w:val="0"/>
          <w:sz w:val="32"/>
          <w:szCs w:val="32"/>
        </w:rPr>
        <w:t>年</w:t>
      </w:r>
      <w:r>
        <w:rPr>
          <w:rFonts w:hint="eastAsia" w:eastAsia="仿宋_GB2312"/>
          <w:bCs/>
          <w:kern w:val="0"/>
          <w:sz w:val="32"/>
          <w:szCs w:val="32"/>
          <w:lang w:eastAsia="zh-CN"/>
        </w:rPr>
        <w:t>度</w:t>
      </w:r>
      <w:r>
        <w:rPr>
          <w:rFonts w:eastAsia="仿宋_GB2312"/>
          <w:bCs/>
          <w:kern w:val="0"/>
          <w:sz w:val="32"/>
          <w:szCs w:val="32"/>
        </w:rPr>
        <w:t>部门整体支出绩效目标的金额为</w:t>
      </w:r>
      <w:r>
        <w:rPr>
          <w:rFonts w:hint="eastAsia" w:ascii="Times New Roman" w:hAnsi="Times New Roman" w:eastAsia="仿宋_GB2312"/>
          <w:sz w:val="32"/>
          <w:szCs w:val="32"/>
          <w:lang w:val="en-US" w:eastAsia="zh-CN"/>
        </w:rPr>
        <w:t>869.63</w:t>
      </w:r>
      <w:r>
        <w:rPr>
          <w:rFonts w:eastAsia="仿宋_GB2312"/>
          <w:bCs/>
          <w:kern w:val="0"/>
          <w:sz w:val="32"/>
          <w:szCs w:val="32"/>
        </w:rPr>
        <w:t>万元，其中，基本支出</w:t>
      </w:r>
      <w:r>
        <w:rPr>
          <w:rFonts w:hint="eastAsia" w:ascii="Times New Roman" w:hAnsi="Times New Roman" w:eastAsia="仿宋_GB2312"/>
          <w:sz w:val="32"/>
          <w:szCs w:val="32"/>
          <w:lang w:val="en-US" w:eastAsia="zh-CN"/>
        </w:rPr>
        <w:t>513.10</w:t>
      </w:r>
      <w:r>
        <w:rPr>
          <w:rFonts w:eastAsia="仿宋_GB2312"/>
          <w:bCs/>
          <w:kern w:val="0"/>
          <w:sz w:val="32"/>
          <w:szCs w:val="32"/>
        </w:rPr>
        <w:t>万元，项目支出</w:t>
      </w:r>
      <w:r>
        <w:rPr>
          <w:rFonts w:hint="eastAsia" w:ascii="Times New Roman" w:hAnsi="Times New Roman" w:eastAsia="仿宋_GB2312"/>
          <w:sz w:val="32"/>
          <w:szCs w:val="32"/>
          <w:lang w:val="en-US" w:eastAsia="zh-CN"/>
        </w:rPr>
        <w:t>356.53</w:t>
      </w:r>
      <w:r>
        <w:rPr>
          <w:rFonts w:eastAsia="仿宋_GB2312"/>
          <w:bCs/>
          <w:kern w:val="0"/>
          <w:sz w:val="32"/>
          <w:szCs w:val="32"/>
        </w:rPr>
        <w:t>万元，</w:t>
      </w:r>
      <w:r>
        <w:rPr>
          <w:rFonts w:hint="eastAsia" w:eastAsia="仿宋_GB2312"/>
          <w:bCs/>
          <w:kern w:val="0"/>
          <w:sz w:val="32"/>
          <w:szCs w:val="32"/>
          <w:highlight w:val="none"/>
          <w:lang w:val="en-US" w:eastAsia="zh-CN"/>
        </w:rPr>
        <w:t>本年度本部门无重点项目支出</w:t>
      </w:r>
      <w:r>
        <w:rPr>
          <w:rFonts w:hint="eastAsia" w:eastAsia="仿宋_GB2312" w:cs="Times New Roman"/>
          <w:bCs/>
          <w:kern w:val="0"/>
          <w:sz w:val="32"/>
          <w:szCs w:val="32"/>
          <w:lang w:eastAsia="zh-CN"/>
        </w:rPr>
        <w:t>，</w:t>
      </w:r>
      <w:r>
        <w:rPr>
          <w:rFonts w:hint="eastAsia" w:eastAsia="仿宋_GB2312"/>
          <w:bCs/>
          <w:kern w:val="0"/>
          <w:sz w:val="32"/>
          <w:szCs w:val="32"/>
          <w:highlight w:val="none"/>
          <w:lang w:val="en-US" w:eastAsia="zh-CN"/>
        </w:rPr>
        <w:t>为常规性项目支出，具体内容</w:t>
      </w:r>
      <w:r>
        <w:rPr>
          <w:rFonts w:hint="eastAsia" w:ascii="Times New Roman" w:hAnsi="Times New Roman" w:eastAsia="仿宋_GB2312"/>
          <w:sz w:val="32"/>
          <w:szCs w:val="32"/>
          <w:highlight w:val="none"/>
        </w:rPr>
        <w:t>详见附件</w:t>
      </w:r>
      <w:r>
        <w:rPr>
          <w:rFonts w:hint="eastAsia" w:ascii="Times New Roman" w:hAnsi="Times New Roman" w:eastAsia="仿宋_GB2312"/>
          <w:sz w:val="32"/>
          <w:szCs w:val="32"/>
          <w:highlight w:val="none"/>
          <w:lang w:val="en-US" w:eastAsia="zh-CN"/>
        </w:rPr>
        <w:t>。</w:t>
      </w: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黑体" w:eastAsia="仿宋_GB2312" w:cs="黑体" w:hAnsiTheme="minorHAnsi"/>
          <w:bCs/>
          <w:color w:val="000000"/>
          <w:kern w:val="0"/>
          <w:sz w:val="32"/>
          <w:szCs w:val="32"/>
          <w:highlight w:val="none"/>
          <w:lang w:val="en-US" w:eastAsia="zh-CN" w:bidi="ar-SA"/>
        </w:rPr>
      </w:pPr>
      <w:r>
        <w:rPr>
          <w:rFonts w:hint="eastAsia" w:ascii="黑体" w:eastAsia="仿宋_GB2312" w:cs="黑体" w:hAnsiTheme="minorHAnsi"/>
          <w:bCs/>
          <w:color w:val="000000"/>
          <w:kern w:val="0"/>
          <w:sz w:val="32"/>
          <w:szCs w:val="32"/>
          <w:highlight w:val="none"/>
          <w:lang w:val="en-US" w:eastAsia="zh-CN" w:bidi="ar-SA"/>
        </w:rPr>
        <w:t>一、收入科目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1</w:t>
      </w:r>
      <w:r>
        <w:rPr>
          <w:rFonts w:hint="eastAsia" w:ascii="黑体" w:eastAsia="仿宋_GB2312" w:cs="黑体" w:hAnsiTheme="minorHAnsi"/>
          <w:bCs/>
          <w:color w:val="000000"/>
          <w:kern w:val="0"/>
          <w:sz w:val="32"/>
          <w:szCs w:val="32"/>
          <w:highlight w:val="none"/>
          <w:lang w:val="en-US" w:eastAsia="zh-CN" w:bidi="ar-SA"/>
        </w:rPr>
        <w:t>、财政拨款收入：指财政当年拨付的资金。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2</w:t>
      </w:r>
      <w:r>
        <w:rPr>
          <w:rFonts w:hint="eastAsia" w:ascii="黑体" w:eastAsia="仿宋_GB2312" w:cs="黑体" w:hAnsiTheme="minorHAnsi"/>
          <w:bCs/>
          <w:color w:val="000000"/>
          <w:kern w:val="0"/>
          <w:sz w:val="32"/>
          <w:szCs w:val="32"/>
          <w:highlight w:val="none"/>
          <w:lang w:val="en-US" w:eastAsia="zh-CN" w:bidi="ar-SA"/>
        </w:rPr>
        <w:t>、事业收入：指事业单位开展专业业务活动及辅助活动取得的收入。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3</w:t>
      </w:r>
      <w:r>
        <w:rPr>
          <w:rFonts w:hint="eastAsia" w:ascii="黑体" w:eastAsia="仿宋_GB2312" w:cs="黑体" w:hAnsiTheme="minorHAnsi"/>
          <w:bCs/>
          <w:color w:val="000000"/>
          <w:kern w:val="0"/>
          <w:sz w:val="32"/>
          <w:szCs w:val="32"/>
          <w:highlight w:val="none"/>
          <w:lang w:val="en-US" w:eastAsia="zh-CN" w:bidi="ar-SA"/>
        </w:rPr>
        <w:t>、经营收入：指事业单位在专业业务活动及其辅助活动之外开展非独立核算经营活动取得的收入。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4</w:t>
      </w:r>
      <w:r>
        <w:rPr>
          <w:rFonts w:hint="eastAsia" w:ascii="黑体" w:eastAsia="仿宋_GB2312" w:cs="黑体" w:hAnsiTheme="minorHAnsi"/>
          <w:bCs/>
          <w:color w:val="000000"/>
          <w:kern w:val="0"/>
          <w:sz w:val="32"/>
          <w:szCs w:val="32"/>
          <w:highlight w:val="none"/>
          <w:lang w:val="en-US" w:eastAsia="zh-CN" w:bidi="ar-SA"/>
        </w:rPr>
        <w:t>、其他收入：指除上述“财政拨款收入”、“事业收入”、“经营收入”等以外的收入。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5</w:t>
      </w:r>
      <w:r>
        <w:rPr>
          <w:rFonts w:hint="eastAsia" w:ascii="黑体" w:eastAsia="仿宋_GB2312" w:cs="黑体" w:hAnsiTheme="minorHAnsi"/>
          <w:bCs/>
          <w:color w:val="000000"/>
          <w:kern w:val="0"/>
          <w:sz w:val="32"/>
          <w:szCs w:val="32"/>
          <w:highlight w:val="none"/>
          <w:lang w:val="en-US" w:eastAsia="zh-CN" w:bidi="ar-SA"/>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6</w:t>
      </w:r>
      <w:r>
        <w:rPr>
          <w:rFonts w:hint="eastAsia" w:ascii="黑体" w:eastAsia="仿宋_GB2312" w:cs="黑体" w:hAnsiTheme="minorHAnsi"/>
          <w:bCs/>
          <w:color w:val="000000"/>
          <w:kern w:val="0"/>
          <w:sz w:val="32"/>
          <w:szCs w:val="32"/>
          <w:highlight w:val="none"/>
          <w:lang w:val="en-US" w:eastAsia="zh-CN" w:bidi="ar-SA"/>
        </w:rPr>
        <w:t>、上年结转：指以前年尚未完成、结转到本年按有关规定继续使用的资金。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eastAsia" w:ascii="黑体" w:eastAsia="仿宋_GB2312" w:cs="黑体" w:hAnsiTheme="minorHAnsi"/>
          <w:bCs/>
          <w:color w:val="000000"/>
          <w:kern w:val="0"/>
          <w:sz w:val="32"/>
          <w:szCs w:val="32"/>
          <w:highlight w:val="none"/>
          <w:lang w:val="en-US" w:eastAsia="zh-CN" w:bidi="ar-SA"/>
        </w:rPr>
        <w:t>二、支出科目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1</w:t>
      </w:r>
      <w:r>
        <w:rPr>
          <w:rFonts w:hint="eastAsia" w:ascii="黑体" w:eastAsia="仿宋_GB2312" w:cs="黑体" w:hAnsiTheme="minorHAnsi"/>
          <w:bCs/>
          <w:color w:val="000000"/>
          <w:kern w:val="0"/>
          <w:sz w:val="32"/>
          <w:szCs w:val="32"/>
          <w:highlight w:val="none"/>
          <w:lang w:val="en-US" w:eastAsia="zh-CN" w:bidi="ar-SA"/>
        </w:rPr>
        <w:t>、基本支出：是为保障其机构正常运转、完成日常工作任务而发生的人员支出和公用支出。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2</w:t>
      </w:r>
      <w:r>
        <w:rPr>
          <w:rFonts w:hint="eastAsia" w:ascii="黑体" w:eastAsia="仿宋_GB2312" w:cs="黑体" w:hAnsiTheme="minorHAnsi"/>
          <w:bCs/>
          <w:color w:val="000000"/>
          <w:kern w:val="0"/>
          <w:sz w:val="32"/>
          <w:szCs w:val="32"/>
          <w:highlight w:val="none"/>
          <w:lang w:val="en-US" w:eastAsia="zh-CN" w:bidi="ar-SA"/>
        </w:rPr>
        <w:t>、项目支出：是指在基本支出之外完成特定行政任务和事业发展目标所发生的支出。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3</w:t>
      </w:r>
      <w:r>
        <w:rPr>
          <w:rFonts w:hint="eastAsia" w:ascii="黑体" w:eastAsia="仿宋_GB2312" w:cs="黑体" w:hAnsiTheme="minorHAnsi"/>
          <w:bCs/>
          <w:color w:val="000000"/>
          <w:kern w:val="0"/>
          <w:sz w:val="32"/>
          <w:szCs w:val="32"/>
          <w:highlight w:val="none"/>
          <w:lang w:val="en-US" w:eastAsia="zh-CN" w:bidi="ar-SA"/>
        </w:rPr>
        <w:t>、工资福利支出：反映单位开支的在职职工和编制外长期聘用人员的各类劳动报酬，以及为上述人员缴纳的各项社会保险费等。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4</w:t>
      </w:r>
      <w:r>
        <w:rPr>
          <w:rFonts w:hint="eastAsia" w:ascii="黑体" w:eastAsia="仿宋_GB2312" w:cs="黑体" w:hAnsiTheme="minorHAnsi"/>
          <w:bCs/>
          <w:color w:val="000000"/>
          <w:kern w:val="0"/>
          <w:sz w:val="32"/>
          <w:szCs w:val="32"/>
          <w:highlight w:val="none"/>
          <w:lang w:val="en-US" w:eastAsia="zh-CN" w:bidi="ar-SA"/>
        </w:rPr>
        <w:t>、商品和服务支出：反映单位购买商品和服务的支出。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5</w:t>
      </w:r>
      <w:r>
        <w:rPr>
          <w:rFonts w:hint="eastAsia" w:ascii="黑体" w:eastAsia="仿宋_GB2312" w:cs="黑体" w:hAnsiTheme="minorHAnsi"/>
          <w:bCs/>
          <w:color w:val="000000"/>
          <w:kern w:val="0"/>
          <w:sz w:val="32"/>
          <w:szCs w:val="32"/>
          <w:highlight w:val="none"/>
          <w:lang w:val="en-US" w:eastAsia="zh-CN" w:bidi="ar-SA"/>
        </w:rPr>
        <w:t>、对个人和家庭的补助：反映单位用于对个人和家庭的补助支出。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default" w:ascii="黑体" w:eastAsia="仿宋_GB2312" w:cs="黑体" w:hAnsiTheme="minorHAnsi"/>
          <w:bCs/>
          <w:color w:val="000000"/>
          <w:kern w:val="0"/>
          <w:sz w:val="32"/>
          <w:szCs w:val="32"/>
          <w:highlight w:val="none"/>
          <w:lang w:val="en-US" w:eastAsia="zh-CN" w:bidi="ar-SA"/>
        </w:rPr>
      </w:pPr>
      <w:r>
        <w:rPr>
          <w:rFonts w:hint="eastAsia" w:ascii="黑体" w:eastAsia="仿宋_GB2312" w:cs="黑体" w:hAnsiTheme="minorHAnsi"/>
          <w:bCs/>
          <w:color w:val="000000"/>
          <w:kern w:val="0"/>
          <w:sz w:val="32"/>
          <w:szCs w:val="32"/>
          <w:highlight w:val="none"/>
          <w:lang w:val="en-US" w:eastAsia="zh-CN" w:bidi="ar-SA"/>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eastAsia" w:ascii="黑体" w:eastAsia="仿宋_GB2312" w:cs="黑体" w:hAnsiTheme="minorHAnsi"/>
          <w:bCs/>
          <w:color w:val="000000"/>
          <w:kern w:val="0"/>
          <w:sz w:val="32"/>
          <w:szCs w:val="32"/>
          <w:highlight w:val="none"/>
          <w:lang w:val="en-US" w:eastAsia="zh-CN" w:bidi="ar-SA"/>
        </w:rPr>
        <w:t>四、“三公”经费科目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1</w:t>
      </w:r>
      <w:r>
        <w:rPr>
          <w:rFonts w:hint="eastAsia" w:ascii="黑体" w:eastAsia="仿宋_GB2312" w:cs="黑体" w:hAnsiTheme="minorHAnsi"/>
          <w:bCs/>
          <w:color w:val="000000"/>
          <w:kern w:val="0"/>
          <w:sz w:val="32"/>
          <w:szCs w:val="32"/>
          <w:highlight w:val="none"/>
          <w:lang w:val="en-US" w:eastAsia="zh-CN" w:bidi="ar-SA"/>
        </w:rPr>
        <w:t>、因公出国（境）费用：反映单位公务出国（境）的国际旅费、国内城市间交通费、住宿费、伙食费、培训费、公杂费等支出。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2</w:t>
      </w:r>
      <w:r>
        <w:rPr>
          <w:rFonts w:hint="eastAsia" w:ascii="黑体" w:eastAsia="仿宋_GB2312" w:cs="黑体" w:hAnsiTheme="minorHAnsi"/>
          <w:bCs/>
          <w:color w:val="000000"/>
          <w:kern w:val="0"/>
          <w:sz w:val="32"/>
          <w:szCs w:val="32"/>
          <w:highlight w:val="none"/>
          <w:lang w:val="en-US" w:eastAsia="zh-CN" w:bidi="ar-SA"/>
        </w:rPr>
        <w:t>、公务接待费：反映单位按规定开支的各类公务接待（含外宾接待）费用。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黑体" w:eastAsia="仿宋_GB2312" w:cs="黑体" w:hAnsiTheme="minorHAnsi"/>
          <w:bCs/>
          <w:color w:val="000000"/>
          <w:kern w:val="0"/>
          <w:sz w:val="32"/>
          <w:szCs w:val="32"/>
          <w:highlight w:val="none"/>
          <w:lang w:val="en-US" w:eastAsia="zh-CN" w:bidi="ar-SA"/>
        </w:rPr>
      </w:pPr>
      <w:r>
        <w:rPr>
          <w:rFonts w:hint="default" w:ascii="黑体" w:eastAsia="仿宋_GB2312" w:cs="黑体" w:hAnsiTheme="minorHAnsi"/>
          <w:bCs/>
          <w:color w:val="000000"/>
          <w:kern w:val="0"/>
          <w:sz w:val="32"/>
          <w:szCs w:val="32"/>
          <w:highlight w:val="none"/>
          <w:lang w:val="en-US" w:eastAsia="zh-CN" w:bidi="ar-SA"/>
        </w:rPr>
        <w:t>3</w:t>
      </w:r>
      <w:r>
        <w:rPr>
          <w:rFonts w:hint="eastAsia" w:ascii="黑体" w:eastAsia="仿宋_GB2312" w:cs="黑体" w:hAnsiTheme="minorHAnsi"/>
          <w:bCs/>
          <w:color w:val="000000"/>
          <w:kern w:val="0"/>
          <w:sz w:val="32"/>
          <w:szCs w:val="32"/>
          <w:highlight w:val="none"/>
          <w:lang w:val="en-US" w:eastAsia="zh-CN" w:bidi="ar-SA"/>
        </w:rPr>
        <w:t>、公务用车购置及运行维护费：反映单位公务用车车辆购置支出（含车辆购置税），以及燃料费、维修费、过路过桥费、保险费等支出。</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bookmarkStart w:id="3" w:name="_GoBack"/>
      <w:bookmarkEnd w:id="3"/>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rPr>
          <w:rFonts w:hint="eastAsia" w:ascii="仿宋" w:hAnsi="仿宋" w:eastAsia="仿宋" w:cs="仿宋"/>
          <w:b/>
          <w:bCs/>
          <w:sz w:val="30"/>
          <w:szCs w:val="30"/>
          <w:lang w:eastAsia="zh-CN"/>
        </w:rPr>
      </w:pPr>
    </w:p>
    <w:p>
      <w:pPr>
        <w:pStyle w:val="15"/>
        <w:spacing w:line="600" w:lineRule="exact"/>
        <w:ind w:firstLine="720" w:firstLineChars="200"/>
        <w:jc w:val="center"/>
        <w:rPr>
          <w:rFonts w:hint="eastAsia" w:ascii="仿宋" w:hAnsi="仿宋" w:eastAsia="仿宋" w:cs="仿宋"/>
          <w:b/>
          <w:bCs/>
          <w:sz w:val="36"/>
          <w:szCs w:val="36"/>
          <w:lang w:eastAsia="zh-CN"/>
        </w:rPr>
      </w:pPr>
      <w:r>
        <w:rPr>
          <w:rFonts w:ascii="Times New Roman" w:hAnsi="Times New Roman" w:eastAsia="仿宋_GB2312" w:cs="Times New Roman"/>
          <w:b/>
          <w:bCs/>
          <w:sz w:val="36"/>
          <w:szCs w:val="36"/>
        </w:rPr>
        <w:t>2024年度部门(单位)整体支出绩效自评报告</w:t>
      </w:r>
    </w:p>
    <w:p>
      <w:pPr>
        <w:pStyle w:val="15"/>
        <w:spacing w:line="600" w:lineRule="exact"/>
        <w:ind w:firstLine="600" w:firstLineChars="200"/>
        <w:rPr>
          <w:rFonts w:hint="eastAsia" w:ascii="仿宋" w:hAnsi="仿宋" w:eastAsia="仿宋" w:cs="仿宋"/>
          <w:b/>
          <w:bCs/>
          <w:sz w:val="30"/>
          <w:szCs w:val="30"/>
          <w:lang w:eastAsia="zh-CN"/>
        </w:rPr>
      </w:pPr>
    </w:p>
    <w:p>
      <w:pPr>
        <w:pStyle w:val="15"/>
        <w:spacing w:line="600" w:lineRule="exact"/>
        <w:ind w:firstLine="600" w:firstLineChars="200"/>
        <w:rPr>
          <w:rFonts w:hint="eastAsia" w:ascii="仿宋" w:hAnsi="仿宋" w:eastAsia="仿宋" w:cs="仿宋"/>
          <w:b/>
          <w:bCs/>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部门概况</w:t>
      </w:r>
    </w:p>
    <w:p>
      <w:pPr>
        <w:keepNext w:val="0"/>
        <w:keepLines w:val="0"/>
        <w:pageBreakBefore w:val="0"/>
        <w:widowControl w:val="0"/>
        <w:kinsoku/>
        <w:wordWrap/>
        <w:overflowPunct/>
        <w:topLinePunct w:val="0"/>
        <w:bidi w:val="0"/>
        <w:snapToGrid w:val="0"/>
        <w:spacing w:line="560" w:lineRule="exact"/>
        <w:ind w:leftChars="0" w:firstLine="600"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（一）部门基本情况</w:t>
      </w:r>
    </w:p>
    <w:p>
      <w:pPr>
        <w:keepNext w:val="0"/>
        <w:keepLines w:val="0"/>
        <w:pageBreakBefore w:val="0"/>
        <w:widowControl w:val="0"/>
        <w:kinsoku/>
        <w:wordWrap/>
        <w:overflowPunct/>
        <w:topLinePunct w:val="0"/>
        <w:autoSpaceDE/>
        <w:autoSpaceDN/>
        <w:bidi w:val="0"/>
        <w:adjustRightInd/>
        <w:snapToGrid w:val="0"/>
        <w:spacing w:line="560" w:lineRule="exact"/>
        <w:ind w:leftChars="0"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lang w:eastAsia="zh-CN"/>
        </w:rPr>
        <w:t>机构、人员构成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中共祁阳市委政法委员会下设办公室、政研宣传室、政工室、维稳反邪室、综治督导室、执法监督室，下辖综治中心（网格事务中心）1个副科级事业单位和法学会1个股级事业单位。政法专项编制14个，事业编制14个，机关工勤编制1个；年末在职人数24人（原27人，退休1人，调出2人），年末离退休人数15人（原15人，退休1人，死亡1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b/>
          <w:bCs/>
          <w:color w:val="000000"/>
          <w:kern w:val="0"/>
          <w:sz w:val="30"/>
          <w:szCs w:val="30"/>
          <w:lang w:eastAsia="zh-CN"/>
        </w:rPr>
      </w:pPr>
      <w:r>
        <w:rPr>
          <w:rFonts w:hint="eastAsia" w:ascii="仿宋" w:hAnsi="仿宋" w:eastAsia="仿宋" w:cs="仿宋"/>
          <w:b/>
          <w:bCs/>
          <w:color w:val="000000"/>
          <w:kern w:val="0"/>
          <w:sz w:val="30"/>
          <w:szCs w:val="30"/>
          <w:lang w:val="en-US" w:eastAsia="zh-CN"/>
        </w:rPr>
        <w:t>2、</w:t>
      </w:r>
      <w:r>
        <w:rPr>
          <w:rFonts w:hint="eastAsia" w:ascii="仿宋" w:hAnsi="仿宋" w:eastAsia="仿宋" w:cs="仿宋"/>
          <w:b/>
          <w:bCs/>
          <w:color w:val="000000"/>
          <w:kern w:val="0"/>
          <w:sz w:val="30"/>
          <w:szCs w:val="30"/>
        </w:rPr>
        <w:t>部门</w:t>
      </w:r>
      <w:r>
        <w:rPr>
          <w:rFonts w:hint="eastAsia" w:ascii="仿宋" w:hAnsi="仿宋" w:eastAsia="仿宋" w:cs="仿宋"/>
          <w:b/>
          <w:bCs/>
          <w:color w:val="000000"/>
          <w:kern w:val="0"/>
          <w:sz w:val="30"/>
          <w:szCs w:val="30"/>
          <w:lang w:eastAsia="zh-CN"/>
        </w:rPr>
        <w:t>职能</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b/>
          <w:bCs/>
          <w:sz w:val="30"/>
          <w:szCs w:val="30"/>
        </w:rPr>
      </w:pPr>
      <w:r>
        <w:rPr>
          <w:rFonts w:hint="eastAsia" w:ascii="仿宋" w:hAnsi="仿宋" w:eastAsia="仿宋" w:cs="仿宋"/>
          <w:color w:val="000000"/>
          <w:kern w:val="0"/>
          <w:sz w:val="30"/>
          <w:szCs w:val="30"/>
          <w:lang w:val="en-US" w:eastAsia="zh-CN"/>
        </w:rPr>
        <w:t>根据党的路线、方针、政策和永州市委政法委、市委的部署，统一政法各部门的思想和行动，对一定时期内全市的政法工作作出作局性部署，并督促贯彻落实；组织、协调、指导维护社会稳定的工作，必须时直接参与影响稳定的重大群体性事件的处置；检查政法部门执行法律法规和党的方针、政策的情况，结合实际研究制定严肃执法，落实党的方针、政策的具体措施；大力支持和严格监督政法各部门依法行使职权，指导和协调政法各部门在依法相互制约的同时密切配合，督促和推动大案、要案的查处工作，研究、协调有争议的重大、疑难案件；组织、协调社会管理综合治理工作，推动社会管理综合治理各项措施的落实；组织推动政法战线的调查研究工作，总结新经验、解决新问题，改革和加强政法工作；协助党委及其他组织部门管理好政法部门的领导班子和干部队伍。组织查处政法系统干部、干警中有重大影响的违法违纪案件；承办祁阳市委、市人民政府和上级政法委员会交办的其他事项。</w:t>
      </w:r>
    </w:p>
    <w:p>
      <w:pPr>
        <w:keepNext w:val="0"/>
        <w:keepLines w:val="0"/>
        <w:pageBreakBefore w:val="0"/>
        <w:widowControl w:val="0"/>
        <w:numPr>
          <w:ilvl w:val="0"/>
          <w:numId w:val="4"/>
        </w:numPr>
        <w:kinsoku/>
        <w:wordWrap/>
        <w:overflowPunct/>
        <w:topLinePunct w:val="0"/>
        <w:autoSpaceDE/>
        <w:autoSpaceDN/>
        <w:bidi w:val="0"/>
        <w:adjustRightInd/>
        <w:snapToGrid w:val="0"/>
        <w:spacing w:line="560" w:lineRule="exact"/>
        <w:ind w:leftChars="0" w:firstLine="600"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部门整体支出规模、使用方向和主要内容、涉及范围等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年部门年初预算收入</w:t>
      </w:r>
      <w:r>
        <w:rPr>
          <w:rFonts w:hint="eastAsia" w:ascii="仿宋" w:hAnsi="仿宋" w:eastAsia="仿宋" w:cs="仿宋"/>
          <w:color w:val="000000"/>
          <w:kern w:val="0"/>
          <w:sz w:val="30"/>
          <w:szCs w:val="30"/>
          <w:lang w:val="en-US" w:eastAsia="zh-CN"/>
        </w:rPr>
        <w:t>907.08</w:t>
      </w:r>
      <w:r>
        <w:rPr>
          <w:rFonts w:hint="default" w:ascii="仿宋" w:hAnsi="仿宋" w:eastAsia="仿宋" w:cs="仿宋"/>
          <w:color w:val="000000"/>
          <w:kern w:val="0"/>
          <w:sz w:val="30"/>
          <w:szCs w:val="30"/>
          <w:lang w:val="en-US" w:eastAsia="zh-CN"/>
        </w:rPr>
        <w:t>万元，年内调整预算</w:t>
      </w:r>
      <w:r>
        <w:rPr>
          <w:rFonts w:hint="eastAsia" w:ascii="仿宋" w:hAnsi="仿宋" w:eastAsia="仿宋" w:cs="仿宋"/>
          <w:color w:val="000000"/>
          <w:kern w:val="0"/>
          <w:sz w:val="30"/>
          <w:szCs w:val="30"/>
          <w:lang w:val="en-US" w:eastAsia="zh-CN"/>
        </w:rPr>
        <w:t>37.45</w:t>
      </w:r>
      <w:r>
        <w:rPr>
          <w:rFonts w:hint="default" w:ascii="仿宋" w:hAnsi="仿宋" w:eastAsia="仿宋" w:cs="仿宋"/>
          <w:color w:val="000000"/>
          <w:kern w:val="0"/>
          <w:sz w:val="30"/>
          <w:szCs w:val="30"/>
          <w:lang w:val="en-US" w:eastAsia="zh-CN"/>
        </w:rPr>
        <w:t>万元，决算收入</w:t>
      </w:r>
      <w:r>
        <w:rPr>
          <w:rFonts w:hint="eastAsia" w:ascii="仿宋" w:hAnsi="仿宋" w:eastAsia="仿宋" w:cs="仿宋"/>
          <w:color w:val="000000"/>
          <w:kern w:val="0"/>
          <w:sz w:val="30"/>
          <w:szCs w:val="30"/>
          <w:lang w:val="en-US" w:eastAsia="zh-CN"/>
        </w:rPr>
        <w:t>869.63</w:t>
      </w:r>
      <w:r>
        <w:rPr>
          <w:rFonts w:hint="default" w:ascii="仿宋" w:hAnsi="仿宋" w:eastAsia="仿宋" w:cs="仿宋"/>
          <w:color w:val="000000"/>
          <w:kern w:val="0"/>
          <w:sz w:val="30"/>
          <w:szCs w:val="30"/>
          <w:lang w:val="en-US" w:eastAsia="zh-CN"/>
        </w:rPr>
        <w:t>万元</w:t>
      </w:r>
      <w:r>
        <w:rPr>
          <w:rFonts w:hint="eastAsia" w:ascii="仿宋" w:hAnsi="仿宋" w:eastAsia="仿宋" w:cs="仿宋"/>
          <w:color w:val="000000"/>
          <w:kern w:val="0"/>
          <w:sz w:val="30"/>
          <w:szCs w:val="30"/>
          <w:lang w:val="en-US" w:eastAsia="zh-CN"/>
        </w:rPr>
        <w:t>，其中，一般公共预算财政拨款收入869.63万元。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年度</w:t>
      </w:r>
      <w:r>
        <w:rPr>
          <w:rFonts w:hint="eastAsia" w:ascii="仿宋" w:hAnsi="仿宋" w:eastAsia="仿宋" w:cs="仿宋"/>
          <w:color w:val="000000"/>
          <w:kern w:val="0"/>
          <w:sz w:val="30"/>
          <w:szCs w:val="30"/>
          <w:lang w:val="en-US" w:eastAsia="zh-CN"/>
        </w:rPr>
        <w:t>一般公共预算</w:t>
      </w:r>
      <w:r>
        <w:rPr>
          <w:rFonts w:hint="default" w:ascii="仿宋" w:hAnsi="仿宋" w:eastAsia="仿宋" w:cs="仿宋"/>
          <w:color w:val="000000"/>
          <w:kern w:val="0"/>
          <w:sz w:val="30"/>
          <w:szCs w:val="30"/>
          <w:lang w:val="en-US" w:eastAsia="zh-CN"/>
        </w:rPr>
        <w:t>财政拨款支出</w:t>
      </w:r>
      <w:r>
        <w:rPr>
          <w:rFonts w:hint="eastAsia" w:ascii="仿宋" w:hAnsi="仿宋" w:eastAsia="仿宋" w:cs="仿宋"/>
          <w:color w:val="000000"/>
          <w:kern w:val="0"/>
          <w:sz w:val="30"/>
          <w:szCs w:val="30"/>
          <w:lang w:val="en-US" w:eastAsia="zh-CN"/>
        </w:rPr>
        <w:t>869.63</w:t>
      </w:r>
      <w:r>
        <w:rPr>
          <w:rFonts w:hint="default" w:ascii="仿宋" w:hAnsi="仿宋" w:eastAsia="仿宋" w:cs="仿宋"/>
          <w:color w:val="000000"/>
          <w:kern w:val="0"/>
          <w:sz w:val="30"/>
          <w:szCs w:val="30"/>
          <w:lang w:val="en-US" w:eastAsia="zh-CN"/>
        </w:rPr>
        <w:t>万元，主要用于以下方面：一般公共服务支出</w:t>
      </w:r>
      <w:r>
        <w:rPr>
          <w:rFonts w:hint="eastAsia" w:ascii="仿宋" w:hAnsi="仿宋" w:eastAsia="仿宋" w:cs="仿宋"/>
          <w:color w:val="000000"/>
          <w:kern w:val="0"/>
          <w:sz w:val="30"/>
          <w:szCs w:val="30"/>
          <w:lang w:val="en-US" w:eastAsia="zh-CN"/>
        </w:rPr>
        <w:t>760.16</w:t>
      </w:r>
      <w:r>
        <w:rPr>
          <w:rFonts w:hint="default" w:ascii="仿宋" w:hAnsi="仿宋" w:eastAsia="仿宋" w:cs="仿宋"/>
          <w:color w:val="000000"/>
          <w:kern w:val="0"/>
          <w:sz w:val="30"/>
          <w:szCs w:val="30"/>
          <w:lang w:val="en-US" w:eastAsia="zh-CN"/>
        </w:rPr>
        <w:t>万元，占</w:t>
      </w:r>
      <w:r>
        <w:rPr>
          <w:rFonts w:hint="eastAsia" w:ascii="仿宋" w:hAnsi="仿宋" w:eastAsia="仿宋" w:cs="仿宋"/>
          <w:color w:val="000000"/>
          <w:kern w:val="0"/>
          <w:sz w:val="30"/>
          <w:szCs w:val="30"/>
          <w:lang w:val="en-US" w:eastAsia="zh-CN"/>
        </w:rPr>
        <w:t>87.41</w:t>
      </w:r>
      <w:r>
        <w:rPr>
          <w:rFonts w:hint="default" w:ascii="仿宋" w:hAnsi="仿宋" w:eastAsia="仿宋" w:cs="仿宋"/>
          <w:color w:val="000000"/>
          <w:kern w:val="0"/>
          <w:sz w:val="30"/>
          <w:szCs w:val="30"/>
          <w:lang w:val="en-US" w:eastAsia="zh-CN"/>
        </w:rPr>
        <w:t>%；公共安全支出</w:t>
      </w:r>
      <w:r>
        <w:rPr>
          <w:rFonts w:hint="eastAsia" w:ascii="仿宋" w:hAnsi="仿宋" w:eastAsia="仿宋" w:cs="仿宋"/>
          <w:color w:val="000000"/>
          <w:kern w:val="0"/>
          <w:sz w:val="30"/>
          <w:szCs w:val="30"/>
          <w:lang w:val="en-US" w:eastAsia="zh-CN"/>
        </w:rPr>
        <w:t>8.5</w:t>
      </w:r>
      <w:r>
        <w:rPr>
          <w:rFonts w:hint="default" w:ascii="仿宋" w:hAnsi="仿宋" w:eastAsia="仿宋" w:cs="仿宋"/>
          <w:color w:val="000000"/>
          <w:kern w:val="0"/>
          <w:sz w:val="30"/>
          <w:szCs w:val="30"/>
          <w:lang w:val="en-US" w:eastAsia="zh-CN"/>
        </w:rPr>
        <w:t>万元，占</w:t>
      </w:r>
      <w:r>
        <w:rPr>
          <w:rFonts w:hint="eastAsia" w:ascii="仿宋" w:hAnsi="仿宋" w:eastAsia="仿宋" w:cs="仿宋"/>
          <w:color w:val="000000"/>
          <w:kern w:val="0"/>
          <w:sz w:val="30"/>
          <w:szCs w:val="30"/>
          <w:lang w:val="en-US" w:eastAsia="zh-CN"/>
        </w:rPr>
        <w:t>0.98</w:t>
      </w:r>
      <w:r>
        <w:rPr>
          <w:rFonts w:hint="default" w:ascii="仿宋" w:hAnsi="仿宋" w:eastAsia="仿宋" w:cs="仿宋"/>
          <w:color w:val="000000"/>
          <w:kern w:val="0"/>
          <w:sz w:val="30"/>
          <w:szCs w:val="30"/>
          <w:lang w:val="en-US" w:eastAsia="zh-CN"/>
        </w:rPr>
        <w:t>%；社会保障和就业支出</w:t>
      </w:r>
      <w:r>
        <w:rPr>
          <w:rFonts w:hint="eastAsia" w:ascii="仿宋" w:hAnsi="仿宋" w:eastAsia="仿宋" w:cs="仿宋"/>
          <w:color w:val="000000"/>
          <w:kern w:val="0"/>
          <w:sz w:val="30"/>
          <w:szCs w:val="30"/>
          <w:lang w:val="en-US" w:eastAsia="zh-CN"/>
        </w:rPr>
        <w:t>59.9</w:t>
      </w:r>
      <w:r>
        <w:rPr>
          <w:rFonts w:hint="default" w:ascii="仿宋" w:hAnsi="仿宋" w:eastAsia="仿宋" w:cs="仿宋"/>
          <w:color w:val="000000"/>
          <w:kern w:val="0"/>
          <w:sz w:val="30"/>
          <w:szCs w:val="30"/>
          <w:lang w:val="en-US" w:eastAsia="zh-CN"/>
        </w:rPr>
        <w:t>万元，占</w:t>
      </w:r>
      <w:r>
        <w:rPr>
          <w:rFonts w:hint="eastAsia" w:ascii="仿宋" w:hAnsi="仿宋" w:eastAsia="仿宋" w:cs="仿宋"/>
          <w:color w:val="000000"/>
          <w:kern w:val="0"/>
          <w:sz w:val="30"/>
          <w:szCs w:val="30"/>
          <w:lang w:val="en-US" w:eastAsia="zh-CN"/>
        </w:rPr>
        <w:t>6.89</w:t>
      </w:r>
      <w:r>
        <w:rPr>
          <w:rFonts w:hint="default" w:ascii="仿宋" w:hAnsi="仿宋" w:eastAsia="仿宋" w:cs="仿宋"/>
          <w:color w:val="000000"/>
          <w:kern w:val="0"/>
          <w:sz w:val="30"/>
          <w:szCs w:val="30"/>
          <w:lang w:val="en-US" w:eastAsia="zh-CN"/>
        </w:rPr>
        <w:t>%；卫生健康支出</w:t>
      </w:r>
      <w:r>
        <w:rPr>
          <w:rFonts w:hint="eastAsia" w:ascii="仿宋" w:hAnsi="仿宋" w:eastAsia="仿宋" w:cs="仿宋"/>
          <w:color w:val="000000"/>
          <w:kern w:val="0"/>
          <w:sz w:val="30"/>
          <w:szCs w:val="30"/>
          <w:lang w:val="en-US" w:eastAsia="zh-CN"/>
        </w:rPr>
        <w:t>14.67</w:t>
      </w:r>
      <w:r>
        <w:rPr>
          <w:rFonts w:hint="default" w:ascii="仿宋" w:hAnsi="仿宋" w:eastAsia="仿宋" w:cs="仿宋"/>
          <w:color w:val="000000"/>
          <w:kern w:val="0"/>
          <w:sz w:val="30"/>
          <w:szCs w:val="30"/>
          <w:lang w:val="en-US" w:eastAsia="zh-CN"/>
        </w:rPr>
        <w:t>万元，占</w:t>
      </w:r>
      <w:r>
        <w:rPr>
          <w:rFonts w:hint="eastAsia" w:ascii="仿宋" w:hAnsi="仿宋" w:eastAsia="仿宋" w:cs="仿宋"/>
          <w:color w:val="000000"/>
          <w:kern w:val="0"/>
          <w:sz w:val="30"/>
          <w:szCs w:val="30"/>
          <w:lang w:val="en-US" w:eastAsia="zh-CN"/>
        </w:rPr>
        <w:t>1.69</w:t>
      </w:r>
      <w:r>
        <w:rPr>
          <w:rFonts w:hint="default"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rPr>
        <w:t>；住房保障支出26.4万元，占3.03%</w:t>
      </w:r>
      <w:r>
        <w:rPr>
          <w:rFonts w:hint="default" w:ascii="仿宋" w:hAnsi="仿宋" w:eastAsia="仿宋" w:cs="仿宋"/>
          <w:color w:val="000000"/>
          <w:kern w:val="0"/>
          <w:sz w:val="30"/>
          <w:szCs w:val="30"/>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b/>
          <w:bCs/>
          <w:color w:val="000000"/>
          <w:kern w:val="0"/>
          <w:sz w:val="30"/>
          <w:szCs w:val="30"/>
          <w:lang w:val="en-US" w:eastAsia="zh-CN"/>
        </w:rPr>
      </w:pPr>
      <w:r>
        <w:rPr>
          <w:rFonts w:hint="eastAsia" w:ascii="仿宋" w:hAnsi="仿宋" w:eastAsia="仿宋" w:cs="仿宋"/>
          <w:b/>
          <w:bCs/>
          <w:color w:val="000000"/>
          <w:kern w:val="0"/>
          <w:sz w:val="30"/>
          <w:szCs w:val="30"/>
          <w:lang w:val="en-US" w:eastAsia="zh-CN"/>
        </w:rPr>
        <w:t>二、部门整体支出管理及使用情况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b/>
          <w:bCs/>
          <w:color w:val="000000"/>
          <w:kern w:val="0"/>
          <w:sz w:val="30"/>
          <w:szCs w:val="30"/>
          <w:lang w:val="en-US" w:eastAsia="zh-CN"/>
        </w:rPr>
        <w:t>（一）基本支出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2024年度财政拨款基本支出513.10万元，其中：人员经费402.23万元，占基本支出的78.39%，主要包括基本工资、津贴补贴、奖金</w:t>
      </w:r>
      <w:r>
        <w:rPr>
          <w:rFonts w:hint="eastAsia" w:ascii="仿宋" w:hAnsi="仿宋" w:eastAsia="仿宋" w:cs="仿宋"/>
          <w:color w:val="000000"/>
          <w:kern w:val="0"/>
          <w:sz w:val="30"/>
          <w:szCs w:val="30"/>
          <w:lang w:val="zh-CN" w:eastAsia="zh-CN"/>
        </w:rPr>
        <w:t>、机关事业单位基本养老保险缴费、职工基本医疗保险缴费、其他社会保障缴费、住房公积金等</w:t>
      </w:r>
      <w:r>
        <w:rPr>
          <w:rFonts w:hint="eastAsia" w:ascii="仿宋" w:hAnsi="仿宋" w:eastAsia="仿宋" w:cs="仿宋"/>
          <w:color w:val="000000"/>
          <w:kern w:val="0"/>
          <w:sz w:val="30"/>
          <w:szCs w:val="30"/>
          <w:lang w:val="en-US" w:eastAsia="zh-CN"/>
        </w:rPr>
        <w:t>；公用经费110.87万元，占基本支出的21.61%，主要包括办公费、印刷费、邮电费、差旅费、维修（护）费、会议费、培训费、公务接待费、劳务费、工会经费、福利费、其他交通费用、其他商品和服务支出等。</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b/>
          <w:bCs/>
          <w:color w:val="000000"/>
          <w:kern w:val="0"/>
          <w:sz w:val="30"/>
          <w:szCs w:val="30"/>
          <w:lang w:val="en-US" w:eastAsia="zh-CN"/>
        </w:rPr>
        <w:t>（二）项目支出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1、</w:t>
      </w:r>
      <w:r>
        <w:rPr>
          <w:rFonts w:hint="default" w:ascii="仿宋" w:hAnsi="仿宋" w:eastAsia="仿宋" w:cs="仿宋"/>
          <w:color w:val="000000"/>
          <w:kern w:val="0"/>
          <w:sz w:val="30"/>
          <w:szCs w:val="30"/>
          <w:lang w:val="en-US" w:eastAsia="zh-CN"/>
        </w:rPr>
        <w:t>项目资金安排落实、总投入等情况分析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年项目支出决算数</w:t>
      </w:r>
      <w:r>
        <w:rPr>
          <w:rFonts w:hint="eastAsia" w:ascii="仿宋" w:hAnsi="仿宋" w:eastAsia="仿宋" w:cs="仿宋"/>
          <w:color w:val="000000"/>
          <w:kern w:val="0"/>
          <w:sz w:val="30"/>
          <w:szCs w:val="30"/>
          <w:lang w:val="en-US" w:eastAsia="zh-CN"/>
        </w:rPr>
        <w:t>356.53</w:t>
      </w:r>
      <w:r>
        <w:rPr>
          <w:rFonts w:hint="default" w:ascii="仿宋" w:hAnsi="仿宋" w:eastAsia="仿宋" w:cs="仿宋"/>
          <w:color w:val="000000"/>
          <w:kern w:val="0"/>
          <w:sz w:val="30"/>
          <w:szCs w:val="30"/>
          <w:lang w:val="en-US" w:eastAsia="zh-CN"/>
        </w:rPr>
        <w:t>万元，年初预算</w:t>
      </w:r>
      <w:r>
        <w:rPr>
          <w:rFonts w:hint="eastAsia" w:ascii="仿宋" w:hAnsi="仿宋" w:eastAsia="仿宋" w:cs="仿宋"/>
          <w:color w:val="000000"/>
          <w:kern w:val="0"/>
          <w:sz w:val="30"/>
          <w:szCs w:val="30"/>
          <w:lang w:val="en-US" w:eastAsia="zh-CN"/>
        </w:rPr>
        <w:t>437.73</w:t>
      </w:r>
      <w:r>
        <w:rPr>
          <w:rFonts w:hint="default" w:ascii="仿宋" w:hAnsi="仿宋" w:eastAsia="仿宋" w:cs="仿宋"/>
          <w:color w:val="000000"/>
          <w:kern w:val="0"/>
          <w:sz w:val="30"/>
          <w:szCs w:val="30"/>
          <w:lang w:val="en-US" w:eastAsia="zh-CN"/>
        </w:rPr>
        <w:t>万元。</w:t>
      </w:r>
      <w:r>
        <w:rPr>
          <w:rFonts w:hint="default" w:ascii="仿宋" w:hAnsi="仿宋" w:eastAsia="仿宋" w:cs="仿宋"/>
          <w:color w:val="000000"/>
          <w:kern w:val="0"/>
          <w:sz w:val="30"/>
          <w:szCs w:val="30"/>
          <w:lang w:val="zh-CN" w:eastAsia="zh-CN"/>
        </w:rPr>
        <w:t>决算数比预算数</w:t>
      </w:r>
      <w:r>
        <w:rPr>
          <w:rFonts w:hint="eastAsia" w:ascii="仿宋" w:hAnsi="仿宋" w:eastAsia="仿宋" w:cs="仿宋"/>
          <w:color w:val="000000"/>
          <w:kern w:val="0"/>
          <w:sz w:val="30"/>
          <w:szCs w:val="30"/>
          <w:lang w:val="zh-CN" w:eastAsia="zh-CN"/>
        </w:rPr>
        <w:t>少</w:t>
      </w:r>
      <w:r>
        <w:rPr>
          <w:rFonts w:hint="eastAsia" w:ascii="仿宋" w:hAnsi="仿宋" w:eastAsia="仿宋" w:cs="仿宋"/>
          <w:color w:val="000000"/>
          <w:kern w:val="0"/>
          <w:sz w:val="30"/>
          <w:szCs w:val="30"/>
          <w:lang w:val="en-US" w:eastAsia="zh-CN"/>
        </w:rPr>
        <w:t>81.2</w:t>
      </w:r>
      <w:r>
        <w:rPr>
          <w:rFonts w:hint="default" w:ascii="仿宋" w:hAnsi="仿宋" w:eastAsia="仿宋" w:cs="仿宋"/>
          <w:color w:val="000000"/>
          <w:kern w:val="0"/>
          <w:sz w:val="30"/>
          <w:szCs w:val="30"/>
          <w:lang w:val="zh-CN" w:eastAsia="zh-CN"/>
        </w:rPr>
        <w:t>万元，主要原因是</w:t>
      </w:r>
      <w:r>
        <w:rPr>
          <w:rFonts w:hint="eastAsia" w:ascii="仿宋" w:hAnsi="仿宋" w:eastAsia="仿宋" w:cs="仿宋"/>
          <w:color w:val="000000"/>
          <w:kern w:val="0"/>
          <w:sz w:val="30"/>
          <w:szCs w:val="30"/>
          <w:lang w:val="zh-CN" w:eastAsia="zh-CN"/>
        </w:rPr>
        <w:t>司法救助和社区网格管理员经费实际支出比预算数少</w:t>
      </w:r>
      <w:r>
        <w:rPr>
          <w:rFonts w:hint="default" w:ascii="仿宋" w:hAnsi="仿宋" w:eastAsia="仿宋" w:cs="仿宋"/>
          <w:color w:val="000000"/>
          <w:kern w:val="0"/>
          <w:sz w:val="30"/>
          <w:szCs w:val="30"/>
          <w:lang w:val="zh-CN"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项目资金实际使用情况分析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年度财政拨款项目支出</w:t>
      </w:r>
      <w:r>
        <w:rPr>
          <w:rFonts w:hint="eastAsia" w:ascii="仿宋" w:hAnsi="仿宋" w:eastAsia="仿宋" w:cs="仿宋"/>
          <w:color w:val="000000"/>
          <w:kern w:val="0"/>
          <w:sz w:val="30"/>
          <w:szCs w:val="30"/>
          <w:lang w:val="en-US" w:eastAsia="zh-CN"/>
        </w:rPr>
        <w:t>356.53</w:t>
      </w:r>
      <w:r>
        <w:rPr>
          <w:rFonts w:hint="default" w:ascii="仿宋" w:hAnsi="仿宋" w:eastAsia="仿宋" w:cs="仿宋"/>
          <w:color w:val="000000"/>
          <w:kern w:val="0"/>
          <w:sz w:val="30"/>
          <w:szCs w:val="30"/>
          <w:lang w:val="en-US" w:eastAsia="zh-CN"/>
        </w:rPr>
        <w:t>万元。其中：</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（1）</w:t>
      </w:r>
      <w:r>
        <w:rPr>
          <w:rFonts w:hint="default" w:ascii="仿宋" w:hAnsi="仿宋" w:eastAsia="仿宋" w:cs="仿宋"/>
          <w:color w:val="000000"/>
          <w:kern w:val="0"/>
          <w:sz w:val="30"/>
          <w:szCs w:val="30"/>
          <w:lang w:val="en-US" w:eastAsia="zh-CN"/>
        </w:rPr>
        <w:t>综治维稳专项支出</w:t>
      </w:r>
      <w:r>
        <w:rPr>
          <w:rFonts w:hint="eastAsia" w:ascii="仿宋" w:hAnsi="仿宋" w:eastAsia="仿宋" w:cs="仿宋"/>
          <w:color w:val="000000"/>
          <w:kern w:val="0"/>
          <w:sz w:val="30"/>
          <w:szCs w:val="30"/>
          <w:lang w:val="en-US" w:eastAsia="zh-CN"/>
        </w:rPr>
        <w:t>62.68</w:t>
      </w:r>
      <w:r>
        <w:rPr>
          <w:rFonts w:hint="default" w:ascii="仿宋" w:hAnsi="仿宋" w:eastAsia="仿宋" w:cs="仿宋"/>
          <w:color w:val="000000"/>
          <w:kern w:val="0"/>
          <w:sz w:val="30"/>
          <w:szCs w:val="30"/>
          <w:lang w:val="en-US" w:eastAsia="zh-CN"/>
        </w:rPr>
        <w:t>万元；用于开展综治民调、信访维稳、市域社会治理现代化试点、扫黑除恶、平安建设</w:t>
      </w:r>
      <w:r>
        <w:rPr>
          <w:rFonts w:hint="eastAsia"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bidi="ar-SA"/>
        </w:rPr>
        <w:t>保护“千年鸟道”专项行动、</w:t>
      </w:r>
      <w:r>
        <w:rPr>
          <w:rFonts w:hint="eastAsia" w:ascii="仿宋" w:hAnsi="仿宋" w:eastAsia="仿宋" w:cs="仿宋"/>
          <w:color w:val="000000"/>
          <w:kern w:val="0"/>
          <w:sz w:val="30"/>
          <w:szCs w:val="30"/>
          <w:lang w:val="en-US" w:eastAsia="zh-CN"/>
        </w:rPr>
        <w:t>寄递渠道安检中心财政补助</w:t>
      </w:r>
      <w:r>
        <w:rPr>
          <w:rFonts w:hint="default" w:ascii="仿宋" w:hAnsi="仿宋" w:eastAsia="仿宋" w:cs="仿宋"/>
          <w:color w:val="000000"/>
          <w:kern w:val="0"/>
          <w:sz w:val="30"/>
          <w:szCs w:val="30"/>
          <w:lang w:val="en-US" w:eastAsia="zh-CN"/>
        </w:rPr>
        <w:t>等工作。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w:t>
      </w:r>
      <w:r>
        <w:rPr>
          <w:rFonts w:hint="default" w:ascii="仿宋" w:hAnsi="仿宋" w:eastAsia="仿宋" w:cs="仿宋"/>
          <w:color w:val="000000"/>
          <w:kern w:val="0"/>
          <w:sz w:val="30"/>
          <w:szCs w:val="30"/>
          <w:lang w:val="en-US" w:eastAsia="zh-CN"/>
        </w:rPr>
        <w:t>网格管理员经费</w:t>
      </w:r>
      <w:r>
        <w:rPr>
          <w:rFonts w:hint="eastAsia" w:ascii="仿宋" w:hAnsi="仿宋" w:eastAsia="仿宋" w:cs="仿宋"/>
          <w:color w:val="000000"/>
          <w:kern w:val="0"/>
          <w:sz w:val="30"/>
          <w:szCs w:val="30"/>
          <w:lang w:val="en-US" w:eastAsia="zh-CN"/>
        </w:rPr>
        <w:t>285.35</w:t>
      </w:r>
      <w:r>
        <w:rPr>
          <w:rFonts w:hint="default" w:ascii="仿宋" w:hAnsi="仿宋" w:eastAsia="仿宋" w:cs="仿宋"/>
          <w:color w:val="000000"/>
          <w:kern w:val="0"/>
          <w:sz w:val="30"/>
          <w:szCs w:val="30"/>
          <w:lang w:val="en-US" w:eastAsia="zh-CN"/>
        </w:rPr>
        <w:t>万元，用于城区社区网格管理员劳务派遣费</w:t>
      </w:r>
      <w:r>
        <w:rPr>
          <w:rFonts w:hint="eastAsia" w:ascii="仿宋" w:hAnsi="仿宋" w:eastAsia="仿宋" w:cs="仿宋"/>
          <w:color w:val="000000"/>
          <w:kern w:val="0"/>
          <w:sz w:val="30"/>
          <w:szCs w:val="30"/>
          <w:lang w:val="en-US" w:eastAsia="zh-CN"/>
        </w:rPr>
        <w:t>。</w:t>
      </w:r>
    </w:p>
    <w:p>
      <w:pPr>
        <w:pStyle w:val="2"/>
        <w:keepNext w:val="0"/>
        <w:keepLines w:val="0"/>
        <w:pageBreakBefore w:val="0"/>
        <w:widowControl w:val="0"/>
        <w:kinsoku/>
        <w:wordWrap/>
        <w:overflowPunct/>
        <w:topLinePunct w:val="0"/>
        <w:bidi w:val="0"/>
        <w:spacing w:line="560" w:lineRule="exact"/>
        <w:ind w:firstLine="600" w:firstLineChars="200"/>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（3）司法救助2万元，用于资助因案件导致经济困难的当事人。</w:t>
      </w:r>
    </w:p>
    <w:p>
      <w:pPr>
        <w:pStyle w:val="2"/>
        <w:keepNext w:val="0"/>
        <w:keepLines w:val="0"/>
        <w:pageBreakBefore w:val="0"/>
        <w:widowControl w:val="0"/>
        <w:kinsoku/>
        <w:wordWrap/>
        <w:overflowPunct/>
        <w:topLinePunct w:val="0"/>
        <w:bidi w:val="0"/>
        <w:spacing w:line="560" w:lineRule="exact"/>
        <w:ind w:firstLine="600" w:firstLineChars="200"/>
        <w:textAlignment w:val="auto"/>
        <w:rPr>
          <w:rFonts w:hint="eastAsia"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(4）打击整治养老诈骗工作经费6.5万元，用于整治和防范养老诈骗工作开支。</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bidi="ar-SA"/>
        </w:rPr>
        <w:t>3</w:t>
      </w:r>
      <w:r>
        <w:rPr>
          <w:rFonts w:hint="eastAsia" w:ascii="仿宋" w:hAnsi="仿宋" w:eastAsia="仿宋" w:cs="仿宋"/>
          <w:color w:val="000000"/>
          <w:kern w:val="0"/>
          <w:sz w:val="30"/>
          <w:szCs w:val="30"/>
          <w:lang w:val="en-US" w:eastAsia="zh-CN" w:bidi="ar-SA"/>
        </w:rPr>
        <w:t>、</w:t>
      </w:r>
      <w:r>
        <w:rPr>
          <w:rFonts w:hint="default" w:ascii="仿宋" w:hAnsi="仿宋" w:eastAsia="仿宋" w:cs="仿宋"/>
          <w:color w:val="000000"/>
          <w:kern w:val="0"/>
          <w:sz w:val="30"/>
          <w:szCs w:val="30"/>
          <w:lang w:val="en-US" w:eastAsia="zh-CN" w:bidi="ar-SA"/>
        </w:rPr>
        <w:t>项目资金管理</w:t>
      </w:r>
      <w:r>
        <w:rPr>
          <w:rFonts w:hint="default" w:ascii="仿宋" w:hAnsi="仿宋" w:eastAsia="仿宋" w:cs="仿宋"/>
          <w:color w:val="000000"/>
          <w:kern w:val="0"/>
          <w:sz w:val="30"/>
          <w:szCs w:val="30"/>
          <w:lang w:val="en-US" w:eastAsia="zh-CN"/>
        </w:rPr>
        <w:t>情况分析</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我委在部门整体支出中，严格按照年初预算安排，坚持</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无预算，不支出</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有预算，严格按预算支出</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的原则，以及</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细化预算和提前编制预算</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原则，严格遵守资金管理制度，强化监督，专款专用，确保各项资金及时到位，无截留、挪用等现象。健全和完善管理制度，加强基本支出管理。严格审批程序，严格执行国家规定的开支范围及开支标准，量入为出，坚持会签制度。严格报账程序，实行国库集中支付制度，严格完善相关资料手续、审核审批程序，保证了各项资金使用的合理合规，充分发挥了各项资金的使用效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b/>
          <w:bCs/>
          <w:color w:val="000000"/>
          <w:kern w:val="0"/>
          <w:sz w:val="30"/>
          <w:szCs w:val="30"/>
          <w:lang w:val="en-US" w:eastAsia="zh-CN"/>
        </w:rPr>
      </w:pPr>
      <w:r>
        <w:rPr>
          <w:rFonts w:hint="default" w:ascii="仿宋" w:hAnsi="仿宋" w:eastAsia="仿宋" w:cs="仿宋"/>
          <w:b/>
          <w:bCs/>
          <w:color w:val="000000"/>
          <w:kern w:val="0"/>
          <w:sz w:val="30"/>
          <w:szCs w:val="30"/>
          <w:lang w:val="en-US" w:eastAsia="zh-CN"/>
        </w:rPr>
        <w:t>三、部门整体支出绩效情况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b/>
          <w:bCs/>
          <w:color w:val="000000"/>
          <w:kern w:val="0"/>
          <w:sz w:val="30"/>
          <w:szCs w:val="30"/>
          <w:lang w:val="en-US" w:eastAsia="zh-CN"/>
        </w:rPr>
      </w:pPr>
      <w:r>
        <w:rPr>
          <w:rFonts w:hint="default" w:ascii="仿宋" w:hAnsi="仿宋" w:eastAsia="仿宋" w:cs="仿宋"/>
          <w:b/>
          <w:bCs/>
          <w:color w:val="000000"/>
          <w:kern w:val="0"/>
          <w:sz w:val="30"/>
          <w:szCs w:val="30"/>
          <w:lang w:val="en-US" w:eastAsia="zh-CN"/>
        </w:rPr>
        <w:t>（一）部门整体支出绩效目标完成情况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1、数量指标。平安建设、市域治理、扫黑除恶、国</w:t>
      </w:r>
      <w:r>
        <w:rPr>
          <w:rFonts w:hint="eastAsia" w:ascii="仿宋" w:hAnsi="仿宋" w:eastAsia="仿宋" w:cs="仿宋"/>
          <w:color w:val="000000"/>
          <w:kern w:val="0"/>
          <w:sz w:val="30"/>
          <w:szCs w:val="30"/>
          <w:lang w:val="en-US" w:eastAsia="zh-CN"/>
        </w:rPr>
        <w:t>家安全</w:t>
      </w:r>
      <w:r>
        <w:rPr>
          <w:rFonts w:hint="default"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rPr>
        <w:t>反邪教、“利剑护蕾”、反电诈、防养老诈骗、保护“千年鸟道”安全</w:t>
      </w:r>
      <w:r>
        <w:rPr>
          <w:rFonts w:hint="default" w:ascii="仿宋" w:hAnsi="仿宋" w:eastAsia="仿宋" w:cs="仿宋"/>
          <w:color w:val="000000"/>
          <w:kern w:val="0"/>
          <w:sz w:val="30"/>
          <w:szCs w:val="30"/>
          <w:lang w:val="en-US" w:eastAsia="zh-CN"/>
        </w:rPr>
        <w:t>等宣传活动</w:t>
      </w:r>
      <w:r>
        <w:rPr>
          <w:rFonts w:hint="eastAsia" w:ascii="仿宋" w:hAnsi="仿宋" w:eastAsia="仿宋" w:cs="仿宋"/>
          <w:color w:val="000000"/>
          <w:kern w:val="0"/>
          <w:sz w:val="30"/>
          <w:szCs w:val="30"/>
          <w:lang w:val="en-US" w:eastAsia="zh-CN"/>
        </w:rPr>
        <w:t>达220万人次</w:t>
      </w:r>
      <w:r>
        <w:rPr>
          <w:rFonts w:hint="default"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rPr>
        <w:t>相关工作督导4次</w:t>
      </w:r>
      <w:r>
        <w:rPr>
          <w:rFonts w:hint="default"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rPr>
        <w:t>无铁路安全事故。</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2、质量指标。</w:t>
      </w:r>
      <w:r>
        <w:rPr>
          <w:rFonts w:hint="eastAsia" w:ascii="仿宋" w:hAnsi="仿宋" w:eastAsia="仿宋" w:cs="仿宋"/>
          <w:color w:val="000000"/>
          <w:kern w:val="0"/>
          <w:sz w:val="30"/>
          <w:szCs w:val="30"/>
          <w:lang w:val="en-US" w:eastAsia="zh-CN"/>
        </w:rPr>
        <w:t>单位机关事务正常运转率100%；综治、网格巡查上报各类联动处置事件办结率达90%；矛盾纠纷化解率达95%；邪教转化合格率100%</w:t>
      </w:r>
      <w:r>
        <w:rPr>
          <w:rFonts w:hint="default" w:ascii="仿宋" w:hAnsi="仿宋" w:eastAsia="仿宋" w:cs="仿宋"/>
          <w:color w:val="000000"/>
          <w:kern w:val="0"/>
          <w:sz w:val="30"/>
          <w:szCs w:val="30"/>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3、时效指标。各项工作在202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年年内完成，完成及时率100%。</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4、成本指标。成本发生规范合理率100%。</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5、效益指标。</w:t>
      </w:r>
      <w:r>
        <w:rPr>
          <w:rFonts w:hint="eastAsia" w:ascii="仿宋" w:hAnsi="仿宋" w:eastAsia="仿宋" w:cs="仿宋"/>
          <w:color w:val="000000"/>
          <w:kern w:val="0"/>
          <w:sz w:val="30"/>
          <w:szCs w:val="30"/>
          <w:lang w:val="en-US" w:eastAsia="zh-CN"/>
        </w:rPr>
        <w:t>2024年被评为湖南省平安建设先进单位、被省护路办评为铁路护路联防工作先进集体；</w:t>
      </w:r>
      <w:r>
        <w:rPr>
          <w:rFonts w:hint="default" w:ascii="仿宋" w:hAnsi="仿宋" w:eastAsia="仿宋" w:cs="仿宋"/>
          <w:color w:val="000000"/>
          <w:kern w:val="0"/>
          <w:sz w:val="30"/>
          <w:szCs w:val="30"/>
          <w:lang w:val="en-US" w:eastAsia="zh-CN"/>
        </w:rPr>
        <w:t>为</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建设新祁阳，挺进省十强</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创造</w:t>
      </w:r>
      <w:r>
        <w:rPr>
          <w:rFonts w:hint="eastAsia" w:ascii="仿宋" w:hAnsi="仿宋" w:eastAsia="仿宋" w:cs="仿宋"/>
          <w:color w:val="000000"/>
          <w:kern w:val="0"/>
          <w:sz w:val="30"/>
          <w:szCs w:val="30"/>
          <w:lang w:val="en-US" w:eastAsia="zh-CN"/>
        </w:rPr>
        <w:t>了</w:t>
      </w:r>
      <w:r>
        <w:rPr>
          <w:rFonts w:hint="default" w:ascii="仿宋" w:hAnsi="仿宋" w:eastAsia="仿宋" w:cs="仿宋"/>
          <w:color w:val="000000"/>
          <w:kern w:val="0"/>
          <w:sz w:val="30"/>
          <w:szCs w:val="30"/>
          <w:lang w:val="en-US" w:eastAsia="zh-CN"/>
        </w:rPr>
        <w:t>安全的政治环境、</w:t>
      </w:r>
      <w:r>
        <w:rPr>
          <w:rFonts w:hint="eastAsia" w:ascii="仿宋" w:hAnsi="仿宋" w:eastAsia="仿宋" w:cs="仿宋"/>
          <w:color w:val="000000"/>
          <w:kern w:val="0"/>
          <w:sz w:val="30"/>
          <w:szCs w:val="30"/>
          <w:lang w:val="en-US" w:eastAsia="zh-CN"/>
        </w:rPr>
        <w:t>和谐</w:t>
      </w:r>
      <w:r>
        <w:rPr>
          <w:rFonts w:hint="default" w:ascii="仿宋" w:hAnsi="仿宋" w:eastAsia="仿宋" w:cs="仿宋"/>
          <w:color w:val="000000"/>
          <w:kern w:val="0"/>
          <w:sz w:val="30"/>
          <w:szCs w:val="30"/>
          <w:lang w:val="en-US" w:eastAsia="zh-CN"/>
        </w:rPr>
        <w:t>稳定的社会环境、</w:t>
      </w:r>
      <w:r>
        <w:rPr>
          <w:rFonts w:hint="eastAsia" w:ascii="仿宋" w:hAnsi="仿宋" w:eastAsia="仿宋" w:cs="仿宋"/>
          <w:color w:val="000000"/>
          <w:kern w:val="0"/>
          <w:sz w:val="30"/>
          <w:szCs w:val="30"/>
          <w:lang w:val="en-US" w:eastAsia="zh-CN"/>
        </w:rPr>
        <w:t>公平</w:t>
      </w:r>
      <w:r>
        <w:rPr>
          <w:rFonts w:hint="default" w:ascii="仿宋" w:hAnsi="仿宋" w:eastAsia="仿宋" w:cs="仿宋"/>
          <w:color w:val="000000"/>
          <w:kern w:val="0"/>
          <w:sz w:val="30"/>
          <w:szCs w:val="30"/>
          <w:lang w:val="en-US" w:eastAsia="zh-CN"/>
        </w:rPr>
        <w:t>公正的法治环境、优质的</w:t>
      </w:r>
      <w:r>
        <w:rPr>
          <w:rFonts w:hint="eastAsia" w:ascii="仿宋" w:hAnsi="仿宋" w:eastAsia="仿宋" w:cs="仿宋"/>
          <w:color w:val="000000"/>
          <w:kern w:val="0"/>
          <w:sz w:val="30"/>
          <w:szCs w:val="30"/>
          <w:lang w:val="en-US" w:eastAsia="zh-CN"/>
        </w:rPr>
        <w:t>为民</w:t>
      </w:r>
      <w:r>
        <w:rPr>
          <w:rFonts w:hint="default" w:ascii="仿宋" w:hAnsi="仿宋" w:eastAsia="仿宋" w:cs="仿宋"/>
          <w:color w:val="000000"/>
          <w:kern w:val="0"/>
          <w:sz w:val="30"/>
          <w:szCs w:val="30"/>
          <w:lang w:val="en-US" w:eastAsia="zh-CN"/>
        </w:rPr>
        <w:t>服务环境。</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6、满意度。服务对象满意度9</w:t>
      </w:r>
      <w:r>
        <w:rPr>
          <w:rFonts w:hint="eastAsia" w:ascii="仿宋" w:hAnsi="仿宋" w:eastAsia="仿宋" w:cs="仿宋"/>
          <w:color w:val="000000"/>
          <w:kern w:val="0"/>
          <w:sz w:val="30"/>
          <w:szCs w:val="30"/>
          <w:lang w:val="en-US" w:eastAsia="zh-CN"/>
        </w:rPr>
        <w:t>5</w:t>
      </w:r>
      <w:r>
        <w:rPr>
          <w:rFonts w:hint="default" w:ascii="仿宋" w:hAnsi="仿宋" w:eastAsia="仿宋" w:cs="仿宋"/>
          <w:color w:val="000000"/>
          <w:kern w:val="0"/>
          <w:sz w:val="30"/>
          <w:szCs w:val="30"/>
          <w:lang w:val="en-US" w:eastAsia="zh-CN"/>
        </w:rPr>
        <w:t>%以上，社会公众满意度9</w:t>
      </w:r>
      <w:r>
        <w:rPr>
          <w:rFonts w:hint="eastAsia" w:ascii="仿宋" w:hAnsi="仿宋" w:eastAsia="仿宋" w:cs="仿宋"/>
          <w:color w:val="000000"/>
          <w:kern w:val="0"/>
          <w:sz w:val="30"/>
          <w:szCs w:val="30"/>
          <w:lang w:val="en-US" w:eastAsia="zh-CN"/>
        </w:rPr>
        <w:t>5</w:t>
      </w:r>
      <w:r>
        <w:rPr>
          <w:rFonts w:hint="default" w:ascii="仿宋" w:hAnsi="仿宋" w:eastAsia="仿宋" w:cs="仿宋"/>
          <w:color w:val="000000"/>
          <w:kern w:val="0"/>
          <w:sz w:val="30"/>
          <w:szCs w:val="30"/>
          <w:lang w:val="en-US" w:eastAsia="zh-CN"/>
        </w:rPr>
        <w:t>%以上。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b/>
          <w:bCs/>
          <w:color w:val="000000"/>
          <w:kern w:val="0"/>
          <w:sz w:val="30"/>
          <w:szCs w:val="30"/>
          <w:lang w:val="en-US" w:eastAsia="zh-CN"/>
        </w:rPr>
      </w:pPr>
      <w:r>
        <w:rPr>
          <w:rFonts w:hint="default" w:ascii="仿宋" w:hAnsi="仿宋" w:eastAsia="仿宋" w:cs="仿宋"/>
          <w:b/>
          <w:bCs/>
          <w:color w:val="000000"/>
          <w:kern w:val="0"/>
          <w:sz w:val="30"/>
          <w:szCs w:val="30"/>
          <w:lang w:val="en-US" w:eastAsia="zh-CN"/>
        </w:rPr>
        <w:t>（二）部门整体支出效益情况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我委从预算编制、预算配置、预算执行和管理等方面对202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年部门整体支出绩效开展了评价，具体情况如下: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1、预算配置指标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全额编制数27人，实有在职在岗数为</w:t>
      </w:r>
      <w:r>
        <w:rPr>
          <w:rFonts w:hint="eastAsia" w:ascii="仿宋" w:hAnsi="仿宋" w:eastAsia="仿宋" w:cs="仿宋"/>
          <w:color w:val="000000"/>
          <w:kern w:val="0"/>
          <w:sz w:val="30"/>
          <w:szCs w:val="30"/>
          <w:lang w:val="en-US" w:eastAsia="zh-CN"/>
        </w:rPr>
        <w:t>24</w:t>
      </w:r>
      <w:r>
        <w:rPr>
          <w:rFonts w:hint="default" w:ascii="仿宋" w:hAnsi="仿宋" w:eastAsia="仿宋" w:cs="仿宋"/>
          <w:color w:val="000000"/>
          <w:kern w:val="0"/>
          <w:sz w:val="30"/>
          <w:szCs w:val="30"/>
          <w:lang w:val="en-US" w:eastAsia="zh-CN"/>
        </w:rPr>
        <w:t>人。202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年本部门</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三公</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经费预算数为</w:t>
      </w:r>
      <w:r>
        <w:rPr>
          <w:rFonts w:hint="eastAsia" w:ascii="仿宋" w:hAnsi="仿宋" w:eastAsia="仿宋" w:cs="仿宋"/>
          <w:color w:val="000000"/>
          <w:kern w:val="0"/>
          <w:sz w:val="30"/>
          <w:szCs w:val="30"/>
          <w:lang w:val="en-US" w:eastAsia="zh-CN"/>
        </w:rPr>
        <w:t>6.9</w:t>
      </w:r>
      <w:r>
        <w:rPr>
          <w:rFonts w:hint="default" w:ascii="仿宋" w:hAnsi="仿宋" w:eastAsia="仿宋" w:cs="仿宋"/>
          <w:color w:val="000000"/>
          <w:kern w:val="0"/>
          <w:sz w:val="30"/>
          <w:szCs w:val="30"/>
          <w:lang w:val="en-US" w:eastAsia="zh-CN"/>
        </w:rPr>
        <w:t>万元，其中，公务接待费</w:t>
      </w:r>
      <w:r>
        <w:rPr>
          <w:rFonts w:hint="eastAsia" w:ascii="仿宋" w:hAnsi="仿宋" w:eastAsia="仿宋" w:cs="仿宋"/>
          <w:color w:val="000000"/>
          <w:kern w:val="0"/>
          <w:sz w:val="30"/>
          <w:szCs w:val="30"/>
          <w:lang w:val="en-US" w:eastAsia="zh-CN"/>
        </w:rPr>
        <w:t>6.9</w:t>
      </w:r>
      <w:r>
        <w:rPr>
          <w:rFonts w:hint="default" w:ascii="仿宋" w:hAnsi="仿宋" w:eastAsia="仿宋" w:cs="仿宋"/>
          <w:color w:val="000000"/>
          <w:kern w:val="0"/>
          <w:sz w:val="30"/>
          <w:szCs w:val="30"/>
          <w:lang w:val="en-US" w:eastAsia="zh-CN"/>
        </w:rPr>
        <w:t>万元，公务用车购置及运行费0万元，因公出国（境）费0万元。202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三公</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经费预算较上年减少0.</w:t>
      </w:r>
      <w:r>
        <w:rPr>
          <w:rFonts w:hint="eastAsia" w:ascii="仿宋" w:hAnsi="仿宋" w:eastAsia="仿宋" w:cs="仿宋"/>
          <w:color w:val="000000"/>
          <w:kern w:val="0"/>
          <w:sz w:val="30"/>
          <w:szCs w:val="30"/>
          <w:lang w:val="en-US" w:eastAsia="zh-CN"/>
        </w:rPr>
        <w:t>1</w:t>
      </w:r>
      <w:r>
        <w:rPr>
          <w:rFonts w:hint="default" w:ascii="仿宋" w:hAnsi="仿宋" w:eastAsia="仿宋" w:cs="仿宋"/>
          <w:color w:val="000000"/>
          <w:kern w:val="0"/>
          <w:sz w:val="30"/>
          <w:szCs w:val="30"/>
          <w:lang w:val="en-US" w:eastAsia="zh-CN"/>
        </w:rPr>
        <w:t>万元，减少</w:t>
      </w:r>
      <w:r>
        <w:rPr>
          <w:rFonts w:hint="eastAsia" w:ascii="仿宋" w:hAnsi="仿宋" w:eastAsia="仿宋" w:cs="仿宋"/>
          <w:color w:val="000000"/>
          <w:kern w:val="0"/>
          <w:sz w:val="30"/>
          <w:szCs w:val="30"/>
          <w:lang w:val="en-US" w:eastAsia="zh-CN"/>
        </w:rPr>
        <w:t>1.43</w:t>
      </w:r>
      <w:r>
        <w:rPr>
          <w:rFonts w:hint="default"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2、预算执行指标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年支出决算为</w:t>
      </w:r>
      <w:r>
        <w:rPr>
          <w:rFonts w:hint="eastAsia" w:ascii="仿宋" w:hAnsi="仿宋" w:eastAsia="仿宋" w:cs="仿宋"/>
          <w:color w:val="000000"/>
          <w:kern w:val="0"/>
          <w:sz w:val="30"/>
          <w:szCs w:val="30"/>
          <w:lang w:val="en-US" w:eastAsia="zh-CN"/>
        </w:rPr>
        <w:t>869.63</w:t>
      </w:r>
      <w:r>
        <w:rPr>
          <w:rFonts w:hint="default" w:ascii="仿宋" w:hAnsi="仿宋" w:eastAsia="仿宋" w:cs="仿宋"/>
          <w:color w:val="000000"/>
          <w:kern w:val="0"/>
          <w:sz w:val="30"/>
          <w:szCs w:val="30"/>
          <w:lang w:val="en-US" w:eastAsia="zh-CN"/>
        </w:rPr>
        <w:t>万元，年初下达的年初预算为</w:t>
      </w:r>
      <w:r>
        <w:rPr>
          <w:rFonts w:hint="eastAsia" w:ascii="仿宋" w:hAnsi="仿宋" w:eastAsia="仿宋" w:cs="仿宋"/>
          <w:color w:val="000000"/>
          <w:kern w:val="0"/>
          <w:sz w:val="30"/>
          <w:szCs w:val="30"/>
          <w:lang w:val="en-US" w:eastAsia="zh-CN"/>
        </w:rPr>
        <w:t>907.08</w:t>
      </w:r>
      <w:r>
        <w:rPr>
          <w:rFonts w:hint="default" w:ascii="仿宋" w:hAnsi="仿宋" w:eastAsia="仿宋" w:cs="仿宋"/>
          <w:color w:val="000000"/>
          <w:kern w:val="0"/>
          <w:sz w:val="30"/>
          <w:szCs w:val="30"/>
          <w:lang w:val="en-US" w:eastAsia="zh-CN"/>
        </w:rPr>
        <w:t>万元，</w:t>
      </w:r>
      <w:r>
        <w:rPr>
          <w:rFonts w:hint="eastAsia" w:ascii="仿宋" w:hAnsi="仿宋" w:eastAsia="仿宋" w:cs="仿宋"/>
          <w:color w:val="000000"/>
          <w:kern w:val="0"/>
          <w:sz w:val="30"/>
          <w:szCs w:val="30"/>
          <w:lang w:val="en-US" w:eastAsia="zh-CN"/>
        </w:rPr>
        <w:t>决算比</w:t>
      </w:r>
      <w:r>
        <w:rPr>
          <w:rFonts w:hint="default" w:ascii="仿宋" w:hAnsi="仿宋" w:eastAsia="仿宋" w:cs="仿宋"/>
          <w:color w:val="000000"/>
          <w:kern w:val="0"/>
          <w:sz w:val="30"/>
          <w:szCs w:val="30"/>
          <w:lang w:val="en-US" w:eastAsia="zh-CN"/>
        </w:rPr>
        <w:t>预算</w:t>
      </w:r>
      <w:r>
        <w:rPr>
          <w:rFonts w:hint="eastAsia" w:ascii="仿宋" w:hAnsi="仿宋" w:eastAsia="仿宋" w:cs="仿宋"/>
          <w:color w:val="000000"/>
          <w:kern w:val="0"/>
          <w:sz w:val="30"/>
          <w:szCs w:val="30"/>
          <w:lang w:val="en-US" w:eastAsia="zh-CN"/>
        </w:rPr>
        <w:t>减少37.45</w:t>
      </w:r>
      <w:r>
        <w:rPr>
          <w:rFonts w:hint="default" w:ascii="仿宋" w:hAnsi="仿宋" w:eastAsia="仿宋" w:cs="仿宋"/>
          <w:color w:val="000000"/>
          <w:kern w:val="0"/>
          <w:sz w:val="30"/>
          <w:szCs w:val="30"/>
          <w:lang w:val="en-US" w:eastAsia="zh-CN"/>
        </w:rPr>
        <w:t>万元，主要原因</w:t>
      </w:r>
      <w:r>
        <w:rPr>
          <w:rFonts w:hint="eastAsia" w:ascii="仿宋" w:hAnsi="仿宋" w:eastAsia="仿宋" w:cs="仿宋"/>
          <w:color w:val="000000"/>
          <w:kern w:val="0"/>
          <w:sz w:val="30"/>
          <w:szCs w:val="30"/>
          <w:lang w:val="en-US" w:eastAsia="zh-CN"/>
        </w:rPr>
        <w:t>：一</w:t>
      </w:r>
      <w:r>
        <w:rPr>
          <w:rFonts w:hint="default" w:ascii="仿宋" w:hAnsi="仿宋" w:eastAsia="仿宋" w:cs="仿宋"/>
          <w:color w:val="000000"/>
          <w:kern w:val="0"/>
          <w:sz w:val="30"/>
          <w:szCs w:val="30"/>
          <w:lang w:val="en-US" w:eastAsia="zh-CN"/>
        </w:rPr>
        <w:t>是</w:t>
      </w:r>
      <w:r>
        <w:rPr>
          <w:rFonts w:hint="eastAsia" w:ascii="仿宋" w:hAnsi="仿宋" w:eastAsia="仿宋" w:cs="仿宋"/>
          <w:color w:val="000000"/>
          <w:kern w:val="0"/>
          <w:sz w:val="30"/>
          <w:szCs w:val="30"/>
          <w:lang w:val="en-US" w:eastAsia="zh-CN"/>
        </w:rPr>
        <w:t>司法救助和网格管理员经费实际支出小于预算数</w:t>
      </w:r>
      <w:r>
        <w:rPr>
          <w:rFonts w:hint="default" w:ascii="仿宋" w:hAnsi="仿宋" w:eastAsia="仿宋" w:cs="仿宋"/>
          <w:color w:val="000000"/>
          <w:kern w:val="0"/>
          <w:sz w:val="30"/>
          <w:szCs w:val="30"/>
          <w:lang w:val="en-US" w:eastAsia="zh-CN"/>
        </w:rPr>
        <w:t>。202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三公</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经费支出</w:t>
      </w:r>
      <w:r>
        <w:rPr>
          <w:rFonts w:hint="eastAsia" w:ascii="仿宋" w:hAnsi="仿宋" w:eastAsia="仿宋" w:cs="仿宋"/>
          <w:color w:val="000000"/>
          <w:kern w:val="0"/>
          <w:sz w:val="30"/>
          <w:szCs w:val="30"/>
          <w:lang w:val="en-US" w:eastAsia="zh-CN"/>
        </w:rPr>
        <w:t>1.51</w:t>
      </w:r>
      <w:r>
        <w:rPr>
          <w:rFonts w:hint="default" w:ascii="仿宋" w:hAnsi="仿宋" w:eastAsia="仿宋" w:cs="仿宋"/>
          <w:color w:val="000000"/>
          <w:kern w:val="0"/>
          <w:sz w:val="30"/>
          <w:szCs w:val="30"/>
          <w:lang w:val="en-US" w:eastAsia="zh-CN"/>
        </w:rPr>
        <w:t>万元，预决算差异率为-</w:t>
      </w:r>
      <w:r>
        <w:rPr>
          <w:rFonts w:hint="eastAsia" w:ascii="仿宋" w:hAnsi="仿宋" w:eastAsia="仿宋" w:cs="仿宋"/>
          <w:color w:val="000000"/>
          <w:kern w:val="0"/>
          <w:sz w:val="30"/>
          <w:szCs w:val="30"/>
          <w:lang w:val="en-US" w:eastAsia="zh-CN"/>
        </w:rPr>
        <w:t>78.12%</w:t>
      </w:r>
      <w:r>
        <w:rPr>
          <w:rFonts w:hint="default"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三公</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经费支出控制得</w:t>
      </w:r>
      <w:r>
        <w:rPr>
          <w:rFonts w:hint="eastAsia" w:ascii="仿宋" w:hAnsi="仿宋" w:eastAsia="仿宋" w:cs="仿宋"/>
          <w:color w:val="000000"/>
          <w:kern w:val="0"/>
          <w:sz w:val="30"/>
          <w:szCs w:val="30"/>
          <w:lang w:val="en-US" w:eastAsia="zh-CN"/>
        </w:rPr>
        <w:t>比</w:t>
      </w:r>
      <w:r>
        <w:rPr>
          <w:rFonts w:hint="default" w:ascii="仿宋" w:hAnsi="仿宋" w:eastAsia="仿宋" w:cs="仿宋"/>
          <w:color w:val="000000"/>
          <w:kern w:val="0"/>
          <w:sz w:val="30"/>
          <w:szCs w:val="30"/>
          <w:lang w:val="en-US" w:eastAsia="zh-CN"/>
        </w:rPr>
        <w:t>较好。</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3、预算管理指标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202</w:t>
      </w:r>
      <w:r>
        <w:rPr>
          <w:rFonts w:hint="eastAsia" w:ascii="仿宋" w:hAnsi="仿宋" w:eastAsia="仿宋" w:cs="仿宋"/>
          <w:color w:val="000000"/>
          <w:kern w:val="0"/>
          <w:sz w:val="30"/>
          <w:szCs w:val="30"/>
          <w:lang w:val="en-US" w:eastAsia="zh-CN"/>
        </w:rPr>
        <w:t>4</w:t>
      </w:r>
      <w:r>
        <w:rPr>
          <w:rFonts w:hint="default" w:ascii="仿宋" w:hAnsi="仿宋" w:eastAsia="仿宋" w:cs="仿宋"/>
          <w:color w:val="000000"/>
          <w:kern w:val="0"/>
          <w:sz w:val="30"/>
          <w:szCs w:val="30"/>
          <w:lang w:val="en-US" w:eastAsia="zh-CN"/>
        </w:rPr>
        <w:t>年我</w:t>
      </w:r>
      <w:r>
        <w:rPr>
          <w:rFonts w:hint="eastAsia" w:ascii="仿宋" w:hAnsi="仿宋" w:eastAsia="仿宋" w:cs="仿宋"/>
          <w:color w:val="000000"/>
          <w:kern w:val="0"/>
          <w:sz w:val="30"/>
          <w:szCs w:val="30"/>
          <w:lang w:val="en-US" w:eastAsia="zh-CN"/>
        </w:rPr>
        <w:t>委</w:t>
      </w:r>
      <w:r>
        <w:rPr>
          <w:rFonts w:hint="default" w:ascii="仿宋" w:hAnsi="仿宋" w:eastAsia="仿宋" w:cs="仿宋"/>
          <w:color w:val="000000"/>
          <w:kern w:val="0"/>
          <w:sz w:val="30"/>
          <w:szCs w:val="30"/>
          <w:lang w:val="en-US" w:eastAsia="zh-CN"/>
        </w:rPr>
        <w:t>预算管理各项指标控制得较好，主要在以下几个方面加强预算管理: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一是</w:t>
      </w:r>
      <w:r>
        <w:rPr>
          <w:rFonts w:hint="eastAsia" w:ascii="仿宋" w:hAnsi="仿宋" w:eastAsia="仿宋" w:cs="仿宋"/>
          <w:color w:val="000000"/>
          <w:kern w:val="0"/>
          <w:sz w:val="30"/>
          <w:szCs w:val="30"/>
          <w:lang w:val="en-US" w:eastAsia="zh-CN"/>
        </w:rPr>
        <w:t>严格执行预算法，强化预算约束力，树立所有项目必须经过预算安排、没有预算的项目不安排、特殊项目按程序办的观念</w:t>
      </w:r>
      <w:r>
        <w:rPr>
          <w:rFonts w:hint="default"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rPr>
        <w:t>二是强化支出管理</w:t>
      </w:r>
      <w:r>
        <w:rPr>
          <w:rFonts w:hint="default"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lang w:val="en-US" w:eastAsia="zh-CN"/>
        </w:rPr>
        <w:t>紧紧围绕“依法理财、科学使用”的要求，在保证单位正常运转的前提下，区分轻重缓急科学合理进行安排支出，提高</w:t>
      </w:r>
      <w:r>
        <w:rPr>
          <w:rFonts w:hint="default" w:ascii="仿宋" w:hAnsi="仿宋" w:eastAsia="仿宋" w:cs="仿宋"/>
          <w:color w:val="000000"/>
          <w:kern w:val="0"/>
          <w:sz w:val="30"/>
          <w:szCs w:val="30"/>
          <w:lang w:val="en-US" w:eastAsia="zh-CN"/>
        </w:rPr>
        <w:t>财政资金使用效益。</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4、资产管理指标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加强固定资产管理。定期对固定资产进行清查，</w:t>
      </w:r>
      <w:r>
        <w:rPr>
          <w:rFonts w:hint="eastAsia" w:ascii="仿宋" w:hAnsi="仿宋" w:eastAsia="仿宋" w:cs="仿宋"/>
          <w:color w:val="000000"/>
          <w:kern w:val="0"/>
          <w:sz w:val="30"/>
          <w:szCs w:val="30"/>
          <w:lang w:val="en-US" w:eastAsia="zh-CN"/>
        </w:rPr>
        <w:t>全部资产录入资产管理系统进行管理，</w:t>
      </w:r>
      <w:r>
        <w:rPr>
          <w:rFonts w:hint="default" w:ascii="仿宋" w:hAnsi="仿宋" w:eastAsia="仿宋" w:cs="仿宋"/>
          <w:color w:val="000000"/>
          <w:kern w:val="0"/>
          <w:sz w:val="30"/>
          <w:szCs w:val="30"/>
          <w:lang w:val="en-US" w:eastAsia="zh-CN"/>
        </w:rPr>
        <w:t>每月按期报送固定资产月报表，确保了固定资产的账账相符、账实相符。</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5、职责履行指标</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面对复杂形势和艰巨任务，我委干部职工牢记使命、坚毅前行，以推动平安祁阳建设为主责，以促进社会大局稳定为主业，以防范化解重大风险为主线，在大事、要事面前主动担当，在急事、难事面前顽强攻坚，在危机中育先机、于变局中开新局，</w:t>
      </w:r>
      <w:r>
        <w:rPr>
          <w:rFonts w:hint="eastAsia" w:ascii="仿宋" w:hAnsi="仿宋" w:eastAsia="仿宋" w:cs="仿宋"/>
          <w:color w:val="000000"/>
          <w:kern w:val="0"/>
          <w:sz w:val="30"/>
          <w:szCs w:val="30"/>
          <w:lang w:val="en-US" w:eastAsia="zh-CN"/>
        </w:rPr>
        <w:t>为“建设新祁阳，挺进省十强”创造安全的政治环境、稳定的社会环境、公正的法治环境、优质的服务环境。</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仿宋" w:hAnsi="仿宋" w:eastAsia="仿宋" w:cs="仿宋"/>
          <w:color w:val="000000"/>
          <w:kern w:val="0"/>
          <w:sz w:val="30"/>
          <w:szCs w:val="30"/>
          <w:lang w:val="en-US" w:eastAsia="zh-CN"/>
        </w:rPr>
      </w:pPr>
      <w:r>
        <w:rPr>
          <w:rFonts w:hint="default" w:ascii="仿宋" w:hAnsi="仿宋" w:eastAsia="仿宋" w:cs="仿宋"/>
          <w:color w:val="000000"/>
          <w:kern w:val="0"/>
          <w:sz w:val="30"/>
          <w:szCs w:val="30"/>
          <w:lang w:val="en-US" w:eastAsia="zh-CN"/>
        </w:rPr>
        <w:t>履职效益指标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仿宋" w:hAnsi="仿宋" w:eastAsia="仿宋" w:cs="仿宋"/>
          <w:color w:val="000000"/>
          <w:kern w:val="0"/>
          <w:sz w:val="30"/>
          <w:szCs w:val="30"/>
          <w:lang w:val="en-US" w:eastAsia="zh-CN" w:bidi="ar-SA"/>
        </w:rPr>
      </w:pPr>
      <w:r>
        <w:rPr>
          <w:rFonts w:hint="eastAsia" w:ascii="仿宋" w:hAnsi="仿宋" w:eastAsia="仿宋" w:cs="仿宋"/>
          <w:color w:val="000000"/>
          <w:kern w:val="0"/>
          <w:sz w:val="30"/>
          <w:szCs w:val="30"/>
          <w:lang w:val="en-US" w:eastAsia="zh-CN" w:bidi="ar-SA"/>
        </w:rPr>
        <w:t>（1）严打整治，优化社会治安环境；（2）加强防控，提高社会安全水平；（3）全力化解矛盾纠纷，促进社会和谐稳定；（4）加强法治建设，提升法治水平；（5）强化政治建警，加强政法队伍建设。</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b/>
          <w:bCs/>
          <w:color w:val="000000"/>
          <w:kern w:val="0"/>
          <w:sz w:val="30"/>
          <w:szCs w:val="30"/>
          <w:lang w:val="en-US" w:eastAsia="zh-CN"/>
        </w:rPr>
      </w:pPr>
      <w:r>
        <w:rPr>
          <w:rFonts w:hint="default" w:ascii="仿宋" w:hAnsi="仿宋" w:eastAsia="仿宋" w:cs="仿宋"/>
          <w:b/>
          <w:bCs/>
          <w:color w:val="000000"/>
          <w:kern w:val="0"/>
          <w:sz w:val="30"/>
          <w:szCs w:val="30"/>
          <w:lang w:val="en-US" w:eastAsia="zh-CN"/>
        </w:rPr>
        <w:t>四、绩效评价结论</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40" w:firstLineChars="200"/>
        <w:jc w:val="left"/>
        <w:textAlignment w:val="auto"/>
        <w:rPr>
          <w:rFonts w:hint="default" w:ascii="仿宋" w:hAnsi="仿宋" w:eastAsia="仿宋" w:cs="仿宋"/>
          <w:color w:val="000000"/>
          <w:kern w:val="0"/>
          <w:sz w:val="30"/>
          <w:szCs w:val="30"/>
          <w:lang w:val="en-US"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年，我</w:t>
      </w:r>
      <w:r>
        <w:rPr>
          <w:rFonts w:hint="eastAsia" w:ascii="仿宋" w:hAnsi="仿宋" w:eastAsia="仿宋" w:cs="仿宋"/>
          <w:sz w:val="32"/>
          <w:szCs w:val="32"/>
          <w:lang w:eastAsia="zh-CN"/>
        </w:rPr>
        <w:t>委</w:t>
      </w:r>
      <w:r>
        <w:rPr>
          <w:rFonts w:hint="eastAsia" w:ascii="仿宋" w:hAnsi="仿宋" w:eastAsia="仿宋" w:cs="仿宋"/>
          <w:sz w:val="32"/>
          <w:szCs w:val="32"/>
        </w:rPr>
        <w:t>积极履职，强化管理，较好的完成了年度工作目标。通过加强预算收支管理，不断建立健全内部管理制度，梳理内部管理流程，部门整体支出管理水平得到提升。</w:t>
      </w:r>
      <w:r>
        <w:rPr>
          <w:rFonts w:hint="default" w:ascii="仿宋" w:hAnsi="仿宋" w:eastAsia="仿宋" w:cs="仿宋"/>
          <w:color w:val="000000"/>
          <w:kern w:val="0"/>
          <w:sz w:val="30"/>
          <w:szCs w:val="30"/>
          <w:lang w:val="en-US" w:eastAsia="zh-CN"/>
        </w:rPr>
        <w:t>按照部门整体支出绩效评价指标体系对照打分得出结果为</w:t>
      </w:r>
      <w:r>
        <w:rPr>
          <w:rFonts w:hint="eastAsia" w:ascii="仿宋" w:hAnsi="仿宋" w:eastAsia="仿宋" w:cs="仿宋"/>
          <w:color w:val="000000"/>
          <w:kern w:val="0"/>
          <w:sz w:val="30"/>
          <w:szCs w:val="30"/>
          <w:lang w:val="en-US" w:eastAsia="zh-CN"/>
        </w:rPr>
        <w:t>99.6</w:t>
      </w:r>
      <w:r>
        <w:rPr>
          <w:rFonts w:hint="default" w:ascii="仿宋" w:hAnsi="仿宋" w:eastAsia="仿宋" w:cs="仿宋"/>
          <w:color w:val="000000"/>
          <w:kern w:val="0"/>
          <w:sz w:val="30"/>
          <w:szCs w:val="30"/>
          <w:lang w:val="en-US" w:eastAsia="zh-CN"/>
        </w:rPr>
        <w:t>分，等级为</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优</w:t>
      </w:r>
      <w:r>
        <w:rPr>
          <w:rFonts w:hint="eastAsia" w:ascii="仿宋" w:hAnsi="仿宋" w:eastAsia="仿宋" w:cs="仿宋"/>
          <w:color w:val="000000"/>
          <w:kern w:val="0"/>
          <w:sz w:val="30"/>
          <w:szCs w:val="30"/>
          <w:lang w:val="en-US" w:eastAsia="zh-CN"/>
        </w:rPr>
        <w:t>”</w:t>
      </w:r>
      <w:r>
        <w:rPr>
          <w:rFonts w:hint="default" w:ascii="仿宋" w:hAnsi="仿宋" w:eastAsia="仿宋" w:cs="仿宋"/>
          <w:color w:val="000000"/>
          <w:kern w:val="0"/>
          <w:sz w:val="30"/>
          <w:szCs w:val="30"/>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b/>
          <w:bCs/>
          <w:color w:val="000000"/>
          <w:kern w:val="0"/>
          <w:sz w:val="30"/>
          <w:szCs w:val="30"/>
          <w:lang w:val="en-US" w:eastAsia="zh-CN"/>
        </w:rPr>
      </w:pPr>
      <w:r>
        <w:rPr>
          <w:rFonts w:hint="default" w:ascii="仿宋" w:hAnsi="仿宋" w:eastAsia="仿宋" w:cs="仿宋"/>
          <w:b/>
          <w:bCs/>
          <w:color w:val="000000"/>
          <w:kern w:val="0"/>
          <w:sz w:val="30"/>
          <w:szCs w:val="30"/>
          <w:lang w:val="en-US" w:eastAsia="zh-CN"/>
        </w:rPr>
        <w:t>五、存在的主要问题</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40" w:firstLineChars="200"/>
        <w:jc w:val="left"/>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目标设定不够合理，在设定绩效目标时，往往是把年度工作计划或总结中的重点内容直接用来作为绩效目标，或者在设定绩效目标时沿用工作计划或总结中的语言模式，指标设定不科学、依据不充分。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缺乏绩效管理考评方面的学习培训，绩效评价工作人员专业能力不足、绩效经验不足，导致了对财政绩效管理考评工作的认识不够，概念理解不到位，开展自评工作不足，影响了财政绩效评价工作进程和工作效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default" w:ascii="仿宋" w:hAnsi="仿宋" w:eastAsia="仿宋" w:cs="仿宋"/>
          <w:b/>
          <w:bCs/>
          <w:color w:val="000000"/>
          <w:kern w:val="0"/>
          <w:sz w:val="30"/>
          <w:szCs w:val="30"/>
          <w:lang w:val="en-US" w:eastAsia="zh-CN"/>
        </w:rPr>
      </w:pPr>
      <w:r>
        <w:rPr>
          <w:rFonts w:hint="default" w:ascii="仿宋" w:hAnsi="仿宋" w:eastAsia="仿宋" w:cs="仿宋"/>
          <w:b/>
          <w:bCs/>
          <w:color w:val="000000"/>
          <w:kern w:val="0"/>
          <w:sz w:val="30"/>
          <w:szCs w:val="30"/>
          <w:lang w:val="en-US" w:eastAsia="zh-CN"/>
        </w:rPr>
        <w:t>六、改进措施和有关建议</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1、提高对预算绩效管理的认识，充分理解财政绩效评价指标体系，注重绩效目标、评价指标的关联性，更加科学合理地确定部门绩效目标和评价目标。</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2、加强预算编制的科学性，通过开展好会计核算等日常工作，及时根据实际调整项目支出，合理调整预算安排，实现预算编制的准确性和合理性。</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Chars="0" w:firstLine="600" w:firstLineChars="200"/>
        <w:jc w:val="lef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3、加强预算绩效管理知识的教育培训，通过培训强化绩效意识，明确预算绩效目标，强化绩效评价体系，努力提升财政资金的使用效益。</w:t>
      </w:r>
    </w:p>
    <w:p>
      <w:pPr>
        <w:pStyle w:val="15"/>
        <w:spacing w:line="600" w:lineRule="exact"/>
        <w:ind w:firstLine="640" w:firstLineChars="200"/>
        <w:rPr>
          <w:rFonts w:ascii="Times New Roman" w:hAnsi="Times New Roman" w:eastAsia="仿宋_GB2312" w:cs="Times New Roman"/>
          <w:sz w:val="32"/>
          <w:szCs w:val="3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F6E84"/>
    <w:multiLevelType w:val="singleLevel"/>
    <w:tmpl w:val="AE6F6E84"/>
    <w:lvl w:ilvl="0" w:tentative="0">
      <w:start w:val="13"/>
      <w:numFmt w:val="chineseCounting"/>
      <w:suff w:val="nothing"/>
      <w:lvlText w:val="%1、"/>
      <w:lvlJc w:val="left"/>
      <w:rPr>
        <w:rFonts w:hint="eastAsia"/>
      </w:rPr>
    </w:lvl>
  </w:abstractNum>
  <w:abstractNum w:abstractNumId="1">
    <w:nsid w:val="AE7D347C"/>
    <w:multiLevelType w:val="singleLevel"/>
    <w:tmpl w:val="AE7D347C"/>
    <w:lvl w:ilvl="0" w:tentative="0">
      <w:start w:val="3"/>
      <w:numFmt w:val="decimal"/>
      <w:suff w:val="nothing"/>
      <w:lvlText w:val="%1、"/>
      <w:lvlJc w:val="left"/>
    </w:lvl>
  </w:abstractNum>
  <w:abstractNum w:abstractNumId="2">
    <w:nsid w:val="CFB1A4A7"/>
    <w:multiLevelType w:val="singleLevel"/>
    <w:tmpl w:val="CFB1A4A7"/>
    <w:lvl w:ilvl="0" w:tentative="0">
      <w:start w:val="7"/>
      <w:numFmt w:val="chineseCounting"/>
      <w:suff w:val="nothing"/>
      <w:lvlText w:val="%1、"/>
      <w:lvlJc w:val="left"/>
      <w:rPr>
        <w:rFonts w:hint="eastAsia"/>
      </w:rPr>
    </w:lvl>
  </w:abstractNum>
  <w:abstractNum w:abstractNumId="3">
    <w:nsid w:val="CFCB1793"/>
    <w:multiLevelType w:val="singleLevel"/>
    <w:tmpl w:val="CFCB1793"/>
    <w:lvl w:ilvl="0" w:tentative="0">
      <w:start w:val="2"/>
      <w:numFmt w:val="chineseCounting"/>
      <w:suff w:val="nothing"/>
      <w:lvlText w:val="（%1）"/>
      <w:lvlJc w:val="left"/>
      <w:rPr>
        <w:rFonts w:hint="eastAsia"/>
      </w:rPr>
    </w:lvl>
  </w:abstractNum>
  <w:abstractNum w:abstractNumId="4">
    <w:nsid w:val="5D83E696"/>
    <w:multiLevelType w:val="singleLevel"/>
    <w:tmpl w:val="5D83E696"/>
    <w:lvl w:ilvl="0" w:tentative="0">
      <w:start w:val="6"/>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8C34C2"/>
    <w:rsid w:val="09162A1F"/>
    <w:rsid w:val="0CFD0275"/>
    <w:rsid w:val="158E5891"/>
    <w:rsid w:val="15A13A7E"/>
    <w:rsid w:val="178F3E8E"/>
    <w:rsid w:val="1AC5064D"/>
    <w:rsid w:val="1AD339E7"/>
    <w:rsid w:val="1B161876"/>
    <w:rsid w:val="1D97DEFF"/>
    <w:rsid w:val="1DFF72E5"/>
    <w:rsid w:val="1EFC6F07"/>
    <w:rsid w:val="23E33893"/>
    <w:rsid w:val="251F1E80"/>
    <w:rsid w:val="27E2713A"/>
    <w:rsid w:val="27F27D15"/>
    <w:rsid w:val="2FDF85B8"/>
    <w:rsid w:val="2FFFEE04"/>
    <w:rsid w:val="32326DEE"/>
    <w:rsid w:val="34DF85B0"/>
    <w:rsid w:val="381551E7"/>
    <w:rsid w:val="382A14D3"/>
    <w:rsid w:val="3B8F36BC"/>
    <w:rsid w:val="3EF66254"/>
    <w:rsid w:val="42703746"/>
    <w:rsid w:val="485D5461"/>
    <w:rsid w:val="488C699F"/>
    <w:rsid w:val="48D51D6F"/>
    <w:rsid w:val="491FF225"/>
    <w:rsid w:val="4AF33166"/>
    <w:rsid w:val="4BB723E6"/>
    <w:rsid w:val="4BD77230"/>
    <w:rsid w:val="4E1B5405"/>
    <w:rsid w:val="4E2A241D"/>
    <w:rsid w:val="4FC72B99"/>
    <w:rsid w:val="4FFD214C"/>
    <w:rsid w:val="50406E4E"/>
    <w:rsid w:val="511F6249"/>
    <w:rsid w:val="51CD5F79"/>
    <w:rsid w:val="52237B5D"/>
    <w:rsid w:val="55EB50D7"/>
    <w:rsid w:val="5777D4F5"/>
    <w:rsid w:val="57913F1C"/>
    <w:rsid w:val="58E95345"/>
    <w:rsid w:val="59DD8326"/>
    <w:rsid w:val="5C7949B2"/>
    <w:rsid w:val="5DEF592A"/>
    <w:rsid w:val="5FC6BB1E"/>
    <w:rsid w:val="5FF720F1"/>
    <w:rsid w:val="614563FC"/>
    <w:rsid w:val="670860C6"/>
    <w:rsid w:val="67FF5C0B"/>
    <w:rsid w:val="68E36579"/>
    <w:rsid w:val="6CE24859"/>
    <w:rsid w:val="6EFC0924"/>
    <w:rsid w:val="6FB74722"/>
    <w:rsid w:val="6FEF8B7E"/>
    <w:rsid w:val="71A6591B"/>
    <w:rsid w:val="737D59BA"/>
    <w:rsid w:val="740924A3"/>
    <w:rsid w:val="77264C8B"/>
    <w:rsid w:val="77C37683"/>
    <w:rsid w:val="79D19834"/>
    <w:rsid w:val="79FF515B"/>
    <w:rsid w:val="7A813A3B"/>
    <w:rsid w:val="7D5F3085"/>
    <w:rsid w:val="7E9E1962"/>
    <w:rsid w:val="7E9F11B4"/>
    <w:rsid w:val="7F37EC1E"/>
    <w:rsid w:val="7F70682C"/>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12191</Words>
  <Characters>14575</Characters>
  <Lines>69</Lines>
  <Paragraphs>19</Paragraphs>
  <TotalTime>153</TotalTime>
  <ScaleCrop>false</ScaleCrop>
  <LinksUpToDate>false</LinksUpToDate>
  <CharactersWithSpaces>15539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雪梅</cp:lastModifiedBy>
  <cp:lastPrinted>2024-08-08T18:20:00Z</cp:lastPrinted>
  <dcterms:modified xsi:type="dcterms:W3CDTF">2025-09-18T08:45:41Z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BB7B6AA21D207914D6FDA268992A22D6</vt:lpwstr>
  </property>
</Properties>
</file>