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54D" w:rsidRDefault="002A054D">
      <w:pPr>
        <w:pStyle w:val="Default"/>
        <w:jc w:val="both"/>
        <w:rPr>
          <w:rFonts w:hAnsi="黑体" w:hint="eastAsia"/>
          <w:sz w:val="36"/>
          <w:szCs w:val="36"/>
        </w:rPr>
      </w:pPr>
    </w:p>
    <w:p w:rsidR="002A054D" w:rsidRDefault="002A054D">
      <w:pPr>
        <w:pStyle w:val="Default"/>
        <w:jc w:val="center"/>
        <w:rPr>
          <w:rFonts w:ascii="Times New Roman" w:hAnsi="Times New Roman" w:cs="Times New Roman"/>
          <w:sz w:val="56"/>
          <w:szCs w:val="56"/>
        </w:rPr>
      </w:pPr>
    </w:p>
    <w:p w:rsidR="002A054D" w:rsidRDefault="002A054D">
      <w:pPr>
        <w:pStyle w:val="Default"/>
        <w:jc w:val="center"/>
        <w:rPr>
          <w:rFonts w:ascii="Times New Roman" w:hAnsi="Times New Roman" w:cs="Times New Roman"/>
          <w:sz w:val="84"/>
          <w:szCs w:val="84"/>
        </w:rPr>
      </w:pPr>
    </w:p>
    <w:p w:rsidR="002A054D" w:rsidRDefault="002A054D">
      <w:pPr>
        <w:pStyle w:val="Default"/>
        <w:jc w:val="center"/>
        <w:rPr>
          <w:rFonts w:ascii="Times New Roman" w:hAnsi="Times New Roman" w:cs="Times New Roman"/>
          <w:sz w:val="84"/>
          <w:szCs w:val="84"/>
        </w:rPr>
      </w:pPr>
    </w:p>
    <w:p w:rsidR="002A054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2A054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祁阳市七里桥镇人民政府</w:t>
      </w:r>
    </w:p>
    <w:p w:rsidR="002A054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2A054D" w:rsidRDefault="002A054D">
      <w:pPr>
        <w:pStyle w:val="Default"/>
        <w:jc w:val="center"/>
        <w:rPr>
          <w:rFonts w:ascii="Times New Roman" w:eastAsia="方正小标宋_GBK" w:hAnsi="Times New Roman" w:cs="Times New Roman"/>
          <w:sz w:val="56"/>
          <w:szCs w:val="56"/>
        </w:rPr>
      </w:pPr>
    </w:p>
    <w:p w:rsidR="002A054D" w:rsidRDefault="002A054D">
      <w:pPr>
        <w:pStyle w:val="Default"/>
        <w:jc w:val="center"/>
        <w:rPr>
          <w:rFonts w:ascii="Times New Roman" w:hAnsi="Times New Roman" w:cs="Times New Roman"/>
          <w:sz w:val="56"/>
          <w:szCs w:val="56"/>
        </w:rPr>
      </w:pPr>
    </w:p>
    <w:p w:rsidR="002A054D" w:rsidRDefault="002A054D">
      <w:pPr>
        <w:pStyle w:val="Default"/>
        <w:rPr>
          <w:rFonts w:ascii="Times New Roman" w:hAnsi="Times New Roman" w:cs="Times New Roman"/>
          <w:sz w:val="56"/>
          <w:szCs w:val="56"/>
        </w:rPr>
      </w:pPr>
    </w:p>
    <w:p w:rsidR="002A054D" w:rsidRDefault="002A054D">
      <w:pPr>
        <w:pStyle w:val="Default"/>
        <w:jc w:val="center"/>
        <w:rPr>
          <w:rFonts w:ascii="Times New Roman" w:hAnsi="Times New Roman" w:cs="Times New Roman"/>
          <w:sz w:val="32"/>
          <w:szCs w:val="32"/>
        </w:rPr>
      </w:pPr>
    </w:p>
    <w:p w:rsidR="002A054D" w:rsidRDefault="002A054D">
      <w:pPr>
        <w:pStyle w:val="Default"/>
        <w:jc w:val="center"/>
        <w:rPr>
          <w:rFonts w:ascii="Times New Roman" w:hAnsi="Times New Roman" w:cs="Times New Roman"/>
          <w:sz w:val="32"/>
          <w:szCs w:val="32"/>
        </w:rPr>
      </w:pPr>
    </w:p>
    <w:p w:rsidR="002A054D" w:rsidRDefault="002A054D">
      <w:pPr>
        <w:pStyle w:val="Default"/>
        <w:jc w:val="center"/>
        <w:rPr>
          <w:rFonts w:ascii="Times New Roman" w:hAnsi="Times New Roman" w:cs="Times New Roman"/>
          <w:sz w:val="32"/>
          <w:szCs w:val="32"/>
        </w:rPr>
      </w:pPr>
    </w:p>
    <w:p w:rsidR="002A054D" w:rsidRDefault="002A054D">
      <w:pPr>
        <w:pStyle w:val="Default"/>
        <w:jc w:val="center"/>
        <w:rPr>
          <w:rFonts w:ascii="Times New Roman" w:hAnsi="Times New Roman" w:cs="Times New Roman"/>
          <w:sz w:val="32"/>
          <w:szCs w:val="32"/>
        </w:rPr>
      </w:pPr>
    </w:p>
    <w:p w:rsidR="002A054D" w:rsidRDefault="002A054D">
      <w:pPr>
        <w:pStyle w:val="Default"/>
        <w:jc w:val="center"/>
        <w:rPr>
          <w:rFonts w:ascii="Times New Roman" w:hAnsi="Times New Roman" w:cs="Times New Roman"/>
          <w:sz w:val="32"/>
          <w:szCs w:val="32"/>
        </w:rPr>
      </w:pPr>
    </w:p>
    <w:p w:rsidR="002A054D"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2A054D" w:rsidRDefault="002A054D">
      <w:pPr>
        <w:pStyle w:val="Default"/>
        <w:spacing w:line="600" w:lineRule="exact"/>
        <w:jc w:val="center"/>
        <w:rPr>
          <w:rFonts w:ascii="Times New Roman" w:hAnsi="Times New Roman" w:cs="Times New Roman"/>
          <w:b/>
          <w:sz w:val="36"/>
          <w:szCs w:val="28"/>
        </w:rPr>
      </w:pPr>
    </w:p>
    <w:p w:rsidR="002A054D"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hint="eastAsia"/>
          <w:bCs/>
          <w:sz w:val="32"/>
          <w:szCs w:val="32"/>
        </w:rPr>
        <w:t>祁阳市七里桥镇人民政府</w:t>
      </w:r>
      <w:r>
        <w:rPr>
          <w:rFonts w:ascii="Times New Roman" w:hAnsi="Times New Roman" w:cs="Times New Roman"/>
          <w:bCs/>
          <w:sz w:val="32"/>
          <w:szCs w:val="32"/>
        </w:rPr>
        <w:t>部门概况</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2A054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2A054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2A054D"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2A054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2A054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2A054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2A054D" w:rsidRDefault="002A054D">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2A054D">
          <w:footerReference w:type="default" r:id="rId8"/>
          <w:pgSz w:w="11906" w:h="16838"/>
          <w:pgMar w:top="1417" w:right="1588" w:bottom="1417" w:left="1588" w:header="851" w:footer="992" w:gutter="0"/>
          <w:pgNumType w:start="1"/>
          <w:cols w:space="425"/>
          <w:docGrid w:type="lines" w:linePitch="312"/>
        </w:sectPr>
      </w:pPr>
    </w:p>
    <w:p w:rsidR="002A054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2A054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2A054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2A054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2A054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2A054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2A054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2A054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2A054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2A054D" w:rsidRDefault="002A054D">
      <w:pPr>
        <w:pStyle w:val="Default"/>
        <w:spacing w:line="600" w:lineRule="exact"/>
        <w:rPr>
          <w:rFonts w:ascii="Times New Roman" w:hAnsi="Times New Roman" w:cs="Times New Roman"/>
          <w:bCs/>
          <w:sz w:val="28"/>
          <w:szCs w:val="28"/>
        </w:rPr>
      </w:pPr>
    </w:p>
    <w:p w:rsidR="002A054D" w:rsidRDefault="002A054D">
      <w:pPr>
        <w:jc w:val="center"/>
        <w:rPr>
          <w:rFonts w:ascii="Times New Roman" w:hAnsi="Times New Roman" w:cs="Times New Roman"/>
          <w:sz w:val="72"/>
          <w:szCs w:val="72"/>
        </w:rPr>
      </w:pPr>
    </w:p>
    <w:p w:rsidR="002A054D" w:rsidRDefault="002A054D">
      <w:pPr>
        <w:jc w:val="center"/>
        <w:rPr>
          <w:rFonts w:ascii="Times New Roman" w:hAnsi="Times New Roman" w:cs="Times New Roman"/>
          <w:sz w:val="72"/>
          <w:szCs w:val="72"/>
        </w:rPr>
      </w:pPr>
    </w:p>
    <w:p w:rsidR="002A054D" w:rsidRDefault="002A054D">
      <w:pPr>
        <w:jc w:val="center"/>
        <w:rPr>
          <w:rFonts w:ascii="Times New Roman" w:hAnsi="Times New Roman" w:cs="Times New Roman"/>
          <w:sz w:val="72"/>
          <w:szCs w:val="72"/>
        </w:rPr>
      </w:pPr>
    </w:p>
    <w:p w:rsidR="002A054D" w:rsidRDefault="002A054D">
      <w:pPr>
        <w:pStyle w:val="ab"/>
        <w:rPr>
          <w:rFonts w:ascii="Times New Roman" w:hAnsi="Times New Roman" w:cs="Times New Roman"/>
        </w:rPr>
        <w:sectPr w:rsidR="002A054D">
          <w:footerReference w:type="default" r:id="rId9"/>
          <w:pgSz w:w="11906" w:h="16838"/>
          <w:pgMar w:top="1417" w:right="1588" w:bottom="1417" w:left="1588" w:header="851" w:footer="992" w:gutter="0"/>
          <w:pgNumType w:start="1"/>
          <w:cols w:space="425"/>
          <w:docGrid w:type="lines" w:linePitch="312"/>
        </w:sectPr>
      </w:pPr>
    </w:p>
    <w:p w:rsidR="002A054D" w:rsidRDefault="002A054D">
      <w:pPr>
        <w:rPr>
          <w:rFonts w:ascii="Times New Roman" w:eastAsia="方正小标宋_GBK" w:hAnsi="Times New Roman" w:cs="Times New Roman"/>
          <w:sz w:val="72"/>
          <w:szCs w:val="72"/>
        </w:rPr>
      </w:pPr>
    </w:p>
    <w:p w:rsidR="002A054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2A054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祁阳市七里桥镇人民政府</w:t>
      </w:r>
      <w:r>
        <w:rPr>
          <w:rFonts w:ascii="Times New Roman" w:eastAsia="方正小标宋_GBK" w:hAnsi="Times New Roman" w:cs="Times New Roman"/>
          <w:sz w:val="52"/>
          <w:szCs w:val="52"/>
        </w:rPr>
        <w:t>单位概况</w:t>
      </w:r>
    </w:p>
    <w:p w:rsidR="002A054D" w:rsidRDefault="002A054D">
      <w:pPr>
        <w:pStyle w:val="2"/>
        <w:ind w:leftChars="0" w:left="0" w:firstLineChars="0" w:firstLine="0"/>
        <w:rPr>
          <w:rFonts w:ascii="Times New Roman" w:hAnsi="Times New Roman" w:cs="Times New Roman"/>
        </w:rPr>
      </w:pPr>
    </w:p>
    <w:p w:rsidR="002A054D" w:rsidRDefault="00000000">
      <w:pPr>
        <w:pStyle w:val="ad"/>
        <w:ind w:firstLine="640"/>
        <w:jc w:val="left"/>
        <w:rPr>
          <w:rFonts w:ascii="黑体" w:eastAsia="黑体" w:hAnsi="黑体" w:cs="黑体" w:hint="eastAsia"/>
          <w:bCs/>
          <w:kern w:val="0"/>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1、贯彻执行党的路线、方针、政策和国家的法律、法规，落实上级党委、政府的各项决议和决定。</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2、制定本镇行政区域内的经济和社会发展规划，并组织实施。</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3、负责本镇党的组织、思想和作风建设，提高党组织的战斗办和凝聚力，充分发挥党员的先锋模范作用。负责做好管理权限范围内干部的日常管理工作。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4、负责强化本镇社会治安综合治理，加强信访和矛盾纠纷调处工作，建立和健全群防群治网络，及时化解各类矛盾纠纷，维护社会稳定。</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5、负责本镇财政、自然资源、规划建设、生态环境保护、动物防疫、交通运输、科技和工业经济、商务、应急管理、市场监督管理及农业农村、扶贫开发、统计、林业、水利等工作。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6、负责本镇退役军人事务、国防动员教育、民兵预备役、民族宗教、民政、体育、旅游、文化、广电、城镇管理、劳动和社会保障等社会事务管理工作。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7、充分发挥镇党委的领导核心作用，保证和支持基层自治组织行使职权，实行依法自治，充分发挥基层群众自治组织的自我教育、自我管理、自我建设、自我服务作用。</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8、负责本镇纪检监察、组织、人事、宣传、统战、人民武装、工会、共青团、妇联、残联、科协等工作。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9、承担镇人大和政协联络等相关工作。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10、完成市委、市人大常委会、市政府、市政协交办的其他工作。</w:t>
      </w:r>
    </w:p>
    <w:p w:rsidR="002A054D" w:rsidRDefault="00000000">
      <w:pPr>
        <w:widowControl/>
        <w:spacing w:line="60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rsidR="002A054D" w:rsidRDefault="00000000">
      <w:pPr>
        <w:widowControl/>
        <w:spacing w:line="600" w:lineRule="exact"/>
        <w:rPr>
          <w:rFonts w:ascii="仿宋_GB2312" w:eastAsia="仿宋_GB2312" w:hAnsiTheme="minorEastAsia" w:hint="eastAsia"/>
          <w:bCs/>
          <w:kern w:val="0"/>
          <w:sz w:val="32"/>
          <w:szCs w:val="32"/>
        </w:rPr>
      </w:pPr>
      <w:r>
        <w:rPr>
          <w:rFonts w:ascii="Times New Roman" w:eastAsia="仿宋_GB2312" w:hAnsi="Times New Roman" w:cs="仿宋_GB2312" w:hint="eastAsia"/>
          <w:bCs/>
          <w:kern w:val="0"/>
          <w:sz w:val="32"/>
          <w:szCs w:val="32"/>
        </w:rPr>
        <w:t>（一）内设机构设置。</w:t>
      </w:r>
      <w:r>
        <w:rPr>
          <w:rFonts w:ascii="仿宋_GB2312" w:eastAsia="仿宋_GB2312" w:hAnsiTheme="minorEastAsia" w:hint="eastAsia"/>
          <w:bCs/>
          <w:kern w:val="0"/>
          <w:sz w:val="32"/>
          <w:szCs w:val="32"/>
        </w:rPr>
        <w:t>祁阳市七里桥镇人民政府内设11个机构包括：党政综合办公室、基层党建办公室、经济发展办公室、社会事务办公室、财政所、社会治安和应急管理办公室、社会事业综合服务中心、农业综合服务中心、便民服务中心、退役军人服务站、综合行政执法大队。</w:t>
      </w:r>
    </w:p>
    <w:p w:rsidR="002A054D" w:rsidRDefault="00000000">
      <w:pPr>
        <w:widowControl/>
        <w:spacing w:line="600" w:lineRule="exact"/>
        <w:rPr>
          <w:rFonts w:ascii="仿宋" w:eastAsia="仿宋" w:hAnsi="仿宋" w:cs="仿宋" w:hint="eastAsia"/>
          <w:sz w:val="32"/>
          <w:szCs w:val="32"/>
        </w:rPr>
      </w:pPr>
      <w:r>
        <w:rPr>
          <w:rFonts w:ascii="Times New Roman" w:eastAsia="仿宋_GB2312" w:hAnsi="Times New Roman" w:cs="仿宋_GB2312" w:hint="eastAsia"/>
          <w:bCs/>
          <w:kern w:val="0"/>
          <w:sz w:val="32"/>
          <w:szCs w:val="32"/>
        </w:rPr>
        <w:t>（二）决算单位构成。</w:t>
      </w:r>
      <w:r>
        <w:rPr>
          <w:rFonts w:ascii="仿宋" w:eastAsia="仿宋" w:hAnsi="仿宋" w:cs="仿宋" w:hint="eastAsia"/>
          <w:bCs/>
          <w:kern w:val="0"/>
          <w:sz w:val="32"/>
          <w:szCs w:val="32"/>
        </w:rPr>
        <w:t>七里桥镇人民政府2024年部门决算汇总公开单位构成包括：</w:t>
      </w:r>
      <w:r>
        <w:rPr>
          <w:rFonts w:ascii="仿宋" w:eastAsia="仿宋" w:hAnsi="仿宋" w:cs="仿宋" w:hint="eastAsia"/>
          <w:sz w:val="32"/>
          <w:szCs w:val="32"/>
          <w:shd w:val="clear" w:color="auto" w:fill="FFFFFF"/>
        </w:rPr>
        <w:t>镇机关本级决算</w:t>
      </w:r>
      <w:r>
        <w:rPr>
          <w:rFonts w:ascii="仿宋" w:eastAsia="仿宋" w:hAnsi="仿宋" w:cs="仿宋" w:hint="eastAsia"/>
          <w:bCs/>
          <w:kern w:val="0"/>
          <w:sz w:val="32"/>
          <w:szCs w:val="32"/>
        </w:rPr>
        <w:t>。</w:t>
      </w:r>
    </w:p>
    <w:p w:rsidR="002A054D" w:rsidRDefault="002A054D">
      <w:pPr>
        <w:jc w:val="left"/>
        <w:rPr>
          <w:rFonts w:ascii="Times New Roman" w:eastAsia="仿宋_GB2312" w:hAnsi="Times New Roman" w:cs="Times New Roman"/>
          <w:sz w:val="28"/>
          <w:szCs w:val="32"/>
        </w:rPr>
      </w:pPr>
    </w:p>
    <w:p w:rsidR="002A054D" w:rsidRDefault="002A054D">
      <w:pPr>
        <w:jc w:val="center"/>
        <w:rPr>
          <w:rFonts w:ascii="Times New Roman" w:eastAsia="黑体" w:hAnsi="Times New Roman" w:cs="Times New Roman"/>
          <w:sz w:val="28"/>
          <w:szCs w:val="28"/>
        </w:rPr>
      </w:pPr>
    </w:p>
    <w:p w:rsidR="002A054D" w:rsidRDefault="002A054D">
      <w:pPr>
        <w:jc w:val="center"/>
        <w:rPr>
          <w:rFonts w:ascii="Times New Roman" w:eastAsia="黑体" w:hAnsi="Times New Roman" w:cs="Times New Roman"/>
          <w:sz w:val="28"/>
          <w:szCs w:val="28"/>
        </w:rPr>
      </w:pPr>
    </w:p>
    <w:p w:rsidR="002A054D" w:rsidRDefault="002A054D">
      <w:pPr>
        <w:jc w:val="center"/>
        <w:rPr>
          <w:rFonts w:ascii="Times New Roman" w:eastAsia="黑体" w:hAnsi="Times New Roman" w:cs="Times New Roman"/>
          <w:sz w:val="28"/>
          <w:szCs w:val="28"/>
        </w:rPr>
      </w:pPr>
    </w:p>
    <w:p w:rsidR="002A054D" w:rsidRDefault="002A054D">
      <w:pPr>
        <w:jc w:val="center"/>
        <w:rPr>
          <w:rFonts w:ascii="Times New Roman" w:eastAsia="黑体" w:hAnsi="Times New Roman" w:cs="Times New Roman"/>
          <w:sz w:val="28"/>
          <w:szCs w:val="28"/>
        </w:rPr>
      </w:pPr>
    </w:p>
    <w:p w:rsidR="002A054D" w:rsidRDefault="002A054D">
      <w:pPr>
        <w:jc w:val="center"/>
        <w:rPr>
          <w:rFonts w:ascii="Times New Roman" w:eastAsia="黑体" w:hAnsi="Times New Roman" w:cs="Times New Roman"/>
          <w:sz w:val="28"/>
          <w:szCs w:val="28"/>
        </w:rPr>
      </w:pPr>
    </w:p>
    <w:p w:rsidR="002A054D" w:rsidRDefault="002A054D">
      <w:pPr>
        <w:pStyle w:val="ab"/>
        <w:rPr>
          <w:rFonts w:ascii="Times New Roman" w:hAnsi="Times New Roman" w:cs="Times New Roman"/>
        </w:rPr>
        <w:sectPr w:rsidR="002A054D">
          <w:footerReference w:type="default" r:id="rId10"/>
          <w:pgSz w:w="11906" w:h="16838"/>
          <w:pgMar w:top="1417" w:right="1588" w:bottom="1417" w:left="1588" w:header="851" w:footer="992" w:gutter="0"/>
          <w:pgNumType w:start="1"/>
          <w:cols w:space="425"/>
          <w:docGrid w:type="lines" w:linePitch="312"/>
        </w:sectPr>
      </w:pPr>
    </w:p>
    <w:p w:rsidR="002A054D"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2A054D"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2A054D"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2A054D"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祁阳市七里桥镇人民政府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2A054D">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2A054D">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2A054D">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2351.42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1501.33</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52.22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1.04</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1.00</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155.93</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53.81</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52.22</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533.63</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96.68</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8.00</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二十六、抗疫特别国债安排支出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2403.64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2403.64</w:t>
            </w: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2A054D">
            <w:pPr>
              <w:jc w:val="center"/>
              <w:rPr>
                <w:rFonts w:ascii="Times New Roman" w:eastAsia="仿宋_GB2312" w:hAnsi="Times New Roman" w:cs="Times New Roman"/>
                <w:color w:val="000000"/>
                <w:sz w:val="22"/>
              </w:rPr>
            </w:pPr>
          </w:p>
        </w:tc>
      </w:tr>
      <w:tr w:rsidR="002A054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2403.64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2403.64</w:t>
            </w:r>
          </w:p>
        </w:tc>
      </w:tr>
    </w:tbl>
    <w:p w:rsidR="002A054D" w:rsidRDefault="002A054D">
      <w:pPr>
        <w:widowControl/>
        <w:jc w:val="left"/>
        <w:textAlignment w:val="center"/>
        <w:rPr>
          <w:rFonts w:ascii="Times New Roman" w:eastAsia="宋体" w:hAnsi="Times New Roman" w:cs="Times New Roman"/>
          <w:color w:val="000000"/>
          <w:kern w:val="0"/>
          <w:sz w:val="24"/>
          <w:szCs w:val="24"/>
          <w:lang w:bidi="ar"/>
        </w:rPr>
      </w:pPr>
    </w:p>
    <w:p w:rsidR="002A054D"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2A054D"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2A054D" w:rsidRDefault="002A054D">
      <w:pPr>
        <w:widowControl/>
        <w:spacing w:line="400" w:lineRule="exact"/>
        <w:jc w:val="center"/>
        <w:textAlignment w:val="center"/>
        <w:rPr>
          <w:rFonts w:ascii="Times New Roman" w:eastAsia="黑体" w:hAnsi="Times New Roman" w:cs="Times New Roman"/>
          <w:color w:val="000000"/>
          <w:kern w:val="0"/>
          <w:sz w:val="32"/>
          <w:szCs w:val="32"/>
          <w:lang w:bidi="ar"/>
        </w:rPr>
      </w:pPr>
    </w:p>
    <w:p w:rsidR="002A054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2A054D"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2A054D"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祁阳市七里桥镇人民政府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3577"/>
        <w:gridCol w:w="1560"/>
        <w:gridCol w:w="1440"/>
        <w:gridCol w:w="1300"/>
        <w:gridCol w:w="980"/>
        <w:gridCol w:w="1100"/>
        <w:gridCol w:w="1880"/>
        <w:gridCol w:w="943"/>
      </w:tblGrid>
      <w:tr w:rsidR="002A054D">
        <w:trPr>
          <w:trHeight w:val="450"/>
          <w:jc w:val="center"/>
        </w:trPr>
        <w:tc>
          <w:tcPr>
            <w:tcW w:w="546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4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2A054D">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57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56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r>
      <w:tr w:rsidR="002A054D">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3577" w:type="dxa"/>
            <w:vMerge/>
            <w:tcBorders>
              <w:top w:val="nil"/>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2A054D" w:rsidRDefault="002A054D">
            <w:pPr>
              <w:rPr>
                <w:rFonts w:ascii="Times New Roman" w:eastAsia="仿宋_GB2312" w:hAnsi="Times New Roman" w:cs="Times New Roman"/>
                <w:sz w:val="24"/>
                <w:szCs w:val="24"/>
              </w:rPr>
            </w:pPr>
          </w:p>
        </w:tc>
      </w:tr>
      <w:tr w:rsidR="002A054D">
        <w:trPr>
          <w:trHeight w:val="450"/>
          <w:jc w:val="center"/>
        </w:trPr>
        <w:tc>
          <w:tcPr>
            <w:tcW w:w="546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9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1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9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2A054D">
        <w:trPr>
          <w:trHeight w:val="450"/>
          <w:jc w:val="center"/>
        </w:trPr>
        <w:tc>
          <w:tcPr>
            <w:tcW w:w="546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2403.64</w:t>
            </w:r>
            <w:r>
              <w:rPr>
                <w:rFonts w:ascii="Times New Roman" w:eastAsia="仿宋_GB2312" w:hAnsi="Times New Roman" w:cs="Times New Roman"/>
              </w:rPr>
              <w:t xml:space="preserve">　</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2403.64</w:t>
            </w: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4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sz w:val="24"/>
                <w:szCs w:val="24"/>
              </w:rPr>
            </w:pPr>
            <w:r>
              <w:rPr>
                <w:rFonts w:ascii="Times New Roman" w:eastAsia="仿宋_GB2312" w:hAnsi="Times New Roman" w:cs="Times New Roman" w:hint="eastAsia"/>
              </w:rPr>
              <w:t>201</w:t>
            </w:r>
          </w:p>
        </w:tc>
        <w:tc>
          <w:tcPr>
            <w:tcW w:w="357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一般公共服务支出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1501.33</w:t>
            </w:r>
            <w:r>
              <w:rPr>
                <w:rFonts w:ascii="Times New Roman" w:eastAsia="仿宋_GB2312" w:hAnsi="Times New Roman" w:cs="Times New Roman"/>
              </w:rPr>
              <w:t xml:space="preserve">　</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1501.33</w:t>
            </w: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4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sz w:val="24"/>
                <w:szCs w:val="24"/>
              </w:rPr>
            </w:pPr>
            <w:r>
              <w:rPr>
                <w:rFonts w:ascii="Times New Roman" w:eastAsia="仿宋_GB2312" w:hAnsi="Times New Roman" w:cs="Times New Roman" w:hint="eastAsia"/>
              </w:rPr>
              <w:t>20103</w:t>
            </w:r>
          </w:p>
        </w:tc>
        <w:tc>
          <w:tcPr>
            <w:tcW w:w="357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政府办公厅（室）及相关机构事务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1496.33</w:t>
            </w:r>
            <w:r>
              <w:rPr>
                <w:rFonts w:ascii="Times New Roman" w:eastAsia="仿宋_GB2312" w:hAnsi="Times New Roman" w:cs="Times New Roman"/>
              </w:rPr>
              <w:t xml:space="preserve">　</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1496.33</w:t>
            </w: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4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sz w:val="24"/>
                <w:szCs w:val="24"/>
              </w:rPr>
            </w:pPr>
            <w:r>
              <w:rPr>
                <w:rFonts w:ascii="Times New Roman" w:eastAsia="仿宋_GB2312" w:hAnsi="Times New Roman" w:cs="Times New Roman" w:hint="eastAsia"/>
              </w:rPr>
              <w:t>2010301</w:t>
            </w:r>
          </w:p>
        </w:tc>
        <w:tc>
          <w:tcPr>
            <w:tcW w:w="357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行政运行</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1379.31</w:t>
            </w:r>
            <w:r>
              <w:rPr>
                <w:rFonts w:ascii="Times New Roman" w:eastAsia="仿宋_GB2312" w:hAnsi="Times New Roman" w:cs="Times New Roman"/>
              </w:rPr>
              <w:t xml:space="preserve">　</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1379.31</w:t>
            </w: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4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sz w:val="24"/>
                <w:szCs w:val="24"/>
              </w:rPr>
            </w:pPr>
            <w:r>
              <w:rPr>
                <w:rFonts w:ascii="Times New Roman" w:eastAsia="仿宋_GB2312" w:hAnsi="Times New Roman" w:cs="Times New Roman" w:hint="eastAsia"/>
              </w:rPr>
              <w:t>2010302</w:t>
            </w:r>
          </w:p>
        </w:tc>
        <w:tc>
          <w:tcPr>
            <w:tcW w:w="357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117.02</w:t>
            </w:r>
            <w:r>
              <w:rPr>
                <w:rFonts w:ascii="Times New Roman" w:eastAsia="仿宋_GB2312" w:hAnsi="Times New Roman" w:cs="Times New Roman"/>
              </w:rPr>
              <w:t xml:space="preserve">　</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117.02</w:t>
            </w: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4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sz w:val="24"/>
                <w:szCs w:val="24"/>
              </w:rPr>
            </w:pPr>
            <w:r>
              <w:rPr>
                <w:rFonts w:ascii="Times New Roman" w:eastAsia="仿宋_GB2312" w:hAnsi="Times New Roman" w:cs="Times New Roman" w:hint="eastAsia"/>
              </w:rPr>
              <w:t>20106</w:t>
            </w:r>
          </w:p>
        </w:tc>
        <w:tc>
          <w:tcPr>
            <w:tcW w:w="357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5.00</w:t>
            </w:r>
            <w:r>
              <w:rPr>
                <w:rFonts w:ascii="Times New Roman" w:eastAsia="仿宋_GB2312" w:hAnsi="Times New Roman" w:cs="Times New Roman"/>
              </w:rPr>
              <w:t xml:space="preserve">　</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5.00</w:t>
            </w:r>
            <w:r>
              <w:rPr>
                <w:rFonts w:ascii="Times New Roman" w:eastAsia="仿宋_GB2312" w:hAnsi="Times New Roman" w:cs="Times New Roman"/>
              </w:rPr>
              <w:t xml:space="preserve">　</w:t>
            </w:r>
          </w:p>
        </w:tc>
        <w:tc>
          <w:tcPr>
            <w:tcW w:w="13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4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sz w:val="24"/>
                <w:szCs w:val="24"/>
              </w:rPr>
            </w:pPr>
            <w:r>
              <w:rPr>
                <w:rFonts w:ascii="Times New Roman" w:eastAsia="仿宋_GB2312" w:hAnsi="Times New Roman" w:cs="Times New Roman" w:hint="eastAsia"/>
              </w:rPr>
              <w:t>2010602</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5.00</w:t>
            </w:r>
            <w:r>
              <w:rPr>
                <w:rFonts w:ascii="Times New Roman" w:eastAsia="仿宋_GB2312" w:hAnsi="Times New Roman" w:cs="Times New Roman"/>
              </w:rPr>
              <w:t xml:space="preserve">　</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5.00</w:t>
            </w:r>
            <w:r>
              <w:rPr>
                <w:rFonts w:ascii="Times New Roman" w:eastAsia="仿宋_GB2312" w:hAnsi="Times New Roman" w:cs="Times New Roman"/>
              </w:rPr>
              <w:t xml:space="preserve">　</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204</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公共安全支出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1.04</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1.04</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20402</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公安</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1.04</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1.04</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2040202</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1.04</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1.04</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207</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文化旅游体育与传媒支出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20799</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其他文化旅游体育与传媒支出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2079999</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其他文化旅游体育与传媒支出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208</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社会保障和就业支出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155.93</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155.93</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20805</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行政事业单位养老支出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118.48</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118.48</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2080505</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机关事业单位基本养老保险缴费支出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118.48</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118.48</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20808</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抚恤</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34.95</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34.95</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2080801</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死亡抚恤</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34.95</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34.95</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20899</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其他社会保障和就业支出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2.50</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2.50</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2089999</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其他社会保障和就业支出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2.50</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2.50</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210</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卫生健康支出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21011</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行政事业单位医疗</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2101101</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行政单位医疗</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212</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52.22</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52.22</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21208</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国有土地使用权出让收入安排的支出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51.39</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51.39</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2120803</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城市建设支出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4.37</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4.37</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2120816</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农业农村生态环境支出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19.69</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19.69</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2120899</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其他国有土地使用权出让收入安排的支出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27.33</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27.33</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21213</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城市基础设施配套费安排的支出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0.83</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0.83</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2121399</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其他城市基础设施配套费安排的支出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0.83</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0.83</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213</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农林水支出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533.63</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533.63</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21307</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533.63</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533.63</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2130705</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对村民委员会和村党支部的补助</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532.64</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532.64</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2130799</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其他农村综合改革支出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0.99</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0.99</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221</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22102</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2210201</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222</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粮油物资储备支出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22201</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粮油物资事务</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r w:rsidR="002A054D">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A054D" w:rsidRDefault="00000000">
            <w:pPr>
              <w:jc w:val="left"/>
              <w:rPr>
                <w:rFonts w:ascii="Times New Roman" w:eastAsia="仿宋_GB2312" w:hAnsi="Times New Roman" w:cs="Times New Roman"/>
              </w:rPr>
            </w:pPr>
            <w:r>
              <w:rPr>
                <w:rFonts w:ascii="Times New Roman" w:eastAsia="仿宋_GB2312" w:hAnsi="Times New Roman" w:cs="Times New Roman" w:hint="eastAsia"/>
              </w:rPr>
              <w:t>2220199</w:t>
            </w:r>
          </w:p>
        </w:tc>
        <w:tc>
          <w:tcPr>
            <w:tcW w:w="357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其他粮油物资事务支出</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1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13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1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054D" w:rsidRDefault="002A054D">
            <w:pPr>
              <w:jc w:val="right"/>
              <w:rPr>
                <w:rFonts w:ascii="Times New Roman" w:eastAsia="仿宋_GB2312" w:hAnsi="Times New Roman" w:cs="Times New Roman"/>
              </w:rPr>
            </w:pPr>
          </w:p>
        </w:tc>
      </w:tr>
    </w:tbl>
    <w:p w:rsidR="002A054D"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2A054D"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2A054D" w:rsidRDefault="002A054D">
      <w:pPr>
        <w:widowControl/>
        <w:jc w:val="center"/>
        <w:textAlignment w:val="center"/>
        <w:rPr>
          <w:rFonts w:ascii="Times New Roman" w:eastAsia="黑体" w:hAnsi="Times New Roman" w:cs="Times New Roman"/>
          <w:color w:val="000000"/>
          <w:kern w:val="0"/>
          <w:sz w:val="32"/>
          <w:szCs w:val="32"/>
          <w:lang w:bidi="ar"/>
        </w:rPr>
      </w:pPr>
    </w:p>
    <w:p w:rsidR="002A054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2A054D"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2A054D"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祁阳市七里桥镇人民政府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2016"/>
        <w:gridCol w:w="4198"/>
        <w:gridCol w:w="1726"/>
        <w:gridCol w:w="1259"/>
        <w:gridCol w:w="1219"/>
        <w:gridCol w:w="1120"/>
        <w:gridCol w:w="1179"/>
        <w:gridCol w:w="1492"/>
      </w:tblGrid>
      <w:tr w:rsidR="002A054D">
        <w:trPr>
          <w:trHeight w:val="595"/>
          <w:jc w:val="center"/>
        </w:trPr>
        <w:tc>
          <w:tcPr>
            <w:tcW w:w="218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A054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A054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A054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2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A054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3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A054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1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A054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A054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2A054D">
        <w:trPr>
          <w:trHeight w:hRule="exact" w:val="312"/>
          <w:jc w:val="center"/>
        </w:trPr>
        <w:tc>
          <w:tcPr>
            <w:tcW w:w="70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A054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476" w:type="pct"/>
            <w:vMerge w:val="restart"/>
            <w:tcBorders>
              <w:top w:val="nil"/>
              <w:left w:val="single" w:sz="4" w:space="0" w:color="auto"/>
              <w:bottom w:val="single" w:sz="4" w:space="0" w:color="auto"/>
              <w:right w:val="single" w:sz="4" w:space="0" w:color="auto"/>
            </w:tcBorders>
            <w:shd w:val="clear" w:color="000000" w:fill="FFFFFF"/>
            <w:vAlign w:val="center"/>
          </w:tcPr>
          <w:p w:rsidR="002A054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07"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b/>
                <w:bCs/>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b/>
                <w:bCs/>
                <w:kern w:val="0"/>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b/>
                <w:bCs/>
                <w:kern w:val="0"/>
                <w:sz w:val="24"/>
                <w:szCs w:val="24"/>
              </w:rPr>
            </w:pPr>
          </w:p>
        </w:tc>
        <w:tc>
          <w:tcPr>
            <w:tcW w:w="394"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b/>
                <w:bCs/>
                <w:kern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b/>
                <w:bCs/>
                <w:kern w:val="0"/>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b/>
                <w:bCs/>
                <w:kern w:val="0"/>
                <w:sz w:val="24"/>
                <w:szCs w:val="24"/>
              </w:rPr>
            </w:pPr>
          </w:p>
        </w:tc>
      </w:tr>
      <w:tr w:rsidR="002A054D">
        <w:trPr>
          <w:trHeight w:val="595"/>
          <w:jc w:val="center"/>
        </w:trPr>
        <w:tc>
          <w:tcPr>
            <w:tcW w:w="709"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 w:val="24"/>
                <w:szCs w:val="24"/>
              </w:rPr>
            </w:pPr>
          </w:p>
        </w:tc>
        <w:tc>
          <w:tcPr>
            <w:tcW w:w="1476" w:type="pct"/>
            <w:vMerge/>
            <w:tcBorders>
              <w:top w:val="nil"/>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 w:val="24"/>
                <w:szCs w:val="24"/>
              </w:rPr>
            </w:pPr>
          </w:p>
        </w:tc>
        <w:tc>
          <w:tcPr>
            <w:tcW w:w="607"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 w:val="24"/>
                <w:szCs w:val="24"/>
              </w:rPr>
            </w:pPr>
          </w:p>
        </w:tc>
        <w:tc>
          <w:tcPr>
            <w:tcW w:w="394"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 w:val="24"/>
                <w:szCs w:val="24"/>
              </w:rPr>
            </w:pPr>
          </w:p>
        </w:tc>
        <w:tc>
          <w:tcPr>
            <w:tcW w:w="525" w:type="pct"/>
            <w:vMerge/>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 w:val="24"/>
                <w:szCs w:val="24"/>
              </w:rPr>
            </w:pPr>
          </w:p>
        </w:tc>
      </w:tr>
      <w:tr w:rsidR="002A054D">
        <w:trPr>
          <w:trHeight w:val="595"/>
          <w:jc w:val="center"/>
        </w:trPr>
        <w:tc>
          <w:tcPr>
            <w:tcW w:w="218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07" w:type="pct"/>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43" w:type="pct"/>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29" w:type="pct"/>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394" w:type="pct"/>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15" w:type="pct"/>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525" w:type="pct"/>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2A054D">
        <w:trPr>
          <w:trHeight w:val="595"/>
          <w:jc w:val="center"/>
        </w:trPr>
        <w:tc>
          <w:tcPr>
            <w:tcW w:w="218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07"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2403.64</w:t>
            </w:r>
            <w:r>
              <w:rPr>
                <w:rFonts w:ascii="Times New Roman" w:eastAsia="仿宋_GB2312" w:hAnsi="Times New Roman" w:cs="Times New Roman"/>
                <w:kern w:val="0"/>
                <w:sz w:val="24"/>
                <w:szCs w:val="24"/>
              </w:rPr>
              <w:t xml:space="preserve">　</w:t>
            </w:r>
          </w:p>
        </w:tc>
        <w:tc>
          <w:tcPr>
            <w:tcW w:w="443"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2228.35</w:t>
            </w:r>
            <w:r>
              <w:rPr>
                <w:rFonts w:ascii="Times New Roman" w:eastAsia="仿宋_GB2312" w:hAnsi="Times New Roman" w:cs="Times New Roman"/>
                <w:kern w:val="0"/>
                <w:sz w:val="24"/>
                <w:szCs w:val="24"/>
              </w:rPr>
              <w:t xml:space="preserve">　</w:t>
            </w:r>
          </w:p>
        </w:tc>
        <w:tc>
          <w:tcPr>
            <w:tcW w:w="429"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175.29</w:t>
            </w:r>
            <w:r>
              <w:rPr>
                <w:rFonts w:ascii="Times New Roman" w:eastAsia="仿宋_GB2312" w:hAnsi="Times New Roman" w:cs="Times New Roman"/>
                <w:kern w:val="0"/>
                <w:sz w:val="24"/>
                <w:szCs w:val="24"/>
              </w:rPr>
              <w:t xml:space="preserve">　</w:t>
            </w:r>
          </w:p>
        </w:tc>
        <w:tc>
          <w:tcPr>
            <w:tcW w:w="394"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2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一般公共服务支出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1501.33</w:t>
            </w:r>
            <w:r>
              <w:rPr>
                <w:rFonts w:ascii="Times New Roman" w:eastAsia="仿宋_GB2312" w:hAnsi="Times New Roman" w:cs="Times New Roman"/>
              </w:rPr>
              <w:t xml:space="preserve">　</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1379.31</w:t>
            </w:r>
            <w:r>
              <w:rPr>
                <w:rFonts w:ascii="Times New Roman" w:eastAsia="仿宋_GB2312" w:hAnsi="Times New Roman" w:cs="Times New Roman"/>
              </w:rPr>
              <w:t xml:space="preserve">　</w:t>
            </w:r>
          </w:p>
        </w:tc>
        <w:tc>
          <w:tcPr>
            <w:tcW w:w="429"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122.02</w:t>
            </w:r>
            <w:r>
              <w:rPr>
                <w:rFonts w:ascii="Times New Roman" w:eastAsia="仿宋_GB2312" w:hAnsi="Times New Roman" w:cs="Times New Roman"/>
                <w:kern w:val="0"/>
                <w:sz w:val="24"/>
                <w:szCs w:val="24"/>
              </w:rPr>
              <w:t xml:space="preserve">　</w:t>
            </w:r>
          </w:p>
        </w:tc>
        <w:tc>
          <w:tcPr>
            <w:tcW w:w="394"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2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政府办公厅（室）及相关机构事务</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1496.33</w:t>
            </w:r>
            <w:r>
              <w:rPr>
                <w:rFonts w:ascii="Times New Roman" w:eastAsia="仿宋_GB2312" w:hAnsi="Times New Roman" w:cs="Times New Roman"/>
              </w:rPr>
              <w:t xml:space="preserve">　</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1379.31</w:t>
            </w:r>
            <w:r>
              <w:rPr>
                <w:rFonts w:ascii="Times New Roman" w:eastAsia="仿宋_GB2312" w:hAnsi="Times New Roman" w:cs="Times New Roman"/>
              </w:rPr>
              <w:t xml:space="preserve">　</w:t>
            </w:r>
          </w:p>
        </w:tc>
        <w:tc>
          <w:tcPr>
            <w:tcW w:w="429"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117.02</w:t>
            </w:r>
            <w:r>
              <w:rPr>
                <w:rFonts w:ascii="Times New Roman" w:eastAsia="仿宋_GB2312" w:hAnsi="Times New Roman" w:cs="Times New Roman"/>
                <w:kern w:val="0"/>
                <w:sz w:val="24"/>
                <w:szCs w:val="24"/>
              </w:rPr>
              <w:t xml:space="preserve">　</w:t>
            </w:r>
          </w:p>
        </w:tc>
        <w:tc>
          <w:tcPr>
            <w:tcW w:w="394"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2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2010301</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行政运行</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1379.31</w:t>
            </w:r>
            <w:r>
              <w:rPr>
                <w:rFonts w:ascii="Times New Roman" w:eastAsia="仿宋_GB2312" w:hAnsi="Times New Roman" w:cs="Times New Roman"/>
              </w:rPr>
              <w:t xml:space="preserve">　</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1379.31</w:t>
            </w:r>
            <w:r>
              <w:rPr>
                <w:rFonts w:ascii="Times New Roman" w:eastAsia="仿宋_GB2312" w:hAnsi="Times New Roman" w:cs="Times New Roman"/>
              </w:rPr>
              <w:t xml:space="preserve">　</w:t>
            </w:r>
          </w:p>
        </w:tc>
        <w:tc>
          <w:tcPr>
            <w:tcW w:w="429"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4"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2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2010302</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117.02</w:t>
            </w:r>
            <w:r>
              <w:rPr>
                <w:rFonts w:ascii="Times New Roman" w:eastAsia="仿宋_GB2312" w:hAnsi="Times New Roman" w:cs="Times New Roman"/>
              </w:rPr>
              <w:t xml:space="preserve">　</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429"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rPr>
              <w:t>117.02</w:t>
            </w:r>
            <w:r>
              <w:rPr>
                <w:rFonts w:ascii="Times New Roman" w:eastAsia="仿宋_GB2312" w:hAnsi="Times New Roman" w:cs="Times New Roman"/>
                <w:kern w:val="0"/>
                <w:sz w:val="24"/>
                <w:szCs w:val="24"/>
              </w:rPr>
              <w:t xml:space="preserve">　</w:t>
            </w:r>
          </w:p>
        </w:tc>
        <w:tc>
          <w:tcPr>
            <w:tcW w:w="394"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25"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20106</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财政事务</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5.00</w:t>
            </w:r>
            <w:r>
              <w:rPr>
                <w:rFonts w:ascii="Times New Roman" w:eastAsia="仿宋_GB2312" w:hAnsi="Times New Roman" w:cs="Times New Roman"/>
              </w:rPr>
              <w:t xml:space="preserve">　</w:t>
            </w:r>
          </w:p>
        </w:tc>
        <w:tc>
          <w:tcPr>
            <w:tcW w:w="443" w:type="pct"/>
            <w:tcBorders>
              <w:top w:val="nil"/>
              <w:left w:val="nil"/>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sz w:val="24"/>
                <w:szCs w:val="24"/>
              </w:rPr>
            </w:pPr>
          </w:p>
        </w:tc>
        <w:tc>
          <w:tcPr>
            <w:tcW w:w="429"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2010602</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5.00</w:t>
            </w:r>
            <w:r>
              <w:rPr>
                <w:rFonts w:ascii="Times New Roman" w:eastAsia="仿宋_GB2312" w:hAnsi="Times New Roman" w:cs="Times New Roman"/>
              </w:rPr>
              <w:t xml:space="preserve">　</w:t>
            </w:r>
          </w:p>
        </w:tc>
        <w:tc>
          <w:tcPr>
            <w:tcW w:w="443" w:type="pct"/>
            <w:tcBorders>
              <w:top w:val="nil"/>
              <w:left w:val="nil"/>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sz w:val="24"/>
                <w:szCs w:val="24"/>
              </w:rPr>
            </w:pPr>
          </w:p>
        </w:tc>
        <w:tc>
          <w:tcPr>
            <w:tcW w:w="429"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公共安全支出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1.04</w:t>
            </w:r>
          </w:p>
        </w:tc>
        <w:tc>
          <w:tcPr>
            <w:tcW w:w="443" w:type="pct"/>
            <w:tcBorders>
              <w:top w:val="nil"/>
              <w:left w:val="nil"/>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w:t>
            </w: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20402</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公安</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1.04</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w:t>
            </w: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2040202</w:t>
            </w:r>
          </w:p>
        </w:tc>
        <w:tc>
          <w:tcPr>
            <w:tcW w:w="1476" w:type="pct"/>
            <w:tcBorders>
              <w:top w:val="single" w:sz="4" w:space="0" w:color="auto"/>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607" w:type="pct"/>
            <w:tcBorders>
              <w:top w:val="single" w:sz="4" w:space="0" w:color="auto"/>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1.04</w:t>
            </w:r>
          </w:p>
        </w:tc>
        <w:tc>
          <w:tcPr>
            <w:tcW w:w="443" w:type="pct"/>
            <w:tcBorders>
              <w:top w:val="single" w:sz="4" w:space="0" w:color="auto"/>
              <w:left w:val="nil"/>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single" w:sz="4" w:space="0" w:color="auto"/>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1.04</w:t>
            </w:r>
          </w:p>
        </w:tc>
        <w:tc>
          <w:tcPr>
            <w:tcW w:w="394" w:type="pct"/>
            <w:tcBorders>
              <w:top w:val="single" w:sz="4" w:space="0" w:color="auto"/>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207</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文化旅游体育与传媒支出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20799</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其他文化旅游体育与传媒支出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2079999</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其他文化旅游体育与传媒支出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社会保障和就业支出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155.93</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155.93</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行政事业单位养老支出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118.48</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118.48</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2080505</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机关事业单位基本养老保险缴费支出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118.48</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118.48</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20808</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抚恤</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34.95</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34.95</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2080801</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死亡抚恤</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34.95</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34.95</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其他社会保障和就业支出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2.50</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2.50</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2089999</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其他社会保障和就业支出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2.50</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2.50</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卫生健康支出</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行政事业单位医疗</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2101101</w:t>
            </w:r>
          </w:p>
        </w:tc>
        <w:tc>
          <w:tcPr>
            <w:tcW w:w="1476" w:type="pct"/>
            <w:tcBorders>
              <w:top w:val="nil"/>
              <w:left w:val="nil"/>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行政单位医疗</w:t>
            </w:r>
          </w:p>
        </w:tc>
        <w:tc>
          <w:tcPr>
            <w:tcW w:w="607"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443" w:type="pct"/>
            <w:tcBorders>
              <w:top w:val="nil"/>
              <w:left w:val="nil"/>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53.81</w:t>
            </w:r>
          </w:p>
        </w:tc>
        <w:tc>
          <w:tcPr>
            <w:tcW w:w="429"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212</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52.22</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52.22</w:t>
            </w: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国有土地使用权出让收入安排的支出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51.39</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51.39</w:t>
            </w: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2120803</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城市建设支出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4.37</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4.37</w:t>
            </w: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2120816</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农业农村生态环境支出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19.69</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19.69</w:t>
            </w: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2120899</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其他国有土地使用权出让收入安排的支出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27.33</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27.33</w:t>
            </w: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21213</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城市基础设施配套费安排的支出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0.83</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0.83</w:t>
            </w: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2121399</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其他城市基础设施配套费安排的支出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0.83</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2A054D">
            <w:pPr>
              <w:jc w:val="right"/>
              <w:rPr>
                <w:rFonts w:ascii="Times New Roman" w:eastAsia="仿宋_GB2312" w:hAnsi="Times New Roman" w:cs="Times New Roman"/>
              </w:rPr>
            </w:pP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0.83</w:t>
            </w: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农林水支出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533.63</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533.63</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533.63</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533.63</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2130705</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对村民委员会和村党支部的补助</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532.64</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532.64</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2130799</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其他农村综合改革支出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0.99</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0.99</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2210201</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96.68</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粮油物资储备支出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22201</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粮油物资事务</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r w:rsidR="002A054D">
        <w:trPr>
          <w:trHeight w:val="595"/>
          <w:jc w:val="center"/>
        </w:trPr>
        <w:tc>
          <w:tcPr>
            <w:tcW w:w="7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2220199</w:t>
            </w:r>
          </w:p>
        </w:tc>
        <w:tc>
          <w:tcPr>
            <w:tcW w:w="147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其他粮油物资事务支出</w:t>
            </w:r>
          </w:p>
        </w:tc>
        <w:tc>
          <w:tcPr>
            <w:tcW w:w="607"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443" w:type="pct"/>
            <w:tcBorders>
              <w:top w:val="single" w:sz="4" w:space="0" w:color="auto"/>
              <w:left w:val="single" w:sz="4" w:space="0" w:color="auto"/>
              <w:bottom w:val="single" w:sz="4" w:space="0" w:color="auto"/>
              <w:right w:val="single" w:sz="4" w:space="0" w:color="auto"/>
            </w:tcBorders>
            <w:noWrap/>
            <w:vAlign w:val="center"/>
          </w:tcPr>
          <w:p w:rsidR="002A054D" w:rsidRDefault="00000000">
            <w:pPr>
              <w:jc w:val="right"/>
              <w:rPr>
                <w:rFonts w:ascii="Times New Roman" w:eastAsia="仿宋_GB2312" w:hAnsi="Times New Roman" w:cs="Times New Roman"/>
              </w:rPr>
            </w:pPr>
            <w:r>
              <w:rPr>
                <w:rFonts w:ascii="Times New Roman" w:eastAsia="仿宋_GB2312" w:hAnsi="Times New Roman" w:cs="Times New Roman" w:hint="eastAsia"/>
              </w:rPr>
              <w:t>8.00</w:t>
            </w:r>
          </w:p>
        </w:tc>
        <w:tc>
          <w:tcPr>
            <w:tcW w:w="429"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394"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41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c>
          <w:tcPr>
            <w:tcW w:w="525" w:type="pct"/>
            <w:tcBorders>
              <w:top w:val="single" w:sz="4" w:space="0" w:color="auto"/>
              <w:left w:val="single" w:sz="4" w:space="0" w:color="auto"/>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4"/>
                <w:szCs w:val="24"/>
              </w:rPr>
            </w:pPr>
          </w:p>
        </w:tc>
      </w:tr>
    </w:tbl>
    <w:p w:rsidR="002A054D"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2A054D"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2A054D" w:rsidRDefault="002A054D">
      <w:pPr>
        <w:widowControl/>
        <w:spacing w:line="400" w:lineRule="exact"/>
        <w:jc w:val="center"/>
        <w:textAlignment w:val="center"/>
        <w:rPr>
          <w:rFonts w:ascii="Times New Roman" w:eastAsia="黑体" w:hAnsi="Times New Roman" w:cs="Times New Roman"/>
          <w:color w:val="000000"/>
          <w:kern w:val="0"/>
          <w:sz w:val="32"/>
          <w:szCs w:val="32"/>
          <w:lang w:bidi="ar"/>
        </w:rPr>
      </w:pPr>
    </w:p>
    <w:p w:rsidR="002A054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rsidR="002A054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2A054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祁阳市七里桥镇人民政府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931"/>
        <w:gridCol w:w="3216"/>
        <w:gridCol w:w="616"/>
        <w:gridCol w:w="931"/>
        <w:gridCol w:w="1361"/>
        <w:gridCol w:w="1547"/>
        <w:gridCol w:w="1486"/>
      </w:tblGrid>
      <w:tr w:rsidR="002A054D">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2A054D">
        <w:trPr>
          <w:trHeight w:val="630"/>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25"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361"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25"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61"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2351.42</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w:t>
            </w:r>
          </w:p>
        </w:tc>
        <w:tc>
          <w:tcPr>
            <w:tcW w:w="925"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1501.33</w:t>
            </w:r>
          </w:p>
        </w:tc>
        <w:tc>
          <w:tcPr>
            <w:tcW w:w="1361"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1501.33</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52.22</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35</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w:t>
            </w:r>
          </w:p>
        </w:tc>
        <w:tc>
          <w:tcPr>
            <w:tcW w:w="925"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1.04</w:t>
            </w:r>
          </w:p>
        </w:tc>
        <w:tc>
          <w:tcPr>
            <w:tcW w:w="1361"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1.04</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216" w:type="dxa"/>
            <w:tcBorders>
              <w:top w:val="nil"/>
              <w:left w:val="nil"/>
              <w:bottom w:val="single" w:sz="4" w:space="0" w:color="auto"/>
              <w:right w:val="single" w:sz="4" w:space="0" w:color="auto"/>
            </w:tcBorders>
            <w:noWrap/>
            <w:vAlign w:val="center"/>
          </w:tcPr>
          <w:p w:rsidR="002A054D" w:rsidRDefault="00000000">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color w:val="000000"/>
                <w:sz w:val="24"/>
                <w:szCs w:val="24"/>
              </w:rPr>
              <w:t>七、文化旅游体育与传媒支出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w:t>
            </w:r>
          </w:p>
        </w:tc>
        <w:tc>
          <w:tcPr>
            <w:tcW w:w="925"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1.00</w:t>
            </w:r>
          </w:p>
        </w:tc>
        <w:tc>
          <w:tcPr>
            <w:tcW w:w="1361"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1.00</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925"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155.93</w:t>
            </w:r>
          </w:p>
        </w:tc>
        <w:tc>
          <w:tcPr>
            <w:tcW w:w="1361"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155.93</w:t>
            </w: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九、卫生健康支出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w:t>
            </w:r>
          </w:p>
        </w:tc>
        <w:tc>
          <w:tcPr>
            <w:tcW w:w="925"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53.81</w:t>
            </w:r>
          </w:p>
        </w:tc>
        <w:tc>
          <w:tcPr>
            <w:tcW w:w="1361"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53.81</w:t>
            </w: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十、节能环保支出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十一、城乡社区支出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43</w:t>
            </w:r>
          </w:p>
        </w:tc>
        <w:tc>
          <w:tcPr>
            <w:tcW w:w="925"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52.22</w:t>
            </w: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52.22</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十二、农林水支出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w:t>
            </w:r>
          </w:p>
        </w:tc>
        <w:tc>
          <w:tcPr>
            <w:tcW w:w="925"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533.63</w:t>
            </w:r>
          </w:p>
        </w:tc>
        <w:tc>
          <w:tcPr>
            <w:tcW w:w="1361"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533.63</w:t>
            </w: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十三、交通运输支出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45</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十四、资源勘探工业信息等支出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46</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十五、商业服务业等支出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十六、金融支出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十七、援助其他地区支出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十九、住房保障支出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w:t>
            </w:r>
          </w:p>
        </w:tc>
        <w:tc>
          <w:tcPr>
            <w:tcW w:w="925"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96.68</w:t>
            </w:r>
          </w:p>
        </w:tc>
        <w:tc>
          <w:tcPr>
            <w:tcW w:w="1361"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96.68</w:t>
            </w: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二十、粮油物资储备支出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w:t>
            </w:r>
          </w:p>
        </w:tc>
        <w:tc>
          <w:tcPr>
            <w:tcW w:w="925"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8.00</w:t>
            </w:r>
          </w:p>
        </w:tc>
        <w:tc>
          <w:tcPr>
            <w:tcW w:w="1361" w:type="dxa"/>
            <w:tcBorders>
              <w:top w:val="nil"/>
              <w:left w:val="nil"/>
              <w:bottom w:val="single" w:sz="4" w:space="0" w:color="auto"/>
              <w:right w:val="single" w:sz="4" w:space="0" w:color="auto"/>
            </w:tcBorders>
            <w:noWrap/>
            <w:vAlign w:val="center"/>
          </w:tcPr>
          <w:p w:rsidR="002A054D"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8.00</w:t>
            </w: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54</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二十三、其他支出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二十四、债务还本支出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56</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2A054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二十五、债务付息支出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2A054D" w:rsidRDefault="002A054D">
            <w:pPr>
              <w:widowControl/>
              <w:jc w:val="right"/>
              <w:rPr>
                <w:rFonts w:ascii="Times New Roman" w:eastAsia="仿宋_GB2312" w:hAnsi="Times New Roman" w:cs="Times New Roman"/>
                <w:kern w:val="0"/>
                <w:sz w:val="22"/>
              </w:rPr>
            </w:pP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二十六、抗疫特别国债安排支出</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58</w:t>
            </w:r>
          </w:p>
        </w:tc>
        <w:tc>
          <w:tcPr>
            <w:tcW w:w="925"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1361" w:type="dxa"/>
            <w:tcBorders>
              <w:top w:val="nil"/>
              <w:left w:val="nil"/>
              <w:bottom w:val="single" w:sz="4" w:space="0" w:color="auto"/>
              <w:right w:val="single" w:sz="4" w:space="0" w:color="auto"/>
            </w:tcBorders>
            <w:noWrap/>
            <w:vAlign w:val="center"/>
          </w:tcPr>
          <w:p w:rsidR="002A054D" w:rsidRDefault="002A054D">
            <w:pPr>
              <w:jc w:val="center"/>
              <w:rPr>
                <w:rFonts w:ascii="Times New Roman" w:eastAsia="仿宋_GB2312" w:hAnsi="Times New Roman" w:cs="Times New Roman"/>
                <w:color w:val="000000"/>
                <w:sz w:val="22"/>
              </w:rPr>
            </w:pP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2403.64</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w:t>
            </w:r>
          </w:p>
        </w:tc>
        <w:tc>
          <w:tcPr>
            <w:tcW w:w="925"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2403.64</w:t>
            </w:r>
            <w:r>
              <w:rPr>
                <w:rFonts w:ascii="Times New Roman" w:eastAsia="仿宋_GB2312" w:hAnsi="Times New Roman" w:cs="Times New Roman"/>
                <w:kern w:val="0"/>
                <w:sz w:val="22"/>
              </w:rPr>
              <w:t xml:space="preserve">　</w:t>
            </w:r>
          </w:p>
        </w:tc>
        <w:tc>
          <w:tcPr>
            <w:tcW w:w="1361"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2351.42</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52.22</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w:t>
            </w:r>
          </w:p>
        </w:tc>
        <w:tc>
          <w:tcPr>
            <w:tcW w:w="925"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61"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925"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61"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w:t>
            </w:r>
          </w:p>
        </w:tc>
        <w:tc>
          <w:tcPr>
            <w:tcW w:w="925"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61"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w:t>
            </w:r>
          </w:p>
        </w:tc>
        <w:tc>
          <w:tcPr>
            <w:tcW w:w="925"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61"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A054D">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0" w:type="auto"/>
            <w:tcBorders>
              <w:top w:val="nil"/>
              <w:left w:val="nil"/>
              <w:bottom w:val="single" w:sz="4" w:space="0" w:color="auto"/>
              <w:right w:val="single" w:sz="4" w:space="0" w:color="auto"/>
            </w:tcBorders>
            <w:noWrap/>
            <w:vAlign w:val="center"/>
          </w:tcPr>
          <w:p w:rsidR="002A054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2403.64</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925" w:type="dxa"/>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2403.64</w:t>
            </w:r>
            <w:r>
              <w:rPr>
                <w:rFonts w:ascii="Times New Roman" w:eastAsia="仿宋_GB2312" w:hAnsi="Times New Roman" w:cs="Times New Roman"/>
                <w:kern w:val="0"/>
                <w:sz w:val="22"/>
              </w:rPr>
              <w:t xml:space="preserve">　</w:t>
            </w:r>
          </w:p>
        </w:tc>
        <w:tc>
          <w:tcPr>
            <w:tcW w:w="1361" w:type="dxa"/>
            <w:tcBorders>
              <w:top w:val="nil"/>
              <w:left w:val="nil"/>
              <w:bottom w:val="single" w:sz="4" w:space="0" w:color="auto"/>
              <w:right w:val="single" w:sz="4" w:space="0" w:color="auto"/>
            </w:tcBorders>
            <w:shd w:val="clear" w:color="000000" w:fill="FFFFFF"/>
            <w:noWrap/>
            <w:vAlign w:val="center"/>
          </w:tcPr>
          <w:p w:rsidR="002A054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2351.42</w:t>
            </w:r>
          </w:p>
        </w:tc>
        <w:tc>
          <w:tcPr>
            <w:tcW w:w="0" w:type="auto"/>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kern w:val="0"/>
                <w:sz w:val="22"/>
              </w:rPr>
              <w:t>52.22</w:t>
            </w:r>
          </w:p>
        </w:tc>
        <w:tc>
          <w:tcPr>
            <w:tcW w:w="0" w:type="auto"/>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2A054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2A054D" w:rsidRDefault="002A054D">
      <w:pPr>
        <w:widowControl/>
        <w:jc w:val="center"/>
        <w:rPr>
          <w:rFonts w:ascii="Times New Roman" w:eastAsia="方正小标宋_GBK" w:hAnsi="Times New Roman" w:cs="Times New Roman"/>
          <w:kern w:val="0"/>
          <w:sz w:val="36"/>
          <w:szCs w:val="36"/>
        </w:rPr>
      </w:pPr>
    </w:p>
    <w:p w:rsidR="002A054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2A054D"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祁阳市七里桥镇人民政府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2A054D"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2A054D">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2A054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2A054D">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2A054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2A054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2A054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2A054D">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2A054D" w:rsidRDefault="002A054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2A054D" w:rsidRDefault="002A054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A054D" w:rsidRDefault="002A054D">
            <w:pPr>
              <w:widowControl/>
              <w:jc w:val="left"/>
              <w:rPr>
                <w:rFonts w:ascii="Times New Roman" w:eastAsia="仿宋_GB2312" w:hAnsi="Times New Roman" w:cs="Times New Roman"/>
                <w:kern w:val="0"/>
                <w:szCs w:val="21"/>
              </w:rPr>
            </w:pPr>
          </w:p>
        </w:tc>
      </w:tr>
      <w:tr w:rsidR="002A054D">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2A054D" w:rsidRDefault="002A054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2A054D" w:rsidRDefault="002A054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2A054D" w:rsidRDefault="002A054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A054D" w:rsidRDefault="002A054D">
            <w:pPr>
              <w:widowControl/>
              <w:jc w:val="left"/>
              <w:rPr>
                <w:rFonts w:ascii="Times New Roman" w:eastAsia="仿宋_GB2312" w:hAnsi="Times New Roman" w:cs="Times New Roman"/>
                <w:kern w:val="0"/>
                <w:szCs w:val="21"/>
              </w:rPr>
            </w:pPr>
          </w:p>
        </w:tc>
      </w:tr>
      <w:tr w:rsidR="002A054D">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2A054D">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2351.42</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2228.35</w:t>
            </w: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123.06</w:t>
            </w: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一般公共服务支出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1501.33</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1379.31</w:t>
            </w: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122.02</w:t>
            </w: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政府办公厅（室）及相关机构事务</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1496.33</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1379.31</w:t>
            </w: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117.02</w:t>
            </w: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2010301</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行政运行</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1379.31</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1379.31</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2010302</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3000"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492"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117.02</w:t>
            </w: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20106</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财政事务</w:t>
            </w:r>
          </w:p>
        </w:tc>
        <w:tc>
          <w:tcPr>
            <w:tcW w:w="3000"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492"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5.00</w:t>
            </w: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2010602</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3000"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492"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5.00</w:t>
            </w: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公共安全支出</w:t>
            </w:r>
          </w:p>
        </w:tc>
        <w:tc>
          <w:tcPr>
            <w:tcW w:w="3000"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492"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w:t>
            </w: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20402</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公安</w:t>
            </w:r>
          </w:p>
        </w:tc>
        <w:tc>
          <w:tcPr>
            <w:tcW w:w="3000"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492"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w:t>
            </w: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2040202</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3000"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492" w:type="dxa"/>
            <w:tcBorders>
              <w:top w:val="nil"/>
              <w:left w:val="nil"/>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w:t>
            </w: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文化旅游体育与传媒支出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20799</w:t>
            </w:r>
          </w:p>
        </w:tc>
        <w:tc>
          <w:tcPr>
            <w:tcW w:w="3527" w:type="dxa"/>
            <w:tcBorders>
              <w:top w:val="single" w:sz="4" w:space="0" w:color="auto"/>
              <w:left w:val="single" w:sz="4" w:space="0" w:color="auto"/>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其他文化旅游体育与传媒支出</w:t>
            </w:r>
          </w:p>
        </w:tc>
        <w:tc>
          <w:tcPr>
            <w:tcW w:w="3000" w:type="dxa"/>
            <w:tcBorders>
              <w:top w:val="single" w:sz="4" w:space="0" w:color="auto"/>
              <w:left w:val="single" w:sz="4"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492" w:type="dxa"/>
            <w:tcBorders>
              <w:top w:val="single" w:sz="4" w:space="0" w:color="auto"/>
              <w:left w:val="single" w:sz="4"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000" w:type="dxa"/>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2079999</w:t>
            </w:r>
          </w:p>
        </w:tc>
        <w:tc>
          <w:tcPr>
            <w:tcW w:w="3527" w:type="dxa"/>
            <w:tcBorders>
              <w:top w:val="single" w:sz="4" w:space="0" w:color="auto"/>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其他文化旅游体育与传媒支出</w:t>
            </w:r>
          </w:p>
        </w:tc>
        <w:tc>
          <w:tcPr>
            <w:tcW w:w="3000" w:type="dxa"/>
            <w:tcBorders>
              <w:top w:val="single" w:sz="4" w:space="0" w:color="auto"/>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492" w:type="dxa"/>
            <w:tcBorders>
              <w:top w:val="single" w:sz="4" w:space="0" w:color="auto"/>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000" w:type="dxa"/>
            <w:tcBorders>
              <w:top w:val="single" w:sz="4" w:space="0" w:color="auto"/>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社会保障和就业支出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155.93</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155.93</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行政事业单位养老支出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118.48</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118.48</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机关事业单位基本养老保险缴费支出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118.48</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118.48</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抚恤</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34.95</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34.95</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死亡抚恤</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34.95</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34.95</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其他社会保障和就业支出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2.50</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2.50</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2089999</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2.50</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2.50</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卫生健康支出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53.81</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53.81</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行政事业单位医疗</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53.81</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53.81</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2101101</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行政单位医疗</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53.81</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53.81</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农林水支出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533.63</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533.63</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533.63</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533.63</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2130705</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对村民委员会和村党支部的补助</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532.64</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532.64</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2130799</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其他农村综合改革支出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0.99</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0.99</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96.68</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96.68</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96.68</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96.68</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2210201</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96.68</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96.68</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w:t>
            </w:r>
          </w:p>
        </w:tc>
        <w:tc>
          <w:tcPr>
            <w:tcW w:w="3527" w:type="dxa"/>
            <w:tcBorders>
              <w:top w:val="nil"/>
              <w:left w:val="nil"/>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粮油物资储备支出</w:t>
            </w:r>
          </w:p>
        </w:tc>
        <w:tc>
          <w:tcPr>
            <w:tcW w:w="3000"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nil"/>
              <w:left w:val="nil"/>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nil"/>
              <w:left w:val="nil"/>
              <w:bottom w:val="single" w:sz="4" w:space="0" w:color="auto"/>
              <w:right w:val="single" w:sz="8"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22201</w:t>
            </w:r>
          </w:p>
        </w:tc>
        <w:tc>
          <w:tcPr>
            <w:tcW w:w="3527" w:type="dxa"/>
            <w:tcBorders>
              <w:top w:val="single" w:sz="4" w:space="0" w:color="auto"/>
              <w:left w:val="single" w:sz="4" w:space="0" w:color="auto"/>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粮油物资事务</w:t>
            </w:r>
          </w:p>
        </w:tc>
        <w:tc>
          <w:tcPr>
            <w:tcW w:w="3000" w:type="dxa"/>
            <w:tcBorders>
              <w:top w:val="single" w:sz="4" w:space="0" w:color="auto"/>
              <w:left w:val="single" w:sz="4"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single" w:sz="4" w:space="0" w:color="auto"/>
              <w:left w:val="single" w:sz="4"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r>
      <w:tr w:rsidR="002A054D">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2A054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2220199</w:t>
            </w:r>
          </w:p>
        </w:tc>
        <w:tc>
          <w:tcPr>
            <w:tcW w:w="3527" w:type="dxa"/>
            <w:tcBorders>
              <w:top w:val="single" w:sz="4" w:space="0" w:color="auto"/>
              <w:left w:val="single" w:sz="4" w:space="0" w:color="auto"/>
              <w:bottom w:val="single" w:sz="4" w:space="0" w:color="auto"/>
              <w:right w:val="single" w:sz="4" w:space="0" w:color="auto"/>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其他粮油物资事务支出</w:t>
            </w:r>
          </w:p>
        </w:tc>
        <w:tc>
          <w:tcPr>
            <w:tcW w:w="3000" w:type="dxa"/>
            <w:tcBorders>
              <w:top w:val="single" w:sz="4" w:space="0" w:color="auto"/>
              <w:left w:val="single" w:sz="4"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492" w:type="dxa"/>
            <w:tcBorders>
              <w:top w:val="single" w:sz="4" w:space="0" w:color="auto"/>
              <w:left w:val="single" w:sz="4" w:space="0" w:color="auto"/>
              <w:bottom w:val="single" w:sz="4" w:space="0" w:color="auto"/>
              <w:right w:val="single" w:sz="4" w:space="0" w:color="auto"/>
            </w:tcBorders>
            <w:vAlign w:val="center"/>
          </w:tcPr>
          <w:p w:rsidR="002A054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8.00</w:t>
            </w:r>
          </w:p>
        </w:tc>
        <w:tc>
          <w:tcPr>
            <w:tcW w:w="3000" w:type="dxa"/>
            <w:tcBorders>
              <w:top w:val="single" w:sz="4" w:space="0" w:color="auto"/>
              <w:left w:val="single" w:sz="4" w:space="0" w:color="auto"/>
              <w:bottom w:val="single" w:sz="4" w:space="0" w:color="auto"/>
              <w:right w:val="single" w:sz="4" w:space="0" w:color="auto"/>
            </w:tcBorders>
            <w:vAlign w:val="center"/>
          </w:tcPr>
          <w:p w:rsidR="002A054D" w:rsidRDefault="002A054D">
            <w:pPr>
              <w:widowControl/>
              <w:jc w:val="center"/>
              <w:rPr>
                <w:rFonts w:ascii="Times New Roman" w:eastAsia="仿宋_GB2312" w:hAnsi="Times New Roman" w:cs="Times New Roman"/>
                <w:kern w:val="0"/>
                <w:szCs w:val="21"/>
              </w:rPr>
            </w:pPr>
          </w:p>
        </w:tc>
      </w:tr>
    </w:tbl>
    <w:p w:rsidR="002A054D"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2A054D" w:rsidRDefault="002A054D">
      <w:pPr>
        <w:widowControl/>
        <w:jc w:val="left"/>
        <w:rPr>
          <w:rFonts w:ascii="Times New Roman" w:eastAsia="仿宋_GB2312" w:hAnsi="Times New Roman" w:cs="Times New Roman"/>
          <w:bCs/>
          <w:kern w:val="0"/>
          <w:szCs w:val="21"/>
        </w:rPr>
      </w:pPr>
    </w:p>
    <w:p w:rsidR="002A054D"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2A054D"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2A054D"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祁阳市七里桥镇人民政府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2A054D"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784"/>
        <w:gridCol w:w="2540"/>
        <w:gridCol w:w="1420"/>
        <w:gridCol w:w="1180"/>
        <w:gridCol w:w="2320"/>
        <w:gridCol w:w="1420"/>
        <w:gridCol w:w="840"/>
        <w:gridCol w:w="2880"/>
        <w:gridCol w:w="1243"/>
      </w:tblGrid>
      <w:tr w:rsidR="002A054D">
        <w:trPr>
          <w:trHeight w:val="530"/>
          <w:jc w:val="center"/>
        </w:trPr>
        <w:tc>
          <w:tcPr>
            <w:tcW w:w="784" w:type="dxa"/>
            <w:tcBorders>
              <w:top w:val="single" w:sz="4" w:space="0" w:color="auto"/>
              <w:left w:val="single" w:sz="4" w:space="0" w:color="auto"/>
              <w:bottom w:val="single" w:sz="4" w:space="0" w:color="auto"/>
              <w:right w:val="single" w:sz="4" w:space="0" w:color="auto"/>
            </w:tcBorders>
            <w:vAlign w:val="center"/>
          </w:tcPr>
          <w:p w:rsidR="002A054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540" w:type="dxa"/>
            <w:tcBorders>
              <w:top w:val="single" w:sz="4" w:space="0" w:color="auto"/>
              <w:left w:val="nil"/>
              <w:bottom w:val="single" w:sz="4" w:space="0" w:color="auto"/>
              <w:right w:val="single" w:sz="4" w:space="0" w:color="auto"/>
            </w:tcBorders>
            <w:vAlign w:val="center"/>
          </w:tcPr>
          <w:p w:rsidR="002A054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420" w:type="dxa"/>
            <w:tcBorders>
              <w:top w:val="single" w:sz="4" w:space="0" w:color="auto"/>
              <w:left w:val="nil"/>
              <w:bottom w:val="single" w:sz="4" w:space="0" w:color="auto"/>
              <w:right w:val="single" w:sz="4" w:space="0" w:color="auto"/>
            </w:tcBorders>
            <w:vAlign w:val="center"/>
          </w:tcPr>
          <w:p w:rsidR="002A054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80" w:type="dxa"/>
            <w:tcBorders>
              <w:top w:val="single" w:sz="4" w:space="0" w:color="auto"/>
              <w:left w:val="nil"/>
              <w:bottom w:val="single" w:sz="4" w:space="0" w:color="auto"/>
              <w:right w:val="single" w:sz="4" w:space="0" w:color="auto"/>
            </w:tcBorders>
            <w:vAlign w:val="center"/>
          </w:tcPr>
          <w:p w:rsidR="002A054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320" w:type="dxa"/>
            <w:tcBorders>
              <w:top w:val="single" w:sz="4" w:space="0" w:color="auto"/>
              <w:left w:val="nil"/>
              <w:bottom w:val="single" w:sz="4" w:space="0" w:color="auto"/>
              <w:right w:val="single" w:sz="4" w:space="0" w:color="auto"/>
            </w:tcBorders>
            <w:vAlign w:val="center"/>
          </w:tcPr>
          <w:p w:rsidR="002A054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420" w:type="dxa"/>
            <w:tcBorders>
              <w:top w:val="single" w:sz="4" w:space="0" w:color="auto"/>
              <w:left w:val="nil"/>
              <w:bottom w:val="single" w:sz="4" w:space="0" w:color="auto"/>
              <w:right w:val="single" w:sz="4" w:space="0" w:color="auto"/>
            </w:tcBorders>
            <w:vAlign w:val="center"/>
          </w:tcPr>
          <w:p w:rsidR="002A054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840" w:type="dxa"/>
            <w:tcBorders>
              <w:top w:val="single" w:sz="4" w:space="0" w:color="auto"/>
              <w:left w:val="nil"/>
              <w:bottom w:val="single" w:sz="4" w:space="0" w:color="auto"/>
              <w:right w:val="single" w:sz="4" w:space="0" w:color="auto"/>
            </w:tcBorders>
            <w:vAlign w:val="center"/>
          </w:tcPr>
          <w:p w:rsidR="002A054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880" w:type="dxa"/>
            <w:tcBorders>
              <w:top w:val="single" w:sz="4" w:space="0" w:color="auto"/>
              <w:left w:val="nil"/>
              <w:bottom w:val="single" w:sz="4" w:space="0" w:color="auto"/>
              <w:right w:val="single" w:sz="4" w:space="0" w:color="auto"/>
            </w:tcBorders>
            <w:vAlign w:val="center"/>
          </w:tcPr>
          <w:p w:rsidR="002A054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243" w:type="dxa"/>
            <w:tcBorders>
              <w:top w:val="single" w:sz="4" w:space="0" w:color="auto"/>
              <w:left w:val="nil"/>
              <w:bottom w:val="single" w:sz="4" w:space="0" w:color="auto"/>
              <w:right w:val="single" w:sz="4" w:space="0" w:color="auto"/>
            </w:tcBorders>
            <w:vAlign w:val="center"/>
          </w:tcPr>
          <w:p w:rsidR="002A054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2A054D">
        <w:trPr>
          <w:trHeight w:hRule="exact" w:val="29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1472.23</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173.76</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434.67</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29.82</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320.56</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23.82</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205.95</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2.00</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242.08</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1.74</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118.48</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7.54</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0.49</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53.81</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7.96</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96.68</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7.86</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582.36</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0.22</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1.72</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1.30</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34.95</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533.63</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8.27</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420"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2.33</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29.42</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2A054D" w:rsidRDefault="002A054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A054D">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A054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2A054D" w:rsidRDefault="002A054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A054D">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A054D">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2A054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2A054D" w:rsidRDefault="002A054D">
            <w:pPr>
              <w:widowControl/>
              <w:jc w:val="left"/>
              <w:rPr>
                <w:rFonts w:ascii="Times New Roman" w:eastAsia="仿宋_GB2312" w:hAnsi="Times New Roman" w:cs="Times New Roman"/>
                <w:color w:val="000000"/>
                <w:kern w:val="0"/>
                <w:szCs w:val="20"/>
              </w:rPr>
            </w:pP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3.33</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420"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19.91</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lastRenderedPageBreak/>
              <w:t>30399</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11.45</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784" w:type="dxa"/>
            <w:tcBorders>
              <w:top w:val="nil"/>
              <w:left w:val="single" w:sz="4" w:space="0" w:color="auto"/>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5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3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28.37</w:t>
            </w:r>
          </w:p>
        </w:tc>
        <w:tc>
          <w:tcPr>
            <w:tcW w:w="84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288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1243" w:type="dxa"/>
            <w:tcBorders>
              <w:top w:val="nil"/>
              <w:left w:val="nil"/>
              <w:bottom w:val="single" w:sz="4" w:space="0" w:color="auto"/>
              <w:right w:val="single" w:sz="4" w:space="0" w:color="auto"/>
            </w:tcBorders>
            <w:noWrap/>
            <w:vAlign w:val="center"/>
          </w:tcPr>
          <w:p w:rsidR="002A054D" w:rsidRDefault="002A054D">
            <w:pPr>
              <w:widowControl/>
              <w:jc w:val="center"/>
              <w:rPr>
                <w:rFonts w:ascii="Times New Roman" w:eastAsia="仿宋_GB2312" w:hAnsi="Times New Roman" w:cs="Times New Roman"/>
                <w:color w:val="000000"/>
                <w:kern w:val="0"/>
                <w:szCs w:val="20"/>
              </w:rPr>
            </w:pPr>
          </w:p>
        </w:tc>
      </w:tr>
      <w:tr w:rsidR="002A054D">
        <w:trPr>
          <w:trHeight w:hRule="exact" w:val="255"/>
          <w:jc w:val="center"/>
        </w:trPr>
        <w:tc>
          <w:tcPr>
            <w:tcW w:w="3324" w:type="dxa"/>
            <w:gridSpan w:val="2"/>
            <w:tcBorders>
              <w:top w:val="single" w:sz="4" w:space="0" w:color="auto"/>
              <w:left w:val="single" w:sz="4" w:space="0" w:color="auto"/>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420" w:type="dxa"/>
            <w:tcBorders>
              <w:top w:val="nil"/>
              <w:left w:val="nil"/>
              <w:bottom w:val="single" w:sz="4" w:space="0" w:color="auto"/>
              <w:right w:val="single" w:sz="4" w:space="0" w:color="auto"/>
            </w:tcBorders>
            <w:noWrap/>
            <w:vAlign w:val="center"/>
          </w:tcPr>
          <w:p w:rsidR="002A054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2054.59</w:t>
            </w:r>
          </w:p>
        </w:tc>
        <w:tc>
          <w:tcPr>
            <w:tcW w:w="8640" w:type="dxa"/>
            <w:gridSpan w:val="5"/>
            <w:tcBorders>
              <w:top w:val="single" w:sz="4" w:space="0" w:color="auto"/>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1243" w:type="dxa"/>
            <w:tcBorders>
              <w:top w:val="nil"/>
              <w:left w:val="nil"/>
              <w:bottom w:val="single" w:sz="4" w:space="0" w:color="auto"/>
              <w:right w:val="single" w:sz="4" w:space="0" w:color="auto"/>
            </w:tcBorders>
            <w:noWrap/>
            <w:vAlign w:val="center"/>
          </w:tcPr>
          <w:p w:rsidR="002A054D" w:rsidRDefault="00000000">
            <w:pPr>
              <w:widowControl/>
              <w:jc w:val="center"/>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173.76</w:t>
            </w:r>
          </w:p>
        </w:tc>
      </w:tr>
    </w:tbl>
    <w:p w:rsidR="002A054D"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2A054D" w:rsidRDefault="002A054D">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2A054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2A054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2A054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2656"/>
        <w:gridCol w:w="1920"/>
        <w:gridCol w:w="1680"/>
        <w:gridCol w:w="1600"/>
        <w:gridCol w:w="1560"/>
        <w:gridCol w:w="1980"/>
        <w:gridCol w:w="1433"/>
      </w:tblGrid>
      <w:tr w:rsidR="002A054D">
        <w:trPr>
          <w:trHeight w:val="459"/>
          <w:jc w:val="center"/>
        </w:trPr>
        <w:tc>
          <w:tcPr>
            <w:tcW w:w="4153" w:type="dxa"/>
            <w:gridSpan w:val="2"/>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140" w:type="dxa"/>
            <w:gridSpan w:val="3"/>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2A054D">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2656" w:type="dxa"/>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2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widowControl/>
              <w:jc w:val="center"/>
              <w:rPr>
                <w:rFonts w:ascii="Times New Roman" w:eastAsia="仿宋_GB2312" w:hAnsi="Times New Roman" w:cs="Times New Roman"/>
                <w:b/>
                <w:bCs/>
                <w:color w:val="000000"/>
                <w:sz w:val="24"/>
                <w:szCs w:val="24"/>
              </w:rPr>
            </w:pP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widowControl/>
              <w:jc w:val="center"/>
              <w:rPr>
                <w:rFonts w:ascii="Times New Roman" w:eastAsia="仿宋_GB2312" w:hAnsi="Times New Roman" w:cs="Times New Roman"/>
                <w:b/>
                <w:bCs/>
                <w:color w:val="000000"/>
                <w:sz w:val="24"/>
                <w:szCs w:val="24"/>
              </w:rPr>
            </w:pPr>
          </w:p>
        </w:tc>
        <w:tc>
          <w:tcPr>
            <w:tcW w:w="1600" w:type="dxa"/>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433"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widowControl/>
              <w:jc w:val="center"/>
              <w:rPr>
                <w:rFonts w:ascii="Times New Roman" w:eastAsia="仿宋_GB2312" w:hAnsi="Times New Roman" w:cs="Times New Roman"/>
                <w:color w:val="000000"/>
                <w:sz w:val="24"/>
                <w:szCs w:val="24"/>
              </w:rPr>
            </w:pPr>
          </w:p>
        </w:tc>
      </w:tr>
      <w:tr w:rsidR="002A054D">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2656"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60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433"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r>
      <w:tr w:rsidR="002A054D">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2656"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60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433" w:type="dxa"/>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r>
      <w:tr w:rsidR="002A054D">
        <w:trPr>
          <w:trHeight w:val="509"/>
          <w:jc w:val="center"/>
        </w:trPr>
        <w:tc>
          <w:tcPr>
            <w:tcW w:w="4153" w:type="dxa"/>
            <w:gridSpan w:val="2"/>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20" w:type="dxa"/>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600" w:type="dxa"/>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80" w:type="dxa"/>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433" w:type="dxa"/>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2A054D">
        <w:trPr>
          <w:trHeight w:val="509"/>
          <w:jc w:val="center"/>
        </w:trPr>
        <w:tc>
          <w:tcPr>
            <w:tcW w:w="4153" w:type="dxa"/>
            <w:gridSpan w:val="2"/>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20"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52.22</w:t>
            </w:r>
          </w:p>
        </w:tc>
        <w:tc>
          <w:tcPr>
            <w:tcW w:w="160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52.22</w:t>
            </w:r>
          </w:p>
        </w:tc>
        <w:tc>
          <w:tcPr>
            <w:tcW w:w="1560"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52.22</w:t>
            </w:r>
          </w:p>
        </w:tc>
        <w:tc>
          <w:tcPr>
            <w:tcW w:w="1433"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r>
      <w:tr w:rsidR="002A054D">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w:t>
            </w:r>
          </w:p>
        </w:tc>
        <w:tc>
          <w:tcPr>
            <w:tcW w:w="2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城乡社区支出</w:t>
            </w:r>
          </w:p>
        </w:tc>
        <w:tc>
          <w:tcPr>
            <w:tcW w:w="1920"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52.22</w:t>
            </w:r>
          </w:p>
        </w:tc>
        <w:tc>
          <w:tcPr>
            <w:tcW w:w="160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52.22</w:t>
            </w:r>
          </w:p>
        </w:tc>
        <w:tc>
          <w:tcPr>
            <w:tcW w:w="1560"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52.22</w:t>
            </w:r>
          </w:p>
        </w:tc>
        <w:tc>
          <w:tcPr>
            <w:tcW w:w="1433"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r>
      <w:tr w:rsidR="002A054D">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21208</w:t>
            </w:r>
          </w:p>
        </w:tc>
        <w:tc>
          <w:tcPr>
            <w:tcW w:w="2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国有土地使用权出让收入安排的支出</w:t>
            </w:r>
          </w:p>
        </w:tc>
        <w:tc>
          <w:tcPr>
            <w:tcW w:w="1920"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51.39</w:t>
            </w:r>
          </w:p>
        </w:tc>
        <w:tc>
          <w:tcPr>
            <w:tcW w:w="160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51.39</w:t>
            </w:r>
          </w:p>
        </w:tc>
        <w:tc>
          <w:tcPr>
            <w:tcW w:w="1560"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51.39</w:t>
            </w:r>
          </w:p>
        </w:tc>
        <w:tc>
          <w:tcPr>
            <w:tcW w:w="1433"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r>
      <w:tr w:rsidR="002A054D">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2120803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城市建设支出</w:t>
            </w:r>
          </w:p>
        </w:tc>
        <w:tc>
          <w:tcPr>
            <w:tcW w:w="1920"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4.37</w:t>
            </w:r>
          </w:p>
        </w:tc>
        <w:tc>
          <w:tcPr>
            <w:tcW w:w="160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4.37</w:t>
            </w:r>
          </w:p>
        </w:tc>
        <w:tc>
          <w:tcPr>
            <w:tcW w:w="1560"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4.37</w:t>
            </w:r>
          </w:p>
        </w:tc>
        <w:tc>
          <w:tcPr>
            <w:tcW w:w="1433"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r>
      <w:tr w:rsidR="002A054D">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2120816</w:t>
            </w:r>
          </w:p>
        </w:tc>
        <w:tc>
          <w:tcPr>
            <w:tcW w:w="2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农业农村生态环境支出</w:t>
            </w:r>
          </w:p>
        </w:tc>
        <w:tc>
          <w:tcPr>
            <w:tcW w:w="1920"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19.69</w:t>
            </w:r>
          </w:p>
        </w:tc>
        <w:tc>
          <w:tcPr>
            <w:tcW w:w="160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19.69</w:t>
            </w:r>
          </w:p>
        </w:tc>
        <w:tc>
          <w:tcPr>
            <w:tcW w:w="1560"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19.69</w:t>
            </w:r>
          </w:p>
        </w:tc>
        <w:tc>
          <w:tcPr>
            <w:tcW w:w="1433"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r>
      <w:tr w:rsidR="002A054D">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2120899</w:t>
            </w:r>
          </w:p>
        </w:tc>
        <w:tc>
          <w:tcPr>
            <w:tcW w:w="2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054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其他国有土地使用权出让收入安排的支出</w:t>
            </w:r>
          </w:p>
        </w:tc>
        <w:tc>
          <w:tcPr>
            <w:tcW w:w="1920"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27.33</w:t>
            </w:r>
          </w:p>
        </w:tc>
        <w:tc>
          <w:tcPr>
            <w:tcW w:w="160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27.33</w:t>
            </w:r>
          </w:p>
        </w:tc>
        <w:tc>
          <w:tcPr>
            <w:tcW w:w="1560"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27.33</w:t>
            </w:r>
          </w:p>
        </w:tc>
        <w:tc>
          <w:tcPr>
            <w:tcW w:w="1433"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r>
      <w:tr w:rsidR="002A054D">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21213</w:t>
            </w:r>
          </w:p>
        </w:tc>
        <w:tc>
          <w:tcPr>
            <w:tcW w:w="2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城市基础设施配套费安排的支出</w:t>
            </w:r>
          </w:p>
        </w:tc>
        <w:tc>
          <w:tcPr>
            <w:tcW w:w="1920"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0.83</w:t>
            </w:r>
          </w:p>
        </w:tc>
        <w:tc>
          <w:tcPr>
            <w:tcW w:w="160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0.83</w:t>
            </w:r>
          </w:p>
        </w:tc>
        <w:tc>
          <w:tcPr>
            <w:tcW w:w="1560"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0.83</w:t>
            </w:r>
          </w:p>
        </w:tc>
        <w:tc>
          <w:tcPr>
            <w:tcW w:w="1433"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r>
      <w:tr w:rsidR="002A054D">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2121399</w:t>
            </w:r>
          </w:p>
        </w:tc>
        <w:tc>
          <w:tcPr>
            <w:tcW w:w="2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054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其他城市基础设施配套费安排的支出</w:t>
            </w:r>
          </w:p>
        </w:tc>
        <w:tc>
          <w:tcPr>
            <w:tcW w:w="1920"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0.83</w:t>
            </w:r>
          </w:p>
        </w:tc>
        <w:tc>
          <w:tcPr>
            <w:tcW w:w="160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0.83</w:t>
            </w:r>
          </w:p>
        </w:tc>
        <w:tc>
          <w:tcPr>
            <w:tcW w:w="1560" w:type="dxa"/>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0.83</w:t>
            </w:r>
          </w:p>
        </w:tc>
        <w:tc>
          <w:tcPr>
            <w:tcW w:w="1433" w:type="dxa"/>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r>
    </w:tbl>
    <w:p w:rsidR="002A054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lastRenderedPageBreak/>
        <w:t>注：本表反映部门本年度政府性基金预算财政拨款收入、支出及结转和结余情况。</w:t>
      </w:r>
    </w:p>
    <w:p w:rsidR="002A054D" w:rsidRDefault="002A054D">
      <w:pPr>
        <w:widowControl/>
        <w:jc w:val="left"/>
        <w:textAlignment w:val="center"/>
        <w:rPr>
          <w:rFonts w:ascii="Times New Roman" w:eastAsia="仿宋_GB2312" w:hAnsi="Times New Roman" w:cs="Times New Roman"/>
          <w:color w:val="000000"/>
          <w:kern w:val="0"/>
          <w:sz w:val="24"/>
          <w:szCs w:val="24"/>
          <w:lang w:bidi="ar"/>
        </w:rPr>
      </w:pPr>
    </w:p>
    <w:p w:rsidR="002A054D"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2A054D" w:rsidRDefault="002A054D">
      <w:pPr>
        <w:widowControl/>
        <w:jc w:val="center"/>
        <w:rPr>
          <w:rFonts w:ascii="Times New Roman" w:eastAsia="方正小标宋_GBK" w:hAnsi="Times New Roman" w:cs="Times New Roman"/>
          <w:color w:val="000000"/>
          <w:kern w:val="0"/>
          <w:sz w:val="36"/>
          <w:szCs w:val="36"/>
        </w:rPr>
      </w:pPr>
    </w:p>
    <w:p w:rsidR="002A054D" w:rsidRDefault="002A054D">
      <w:pPr>
        <w:widowControl/>
        <w:spacing w:line="400" w:lineRule="exact"/>
        <w:textAlignment w:val="center"/>
        <w:rPr>
          <w:rFonts w:ascii="Times New Roman" w:eastAsia="黑体" w:hAnsi="Times New Roman" w:cs="Times New Roman"/>
          <w:color w:val="000000"/>
          <w:kern w:val="0"/>
          <w:sz w:val="36"/>
          <w:szCs w:val="36"/>
          <w:lang w:bidi="ar"/>
        </w:rPr>
      </w:pPr>
    </w:p>
    <w:p w:rsidR="002A054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2A054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2A054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祁阳市七里桥镇人民政府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8" w:type="pct"/>
        <w:tblLook w:val="04A0" w:firstRow="1" w:lastRow="0" w:firstColumn="1" w:lastColumn="0" w:noHBand="0" w:noVBand="1"/>
      </w:tblPr>
      <w:tblGrid>
        <w:gridCol w:w="3094"/>
        <w:gridCol w:w="3097"/>
        <w:gridCol w:w="1831"/>
        <w:gridCol w:w="3096"/>
        <w:gridCol w:w="3096"/>
      </w:tblGrid>
      <w:tr w:rsidR="002A054D">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2A054D">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2A054D">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r>
      <w:tr w:rsidR="002A054D">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r>
      <w:tr w:rsidR="002A054D">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2A054D">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2A054D" w:rsidRDefault="00000000">
            <w:pPr>
              <w:jc w:val="center"/>
              <w:rPr>
                <w:rFonts w:ascii="Times New Roman" w:eastAsia="仿宋_GB2312" w:hAnsi="Times New Roman" w:cs="Times New Roman"/>
                <w:color w:val="000000"/>
                <w:sz w:val="24"/>
                <w:szCs w:val="24"/>
              </w:rPr>
            </w:pPr>
            <w:r>
              <w:rPr>
                <w:rFonts w:asciiTheme="minorEastAsia" w:hAnsiTheme="minorEastAsia" w:cs="宋体" w:hint="eastAsia"/>
                <w:kern w:val="0"/>
                <w:sz w:val="24"/>
                <w:szCs w:val="24"/>
              </w:rPr>
              <w:t>本单位无国有资本经营预算财政拨款支出，故本表无数据</w:t>
            </w:r>
          </w:p>
        </w:tc>
      </w:tr>
      <w:tr w:rsidR="002A054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r>
      <w:tr w:rsidR="002A054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4"/>
                <w:szCs w:val="24"/>
              </w:rPr>
            </w:pPr>
          </w:p>
        </w:tc>
      </w:tr>
      <w:tr w:rsidR="002A054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r>
      <w:tr w:rsidR="002A054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r>
      <w:tr w:rsidR="002A054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r>
      <w:tr w:rsidR="002A054D">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宋体" w:hAnsi="Times New Roman" w:cs="Times New Roman"/>
                <w:color w:val="000000"/>
                <w:sz w:val="24"/>
                <w:szCs w:val="24"/>
              </w:rPr>
            </w:pPr>
          </w:p>
        </w:tc>
      </w:tr>
    </w:tbl>
    <w:p w:rsidR="002A054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lastRenderedPageBreak/>
        <w:t>注：本表反映部门本年度国有资本经营预算财政拨款支出情况。</w:t>
      </w:r>
    </w:p>
    <w:p w:rsidR="002A054D" w:rsidRDefault="002A054D">
      <w:pPr>
        <w:widowControl/>
        <w:jc w:val="left"/>
        <w:textAlignment w:val="center"/>
        <w:rPr>
          <w:rFonts w:ascii="Times New Roman" w:eastAsia="宋体" w:hAnsi="Times New Roman" w:cs="Times New Roman"/>
          <w:color w:val="000000"/>
          <w:kern w:val="0"/>
          <w:sz w:val="24"/>
          <w:szCs w:val="24"/>
          <w:lang w:bidi="ar"/>
        </w:rPr>
      </w:pPr>
    </w:p>
    <w:p w:rsidR="002A054D"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2A054D" w:rsidRDefault="002A054D">
      <w:pPr>
        <w:widowControl/>
        <w:jc w:val="center"/>
        <w:rPr>
          <w:rFonts w:ascii="Times New Roman" w:eastAsia="方正小标宋_GBK" w:hAnsi="Times New Roman" w:cs="Times New Roman"/>
          <w:color w:val="000000"/>
          <w:kern w:val="0"/>
          <w:sz w:val="36"/>
          <w:szCs w:val="36"/>
        </w:rPr>
      </w:pPr>
    </w:p>
    <w:p w:rsidR="002A054D" w:rsidRDefault="002A054D">
      <w:pPr>
        <w:pStyle w:val="ab"/>
        <w:spacing w:line="400" w:lineRule="exact"/>
        <w:rPr>
          <w:rFonts w:ascii="Times New Roman" w:eastAsia="华文中宋" w:hAnsi="Times New Roman" w:cs="Times New Roman"/>
          <w:color w:val="000000"/>
          <w:kern w:val="0"/>
          <w:sz w:val="32"/>
          <w:szCs w:val="32"/>
          <w:lang w:bidi="ar"/>
        </w:rPr>
      </w:pPr>
    </w:p>
    <w:p w:rsidR="002A054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2A054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2A054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祁阳市七里桥镇人民政府</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2A054D">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2A054D">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2A054D">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2A054D" w:rsidRDefault="002A054D">
            <w:pPr>
              <w:jc w:val="center"/>
              <w:rPr>
                <w:rFonts w:ascii="Times New Roman" w:eastAsia="仿宋_GB2312" w:hAnsi="Times New Roman" w:cs="Times New Roman"/>
                <w:color w:val="000000"/>
                <w:sz w:val="22"/>
              </w:rPr>
            </w:pPr>
          </w:p>
        </w:tc>
      </w:tr>
      <w:tr w:rsidR="002A054D">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2A054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2A054D">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2A054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4.63</w:t>
            </w:r>
          </w:p>
        </w:tc>
        <w:tc>
          <w:tcPr>
            <w:tcW w:w="422"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2A054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3.33</w:t>
            </w:r>
          </w:p>
        </w:tc>
        <w:tc>
          <w:tcPr>
            <w:tcW w:w="471" w:type="pct"/>
            <w:tcBorders>
              <w:top w:val="single" w:sz="4" w:space="0" w:color="000000"/>
              <w:left w:val="single" w:sz="4" w:space="0" w:color="000000"/>
              <w:bottom w:val="single" w:sz="4" w:space="0" w:color="000000"/>
              <w:right w:val="single" w:sz="4" w:space="0" w:color="000000"/>
            </w:tcBorders>
            <w:vAlign w:val="center"/>
          </w:tcPr>
          <w:p w:rsidR="002A054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1.30</w:t>
            </w:r>
          </w:p>
        </w:tc>
        <w:tc>
          <w:tcPr>
            <w:tcW w:w="361" w:type="pct"/>
            <w:tcBorders>
              <w:top w:val="single" w:sz="4" w:space="0" w:color="000000"/>
              <w:left w:val="single" w:sz="4" w:space="0" w:color="000000"/>
              <w:bottom w:val="single" w:sz="4" w:space="0" w:color="000000"/>
              <w:right w:val="single" w:sz="4" w:space="0" w:color="000000"/>
            </w:tcBorders>
            <w:vAlign w:val="center"/>
          </w:tcPr>
          <w:p w:rsidR="002A054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4.63</w:t>
            </w:r>
          </w:p>
        </w:tc>
        <w:tc>
          <w:tcPr>
            <w:tcW w:w="401"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2A054D" w:rsidRDefault="002A054D">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2A054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3.33</w:t>
            </w:r>
          </w:p>
        </w:tc>
        <w:tc>
          <w:tcPr>
            <w:tcW w:w="480" w:type="pct"/>
            <w:tcBorders>
              <w:top w:val="single" w:sz="4" w:space="0" w:color="000000"/>
              <w:left w:val="single" w:sz="4" w:space="0" w:color="000000"/>
              <w:bottom w:val="single" w:sz="4" w:space="0" w:color="000000"/>
              <w:right w:val="single" w:sz="4" w:space="0" w:color="000000"/>
            </w:tcBorders>
            <w:vAlign w:val="center"/>
          </w:tcPr>
          <w:p w:rsidR="002A054D"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1.30</w:t>
            </w:r>
          </w:p>
        </w:tc>
      </w:tr>
    </w:tbl>
    <w:p w:rsidR="002A054D"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2A054D" w:rsidRDefault="002A054D">
      <w:pPr>
        <w:autoSpaceDE w:val="0"/>
        <w:autoSpaceDN w:val="0"/>
        <w:adjustRightInd w:val="0"/>
        <w:ind w:leftChars="150" w:left="315"/>
        <w:jc w:val="left"/>
        <w:rPr>
          <w:rFonts w:ascii="Times New Roman" w:eastAsia="宋体" w:hAnsi="Times New Roman" w:cs="Times New Roman"/>
          <w:kern w:val="0"/>
          <w:sz w:val="24"/>
          <w:szCs w:val="24"/>
        </w:rPr>
      </w:pPr>
    </w:p>
    <w:p w:rsidR="002A054D" w:rsidRDefault="002A054D">
      <w:pPr>
        <w:autoSpaceDE w:val="0"/>
        <w:autoSpaceDN w:val="0"/>
        <w:adjustRightInd w:val="0"/>
        <w:ind w:leftChars="150" w:left="315"/>
        <w:jc w:val="left"/>
        <w:rPr>
          <w:rFonts w:ascii="Times New Roman" w:eastAsia="宋体" w:hAnsi="Times New Roman" w:cs="Times New Roman"/>
          <w:kern w:val="0"/>
          <w:sz w:val="24"/>
          <w:szCs w:val="24"/>
        </w:rPr>
      </w:pPr>
    </w:p>
    <w:p w:rsidR="002A054D" w:rsidRDefault="002A054D">
      <w:pPr>
        <w:autoSpaceDE w:val="0"/>
        <w:autoSpaceDN w:val="0"/>
        <w:adjustRightInd w:val="0"/>
        <w:ind w:leftChars="150" w:left="315"/>
        <w:jc w:val="left"/>
        <w:rPr>
          <w:rFonts w:ascii="Times New Roman" w:eastAsia="宋体" w:hAnsi="Times New Roman" w:cs="Times New Roman"/>
          <w:kern w:val="0"/>
          <w:sz w:val="24"/>
          <w:szCs w:val="24"/>
        </w:rPr>
      </w:pPr>
    </w:p>
    <w:p w:rsidR="002A054D" w:rsidRDefault="002A054D">
      <w:pPr>
        <w:autoSpaceDE w:val="0"/>
        <w:autoSpaceDN w:val="0"/>
        <w:adjustRightInd w:val="0"/>
        <w:ind w:leftChars="150" w:left="315"/>
        <w:jc w:val="left"/>
        <w:rPr>
          <w:rFonts w:ascii="Times New Roman" w:eastAsia="宋体" w:hAnsi="Times New Roman" w:cs="Times New Roman"/>
          <w:kern w:val="0"/>
          <w:sz w:val="24"/>
          <w:szCs w:val="24"/>
        </w:rPr>
      </w:pPr>
    </w:p>
    <w:p w:rsidR="002A054D" w:rsidRDefault="002A054D">
      <w:pPr>
        <w:autoSpaceDE w:val="0"/>
        <w:autoSpaceDN w:val="0"/>
        <w:adjustRightInd w:val="0"/>
        <w:ind w:leftChars="150" w:left="315"/>
        <w:jc w:val="left"/>
        <w:rPr>
          <w:rFonts w:ascii="Times New Roman" w:eastAsia="宋体" w:hAnsi="Times New Roman" w:cs="Times New Roman"/>
          <w:kern w:val="0"/>
          <w:sz w:val="24"/>
          <w:szCs w:val="24"/>
        </w:rPr>
      </w:pPr>
    </w:p>
    <w:p w:rsidR="002A054D" w:rsidRDefault="00000000">
      <w:pPr>
        <w:widowControl/>
        <w:rPr>
          <w:rFonts w:ascii="Times New Roman" w:hAnsi="Times New Roman" w:cs="Times New Roman"/>
          <w:sz w:val="72"/>
          <w:szCs w:val="72"/>
        </w:rPr>
        <w:sectPr w:rsidR="002A054D">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lastRenderedPageBreak/>
        <w:br w:type="page"/>
      </w:r>
    </w:p>
    <w:p w:rsidR="002A054D" w:rsidRDefault="002A054D">
      <w:pPr>
        <w:pStyle w:val="Default"/>
        <w:rPr>
          <w:rFonts w:ascii="Times New Roman" w:hAnsi="Times New Roman" w:cs="Times New Roman"/>
          <w:sz w:val="72"/>
          <w:szCs w:val="72"/>
        </w:rPr>
      </w:pPr>
    </w:p>
    <w:p w:rsidR="002A054D" w:rsidRDefault="002A054D">
      <w:pPr>
        <w:pStyle w:val="Default"/>
        <w:rPr>
          <w:rFonts w:ascii="Times New Roman" w:hAnsi="Times New Roman" w:cs="Times New Roman"/>
          <w:sz w:val="72"/>
          <w:szCs w:val="72"/>
        </w:rPr>
      </w:pPr>
    </w:p>
    <w:p w:rsidR="002A054D" w:rsidRDefault="002A054D">
      <w:pPr>
        <w:pStyle w:val="Default"/>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eastAsia="方正小标宋_GBK" w:hAnsi="Times New Roman" w:cs="Times New Roman"/>
          <w:sz w:val="72"/>
          <w:szCs w:val="72"/>
        </w:rPr>
      </w:pPr>
    </w:p>
    <w:p w:rsidR="002A054D" w:rsidRDefault="00000000">
      <w:pPr>
        <w:pStyle w:val="Default"/>
        <w:spacing w:line="360" w:lineRule="auto"/>
        <w:jc w:val="center"/>
        <w:rPr>
          <w:rFonts w:ascii="仿宋" w:eastAsia="仿宋" w:hAnsi="仿宋" w:cs="仿宋" w:hint="eastAsia"/>
          <w:b/>
          <w:bCs/>
          <w:sz w:val="52"/>
          <w:szCs w:val="52"/>
        </w:rPr>
      </w:pPr>
      <w:r>
        <w:rPr>
          <w:rFonts w:ascii="仿宋" w:eastAsia="仿宋" w:hAnsi="仿宋" w:cs="仿宋" w:hint="eastAsia"/>
          <w:b/>
          <w:bCs/>
          <w:sz w:val="52"/>
          <w:szCs w:val="52"/>
        </w:rPr>
        <w:t>第三部分</w:t>
      </w:r>
    </w:p>
    <w:p w:rsidR="002A054D" w:rsidRDefault="00000000">
      <w:pPr>
        <w:pStyle w:val="Default"/>
        <w:spacing w:line="360" w:lineRule="auto"/>
        <w:jc w:val="center"/>
        <w:rPr>
          <w:rFonts w:ascii="仿宋" w:eastAsia="仿宋" w:hAnsi="仿宋" w:cs="仿宋" w:hint="eastAsia"/>
          <w:b/>
          <w:bCs/>
          <w:sz w:val="52"/>
          <w:szCs w:val="52"/>
        </w:rPr>
      </w:pPr>
      <w:r>
        <w:rPr>
          <w:rFonts w:ascii="仿宋" w:eastAsia="仿宋" w:hAnsi="仿宋" w:cs="仿宋" w:hint="eastAsia"/>
          <w:b/>
          <w:bCs/>
          <w:sz w:val="52"/>
          <w:szCs w:val="52"/>
        </w:rPr>
        <w:t>2024年度部门决算情况说明</w:t>
      </w:r>
    </w:p>
    <w:p w:rsidR="002A054D" w:rsidRDefault="00000000">
      <w:pPr>
        <w:widowControl/>
        <w:jc w:val="left"/>
        <w:rPr>
          <w:rFonts w:ascii="仿宋" w:eastAsia="仿宋" w:hAnsi="仿宋" w:cs="仿宋" w:hint="eastAsia"/>
          <w:sz w:val="32"/>
          <w:szCs w:val="32"/>
        </w:rPr>
      </w:pPr>
      <w:r>
        <w:rPr>
          <w:rFonts w:ascii="仿宋" w:eastAsia="仿宋" w:hAnsi="仿宋" w:cs="仿宋" w:hint="eastAsia"/>
          <w:sz w:val="70"/>
          <w:szCs w:val="70"/>
        </w:rPr>
        <w:br w:type="page"/>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lastRenderedPageBreak/>
        <w:t>一、收入支出决算总体情况说明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2024年度收、支总计2403.64万元。与上年相比，增加207.53万元，增长9.45%，主要是因为人员经费支出增加。</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二、收入决算情况说明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2024年度收入合计2403.64万元，其中：财政拨款收入2403.64万元，占100%%；上级补助收入0万元，占0%；事业收入0万元，占0%；经营收入0万元，占0%；附属单位上缴收入0万元，占0%；其他收入0万元，占0%。</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三、支出决算情况说明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2024年度支出合计2403.64万元，其中：基本支出2228.35万元，占92.71%；项目支出175.29万元，占7.29%；上缴上级支出0万元，占0%；经营支出0万元，占0%；对附属单位补助支出0万元，占0%。</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四、财政拨款收入支出决算总体情况说明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2024年度财政拨款收、支总计2403.64万元，与上年相比，增加207.53万元,增长9.45%，主要是因为人员经费支出增加。</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五、一般公共预算财政拨款支出决算情况说明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（一）一般公共预算财政拨款支出决算总体情况</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2024年度财政拨款支出2351.42万元，占本年支出合计的97.83%，与上年相比，财政拨款支出增加189.17万元，增长8.75%，主要是因为人员经费支出增加。</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（二）一般公共预算财政拨款支出决算结构情况</w:t>
      </w:r>
    </w:p>
    <w:p w:rsidR="002A054D" w:rsidRDefault="00000000">
      <w:pPr>
        <w:pStyle w:val="Default"/>
        <w:spacing w:line="600" w:lineRule="exact"/>
        <w:ind w:firstLineChars="200" w:firstLine="640"/>
        <w:rPr>
          <w:rFonts w:ascii="Times New Roman" w:eastAsia="仿宋_GB2312" w:hAnsi="Times New Roman"/>
          <w:sz w:val="32"/>
          <w:szCs w:val="32"/>
        </w:rPr>
      </w:pPr>
      <w:r>
        <w:rPr>
          <w:rFonts w:ascii="仿宋" w:eastAsia="仿宋" w:hAnsi="仿宋" w:cs="仿宋" w:hint="eastAsia"/>
          <w:sz w:val="32"/>
          <w:szCs w:val="32"/>
        </w:rPr>
        <w:t>2024年度财政拨款支出2351.42万元，主要用于以下方面：</w:t>
      </w:r>
      <w:r>
        <w:rPr>
          <w:rFonts w:ascii="仿宋" w:eastAsia="仿宋" w:hAnsi="仿宋" w:cs="仿宋" w:hint="eastAsia"/>
          <w:sz w:val="32"/>
          <w:szCs w:val="32"/>
        </w:rPr>
        <w:lastRenderedPageBreak/>
        <w:t>一般公共服务（类）支出1501.33万元，占63.85%；公共安全（类）支出1.04万元，占0.04%;文化旅游体育与传媒（类）支出1.00万元，占0.04%；</w:t>
      </w:r>
      <w:r>
        <w:rPr>
          <w:rFonts w:ascii="Times New Roman" w:eastAsia="仿宋_GB2312" w:hAnsi="Times New Roman" w:hint="eastAsia"/>
          <w:sz w:val="32"/>
          <w:szCs w:val="32"/>
        </w:rPr>
        <w:t>社会保障和就业（类）支出</w:t>
      </w:r>
      <w:r>
        <w:rPr>
          <w:rFonts w:ascii="Times New Roman" w:eastAsia="仿宋_GB2312" w:hAnsi="Times New Roman" w:hint="eastAsia"/>
          <w:sz w:val="32"/>
          <w:szCs w:val="32"/>
        </w:rPr>
        <w:t>155.93</w:t>
      </w:r>
      <w:r>
        <w:rPr>
          <w:rFonts w:ascii="Times New Roman" w:eastAsia="仿宋_GB2312" w:hAnsi="Times New Roman" w:hint="eastAsia"/>
          <w:sz w:val="32"/>
          <w:szCs w:val="32"/>
        </w:rPr>
        <w:t>万元，占</w:t>
      </w:r>
      <w:r>
        <w:rPr>
          <w:rFonts w:ascii="Times New Roman" w:eastAsia="仿宋_GB2312" w:hAnsi="Times New Roman" w:hint="eastAsia"/>
          <w:sz w:val="32"/>
          <w:szCs w:val="32"/>
        </w:rPr>
        <w:t>6.64%</w:t>
      </w:r>
      <w:r>
        <w:rPr>
          <w:rFonts w:ascii="Times New Roman" w:eastAsia="仿宋_GB2312" w:hAnsi="Times New Roman" w:hint="eastAsia"/>
          <w:sz w:val="32"/>
          <w:szCs w:val="32"/>
        </w:rPr>
        <w:t>；卫生健康（类）支出</w:t>
      </w:r>
      <w:r>
        <w:rPr>
          <w:rFonts w:ascii="Times New Roman" w:eastAsia="仿宋_GB2312" w:hAnsi="Times New Roman" w:hint="eastAsia"/>
          <w:sz w:val="32"/>
          <w:szCs w:val="32"/>
        </w:rPr>
        <w:t>53.81</w:t>
      </w:r>
      <w:r>
        <w:rPr>
          <w:rFonts w:ascii="Times New Roman" w:eastAsia="仿宋_GB2312" w:hAnsi="Times New Roman" w:hint="eastAsia"/>
          <w:sz w:val="32"/>
          <w:szCs w:val="32"/>
        </w:rPr>
        <w:t>万元，占</w:t>
      </w:r>
      <w:r>
        <w:rPr>
          <w:rFonts w:ascii="Times New Roman" w:eastAsia="仿宋_GB2312" w:hAnsi="Times New Roman" w:hint="eastAsia"/>
          <w:sz w:val="32"/>
          <w:szCs w:val="32"/>
        </w:rPr>
        <w:t>2.29%</w:t>
      </w:r>
      <w:r>
        <w:rPr>
          <w:rFonts w:ascii="Times New Roman" w:eastAsia="仿宋_GB2312" w:hAnsi="Times New Roman" w:hint="eastAsia"/>
          <w:sz w:val="32"/>
          <w:szCs w:val="32"/>
        </w:rPr>
        <w:t>；农林水（类）支出</w:t>
      </w:r>
      <w:r>
        <w:rPr>
          <w:rFonts w:ascii="Times New Roman" w:eastAsia="仿宋_GB2312" w:hAnsi="Times New Roman" w:hint="eastAsia"/>
          <w:sz w:val="32"/>
          <w:szCs w:val="32"/>
        </w:rPr>
        <w:t>533.63</w:t>
      </w:r>
      <w:r>
        <w:rPr>
          <w:rFonts w:ascii="Times New Roman" w:eastAsia="仿宋_GB2312" w:hAnsi="Times New Roman" w:hint="eastAsia"/>
          <w:sz w:val="32"/>
          <w:szCs w:val="32"/>
        </w:rPr>
        <w:t>万元，占</w:t>
      </w:r>
      <w:r>
        <w:rPr>
          <w:rFonts w:ascii="Times New Roman" w:eastAsia="仿宋_GB2312" w:hAnsi="Times New Roman" w:hint="eastAsia"/>
          <w:sz w:val="32"/>
          <w:szCs w:val="32"/>
        </w:rPr>
        <w:t>22.69%</w:t>
      </w:r>
      <w:r>
        <w:rPr>
          <w:rFonts w:ascii="Times New Roman" w:eastAsia="仿宋_GB2312" w:hAnsi="Times New Roman" w:hint="eastAsia"/>
          <w:sz w:val="32"/>
          <w:szCs w:val="32"/>
        </w:rPr>
        <w:t>；住房保障（类）支出</w:t>
      </w:r>
      <w:r>
        <w:rPr>
          <w:rFonts w:ascii="Times New Roman" w:eastAsia="仿宋_GB2312" w:hAnsi="Times New Roman" w:hint="eastAsia"/>
          <w:sz w:val="32"/>
          <w:szCs w:val="32"/>
        </w:rPr>
        <w:t>96.68</w:t>
      </w:r>
      <w:r>
        <w:rPr>
          <w:rFonts w:ascii="Times New Roman" w:eastAsia="仿宋_GB2312" w:hAnsi="Times New Roman" w:hint="eastAsia"/>
          <w:sz w:val="32"/>
          <w:szCs w:val="32"/>
        </w:rPr>
        <w:t>万元，占</w:t>
      </w:r>
      <w:r>
        <w:rPr>
          <w:rFonts w:ascii="Times New Roman" w:eastAsia="仿宋_GB2312" w:hAnsi="Times New Roman" w:hint="eastAsia"/>
          <w:sz w:val="32"/>
          <w:szCs w:val="32"/>
        </w:rPr>
        <w:t>4.11%</w:t>
      </w:r>
      <w:r>
        <w:rPr>
          <w:rFonts w:ascii="Times New Roman" w:eastAsia="仿宋_GB2312" w:hAnsi="Times New Roman" w:hint="eastAsia"/>
          <w:sz w:val="32"/>
          <w:szCs w:val="32"/>
        </w:rPr>
        <w:t>；粮油储备（类）支出</w:t>
      </w:r>
      <w:r>
        <w:rPr>
          <w:rFonts w:ascii="Times New Roman" w:eastAsia="仿宋_GB2312" w:hAnsi="Times New Roman" w:hint="eastAsia"/>
          <w:sz w:val="32"/>
          <w:szCs w:val="32"/>
        </w:rPr>
        <w:t>8.00</w:t>
      </w:r>
      <w:r>
        <w:rPr>
          <w:rFonts w:ascii="Times New Roman" w:eastAsia="仿宋_GB2312" w:hAnsi="Times New Roman" w:hint="eastAsia"/>
          <w:sz w:val="32"/>
          <w:szCs w:val="32"/>
        </w:rPr>
        <w:t>万元</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，占</w:t>
      </w:r>
      <w:r>
        <w:rPr>
          <w:rFonts w:ascii="Times New Roman" w:eastAsia="仿宋_GB2312" w:hAnsi="Times New Roman" w:hint="eastAsia"/>
          <w:sz w:val="32"/>
          <w:szCs w:val="32"/>
        </w:rPr>
        <w:t>0.34 %.</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（三）一般公共预算财政拨款支出决算具体情况</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2024年度财政拨款支出年初预算数为2056.99万元，支出决算数为2351.42万元，完成年初预算的114.31%，其中：</w:t>
      </w:r>
    </w:p>
    <w:p w:rsidR="002A054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、一般公共服务（类）</w:t>
      </w:r>
      <w:r>
        <w:rPr>
          <w:rFonts w:ascii="仿宋" w:eastAsia="仿宋" w:hAnsi="仿宋" w:cs="仿宋" w:hint="eastAsia"/>
          <w:sz w:val="32"/>
          <w:szCs w:val="32"/>
          <w:lang w:bidi="ar"/>
        </w:rPr>
        <w:t>政府办公厅（室）及相关机构事务</w:t>
      </w:r>
      <w:r>
        <w:rPr>
          <w:rFonts w:ascii="仿宋" w:eastAsia="仿宋" w:hAnsi="仿宋" w:cs="仿宋" w:hint="eastAsia"/>
          <w:sz w:val="32"/>
          <w:szCs w:val="32"/>
        </w:rPr>
        <w:t>（款）</w:t>
      </w:r>
      <w:r>
        <w:rPr>
          <w:rFonts w:ascii="仿宋" w:eastAsia="仿宋" w:hAnsi="仿宋" w:cs="仿宋" w:hint="eastAsia"/>
          <w:sz w:val="32"/>
          <w:szCs w:val="32"/>
          <w:lang w:bidi="ar"/>
        </w:rPr>
        <w:t>行政运行</w:t>
      </w:r>
      <w:r>
        <w:rPr>
          <w:rFonts w:ascii="仿宋" w:eastAsia="仿宋" w:hAnsi="仿宋" w:cs="仿宋" w:hint="eastAsia"/>
          <w:sz w:val="32"/>
          <w:szCs w:val="32"/>
        </w:rPr>
        <w:t>（项）</w:t>
      </w:r>
      <w:r>
        <w:rPr>
          <w:rFonts w:ascii="Times New Roman" w:eastAsia="仿宋_GB2312" w:hAnsi="Times New Roman" w:hint="eastAsia"/>
          <w:sz w:val="32"/>
          <w:szCs w:val="32"/>
        </w:rPr>
        <w:t>。</w:t>
      </w:r>
    </w:p>
    <w:p w:rsidR="002A054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1226.65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1379.31</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112.45%</w:t>
      </w:r>
      <w:r>
        <w:rPr>
          <w:rFonts w:ascii="Times New Roman" w:eastAsia="仿宋_GB2312" w:hAnsi="Times New Roman" w:hint="eastAsia"/>
          <w:sz w:val="32"/>
          <w:szCs w:val="32"/>
        </w:rPr>
        <w:t>，决算数大于年初预算数的主要原因是：财政追加预算。</w:t>
      </w:r>
    </w:p>
    <w:p w:rsidR="002A054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、一般公共服务（类）</w:t>
      </w:r>
      <w:r>
        <w:rPr>
          <w:rFonts w:ascii="仿宋" w:eastAsia="仿宋" w:hAnsi="仿宋" w:cs="仿宋" w:hint="eastAsia"/>
          <w:sz w:val="32"/>
          <w:szCs w:val="32"/>
          <w:lang w:bidi="ar"/>
        </w:rPr>
        <w:t>政府办公厅（室）及相关机构事务</w:t>
      </w:r>
      <w:r>
        <w:rPr>
          <w:rFonts w:ascii="仿宋" w:eastAsia="仿宋" w:hAnsi="仿宋" w:cs="仿宋" w:hint="eastAsia"/>
          <w:sz w:val="32"/>
          <w:szCs w:val="32"/>
        </w:rPr>
        <w:t>（款）</w:t>
      </w:r>
      <w:r>
        <w:rPr>
          <w:rFonts w:ascii="仿宋" w:eastAsia="仿宋" w:hAnsi="仿宋" w:cs="仿宋" w:hint="eastAsia"/>
          <w:sz w:val="32"/>
          <w:szCs w:val="32"/>
          <w:lang w:bidi="ar"/>
        </w:rPr>
        <w:t>一般行政管理事务</w:t>
      </w:r>
      <w:r>
        <w:rPr>
          <w:rFonts w:ascii="仿宋" w:eastAsia="仿宋" w:hAnsi="仿宋" w:cs="仿宋" w:hint="eastAsia"/>
          <w:sz w:val="32"/>
          <w:szCs w:val="32"/>
        </w:rPr>
        <w:t>（项）</w:t>
      </w:r>
      <w:r>
        <w:rPr>
          <w:rFonts w:ascii="Times New Roman" w:eastAsia="仿宋_GB2312" w:hAnsi="Times New Roman" w:hint="eastAsia"/>
          <w:sz w:val="32"/>
          <w:szCs w:val="32"/>
        </w:rPr>
        <w:t>。</w:t>
      </w:r>
    </w:p>
    <w:p w:rsidR="002A054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117.02</w:t>
      </w:r>
      <w:r>
        <w:rPr>
          <w:rFonts w:ascii="Times New Roman" w:eastAsia="仿宋_GB2312" w:hAnsi="Times New Roman" w:hint="eastAsia"/>
          <w:sz w:val="32"/>
          <w:szCs w:val="32"/>
        </w:rPr>
        <w:t>万元，决算数大于年初预算数的主要原因是：：财政追加预算。</w:t>
      </w:r>
    </w:p>
    <w:p w:rsidR="002A054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、一般公共服务（类）财政事务</w:t>
      </w:r>
      <w:r>
        <w:rPr>
          <w:rFonts w:ascii="仿宋" w:eastAsia="仿宋" w:hAnsi="仿宋" w:cs="仿宋" w:hint="eastAsia"/>
          <w:sz w:val="32"/>
          <w:szCs w:val="32"/>
        </w:rPr>
        <w:t>（款）</w:t>
      </w:r>
      <w:r>
        <w:rPr>
          <w:rFonts w:ascii="仿宋" w:eastAsia="仿宋" w:hAnsi="仿宋" w:cs="仿宋" w:hint="eastAsia"/>
          <w:sz w:val="32"/>
          <w:szCs w:val="32"/>
          <w:lang w:bidi="ar"/>
        </w:rPr>
        <w:t>一般行政管理事务</w:t>
      </w:r>
      <w:r>
        <w:rPr>
          <w:rFonts w:ascii="仿宋" w:eastAsia="仿宋" w:hAnsi="仿宋" w:cs="仿宋" w:hint="eastAsia"/>
          <w:sz w:val="32"/>
          <w:szCs w:val="32"/>
        </w:rPr>
        <w:t>（项）</w:t>
      </w:r>
      <w:r>
        <w:rPr>
          <w:rFonts w:ascii="Times New Roman" w:eastAsia="仿宋_GB2312" w:hAnsi="Times New Roman" w:hint="eastAsia"/>
          <w:sz w:val="32"/>
          <w:szCs w:val="32"/>
        </w:rPr>
        <w:t>。</w:t>
      </w:r>
    </w:p>
    <w:p w:rsidR="002A054D"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5.00</w:t>
      </w:r>
      <w:r>
        <w:rPr>
          <w:rFonts w:ascii="Times New Roman" w:eastAsia="仿宋_GB2312" w:hAnsi="Times New Roman" w:hint="eastAsia"/>
          <w:sz w:val="32"/>
          <w:szCs w:val="32"/>
        </w:rPr>
        <w:t>万元，决算数大于年初预算数的主要原因是：：财政追加预算。</w:t>
      </w:r>
    </w:p>
    <w:p w:rsidR="002A054D" w:rsidRDefault="002A054D">
      <w:pPr>
        <w:pStyle w:val="Default"/>
        <w:spacing w:line="600" w:lineRule="exact"/>
        <w:ind w:firstLineChars="250" w:firstLine="800"/>
        <w:rPr>
          <w:rFonts w:ascii="Times New Roman" w:eastAsia="仿宋_GB2312" w:hAnsi="Times New Roman"/>
          <w:sz w:val="32"/>
          <w:szCs w:val="32"/>
        </w:rPr>
      </w:pPr>
    </w:p>
    <w:p w:rsidR="002A054D" w:rsidRDefault="00000000">
      <w:pPr>
        <w:pStyle w:val="Default"/>
        <w:spacing w:line="600" w:lineRule="exact"/>
        <w:ind w:firstLineChars="200" w:firstLine="640"/>
        <w:rPr>
          <w:rFonts w:ascii="仿宋" w:eastAsia="仿宋" w:hAnsi="仿宋" w:cs="仿宋" w:hint="eastAsia"/>
          <w:sz w:val="32"/>
          <w:szCs w:val="32"/>
          <w:lang w:bidi="ar"/>
        </w:rPr>
      </w:pPr>
      <w:r>
        <w:rPr>
          <w:rFonts w:ascii="仿宋" w:eastAsia="仿宋" w:hAnsi="仿宋" w:cs="仿宋" w:hint="eastAsia"/>
          <w:sz w:val="32"/>
          <w:szCs w:val="32"/>
          <w:lang w:bidi="ar"/>
        </w:rPr>
        <w:lastRenderedPageBreak/>
        <w:t>4、公共安全支出</w:t>
      </w:r>
      <w:r>
        <w:rPr>
          <w:rFonts w:ascii="仿宋" w:eastAsia="仿宋" w:hAnsi="仿宋" w:cs="仿宋" w:hint="eastAsia"/>
          <w:sz w:val="32"/>
          <w:szCs w:val="32"/>
        </w:rPr>
        <w:t>（类）</w:t>
      </w:r>
      <w:r>
        <w:rPr>
          <w:rFonts w:ascii="仿宋" w:eastAsia="仿宋" w:hAnsi="仿宋" w:cs="仿宋" w:hint="eastAsia"/>
          <w:sz w:val="32"/>
          <w:szCs w:val="32"/>
          <w:lang w:bidi="ar"/>
        </w:rPr>
        <w:t>公安</w:t>
      </w:r>
      <w:r>
        <w:rPr>
          <w:rFonts w:ascii="仿宋" w:eastAsia="仿宋" w:hAnsi="仿宋" w:cs="仿宋" w:hint="eastAsia"/>
          <w:sz w:val="32"/>
          <w:szCs w:val="32"/>
        </w:rPr>
        <w:t>（款）</w:t>
      </w:r>
      <w:r>
        <w:rPr>
          <w:rFonts w:ascii="仿宋" w:eastAsia="仿宋" w:hAnsi="仿宋" w:cs="仿宋" w:hint="eastAsia"/>
          <w:sz w:val="32"/>
          <w:szCs w:val="32"/>
          <w:lang w:bidi="ar"/>
        </w:rPr>
        <w:t>一般行政管理事务（项）。</w:t>
      </w:r>
    </w:p>
    <w:p w:rsidR="002A054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1.04</w:t>
      </w:r>
      <w:r>
        <w:rPr>
          <w:rFonts w:ascii="Times New Roman" w:eastAsia="仿宋_GB2312" w:hAnsi="Times New Roman" w:hint="eastAsia"/>
          <w:sz w:val="32"/>
          <w:szCs w:val="32"/>
        </w:rPr>
        <w:t>万元，决算数大于年初预算数的主要原因是：：财政追加预算。</w:t>
      </w:r>
    </w:p>
    <w:p w:rsidR="002A054D" w:rsidRDefault="00000000">
      <w:pPr>
        <w:pStyle w:val="Default"/>
        <w:numPr>
          <w:ilvl w:val="0"/>
          <w:numId w:val="1"/>
        </w:numPr>
        <w:spacing w:line="60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文化旅游体育与传媒支出（类）其他文化旅游体育与传媒支出（款））其他文化旅游体育与传媒支出（顶）。</w:t>
      </w:r>
    </w:p>
    <w:p w:rsidR="002A054D" w:rsidRDefault="00000000">
      <w:pPr>
        <w:pStyle w:val="Default"/>
        <w:spacing w:line="600" w:lineRule="exact"/>
        <w:ind w:firstLineChars="400" w:firstLine="128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1.00</w:t>
      </w:r>
      <w:r>
        <w:rPr>
          <w:rFonts w:ascii="Times New Roman" w:eastAsia="仿宋_GB2312" w:hAnsi="Times New Roman" w:hint="eastAsia"/>
          <w:sz w:val="32"/>
          <w:szCs w:val="32"/>
        </w:rPr>
        <w:t>万元，决算数大于年初预算数的主要原因是：：财政追加预算。</w:t>
      </w:r>
    </w:p>
    <w:p w:rsidR="002A054D" w:rsidRDefault="002A054D">
      <w:pPr>
        <w:pStyle w:val="Default"/>
        <w:spacing w:line="600" w:lineRule="exact"/>
        <w:ind w:firstLineChars="200" w:firstLine="640"/>
        <w:rPr>
          <w:rFonts w:ascii="Times New Roman" w:eastAsia="仿宋_GB2312" w:hAnsi="Times New Roman"/>
          <w:sz w:val="32"/>
          <w:szCs w:val="32"/>
        </w:rPr>
      </w:pPr>
    </w:p>
    <w:p w:rsidR="002A054D" w:rsidRDefault="00000000">
      <w:pPr>
        <w:pStyle w:val="Default"/>
        <w:spacing w:line="600" w:lineRule="exact"/>
        <w:ind w:firstLineChars="200" w:firstLine="640"/>
        <w:rPr>
          <w:rFonts w:ascii="仿宋" w:eastAsia="仿宋" w:hAnsi="仿宋" w:cs="仿宋" w:hint="eastAsia"/>
          <w:sz w:val="32"/>
          <w:szCs w:val="32"/>
          <w:lang w:bidi="ar"/>
        </w:rPr>
      </w:pPr>
      <w:r>
        <w:rPr>
          <w:rFonts w:ascii="仿宋" w:eastAsia="仿宋" w:hAnsi="仿宋" w:cs="仿宋" w:hint="eastAsia"/>
          <w:sz w:val="32"/>
          <w:szCs w:val="32"/>
          <w:lang w:bidi="ar"/>
        </w:rPr>
        <w:t>6、社会保障和就业支出</w:t>
      </w:r>
      <w:r>
        <w:rPr>
          <w:rFonts w:ascii="仿宋" w:eastAsia="仿宋" w:hAnsi="仿宋" w:cs="仿宋" w:hint="eastAsia"/>
          <w:sz w:val="32"/>
          <w:szCs w:val="32"/>
        </w:rPr>
        <w:t>（类）</w:t>
      </w:r>
      <w:r>
        <w:rPr>
          <w:rFonts w:ascii="仿宋" w:eastAsia="仿宋" w:hAnsi="仿宋" w:cs="仿宋" w:hint="eastAsia"/>
          <w:sz w:val="32"/>
          <w:szCs w:val="32"/>
          <w:lang w:bidi="ar"/>
        </w:rPr>
        <w:t>行政事业单位养老支出</w:t>
      </w:r>
      <w:r>
        <w:rPr>
          <w:rFonts w:ascii="仿宋" w:eastAsia="仿宋" w:hAnsi="仿宋" w:cs="仿宋" w:hint="eastAsia"/>
          <w:sz w:val="32"/>
          <w:szCs w:val="32"/>
        </w:rPr>
        <w:t>（款）</w:t>
      </w:r>
      <w:r>
        <w:rPr>
          <w:rFonts w:ascii="仿宋" w:eastAsia="仿宋" w:hAnsi="仿宋" w:cs="仿宋" w:hint="eastAsia"/>
          <w:sz w:val="32"/>
          <w:szCs w:val="32"/>
          <w:lang w:bidi="ar"/>
        </w:rPr>
        <w:t>机关事业单位基本养老保险缴费支出（项）。</w:t>
      </w:r>
    </w:p>
    <w:p w:rsidR="002A054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131.72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118.48</w:t>
      </w:r>
      <w:r>
        <w:rPr>
          <w:rFonts w:ascii="Times New Roman" w:eastAsia="仿宋_GB2312" w:hAnsi="Times New Roman" w:hint="eastAsia"/>
          <w:sz w:val="32"/>
          <w:szCs w:val="32"/>
        </w:rPr>
        <w:t>万元，决算数小于年初预算数的主要原因是：：由于人员异动。</w:t>
      </w:r>
    </w:p>
    <w:p w:rsidR="002A054D" w:rsidRDefault="00000000">
      <w:pPr>
        <w:pStyle w:val="Default"/>
        <w:spacing w:line="600" w:lineRule="exact"/>
        <w:ind w:firstLineChars="200" w:firstLine="640"/>
        <w:rPr>
          <w:rFonts w:ascii="仿宋" w:eastAsia="仿宋" w:hAnsi="仿宋" w:cs="仿宋" w:hint="eastAsia"/>
          <w:sz w:val="32"/>
          <w:szCs w:val="32"/>
          <w:lang w:bidi="ar"/>
        </w:rPr>
      </w:pPr>
      <w:r>
        <w:rPr>
          <w:rFonts w:ascii="仿宋" w:eastAsia="仿宋" w:hAnsi="仿宋" w:cs="仿宋" w:hint="eastAsia"/>
          <w:sz w:val="32"/>
          <w:szCs w:val="32"/>
          <w:lang w:bidi="ar"/>
        </w:rPr>
        <w:t>7、社会保障和就业支出</w:t>
      </w:r>
      <w:r>
        <w:rPr>
          <w:rFonts w:ascii="仿宋" w:eastAsia="仿宋" w:hAnsi="仿宋" w:cs="仿宋" w:hint="eastAsia"/>
          <w:sz w:val="32"/>
          <w:szCs w:val="32"/>
        </w:rPr>
        <w:t>（类）</w:t>
      </w:r>
      <w:r>
        <w:rPr>
          <w:rFonts w:ascii="仿宋" w:eastAsia="仿宋" w:hAnsi="仿宋" w:cs="仿宋" w:hint="eastAsia"/>
          <w:sz w:val="32"/>
          <w:szCs w:val="32"/>
          <w:lang w:bidi="ar"/>
        </w:rPr>
        <w:t>抚恤</w:t>
      </w:r>
      <w:r>
        <w:rPr>
          <w:rFonts w:ascii="仿宋" w:eastAsia="仿宋" w:hAnsi="仿宋" w:cs="仿宋" w:hint="eastAsia"/>
          <w:sz w:val="32"/>
          <w:szCs w:val="32"/>
        </w:rPr>
        <w:t>（款）</w:t>
      </w:r>
      <w:r>
        <w:rPr>
          <w:rFonts w:ascii="仿宋" w:eastAsia="仿宋" w:hAnsi="仿宋" w:cs="仿宋" w:hint="eastAsia"/>
          <w:sz w:val="32"/>
          <w:szCs w:val="32"/>
          <w:lang w:bidi="ar"/>
        </w:rPr>
        <w:t>死亡抚恤（项）。</w:t>
      </w:r>
    </w:p>
    <w:p w:rsidR="002A054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34.95</w:t>
      </w:r>
      <w:r>
        <w:rPr>
          <w:rFonts w:ascii="Times New Roman" w:eastAsia="仿宋_GB2312" w:hAnsi="Times New Roman" w:hint="eastAsia"/>
          <w:sz w:val="32"/>
          <w:szCs w:val="32"/>
        </w:rPr>
        <w:t>万元，决算数小于年初预算数的主要原因是：：财政追加预算。</w:t>
      </w:r>
    </w:p>
    <w:p w:rsidR="002A054D" w:rsidRDefault="00000000">
      <w:pPr>
        <w:pStyle w:val="Default"/>
        <w:spacing w:line="600" w:lineRule="exact"/>
        <w:ind w:firstLineChars="200" w:firstLine="640"/>
        <w:rPr>
          <w:rFonts w:ascii="仿宋" w:eastAsia="仿宋" w:hAnsi="仿宋" w:cs="仿宋" w:hint="eastAsia"/>
          <w:sz w:val="32"/>
          <w:szCs w:val="32"/>
          <w:lang w:bidi="ar"/>
        </w:rPr>
      </w:pPr>
      <w:r>
        <w:rPr>
          <w:rFonts w:ascii="仿宋" w:eastAsia="仿宋" w:hAnsi="仿宋" w:cs="仿宋" w:hint="eastAsia"/>
          <w:sz w:val="32"/>
          <w:szCs w:val="32"/>
          <w:lang w:bidi="ar"/>
        </w:rPr>
        <w:t>8、社会保障和就业支出</w:t>
      </w:r>
      <w:r>
        <w:rPr>
          <w:rFonts w:ascii="仿宋" w:eastAsia="仿宋" w:hAnsi="仿宋" w:cs="仿宋" w:hint="eastAsia"/>
          <w:sz w:val="32"/>
          <w:szCs w:val="32"/>
        </w:rPr>
        <w:t>（类）</w:t>
      </w:r>
      <w:r>
        <w:rPr>
          <w:rFonts w:ascii="仿宋" w:eastAsia="仿宋" w:hAnsi="仿宋" w:cs="仿宋" w:hint="eastAsia"/>
          <w:sz w:val="32"/>
          <w:szCs w:val="32"/>
          <w:lang w:bidi="ar"/>
        </w:rPr>
        <w:t>其他社会保障和就业支出（</w:t>
      </w:r>
      <w:r>
        <w:rPr>
          <w:rFonts w:ascii="仿宋" w:eastAsia="仿宋" w:hAnsi="仿宋" w:cs="仿宋" w:hint="eastAsia"/>
          <w:sz w:val="32"/>
          <w:szCs w:val="32"/>
        </w:rPr>
        <w:t>款）</w:t>
      </w:r>
      <w:r>
        <w:rPr>
          <w:rFonts w:ascii="仿宋" w:eastAsia="仿宋" w:hAnsi="仿宋" w:cs="仿宋" w:hint="eastAsia"/>
          <w:sz w:val="32"/>
          <w:szCs w:val="32"/>
          <w:lang w:bidi="ar"/>
        </w:rPr>
        <w:t>其他社会保障和就业支出（项）。</w:t>
      </w:r>
    </w:p>
    <w:p w:rsidR="002A054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2.50</w:t>
      </w:r>
      <w:r>
        <w:rPr>
          <w:rFonts w:ascii="Times New Roman" w:eastAsia="仿宋_GB2312" w:hAnsi="Times New Roman" w:hint="eastAsia"/>
          <w:sz w:val="32"/>
          <w:szCs w:val="32"/>
        </w:rPr>
        <w:t>万元，决算数小于年初预算数的主要原因是：：财政追加预算。</w:t>
      </w:r>
    </w:p>
    <w:p w:rsidR="002A054D" w:rsidRDefault="00000000">
      <w:pPr>
        <w:pStyle w:val="Default"/>
        <w:spacing w:line="600" w:lineRule="exact"/>
        <w:ind w:firstLineChars="200" w:firstLine="640"/>
        <w:rPr>
          <w:rFonts w:ascii="仿宋" w:eastAsia="仿宋" w:hAnsi="仿宋" w:cs="仿宋" w:hint="eastAsia"/>
          <w:sz w:val="32"/>
          <w:szCs w:val="32"/>
          <w:lang w:bidi="ar"/>
        </w:rPr>
      </w:pPr>
      <w:r>
        <w:rPr>
          <w:rFonts w:ascii="仿宋" w:eastAsia="仿宋" w:hAnsi="仿宋" w:cs="仿宋" w:hint="eastAsia"/>
          <w:sz w:val="32"/>
          <w:szCs w:val="32"/>
          <w:lang w:bidi="ar"/>
        </w:rPr>
        <w:t>9、卫生健康支出</w:t>
      </w:r>
      <w:r>
        <w:rPr>
          <w:rFonts w:ascii="仿宋" w:eastAsia="仿宋" w:hAnsi="仿宋" w:cs="仿宋" w:hint="eastAsia"/>
          <w:sz w:val="32"/>
          <w:szCs w:val="32"/>
        </w:rPr>
        <w:t>（类）</w:t>
      </w:r>
      <w:r>
        <w:rPr>
          <w:rFonts w:ascii="仿宋" w:eastAsia="仿宋" w:hAnsi="仿宋" w:cs="仿宋" w:hint="eastAsia"/>
          <w:sz w:val="32"/>
          <w:szCs w:val="32"/>
          <w:lang w:bidi="ar"/>
        </w:rPr>
        <w:t>行政事业单位医疗</w:t>
      </w:r>
      <w:r>
        <w:rPr>
          <w:rFonts w:ascii="仿宋" w:eastAsia="仿宋" w:hAnsi="仿宋" w:cs="仿宋" w:hint="eastAsia"/>
          <w:sz w:val="32"/>
          <w:szCs w:val="32"/>
        </w:rPr>
        <w:t>（款）</w:t>
      </w:r>
      <w:r>
        <w:rPr>
          <w:rFonts w:ascii="仿宋" w:eastAsia="仿宋" w:hAnsi="仿宋" w:cs="仿宋" w:hint="eastAsia"/>
          <w:sz w:val="32"/>
          <w:szCs w:val="32"/>
          <w:lang w:bidi="ar"/>
        </w:rPr>
        <w:t>行政单位医疗（项）。</w:t>
      </w:r>
    </w:p>
    <w:p w:rsidR="002A054D" w:rsidRDefault="00000000">
      <w:pPr>
        <w:pStyle w:val="Default"/>
        <w:spacing w:line="600" w:lineRule="exact"/>
        <w:ind w:firstLineChars="200" w:firstLine="640"/>
        <w:rPr>
          <w:rFonts w:ascii="仿宋" w:eastAsia="仿宋" w:hAnsi="仿宋" w:cs="仿宋" w:hint="eastAsia"/>
          <w:sz w:val="32"/>
          <w:szCs w:val="32"/>
          <w:lang w:bidi="ar"/>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53.81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53.81</w:t>
      </w:r>
      <w:r>
        <w:rPr>
          <w:rFonts w:ascii="Times New Roman" w:eastAsia="仿宋_GB2312" w:hAnsi="Times New Roman" w:hint="eastAsia"/>
          <w:sz w:val="32"/>
          <w:szCs w:val="32"/>
        </w:rPr>
        <w:t>万元，完成年初预算</w:t>
      </w:r>
      <w:r>
        <w:rPr>
          <w:rFonts w:ascii="Times New Roman" w:eastAsia="仿宋_GB2312" w:hAnsi="Times New Roman" w:hint="eastAsia"/>
          <w:sz w:val="32"/>
          <w:szCs w:val="32"/>
        </w:rPr>
        <w:t>100%</w:t>
      </w:r>
      <w:r>
        <w:rPr>
          <w:rFonts w:ascii="Times New Roman" w:eastAsia="仿宋_GB2312" w:hAnsi="Times New Roman" w:hint="eastAsia"/>
          <w:sz w:val="32"/>
          <w:szCs w:val="32"/>
        </w:rPr>
        <w:t>，持平主要原因是：：严格按照预算安排，严控支出。</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lastRenderedPageBreak/>
        <w:t>10</w:t>
      </w:r>
      <w:r>
        <w:rPr>
          <w:rFonts w:ascii="Times New Roman" w:eastAsia="仿宋_GB2312" w:hAnsi="Times New Roman" w:hint="eastAsia"/>
          <w:sz w:val="32"/>
          <w:szCs w:val="32"/>
        </w:rPr>
        <w:t>、</w:t>
      </w:r>
      <w:r>
        <w:rPr>
          <w:rFonts w:ascii="仿宋" w:eastAsia="仿宋" w:hAnsi="仿宋" w:cs="仿宋" w:hint="eastAsia"/>
          <w:sz w:val="32"/>
          <w:szCs w:val="32"/>
          <w:lang w:bidi="ar"/>
        </w:rPr>
        <w:t>农林水支出</w:t>
      </w:r>
      <w:r>
        <w:rPr>
          <w:rFonts w:ascii="仿宋" w:eastAsia="仿宋" w:hAnsi="仿宋" w:cs="仿宋" w:hint="eastAsia"/>
          <w:sz w:val="32"/>
          <w:szCs w:val="32"/>
        </w:rPr>
        <w:t>（类）</w:t>
      </w:r>
      <w:r>
        <w:rPr>
          <w:rFonts w:ascii="仿宋" w:eastAsia="仿宋" w:hAnsi="仿宋" w:cs="仿宋" w:hint="eastAsia"/>
          <w:sz w:val="32"/>
          <w:szCs w:val="32"/>
          <w:lang w:bidi="ar"/>
        </w:rPr>
        <w:t>农村综合改革</w:t>
      </w:r>
      <w:r>
        <w:rPr>
          <w:rFonts w:ascii="仿宋" w:eastAsia="仿宋" w:hAnsi="仿宋" w:cs="仿宋" w:hint="eastAsia"/>
          <w:sz w:val="32"/>
          <w:szCs w:val="32"/>
        </w:rPr>
        <w:t>（款）</w:t>
      </w:r>
      <w:r>
        <w:rPr>
          <w:rFonts w:ascii="仿宋" w:eastAsia="仿宋" w:hAnsi="仿宋" w:cs="仿宋" w:hint="eastAsia"/>
          <w:sz w:val="32"/>
          <w:szCs w:val="32"/>
          <w:lang w:bidi="ar"/>
        </w:rPr>
        <w:t>对村民委员会和村党支部的补助（项）。</w:t>
      </w:r>
    </w:p>
    <w:p w:rsidR="002A054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548.13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532.64</w:t>
      </w:r>
      <w:r>
        <w:rPr>
          <w:rFonts w:ascii="Times New Roman" w:eastAsia="仿宋_GB2312" w:hAnsi="Times New Roman" w:hint="eastAsia"/>
          <w:sz w:val="32"/>
          <w:szCs w:val="32"/>
        </w:rPr>
        <w:t>万元，决算数小于年初预算数的主要原因是：：财政减少预算。</w:t>
      </w:r>
    </w:p>
    <w:p w:rsidR="002A054D" w:rsidRDefault="00000000">
      <w:pPr>
        <w:pStyle w:val="Default"/>
        <w:spacing w:line="600" w:lineRule="exact"/>
        <w:ind w:firstLineChars="200" w:firstLine="640"/>
        <w:rPr>
          <w:rFonts w:ascii="仿宋" w:eastAsia="仿宋" w:hAnsi="仿宋" w:cs="仿宋" w:hint="eastAsia"/>
          <w:sz w:val="32"/>
          <w:szCs w:val="32"/>
          <w:lang w:bidi="ar"/>
        </w:rPr>
      </w:pPr>
      <w:r>
        <w:rPr>
          <w:rFonts w:ascii="Times New Roman" w:eastAsia="仿宋_GB2312" w:hAnsi="Times New Roman" w:hint="eastAsia"/>
          <w:sz w:val="32"/>
          <w:szCs w:val="32"/>
        </w:rPr>
        <w:t>11</w:t>
      </w:r>
      <w:r>
        <w:rPr>
          <w:rFonts w:ascii="Times New Roman" w:eastAsia="仿宋_GB2312" w:hAnsi="Times New Roman" w:hint="eastAsia"/>
          <w:sz w:val="32"/>
          <w:szCs w:val="32"/>
        </w:rPr>
        <w:t>、</w:t>
      </w:r>
      <w:r>
        <w:rPr>
          <w:rFonts w:ascii="仿宋" w:eastAsia="仿宋" w:hAnsi="仿宋" w:cs="仿宋" w:hint="eastAsia"/>
          <w:sz w:val="32"/>
          <w:szCs w:val="32"/>
          <w:lang w:bidi="ar"/>
        </w:rPr>
        <w:t>农林水支出</w:t>
      </w:r>
      <w:r>
        <w:rPr>
          <w:rFonts w:ascii="仿宋" w:eastAsia="仿宋" w:hAnsi="仿宋" w:cs="仿宋" w:hint="eastAsia"/>
          <w:sz w:val="32"/>
          <w:szCs w:val="32"/>
        </w:rPr>
        <w:t>（类）</w:t>
      </w:r>
      <w:r>
        <w:rPr>
          <w:rFonts w:ascii="仿宋" w:eastAsia="仿宋" w:hAnsi="仿宋" w:cs="仿宋" w:hint="eastAsia"/>
          <w:sz w:val="32"/>
          <w:szCs w:val="32"/>
          <w:lang w:bidi="ar"/>
        </w:rPr>
        <w:t>农村综合改革</w:t>
      </w:r>
      <w:r>
        <w:rPr>
          <w:rFonts w:ascii="仿宋" w:eastAsia="仿宋" w:hAnsi="仿宋" w:cs="仿宋" w:hint="eastAsia"/>
          <w:sz w:val="32"/>
          <w:szCs w:val="32"/>
        </w:rPr>
        <w:t>（款）</w:t>
      </w:r>
      <w:r>
        <w:rPr>
          <w:rFonts w:ascii="仿宋" w:eastAsia="仿宋" w:hAnsi="仿宋" w:cs="仿宋" w:hint="eastAsia"/>
          <w:sz w:val="32"/>
          <w:szCs w:val="32"/>
          <w:lang w:bidi="ar"/>
        </w:rPr>
        <w:t>其他农村综合改革支出（项）。</w:t>
      </w:r>
    </w:p>
    <w:p w:rsidR="002A054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0.99</w:t>
      </w:r>
      <w:r>
        <w:rPr>
          <w:rFonts w:ascii="Times New Roman" w:eastAsia="仿宋_GB2312" w:hAnsi="Times New Roman" w:hint="eastAsia"/>
          <w:sz w:val="32"/>
          <w:szCs w:val="32"/>
        </w:rPr>
        <w:t>万元，决算数大于年初预算数的主要原因是：：财政追加预算。</w:t>
      </w:r>
    </w:p>
    <w:p w:rsidR="002A054D" w:rsidRDefault="00000000">
      <w:pPr>
        <w:pStyle w:val="Default"/>
        <w:spacing w:line="600" w:lineRule="exact"/>
        <w:ind w:firstLineChars="200" w:firstLine="640"/>
        <w:rPr>
          <w:rFonts w:ascii="仿宋" w:eastAsia="仿宋" w:hAnsi="仿宋" w:cs="仿宋" w:hint="eastAsia"/>
          <w:sz w:val="32"/>
          <w:szCs w:val="32"/>
          <w:lang w:bidi="ar"/>
        </w:rPr>
      </w:pPr>
      <w:r>
        <w:rPr>
          <w:rFonts w:ascii="仿宋" w:eastAsia="仿宋" w:hAnsi="仿宋" w:cs="仿宋" w:hint="eastAsia"/>
          <w:sz w:val="32"/>
          <w:szCs w:val="32"/>
          <w:lang w:bidi="ar"/>
        </w:rPr>
        <w:t>12、住房保障支出</w:t>
      </w:r>
      <w:r>
        <w:rPr>
          <w:rFonts w:ascii="仿宋" w:eastAsia="仿宋" w:hAnsi="仿宋" w:cs="仿宋" w:hint="eastAsia"/>
          <w:sz w:val="32"/>
          <w:szCs w:val="32"/>
        </w:rPr>
        <w:t>（类）</w:t>
      </w:r>
      <w:r>
        <w:rPr>
          <w:rFonts w:ascii="仿宋" w:eastAsia="仿宋" w:hAnsi="仿宋" w:cs="仿宋" w:hint="eastAsia"/>
          <w:sz w:val="32"/>
          <w:szCs w:val="32"/>
          <w:lang w:bidi="ar"/>
        </w:rPr>
        <w:t>住房改革支出</w:t>
      </w:r>
      <w:r>
        <w:rPr>
          <w:rFonts w:ascii="仿宋" w:eastAsia="仿宋" w:hAnsi="仿宋" w:cs="仿宋" w:hint="eastAsia"/>
          <w:sz w:val="32"/>
          <w:szCs w:val="32"/>
        </w:rPr>
        <w:t>（款）</w:t>
      </w:r>
      <w:r>
        <w:rPr>
          <w:rFonts w:ascii="仿宋" w:eastAsia="仿宋" w:hAnsi="仿宋" w:cs="仿宋" w:hint="eastAsia"/>
          <w:sz w:val="32"/>
          <w:szCs w:val="32"/>
          <w:lang w:bidi="ar"/>
        </w:rPr>
        <w:t>住房公积金（项）。</w:t>
      </w:r>
    </w:p>
    <w:p w:rsidR="002A054D" w:rsidRDefault="00000000">
      <w:pPr>
        <w:pStyle w:val="Default"/>
        <w:spacing w:line="600" w:lineRule="exact"/>
        <w:ind w:firstLineChars="200" w:firstLine="640"/>
        <w:rPr>
          <w:rFonts w:ascii="仿宋" w:eastAsia="仿宋" w:hAnsi="仿宋" w:cs="仿宋" w:hint="eastAsia"/>
          <w:sz w:val="32"/>
          <w:szCs w:val="32"/>
          <w:lang w:bidi="ar"/>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96.68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96.68</w:t>
      </w:r>
      <w:r>
        <w:rPr>
          <w:rFonts w:ascii="Times New Roman" w:eastAsia="仿宋_GB2312" w:hAnsi="Times New Roman" w:hint="eastAsia"/>
          <w:sz w:val="32"/>
          <w:szCs w:val="32"/>
        </w:rPr>
        <w:t>万元，完成年初预算</w:t>
      </w:r>
      <w:r>
        <w:rPr>
          <w:rFonts w:ascii="Times New Roman" w:eastAsia="仿宋_GB2312" w:hAnsi="Times New Roman" w:hint="eastAsia"/>
          <w:sz w:val="32"/>
          <w:szCs w:val="32"/>
        </w:rPr>
        <w:t>100%</w:t>
      </w:r>
      <w:r>
        <w:rPr>
          <w:rFonts w:ascii="Times New Roman" w:eastAsia="仿宋_GB2312" w:hAnsi="Times New Roman" w:hint="eastAsia"/>
          <w:sz w:val="32"/>
          <w:szCs w:val="32"/>
        </w:rPr>
        <w:t>，持平主要原因是：：严格按照预算安排，严控支出。</w:t>
      </w:r>
      <w:r>
        <w:rPr>
          <w:rFonts w:ascii="Times New Roman" w:eastAsia="仿宋_GB2312" w:hAnsi="Times New Roman" w:hint="eastAsia"/>
          <w:sz w:val="32"/>
          <w:szCs w:val="32"/>
        </w:rPr>
        <w:t xml:space="preserve">    </w:t>
      </w:r>
      <w:r>
        <w:rPr>
          <w:rFonts w:ascii="仿宋" w:eastAsia="仿宋" w:hAnsi="仿宋" w:cs="仿宋" w:hint="eastAsia"/>
          <w:sz w:val="32"/>
          <w:szCs w:val="32"/>
          <w:lang w:bidi="ar"/>
        </w:rPr>
        <w:t>13、粮油物资储备支出</w:t>
      </w:r>
      <w:r>
        <w:rPr>
          <w:rFonts w:ascii="仿宋" w:eastAsia="仿宋" w:hAnsi="仿宋" w:cs="仿宋" w:hint="eastAsia"/>
          <w:sz w:val="32"/>
          <w:szCs w:val="32"/>
        </w:rPr>
        <w:t>类）</w:t>
      </w:r>
      <w:r>
        <w:rPr>
          <w:rFonts w:ascii="仿宋" w:eastAsia="仿宋" w:hAnsi="仿宋" w:cs="仿宋" w:hint="eastAsia"/>
          <w:sz w:val="32"/>
          <w:szCs w:val="32"/>
          <w:lang w:bidi="ar"/>
        </w:rPr>
        <w:t>粮油物资事务</w:t>
      </w:r>
      <w:r>
        <w:rPr>
          <w:rFonts w:ascii="仿宋" w:eastAsia="仿宋" w:hAnsi="仿宋" w:cs="仿宋" w:hint="eastAsia"/>
          <w:sz w:val="32"/>
          <w:szCs w:val="32"/>
        </w:rPr>
        <w:t>（款）</w:t>
      </w:r>
      <w:r>
        <w:rPr>
          <w:rFonts w:ascii="仿宋" w:eastAsia="仿宋" w:hAnsi="仿宋" w:cs="仿宋" w:hint="eastAsia"/>
          <w:sz w:val="32"/>
          <w:szCs w:val="32"/>
          <w:lang w:bidi="ar"/>
        </w:rPr>
        <w:t>其他粮油物资事务支出（项）。</w:t>
      </w:r>
    </w:p>
    <w:p w:rsidR="002A054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8.00</w:t>
      </w:r>
      <w:r>
        <w:rPr>
          <w:rFonts w:ascii="Times New Roman" w:eastAsia="仿宋_GB2312" w:hAnsi="Times New Roman" w:hint="eastAsia"/>
          <w:sz w:val="32"/>
          <w:szCs w:val="32"/>
        </w:rPr>
        <w:t>万元，决算数大于年初预算数的主要原因是：：财政追加预算。</w:t>
      </w:r>
    </w:p>
    <w:p w:rsidR="002A054D" w:rsidRDefault="00000000">
      <w:pPr>
        <w:pStyle w:val="Default"/>
        <w:spacing w:line="60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六、一般公共预算财政拨款基本支出决算情况说明</w:t>
      </w:r>
    </w:p>
    <w:p w:rsidR="002A054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2024年度一般公共预算财政拨款基本支出2228.35万元，其中：</w:t>
      </w:r>
    </w:p>
    <w:p w:rsidR="002A054D" w:rsidRDefault="00000000">
      <w:pPr>
        <w:pStyle w:val="Default"/>
        <w:spacing w:line="600" w:lineRule="exact"/>
        <w:ind w:firstLineChars="200" w:firstLine="643"/>
        <w:rPr>
          <w:rFonts w:ascii="仿宋" w:eastAsia="仿宋" w:hAnsi="仿宋" w:cs="仿宋" w:hint="eastAsia"/>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2054.59</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92.20%</w:t>
      </w:r>
      <w:r>
        <w:rPr>
          <w:rFonts w:ascii="Times New Roman" w:eastAsia="仿宋_GB2312" w:hAnsi="Times New Roman" w:hint="eastAsia"/>
          <w:sz w:val="32"/>
          <w:szCs w:val="32"/>
        </w:rPr>
        <w:t>，主要包括基本工资、津贴补贴、奖金、绩效工资、</w:t>
      </w:r>
      <w:r>
        <w:rPr>
          <w:rFonts w:ascii="仿宋" w:eastAsia="仿宋" w:hAnsi="仿宋" w:cs="仿宋" w:hint="eastAsia"/>
          <w:sz w:val="32"/>
          <w:szCs w:val="32"/>
        </w:rPr>
        <w:t>机关事业单位基本养老保险、职工基本医疗保险缴费、住房公积金、对个人和家庭的补助等。</w:t>
      </w:r>
    </w:p>
    <w:p w:rsidR="002A054D" w:rsidRDefault="00000000">
      <w:pPr>
        <w:pStyle w:val="Default"/>
        <w:ind w:firstLineChars="200" w:firstLine="643"/>
        <w:rPr>
          <w:rFonts w:ascii="Times New Roman" w:eastAsia="仿宋_GB2312" w:hAnsi="Times New Roman"/>
          <w:b/>
          <w:sz w:val="32"/>
          <w:szCs w:val="32"/>
        </w:rPr>
      </w:pPr>
      <w:r>
        <w:rPr>
          <w:rFonts w:ascii="Times New Roman" w:eastAsia="仿宋_GB2312" w:hAnsi="Times New Roman" w:hint="eastAsia"/>
          <w:b/>
          <w:bCs/>
          <w:sz w:val="32"/>
          <w:szCs w:val="32"/>
        </w:rPr>
        <w:lastRenderedPageBreak/>
        <w:t>公用经费</w:t>
      </w:r>
      <w:r>
        <w:rPr>
          <w:rFonts w:ascii="Times New Roman" w:eastAsia="仿宋_GB2312" w:hAnsi="Times New Roman" w:hint="eastAsia"/>
          <w:sz w:val="32"/>
          <w:szCs w:val="32"/>
        </w:rPr>
        <w:t>173.76</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7.80%</w:t>
      </w:r>
      <w:r>
        <w:rPr>
          <w:rFonts w:ascii="Times New Roman" w:eastAsia="仿宋_GB2312" w:hAnsi="Times New Roman" w:hint="eastAsia"/>
          <w:sz w:val="32"/>
          <w:szCs w:val="32"/>
        </w:rPr>
        <w:t>，主要包括办公费、印刷费、咨询费、</w:t>
      </w:r>
      <w:proofErr w:type="gramStart"/>
      <w:r>
        <w:rPr>
          <w:rFonts w:ascii="仿宋_GB2312" w:eastAsia="仿宋_GB2312" w:hAnsi="仿宋_GB2312" w:cs="仿宋_GB2312" w:hint="eastAsia"/>
          <w:sz w:val="32"/>
          <w:szCs w:val="32"/>
        </w:rPr>
        <w:t>水费.</w:t>
      </w:r>
      <w:proofErr w:type="gramEnd"/>
      <w:r>
        <w:rPr>
          <w:rFonts w:ascii="仿宋_GB2312" w:eastAsia="仿宋_GB2312" w:hAnsi="仿宋_GB2312" w:cs="仿宋_GB2312" w:hint="eastAsia"/>
          <w:sz w:val="32"/>
          <w:szCs w:val="32"/>
        </w:rPr>
        <w:t>电费、差旅费、维护费、会议费、培训费、公务接待费、劳务费、工会经费、公务用车运行维护费、其他交通费、其他商品服务支出。</w:t>
      </w:r>
    </w:p>
    <w:p w:rsidR="002A054D" w:rsidRDefault="002A054D">
      <w:pPr>
        <w:pStyle w:val="Default"/>
        <w:overflowPunct w:val="0"/>
        <w:autoSpaceDE/>
        <w:autoSpaceDN/>
        <w:spacing w:line="600" w:lineRule="exact"/>
        <w:ind w:firstLineChars="200" w:firstLine="640"/>
        <w:jc w:val="both"/>
        <w:rPr>
          <w:rFonts w:ascii="仿宋" w:eastAsia="仿宋" w:hAnsi="仿宋" w:cs="仿宋" w:hint="eastAsia"/>
          <w:sz w:val="32"/>
          <w:szCs w:val="32"/>
        </w:rPr>
      </w:pP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
          <w:sz w:val="32"/>
          <w:szCs w:val="32"/>
        </w:rPr>
      </w:pPr>
      <w:r>
        <w:rPr>
          <w:rFonts w:ascii="仿宋" w:eastAsia="仿宋" w:hAnsi="仿宋" w:cs="仿宋" w:hint="eastAsia"/>
          <w:bCs/>
          <w:sz w:val="32"/>
          <w:szCs w:val="32"/>
        </w:rPr>
        <w:t>七、财政拨款“三公”经费支出决算情况说明</w:t>
      </w:r>
      <w:r>
        <w:rPr>
          <w:rFonts w:ascii="仿宋" w:eastAsia="仿宋" w:hAnsi="仿宋" w:cs="仿宋" w:hint="eastAsia"/>
          <w:b/>
          <w:bCs/>
          <w:i/>
          <w:color w:val="auto"/>
          <w:sz w:val="32"/>
          <w:szCs w:val="32"/>
        </w:rPr>
        <w:t>（注意：“三公”经费不再是一般公共预算财政拨款口径，而是财政拨款口径）</w:t>
      </w:r>
    </w:p>
    <w:p w:rsidR="002A054D" w:rsidRDefault="00000000">
      <w:pPr>
        <w:pStyle w:val="Default"/>
        <w:overflowPunct w:val="0"/>
        <w:autoSpaceDE/>
        <w:autoSpaceDN/>
        <w:spacing w:line="600" w:lineRule="exact"/>
        <w:ind w:firstLineChars="200" w:firstLine="643"/>
        <w:jc w:val="both"/>
        <w:rPr>
          <w:rFonts w:ascii="仿宋" w:eastAsia="仿宋" w:hAnsi="仿宋" w:cs="仿宋" w:hint="eastAsia"/>
          <w:b/>
          <w:sz w:val="32"/>
          <w:szCs w:val="32"/>
        </w:rPr>
      </w:pPr>
      <w:r>
        <w:rPr>
          <w:rFonts w:ascii="仿宋" w:eastAsia="仿宋" w:hAnsi="仿宋" w:cs="仿宋" w:hint="eastAsia"/>
          <w:b/>
          <w:sz w:val="32"/>
          <w:szCs w:val="32"/>
        </w:rPr>
        <w:t>（一）“三公”经费财政拨款支出决算总体情况说明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highlight w:val="yellow"/>
        </w:rPr>
      </w:pPr>
      <w:r>
        <w:rPr>
          <w:rFonts w:ascii="仿宋" w:eastAsia="仿宋" w:hAnsi="仿宋" w:cs="仿宋" w:hint="eastAsia"/>
          <w:sz w:val="32"/>
          <w:szCs w:val="32"/>
        </w:rPr>
        <w:t>2024年度“三公”经费财政拨款支出预算为7.60万元，支出决算为4.63万元，完成预算的60.92%；与上年相比减少3.01万元，降低39.40%。决算数小于预算数的主要原因是严控“三公”经费支出。决算数小于上年数的主要原因是按照</w:t>
      </w:r>
      <w:r w:rsidR="00A81866">
        <w:rPr>
          <w:rFonts w:ascii="仿宋" w:eastAsia="仿宋" w:hAnsi="仿宋" w:cs="仿宋" w:hint="eastAsia"/>
          <w:sz w:val="32"/>
          <w:szCs w:val="32"/>
        </w:rPr>
        <w:t>中央八项规定</w:t>
      </w:r>
      <w:r>
        <w:rPr>
          <w:rFonts w:ascii="仿宋" w:eastAsia="仿宋" w:hAnsi="仿宋" w:cs="仿宋" w:hint="eastAsia"/>
          <w:sz w:val="32"/>
          <w:szCs w:val="32"/>
        </w:rPr>
        <w:t>，严控公务用车和公务接待。</w:t>
      </w:r>
    </w:p>
    <w:p w:rsidR="002A054D" w:rsidRDefault="00000000">
      <w:pPr>
        <w:pStyle w:val="Default"/>
        <w:overflowPunct w:val="0"/>
        <w:autoSpaceDE/>
        <w:autoSpaceDN/>
        <w:spacing w:line="600" w:lineRule="exact"/>
        <w:ind w:firstLineChars="200" w:firstLine="643"/>
        <w:jc w:val="both"/>
        <w:rPr>
          <w:rFonts w:ascii="仿宋" w:eastAsia="仿宋" w:hAnsi="仿宋" w:cs="仿宋" w:hint="eastAsia"/>
          <w:b/>
          <w:sz w:val="32"/>
          <w:szCs w:val="32"/>
        </w:rPr>
      </w:pPr>
      <w:r>
        <w:rPr>
          <w:rFonts w:ascii="仿宋" w:eastAsia="仿宋" w:hAnsi="仿宋" w:cs="仿宋" w:hint="eastAsia"/>
          <w:b/>
          <w:sz w:val="32"/>
          <w:szCs w:val="32"/>
        </w:rPr>
        <w:t>（二）“三公”经费财政拨款支出决算具体情况说明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1.因公出国（境）费支出预算为0万元，支出决算为0万元，因预算数和决算数均为0，无法计算。与上年相比无增减变化。决算数与预算数持平的主要原因是本单位安排因公出国（境）团组0个，累计0人次。</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2.公务用车购置费及运行维护费支出预算为4.40万元，支出决算为3.33万元，完成预算的75.68%；与上年相比减少1.83万元，降低35.47%。其中：</w:t>
      </w:r>
    </w:p>
    <w:p w:rsidR="002A054D" w:rsidRDefault="00000000">
      <w:pPr>
        <w:pStyle w:val="Default"/>
        <w:spacing w:line="600" w:lineRule="exact"/>
        <w:ind w:firstLineChars="250" w:firstLine="800"/>
        <w:rPr>
          <w:rFonts w:ascii="Times New Roman" w:eastAsia="仿宋_GB2312" w:hAnsi="Times New Roman"/>
          <w:sz w:val="32"/>
          <w:szCs w:val="32"/>
        </w:rPr>
      </w:pPr>
      <w:r>
        <w:rPr>
          <w:rFonts w:ascii="仿宋" w:eastAsia="仿宋" w:hAnsi="仿宋" w:cs="仿宋" w:hint="eastAsia"/>
          <w:sz w:val="32"/>
          <w:szCs w:val="32"/>
        </w:rPr>
        <w:t>公务用车购置费支出预算为0万元，支出决算为0万元，</w:t>
      </w:r>
      <w:r>
        <w:rPr>
          <w:rFonts w:ascii="Times New Roman" w:eastAsia="仿宋_GB2312" w:hAnsi="Times New Roman" w:hint="eastAsia"/>
          <w:sz w:val="32"/>
          <w:szCs w:val="32"/>
        </w:rPr>
        <w:t>与</w:t>
      </w:r>
      <w:r>
        <w:rPr>
          <w:rFonts w:ascii="Times New Roman" w:eastAsia="仿宋_GB2312" w:hAnsi="Times New Roman" w:hint="eastAsia"/>
          <w:sz w:val="32"/>
          <w:szCs w:val="32"/>
        </w:rPr>
        <w:lastRenderedPageBreak/>
        <w:t>上年相比无增减变化。决算数与预算数持平的主要原因是本单位没有购置公务用车。</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公务用车运行维护费支出预算为3.33万元，支出决算为3.33万元，</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主要是</w:t>
      </w:r>
      <w:r>
        <w:rPr>
          <w:rFonts w:ascii="Times New Roman" w:eastAsia="仿宋_GB2312" w:hAnsi="Times New Roman" w:hint="eastAsia"/>
          <w:sz w:val="32"/>
          <w:szCs w:val="32"/>
        </w:rPr>
        <w:t>燃油、保险、维修</w:t>
      </w:r>
      <w:r>
        <w:rPr>
          <w:rFonts w:ascii="仿宋" w:eastAsia="仿宋" w:hAnsi="仿宋" w:cs="仿宋" w:hint="eastAsia"/>
          <w:sz w:val="32"/>
          <w:szCs w:val="32"/>
        </w:rPr>
        <w:t>支出，完成预算的100%；与上年相比减少1.83万元，降低35.47%。决算数与预算数持平的主要原因是严控公车使用。决算数小于上年数的主要原因是按照中央的规定，节约开支。截止2024年12月31日，我单位开支财政拨款的公务用车保有量为1辆。</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3.公务接待费支出预算为1.30万元，支出决算为1.30万元，完成预算的100%；与上年相比减少1.90万元，降低59.38%。决算数与预算数持平的主要原因是严控接待费的支出。决算数小于上年数的主要原因是主要接待次数、人数均大幅减少。2024年度共接待来访团组68个、来宾426人次，主要是</w:t>
      </w:r>
      <w:r>
        <w:rPr>
          <w:rFonts w:ascii="Times New Roman" w:eastAsia="仿宋_GB2312" w:hAnsi="Times New Roman" w:hint="eastAsia"/>
          <w:sz w:val="32"/>
          <w:szCs w:val="32"/>
        </w:rPr>
        <w:t>上级督查工作、调研</w:t>
      </w:r>
      <w:r>
        <w:rPr>
          <w:rFonts w:ascii="仿宋" w:eastAsia="仿宋" w:hAnsi="仿宋" w:cs="仿宋" w:hint="eastAsia"/>
          <w:sz w:val="32"/>
          <w:szCs w:val="32"/>
        </w:rPr>
        <w:t>发生的接待支出。</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八、政府性基金预算收入支出决算情况</w:t>
      </w:r>
    </w:p>
    <w:p w:rsidR="002A054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2024年度政府性基金预算财政拨款收入52.22万元；年初结转和结余0万元；支出52.22万元，其中基本支出0万元，项目支出52.22万元；年末结转和结余0万元。具体情况如下：</w:t>
      </w:r>
    </w:p>
    <w:p w:rsidR="002A054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hint="eastAsia"/>
          <w:sz w:val="32"/>
          <w:szCs w:val="32"/>
          <w:lang w:bidi="ar"/>
        </w:rPr>
        <w:t>城乡社区支出</w:t>
      </w:r>
      <w:r>
        <w:rPr>
          <w:rFonts w:ascii="仿宋" w:eastAsia="仿宋" w:hAnsi="仿宋" w:cs="仿宋" w:hint="eastAsia"/>
          <w:sz w:val="32"/>
          <w:szCs w:val="32"/>
        </w:rPr>
        <w:t>（类）</w:t>
      </w:r>
      <w:r>
        <w:rPr>
          <w:rFonts w:ascii="仿宋" w:eastAsia="仿宋" w:hAnsi="仿宋" w:cs="仿宋" w:hint="eastAsia"/>
          <w:sz w:val="32"/>
          <w:szCs w:val="32"/>
          <w:lang w:bidi="ar"/>
        </w:rPr>
        <w:t>国有土地使用权出让收入安排的支出</w:t>
      </w:r>
      <w:r>
        <w:rPr>
          <w:rFonts w:ascii="仿宋" w:eastAsia="仿宋" w:hAnsi="仿宋" w:cs="仿宋" w:hint="eastAsia"/>
          <w:sz w:val="32"/>
          <w:szCs w:val="32"/>
        </w:rPr>
        <w:t>（款）</w:t>
      </w:r>
      <w:r>
        <w:rPr>
          <w:rFonts w:ascii="仿宋" w:eastAsia="仿宋" w:hAnsi="仿宋" w:cs="仿宋" w:hint="eastAsia"/>
          <w:sz w:val="32"/>
          <w:szCs w:val="32"/>
          <w:lang w:bidi="ar"/>
        </w:rPr>
        <w:t>城市建设支出</w:t>
      </w:r>
      <w:r>
        <w:rPr>
          <w:rFonts w:ascii="仿宋" w:eastAsia="仿宋" w:hAnsi="仿宋" w:cs="仿宋" w:hint="eastAsia"/>
          <w:sz w:val="32"/>
          <w:szCs w:val="32"/>
        </w:rPr>
        <w:t>（项）。</w:t>
      </w:r>
    </w:p>
    <w:p w:rsidR="002A054D" w:rsidRDefault="00000000">
      <w:pPr>
        <w:pStyle w:val="ac"/>
        <w:widowControl/>
        <w:numPr>
          <w:ilvl w:val="255"/>
          <w:numId w:val="0"/>
        </w:numPr>
        <w:spacing w:before="0" w:beforeAutospacing="0" w:after="0" w:afterAutospacing="0" w:line="20" w:lineRule="atLeast"/>
        <w:ind w:firstLineChars="200" w:firstLine="640"/>
        <w:rPr>
          <w:rFonts w:ascii="Times New Roman" w:eastAsia="仿宋_GB2312" w:hAnsi="Times New Roman" w:cstheme="minorBidi"/>
          <w:kern w:val="2"/>
          <w:sz w:val="32"/>
          <w:szCs w:val="32"/>
        </w:rPr>
      </w:pPr>
      <w:r>
        <w:rPr>
          <w:rFonts w:ascii="仿宋" w:eastAsia="仿宋" w:hAnsi="仿宋" w:cs="仿宋" w:hint="eastAsia"/>
          <w:sz w:val="32"/>
          <w:szCs w:val="32"/>
        </w:rPr>
        <w:t>年初预算为0万元，支出决算为4.37万元，</w:t>
      </w:r>
      <w:r>
        <w:rPr>
          <w:rFonts w:ascii="Times New Roman" w:eastAsia="仿宋_GB2312" w:hAnsi="Times New Roman" w:cstheme="minorBidi" w:hint="eastAsia"/>
          <w:kern w:val="2"/>
          <w:sz w:val="32"/>
          <w:szCs w:val="32"/>
        </w:rPr>
        <w:t>决算数大于年初预算数的主要原因是：财政追加预算</w:t>
      </w:r>
      <w:r>
        <w:rPr>
          <w:rFonts w:ascii="Times New Roman" w:hAnsi="Times New Roman" w:hint="eastAsia"/>
          <w:sz w:val="32"/>
          <w:szCs w:val="32"/>
        </w:rPr>
        <w:t>。</w:t>
      </w:r>
    </w:p>
    <w:p w:rsidR="002A054D" w:rsidRDefault="00000000">
      <w:pPr>
        <w:pStyle w:val="Default"/>
        <w:numPr>
          <w:ilvl w:val="0"/>
          <w:numId w:val="2"/>
        </w:numPr>
        <w:spacing w:line="600" w:lineRule="exact"/>
        <w:ind w:firstLine="640"/>
        <w:rPr>
          <w:rFonts w:ascii="仿宋" w:eastAsia="仿宋" w:hAnsi="仿宋" w:cs="仿宋" w:hint="eastAsia"/>
          <w:sz w:val="32"/>
          <w:szCs w:val="32"/>
        </w:rPr>
      </w:pPr>
      <w:r>
        <w:rPr>
          <w:rFonts w:ascii="仿宋" w:eastAsia="仿宋" w:hAnsi="仿宋" w:cs="仿宋" w:hint="eastAsia"/>
          <w:sz w:val="32"/>
          <w:szCs w:val="32"/>
          <w:lang w:bidi="ar"/>
        </w:rPr>
        <w:lastRenderedPageBreak/>
        <w:t>城乡社区支出</w:t>
      </w:r>
      <w:r>
        <w:rPr>
          <w:rFonts w:ascii="仿宋" w:eastAsia="仿宋" w:hAnsi="仿宋" w:cs="仿宋" w:hint="eastAsia"/>
          <w:sz w:val="32"/>
          <w:szCs w:val="32"/>
        </w:rPr>
        <w:t>（类）</w:t>
      </w:r>
      <w:r>
        <w:rPr>
          <w:rFonts w:ascii="仿宋" w:eastAsia="仿宋" w:hAnsi="仿宋" w:cs="仿宋" w:hint="eastAsia"/>
          <w:sz w:val="32"/>
          <w:szCs w:val="32"/>
          <w:lang w:bidi="ar"/>
        </w:rPr>
        <w:t>国有土地使用权出让收入安排的支出</w:t>
      </w:r>
      <w:r>
        <w:rPr>
          <w:rFonts w:ascii="仿宋" w:eastAsia="仿宋" w:hAnsi="仿宋" w:cs="仿宋" w:hint="eastAsia"/>
          <w:sz w:val="32"/>
          <w:szCs w:val="32"/>
        </w:rPr>
        <w:t>（款）</w:t>
      </w:r>
      <w:r>
        <w:rPr>
          <w:rFonts w:ascii="仿宋" w:eastAsia="仿宋" w:hAnsi="仿宋" w:cs="仿宋" w:hint="eastAsia"/>
          <w:sz w:val="32"/>
          <w:szCs w:val="32"/>
          <w:lang w:bidi="ar"/>
        </w:rPr>
        <w:t>农业农村生态环境支出</w:t>
      </w:r>
      <w:r>
        <w:rPr>
          <w:rFonts w:ascii="仿宋" w:eastAsia="仿宋" w:hAnsi="仿宋" w:cs="仿宋" w:hint="eastAsia"/>
          <w:sz w:val="32"/>
          <w:szCs w:val="32"/>
        </w:rPr>
        <w:t>（项）。</w:t>
      </w:r>
    </w:p>
    <w:p w:rsidR="002A054D" w:rsidRDefault="00000000">
      <w:pPr>
        <w:pStyle w:val="ac"/>
        <w:widowControl/>
        <w:numPr>
          <w:ilvl w:val="255"/>
          <w:numId w:val="0"/>
        </w:numPr>
        <w:spacing w:before="0" w:beforeAutospacing="0" w:after="0" w:afterAutospacing="0" w:line="20" w:lineRule="atLeast"/>
        <w:ind w:firstLineChars="200" w:firstLine="640"/>
        <w:rPr>
          <w:rFonts w:ascii="Times New Roman" w:eastAsia="仿宋_GB2312" w:hAnsi="Times New Roman" w:cstheme="minorBidi"/>
          <w:kern w:val="2"/>
          <w:sz w:val="32"/>
          <w:szCs w:val="32"/>
        </w:rPr>
      </w:pPr>
      <w:r>
        <w:rPr>
          <w:rFonts w:ascii="仿宋" w:eastAsia="仿宋" w:hAnsi="仿宋" w:cs="仿宋" w:hint="eastAsia"/>
          <w:sz w:val="32"/>
          <w:szCs w:val="32"/>
        </w:rPr>
        <w:t>年初预算为0万元，支出决算为19.69万元，</w:t>
      </w:r>
      <w:r>
        <w:rPr>
          <w:rFonts w:ascii="Times New Roman" w:eastAsia="仿宋_GB2312" w:hAnsi="Times New Roman" w:cstheme="minorBidi" w:hint="eastAsia"/>
          <w:kern w:val="2"/>
          <w:sz w:val="32"/>
          <w:szCs w:val="32"/>
        </w:rPr>
        <w:t>决算数大于年初预算数的主要原因是：财政追加预算</w:t>
      </w:r>
      <w:r>
        <w:rPr>
          <w:rFonts w:ascii="Times New Roman" w:hAnsi="Times New Roman" w:hint="eastAsia"/>
          <w:sz w:val="32"/>
          <w:szCs w:val="32"/>
        </w:rPr>
        <w:t>。</w:t>
      </w:r>
    </w:p>
    <w:p w:rsidR="002A054D" w:rsidRDefault="002A054D">
      <w:pPr>
        <w:pStyle w:val="Default"/>
        <w:spacing w:line="600" w:lineRule="exact"/>
        <w:ind w:firstLineChars="200" w:firstLine="640"/>
        <w:rPr>
          <w:rFonts w:ascii="仿宋" w:eastAsia="仿宋" w:hAnsi="仿宋" w:cs="仿宋" w:hint="eastAsia"/>
          <w:sz w:val="32"/>
          <w:szCs w:val="32"/>
        </w:rPr>
      </w:pPr>
    </w:p>
    <w:p w:rsidR="002A054D" w:rsidRDefault="00000000">
      <w:pPr>
        <w:pStyle w:val="Default"/>
        <w:numPr>
          <w:ilvl w:val="0"/>
          <w:numId w:val="3"/>
        </w:num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lang w:bidi="ar"/>
        </w:rPr>
        <w:t>城乡社区支出</w:t>
      </w:r>
      <w:r>
        <w:rPr>
          <w:rFonts w:ascii="仿宋" w:eastAsia="仿宋" w:hAnsi="仿宋" w:cs="仿宋" w:hint="eastAsia"/>
          <w:sz w:val="32"/>
          <w:szCs w:val="32"/>
        </w:rPr>
        <w:t>（类）</w:t>
      </w:r>
      <w:r>
        <w:rPr>
          <w:rFonts w:ascii="仿宋" w:eastAsia="仿宋" w:hAnsi="仿宋" w:cs="仿宋" w:hint="eastAsia"/>
          <w:sz w:val="32"/>
          <w:szCs w:val="32"/>
          <w:lang w:bidi="ar"/>
        </w:rPr>
        <w:t>国有土地使用权出让收入安排的支出</w:t>
      </w:r>
      <w:r>
        <w:rPr>
          <w:rFonts w:ascii="仿宋" w:eastAsia="仿宋" w:hAnsi="仿宋" w:cs="仿宋" w:hint="eastAsia"/>
          <w:sz w:val="32"/>
          <w:szCs w:val="32"/>
        </w:rPr>
        <w:t>（款）其他国有土地使用权出让收入安排的支出（项）。</w:t>
      </w:r>
    </w:p>
    <w:p w:rsidR="002A054D" w:rsidRDefault="00000000">
      <w:pPr>
        <w:pStyle w:val="ac"/>
        <w:widowControl/>
        <w:numPr>
          <w:ilvl w:val="255"/>
          <w:numId w:val="0"/>
        </w:numPr>
        <w:spacing w:before="0" w:beforeAutospacing="0" w:after="0" w:afterAutospacing="0" w:line="20" w:lineRule="atLeast"/>
        <w:ind w:firstLineChars="200" w:firstLine="640"/>
        <w:rPr>
          <w:rFonts w:ascii="Times New Roman" w:eastAsia="仿宋_GB2312" w:hAnsi="Times New Roman" w:cstheme="minorBidi"/>
          <w:kern w:val="2"/>
          <w:sz w:val="32"/>
          <w:szCs w:val="32"/>
        </w:rPr>
      </w:pPr>
      <w:r>
        <w:rPr>
          <w:rFonts w:ascii="仿宋" w:eastAsia="仿宋" w:hAnsi="仿宋" w:cs="仿宋" w:hint="eastAsia"/>
          <w:sz w:val="32"/>
          <w:szCs w:val="32"/>
        </w:rPr>
        <w:t>年初预算为0万元，支出决算为27.33万元，</w:t>
      </w:r>
      <w:r>
        <w:rPr>
          <w:rFonts w:ascii="Times New Roman" w:eastAsia="仿宋_GB2312" w:hAnsi="Times New Roman" w:cstheme="minorBidi" w:hint="eastAsia"/>
          <w:kern w:val="2"/>
          <w:sz w:val="32"/>
          <w:szCs w:val="32"/>
        </w:rPr>
        <w:t>决算数大于年初预算数的主要原因是：财政追加预算</w:t>
      </w:r>
      <w:r>
        <w:rPr>
          <w:rFonts w:ascii="Times New Roman" w:hAnsi="Times New Roman" w:hint="eastAsia"/>
          <w:sz w:val="32"/>
          <w:szCs w:val="32"/>
        </w:rPr>
        <w:t>。</w:t>
      </w:r>
    </w:p>
    <w:p w:rsidR="002A054D"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w:t>
      </w:r>
      <w:r>
        <w:rPr>
          <w:rFonts w:ascii="仿宋" w:eastAsia="仿宋" w:hAnsi="仿宋" w:cs="仿宋" w:hint="eastAsia"/>
          <w:sz w:val="32"/>
          <w:szCs w:val="32"/>
          <w:lang w:bidi="ar"/>
        </w:rPr>
        <w:t>城乡社区支出</w:t>
      </w:r>
      <w:r>
        <w:rPr>
          <w:rFonts w:ascii="仿宋" w:eastAsia="仿宋" w:hAnsi="仿宋" w:cs="仿宋" w:hint="eastAsia"/>
          <w:sz w:val="32"/>
          <w:szCs w:val="32"/>
        </w:rPr>
        <w:t>（类）</w:t>
      </w:r>
      <w:r>
        <w:rPr>
          <w:rFonts w:ascii="仿宋" w:eastAsia="仿宋" w:hAnsi="仿宋" w:cs="仿宋" w:hint="eastAsia"/>
          <w:sz w:val="32"/>
          <w:szCs w:val="32"/>
          <w:lang w:bidi="ar"/>
        </w:rPr>
        <w:t>城市基础设施配套费安排的支出</w:t>
      </w:r>
      <w:r>
        <w:rPr>
          <w:rFonts w:ascii="仿宋" w:eastAsia="仿宋" w:hAnsi="仿宋" w:cs="仿宋" w:hint="eastAsia"/>
          <w:sz w:val="32"/>
          <w:szCs w:val="32"/>
        </w:rPr>
        <w:t>（款）</w:t>
      </w:r>
      <w:r>
        <w:rPr>
          <w:rFonts w:ascii="仿宋" w:eastAsia="仿宋" w:hAnsi="仿宋" w:cs="仿宋" w:hint="eastAsia"/>
          <w:sz w:val="32"/>
          <w:szCs w:val="32"/>
          <w:lang w:bidi="ar"/>
        </w:rPr>
        <w:t>其他城市基础设施配套费安排的支出</w:t>
      </w:r>
      <w:r>
        <w:rPr>
          <w:rFonts w:ascii="仿宋" w:eastAsia="仿宋" w:hAnsi="仿宋" w:cs="仿宋" w:hint="eastAsia"/>
          <w:sz w:val="32"/>
          <w:szCs w:val="32"/>
        </w:rPr>
        <w:t>（项）。</w:t>
      </w:r>
    </w:p>
    <w:p w:rsidR="002A054D" w:rsidRDefault="00000000">
      <w:pPr>
        <w:pStyle w:val="ac"/>
        <w:widowControl/>
        <w:numPr>
          <w:ilvl w:val="255"/>
          <w:numId w:val="0"/>
        </w:numPr>
        <w:spacing w:before="0" w:beforeAutospacing="0" w:after="0" w:afterAutospacing="0" w:line="20" w:lineRule="atLeast"/>
        <w:ind w:firstLineChars="200" w:firstLine="640"/>
        <w:rPr>
          <w:rFonts w:ascii="Times New Roman" w:eastAsia="仿宋_GB2312" w:hAnsi="Times New Roman" w:cstheme="minorBidi"/>
          <w:kern w:val="2"/>
          <w:sz w:val="32"/>
          <w:szCs w:val="32"/>
        </w:rPr>
      </w:pPr>
      <w:r>
        <w:rPr>
          <w:rFonts w:ascii="仿宋" w:eastAsia="仿宋" w:hAnsi="仿宋" w:cs="仿宋" w:hint="eastAsia"/>
          <w:sz w:val="32"/>
          <w:szCs w:val="32"/>
        </w:rPr>
        <w:t>年初预算为0万元，支出决算为0.83万元，</w:t>
      </w:r>
      <w:r>
        <w:rPr>
          <w:rFonts w:ascii="Times New Roman" w:eastAsia="仿宋_GB2312" w:hAnsi="Times New Roman" w:cstheme="minorBidi" w:hint="eastAsia"/>
          <w:kern w:val="2"/>
          <w:sz w:val="32"/>
          <w:szCs w:val="32"/>
        </w:rPr>
        <w:t>决算数大于年初预算数的主要原因是：财政追加预算</w:t>
      </w:r>
      <w:r>
        <w:rPr>
          <w:rFonts w:ascii="Times New Roman" w:hAnsi="Times New Roman" w:hint="eastAsia"/>
          <w:sz w:val="32"/>
          <w:szCs w:val="32"/>
        </w:rPr>
        <w:t>。</w:t>
      </w:r>
    </w:p>
    <w:p w:rsidR="002A054D" w:rsidRDefault="002A054D">
      <w:pPr>
        <w:pStyle w:val="Default"/>
        <w:overflowPunct w:val="0"/>
        <w:autoSpaceDE/>
        <w:autoSpaceDN/>
        <w:spacing w:line="600" w:lineRule="exact"/>
        <w:ind w:firstLineChars="200" w:firstLine="643"/>
        <w:jc w:val="both"/>
        <w:rPr>
          <w:rFonts w:ascii="仿宋" w:eastAsia="仿宋" w:hAnsi="仿宋" w:cs="仿宋" w:hint="eastAsia"/>
          <w:b/>
          <w:bCs/>
          <w:i/>
          <w:color w:val="auto"/>
          <w:sz w:val="32"/>
          <w:szCs w:val="32"/>
        </w:rPr>
      </w:pP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九、关于机关运行经费支出说明</w:t>
      </w:r>
    </w:p>
    <w:p w:rsidR="002A054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仿宋" w:eastAsia="仿宋" w:hAnsi="仿宋" w:cs="仿宋" w:hint="eastAsia"/>
          <w:sz w:val="32"/>
          <w:szCs w:val="32"/>
        </w:rPr>
        <w:t>本部门2024年度机关运行经费支出173.76万元，比年初预算数减少42.84万元，降低19.78%。主要原因是：</w:t>
      </w:r>
      <w:r>
        <w:rPr>
          <w:rFonts w:ascii="Times New Roman" w:eastAsia="仿宋_GB2312" w:hAnsi="Times New Roman" w:hint="eastAsia"/>
          <w:sz w:val="32"/>
          <w:szCs w:val="32"/>
        </w:rPr>
        <w:t>开源节流，节省开支。</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十、一般性支出情况说明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2024年本部门开支会议费0.22万元，用于召开</w:t>
      </w:r>
      <w:r>
        <w:rPr>
          <w:rFonts w:ascii="Times New Roman" w:eastAsia="仿宋_GB2312" w:hAnsi="Times New Roman" w:hint="eastAsia"/>
          <w:sz w:val="32"/>
          <w:szCs w:val="32"/>
        </w:rPr>
        <w:t>乡村振兴、综治维稳、防汛抗旱、道路交通、安全生产等会议</w:t>
      </w:r>
      <w:r>
        <w:rPr>
          <w:rFonts w:ascii="仿宋" w:eastAsia="仿宋" w:hAnsi="仿宋" w:cs="仿宋" w:hint="eastAsia"/>
          <w:sz w:val="32"/>
          <w:szCs w:val="32"/>
        </w:rPr>
        <w:t>，人数326人，内容为资料费等；开支培训费1.72万元，用于开展村会计业务培训及就业培训，人数620人，内容为资料费及宣传费等；</w:t>
      </w:r>
      <w:r>
        <w:rPr>
          <w:rFonts w:ascii="仿宋" w:eastAsia="仿宋" w:hAnsi="仿宋" w:cs="仿宋" w:hint="eastAsia"/>
          <w:sz w:val="32"/>
          <w:szCs w:val="32"/>
        </w:rPr>
        <w:lastRenderedPageBreak/>
        <w:t>举办0场节庆、晚会、论坛、赛事活动，开支0万元。</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sz w:val="32"/>
          <w:szCs w:val="32"/>
        </w:rPr>
      </w:pPr>
      <w:r>
        <w:rPr>
          <w:rFonts w:ascii="仿宋" w:eastAsia="仿宋" w:hAnsi="仿宋" w:cs="仿宋" w:hint="eastAsia"/>
          <w:bCs/>
          <w:sz w:val="32"/>
          <w:szCs w:val="32"/>
        </w:rPr>
        <w:t>十一、关于政府采购支出说明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color w:val="auto"/>
          <w:sz w:val="32"/>
          <w:szCs w:val="32"/>
        </w:rPr>
      </w:pPr>
      <w:r>
        <w:rPr>
          <w:rFonts w:ascii="仿宋" w:eastAsia="仿宋" w:hAnsi="仿宋" w:cs="仿宋" w:hint="eastAsia"/>
          <w:sz w:val="32"/>
          <w:szCs w:val="32"/>
        </w:rPr>
        <w:t>本部门2024年度政府采购支出总额103.77万元，其中：政府采购货物支出103.77万元、政府采购工程支出0万元、政府采购服务支出0万元。授予中小企业合同金额103.77万元，占政府采购支出总额的100%，其中：授予小微企业合同金额103.77万元，</w:t>
      </w:r>
      <w:r>
        <w:rPr>
          <w:rFonts w:ascii="仿宋" w:eastAsia="仿宋" w:hAnsi="仿宋" w:cs="仿宋" w:hint="eastAsia"/>
          <w:color w:val="auto"/>
          <w:sz w:val="32"/>
          <w:szCs w:val="32"/>
        </w:rPr>
        <w:t>占授予中小企业合同金额的100%。货物采购授予中小企业合同金额占货物支出金额的100%，工程采购授予中小企业合同金额为0，无法计算，服务采购授予中小企业合同金额为0，无法计算。</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color w:val="auto"/>
          <w:sz w:val="32"/>
          <w:szCs w:val="32"/>
        </w:rPr>
      </w:pPr>
      <w:r>
        <w:rPr>
          <w:rFonts w:ascii="仿宋" w:eastAsia="仿宋" w:hAnsi="仿宋" w:cs="仿宋" w:hint="eastAsia"/>
          <w:bCs/>
          <w:color w:val="auto"/>
          <w:sz w:val="32"/>
          <w:szCs w:val="32"/>
        </w:rPr>
        <w:t>十二、关于国有资产占用情况说明</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color w:val="auto"/>
          <w:sz w:val="32"/>
          <w:szCs w:val="32"/>
        </w:rPr>
      </w:pPr>
      <w:r>
        <w:rPr>
          <w:rFonts w:ascii="仿宋" w:eastAsia="仿宋" w:hAnsi="仿宋" w:cs="仿宋" w:hint="eastAsia"/>
          <w:color w:val="auto"/>
          <w:sz w:val="32"/>
          <w:szCs w:val="32"/>
        </w:rPr>
        <w:t>截至2024年12月31日，部门（单位）共有车辆1辆，其中，副部（省）级及以上领导用车0辆、主要负责人用车0辆、机要通信用车0辆、应急保障用车0辆、执法执勤用车0辆、特种专业技术用车0辆、离退休干部服务用车0辆、其他用车0辆0；单位价值100万元以上设备（不含车辆）0台（套）。</w:t>
      </w:r>
    </w:p>
    <w:p w:rsidR="002A054D" w:rsidRDefault="00000000">
      <w:pPr>
        <w:pStyle w:val="Default"/>
        <w:overflowPunct w:val="0"/>
        <w:autoSpaceDE/>
        <w:autoSpaceDN/>
        <w:spacing w:line="600" w:lineRule="exact"/>
        <w:ind w:firstLineChars="200" w:firstLine="640"/>
        <w:jc w:val="both"/>
        <w:rPr>
          <w:rFonts w:ascii="仿宋" w:eastAsia="仿宋" w:hAnsi="仿宋" w:cs="仿宋" w:hint="eastAsia"/>
          <w:bCs/>
          <w:color w:val="auto"/>
          <w:sz w:val="32"/>
          <w:szCs w:val="32"/>
        </w:rPr>
      </w:pPr>
      <w:r>
        <w:rPr>
          <w:rFonts w:ascii="仿宋" w:eastAsia="仿宋" w:hAnsi="仿宋" w:cs="仿宋" w:hint="eastAsia"/>
          <w:bCs/>
          <w:color w:val="auto"/>
          <w:sz w:val="32"/>
          <w:szCs w:val="32"/>
        </w:rPr>
        <w:t>十三、关于</w:t>
      </w:r>
      <w:r>
        <w:rPr>
          <w:rFonts w:ascii="仿宋" w:eastAsia="仿宋" w:hAnsi="仿宋" w:cs="仿宋" w:hint="eastAsia"/>
          <w:color w:val="auto"/>
          <w:sz w:val="32"/>
          <w:szCs w:val="32"/>
        </w:rPr>
        <w:t>2024</w:t>
      </w:r>
      <w:r>
        <w:rPr>
          <w:rFonts w:ascii="仿宋" w:eastAsia="仿宋" w:hAnsi="仿宋" w:cs="仿宋" w:hint="eastAsia"/>
          <w:bCs/>
          <w:color w:val="auto"/>
          <w:sz w:val="32"/>
          <w:szCs w:val="32"/>
        </w:rPr>
        <w:t>年度预算绩效情况的说明</w:t>
      </w:r>
    </w:p>
    <w:p w:rsidR="002A054D" w:rsidRDefault="00000000">
      <w:pPr>
        <w:overflowPunct w:val="0"/>
        <w:spacing w:line="60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（一）绩效评价工作开展情况。</w:t>
      </w:r>
      <w:r>
        <w:rPr>
          <w:rFonts w:ascii="仿宋" w:eastAsia="仿宋" w:hAnsi="仿宋" w:cs="仿宋" w:hint="eastAsia"/>
          <w:b/>
          <w:bCs/>
          <w:kern w:val="0"/>
          <w:sz w:val="32"/>
          <w:szCs w:val="32"/>
        </w:rPr>
        <w:t>一是绩效自评开展情况。</w:t>
      </w:r>
      <w:r>
        <w:rPr>
          <w:rFonts w:ascii="仿宋" w:eastAsia="仿宋" w:hAnsi="仿宋" w:cs="仿宋" w:hint="eastAsia"/>
          <w:kern w:val="0"/>
          <w:sz w:val="32"/>
          <w:szCs w:val="32"/>
        </w:rPr>
        <w:t>组织对2024年度本部门整体支出开展绩效自评，涉及项目1个，共涉及资金26万元。其中，一般公共预算项目1个26 万元，占一般公共预算支出总额的1.17%；政府性基金预算项目0 个0万元，占政府性基金预算支出总额的XX%；国有资本经营预算项目0个0万元，占国有资本经营预算支出总额的0%；</w:t>
      </w:r>
      <w:r>
        <w:rPr>
          <w:rFonts w:ascii="仿宋" w:eastAsia="仿宋" w:hAnsi="仿宋" w:cs="仿宋" w:hint="eastAsia"/>
          <w:kern w:val="0"/>
          <w:sz w:val="32"/>
          <w:szCs w:val="32"/>
        </w:rPr>
        <w:lastRenderedPageBreak/>
        <w:t>社会保险基金预算项目0 个0万元，占社会保险基金预算支出总额的0%。</w:t>
      </w:r>
      <w:r>
        <w:rPr>
          <w:rFonts w:ascii="仿宋" w:eastAsia="仿宋" w:hAnsi="仿宋" w:cs="仿宋" w:hint="eastAsia"/>
          <w:b/>
          <w:bCs/>
          <w:kern w:val="0"/>
          <w:sz w:val="32"/>
          <w:szCs w:val="32"/>
        </w:rPr>
        <w:t>二是部门评价开展情况（如有，一级预算部门填写）。</w:t>
      </w:r>
      <w:r>
        <w:rPr>
          <w:rFonts w:ascii="仿宋" w:eastAsia="仿宋" w:hAnsi="仿宋" w:cs="仿宋" w:hint="eastAsia"/>
          <w:kern w:val="0"/>
          <w:sz w:val="32"/>
          <w:szCs w:val="32"/>
        </w:rPr>
        <w:t>组织对所属单位2024年度“绿盾”行动生态环境问题整改销号等</w:t>
      </w:r>
      <w:r>
        <w:rPr>
          <w:rFonts w:ascii="仿宋" w:eastAsia="仿宋" w:hAnsi="仿宋" w:cs="仿宋" w:hint="eastAsia"/>
          <w:sz w:val="32"/>
          <w:szCs w:val="32"/>
        </w:rPr>
        <w:t>1</w:t>
      </w:r>
      <w:r>
        <w:rPr>
          <w:rFonts w:ascii="仿宋" w:eastAsia="仿宋" w:hAnsi="仿宋" w:cs="仿宋" w:hint="eastAsia"/>
          <w:kern w:val="0"/>
          <w:sz w:val="32"/>
          <w:szCs w:val="32"/>
        </w:rPr>
        <w:t>个项目开展了部门评价，涉及一般公共预算支出</w:t>
      </w:r>
      <w:r>
        <w:rPr>
          <w:rFonts w:ascii="仿宋" w:eastAsia="仿宋" w:hAnsi="仿宋" w:cs="仿宋" w:hint="eastAsia"/>
          <w:sz w:val="32"/>
          <w:szCs w:val="32"/>
        </w:rPr>
        <w:t>26</w:t>
      </w:r>
      <w:r>
        <w:rPr>
          <w:rFonts w:ascii="仿宋" w:eastAsia="仿宋" w:hAnsi="仿宋" w:cs="仿宋" w:hint="eastAsia"/>
          <w:kern w:val="0"/>
          <w:sz w:val="32"/>
          <w:szCs w:val="32"/>
        </w:rPr>
        <w:t>万元，政府性基金预算支出</w:t>
      </w:r>
      <w:r>
        <w:rPr>
          <w:rFonts w:ascii="仿宋" w:eastAsia="仿宋" w:hAnsi="仿宋" w:cs="仿宋" w:hint="eastAsia"/>
          <w:sz w:val="32"/>
          <w:szCs w:val="32"/>
        </w:rPr>
        <w:t>0</w:t>
      </w:r>
      <w:r>
        <w:rPr>
          <w:rFonts w:ascii="仿宋" w:eastAsia="仿宋" w:hAnsi="仿宋" w:cs="仿宋" w:hint="eastAsia"/>
          <w:kern w:val="0"/>
          <w:sz w:val="32"/>
          <w:szCs w:val="32"/>
        </w:rPr>
        <w:t>万元，国有资本经营预算支出</w:t>
      </w:r>
      <w:r>
        <w:rPr>
          <w:rFonts w:ascii="仿宋" w:eastAsia="仿宋" w:hAnsi="仿宋" w:cs="仿宋" w:hint="eastAsia"/>
          <w:sz w:val="32"/>
          <w:szCs w:val="32"/>
        </w:rPr>
        <w:t>0</w:t>
      </w:r>
      <w:r>
        <w:rPr>
          <w:rFonts w:ascii="仿宋" w:eastAsia="仿宋" w:hAnsi="仿宋" w:cs="仿宋" w:hint="eastAsia"/>
          <w:kern w:val="0"/>
          <w:sz w:val="32"/>
          <w:szCs w:val="32"/>
        </w:rPr>
        <w:t>万元，社会保险基金预算支出</w:t>
      </w:r>
      <w:r>
        <w:rPr>
          <w:rFonts w:ascii="仿宋" w:eastAsia="仿宋" w:hAnsi="仿宋" w:cs="仿宋" w:hint="eastAsia"/>
          <w:sz w:val="32"/>
          <w:szCs w:val="32"/>
        </w:rPr>
        <w:t>0</w:t>
      </w:r>
      <w:r>
        <w:rPr>
          <w:rFonts w:ascii="仿宋" w:eastAsia="仿宋" w:hAnsi="仿宋" w:cs="仿宋" w:hint="eastAsia"/>
          <w:kern w:val="0"/>
          <w:sz w:val="32"/>
          <w:szCs w:val="32"/>
        </w:rPr>
        <w:t>万元。</w:t>
      </w:r>
      <w:r>
        <w:rPr>
          <w:rFonts w:ascii="仿宋" w:eastAsia="仿宋" w:hAnsi="仿宋" w:cs="仿宋" w:hint="eastAsia"/>
          <w:b/>
          <w:bCs/>
          <w:kern w:val="0"/>
          <w:sz w:val="32"/>
          <w:szCs w:val="32"/>
        </w:rPr>
        <w:t>三是事前绩效评估开展情况。</w:t>
      </w:r>
      <w:r>
        <w:rPr>
          <w:rFonts w:ascii="仿宋" w:eastAsia="仿宋" w:hAnsi="仿宋" w:cs="仿宋" w:hint="eastAsia"/>
          <w:kern w:val="0"/>
          <w:sz w:val="32"/>
          <w:szCs w:val="32"/>
        </w:rPr>
        <w:t>组织对2024年度</w:t>
      </w:r>
      <w:r>
        <w:rPr>
          <w:rFonts w:ascii="仿宋" w:eastAsia="仿宋" w:hAnsi="仿宋" w:cs="仿宋" w:hint="eastAsia"/>
          <w:sz w:val="32"/>
          <w:szCs w:val="32"/>
        </w:rPr>
        <w:t>0</w:t>
      </w:r>
      <w:r>
        <w:rPr>
          <w:rFonts w:ascii="仿宋" w:eastAsia="仿宋" w:hAnsi="仿宋" w:cs="仿宋" w:hint="eastAsia"/>
          <w:kern w:val="0"/>
          <w:sz w:val="32"/>
          <w:szCs w:val="32"/>
        </w:rPr>
        <w:t>个新增重大政策和</w:t>
      </w:r>
      <w:r>
        <w:rPr>
          <w:rFonts w:ascii="仿宋" w:eastAsia="仿宋" w:hAnsi="仿宋" w:cs="仿宋" w:hint="eastAsia"/>
          <w:sz w:val="32"/>
          <w:szCs w:val="32"/>
        </w:rPr>
        <w:t>0</w:t>
      </w:r>
      <w:r>
        <w:rPr>
          <w:rFonts w:ascii="仿宋" w:eastAsia="仿宋" w:hAnsi="仿宋" w:cs="仿宋" w:hint="eastAsia"/>
          <w:kern w:val="0"/>
          <w:sz w:val="32"/>
          <w:szCs w:val="32"/>
        </w:rPr>
        <w:t>个重大项目开展事前绩效评估，共涉及资金0万元。</w:t>
      </w:r>
    </w:p>
    <w:p w:rsidR="002A054D" w:rsidRDefault="00000000">
      <w:pPr>
        <w:overflowPunct w:val="0"/>
        <w:spacing w:line="600" w:lineRule="exact"/>
        <w:ind w:firstLineChars="200" w:firstLine="643"/>
        <w:rPr>
          <w:rFonts w:ascii="仿宋" w:eastAsia="仿宋" w:hAnsi="仿宋" w:cs="仿宋" w:hint="eastAsia"/>
          <w:bCs/>
          <w:sz w:val="32"/>
          <w:szCs w:val="32"/>
        </w:rPr>
      </w:pPr>
      <w:r>
        <w:rPr>
          <w:rFonts w:ascii="仿宋" w:eastAsia="仿宋" w:hAnsi="仿宋" w:cs="仿宋" w:hint="eastAsia"/>
          <w:b/>
          <w:bCs/>
          <w:sz w:val="32"/>
          <w:szCs w:val="32"/>
        </w:rPr>
        <w:t>（二）绩效评价结果。</w:t>
      </w:r>
      <w:r>
        <w:rPr>
          <w:rFonts w:ascii="仿宋" w:eastAsia="仿宋" w:hAnsi="仿宋" w:cs="仿宋" w:hint="eastAsia"/>
          <w:b/>
          <w:bCs/>
          <w:kern w:val="0"/>
          <w:sz w:val="32"/>
          <w:szCs w:val="32"/>
        </w:rPr>
        <w:t>一是绩效自评结果。</w:t>
      </w:r>
      <w:r>
        <w:rPr>
          <w:rFonts w:ascii="仿宋" w:eastAsia="仿宋" w:hAnsi="仿宋" w:cs="仿宋" w:hint="eastAsia"/>
          <w:kern w:val="0"/>
          <w:sz w:val="32"/>
          <w:szCs w:val="32"/>
        </w:rPr>
        <w:t>2024年度本部门整体支出</w:t>
      </w:r>
      <w:r>
        <w:rPr>
          <w:rFonts w:ascii="仿宋" w:eastAsia="仿宋" w:hAnsi="仿宋" w:cs="仿宋" w:hint="eastAsia"/>
          <w:sz w:val="32"/>
          <w:szCs w:val="32"/>
        </w:rPr>
        <w:t>全年预算数2403.64万元，执行数2403.64万元，完成预算的100%</w:t>
      </w:r>
      <w:r>
        <w:rPr>
          <w:rFonts w:ascii="仿宋" w:eastAsia="仿宋" w:hAnsi="仿宋" w:cs="仿宋" w:hint="eastAsia"/>
          <w:kern w:val="0"/>
          <w:sz w:val="32"/>
          <w:szCs w:val="32"/>
        </w:rPr>
        <w:t>，绩效自评得分</w:t>
      </w:r>
      <w:r>
        <w:rPr>
          <w:rFonts w:ascii="仿宋" w:eastAsia="仿宋" w:hAnsi="仿宋" w:cs="仿宋" w:hint="eastAsia"/>
          <w:sz w:val="32"/>
          <w:szCs w:val="32"/>
        </w:rPr>
        <w:t>100分</w:t>
      </w:r>
      <w:r>
        <w:rPr>
          <w:rFonts w:ascii="仿宋" w:eastAsia="仿宋" w:hAnsi="仿宋" w:cs="仿宋" w:hint="eastAsia"/>
          <w:kern w:val="0"/>
          <w:sz w:val="32"/>
          <w:szCs w:val="32"/>
        </w:rPr>
        <w:t>，评价等级为</w:t>
      </w:r>
      <w:r>
        <w:rPr>
          <w:rFonts w:ascii="仿宋" w:eastAsia="仿宋" w:hAnsi="仿宋" w:cs="仿宋" w:hint="eastAsia"/>
          <w:sz w:val="32"/>
          <w:szCs w:val="32"/>
        </w:rPr>
        <w:t>“优”。绩效目标完成情况：全年按照绩效总体目标实施，各项指标均以高质量完成，在2024年祁阳市年终考核中，荣获综合一等奖。一是安全生产荣获永州市先进单位；二是粮食生产荣获祁阳市先进单位。发现的主要问题及原因：一是绩效目标设置不够明确、细化、量化程度不足；二是专项资金评价体系不够完善，对项目的管理和效益不够明确。下一步改进措施：一是完善、规范项目资金的预算管理和执行，确保项目资金及时足额到位；二是规范资金管理行为，提高资金使用效益，严格按要求完成 各项目标。</w:t>
      </w:r>
      <w:r>
        <w:rPr>
          <w:rFonts w:ascii="仿宋" w:eastAsia="仿宋" w:hAnsi="仿宋" w:cs="仿宋" w:hint="eastAsia"/>
          <w:b/>
          <w:bCs/>
          <w:kern w:val="0"/>
          <w:sz w:val="32"/>
          <w:szCs w:val="32"/>
        </w:rPr>
        <w:t>二是部门评价结果。</w:t>
      </w:r>
      <w:r>
        <w:rPr>
          <w:rFonts w:ascii="仿宋" w:eastAsia="仿宋" w:hAnsi="仿宋" w:cs="仿宋" w:hint="eastAsia"/>
          <w:kern w:val="0"/>
          <w:sz w:val="32"/>
          <w:szCs w:val="32"/>
        </w:rPr>
        <w:t>2024年度“绿盾”行动生态环境问题整改销号等</w:t>
      </w:r>
      <w:r>
        <w:rPr>
          <w:rFonts w:ascii="仿宋" w:eastAsia="仿宋" w:hAnsi="仿宋" w:cs="仿宋" w:hint="eastAsia"/>
          <w:sz w:val="32"/>
          <w:szCs w:val="32"/>
        </w:rPr>
        <w:t>1</w:t>
      </w:r>
      <w:r>
        <w:rPr>
          <w:rFonts w:ascii="仿宋" w:eastAsia="仿宋" w:hAnsi="仿宋" w:cs="仿宋" w:hint="eastAsia"/>
          <w:kern w:val="0"/>
          <w:sz w:val="32"/>
          <w:szCs w:val="32"/>
        </w:rPr>
        <w:t>个</w:t>
      </w:r>
      <w:r>
        <w:rPr>
          <w:rFonts w:ascii="仿宋" w:eastAsia="仿宋" w:hAnsi="仿宋" w:cs="仿宋" w:hint="eastAsia"/>
          <w:sz w:val="32"/>
          <w:szCs w:val="32"/>
        </w:rPr>
        <w:t>项目全年预算数26万元，执行数26万元，完成预算的100%</w:t>
      </w:r>
      <w:r>
        <w:rPr>
          <w:rFonts w:ascii="仿宋" w:eastAsia="仿宋" w:hAnsi="仿宋" w:cs="仿宋" w:hint="eastAsia"/>
          <w:kern w:val="0"/>
          <w:sz w:val="32"/>
          <w:szCs w:val="32"/>
        </w:rPr>
        <w:t>，</w:t>
      </w:r>
      <w:r>
        <w:rPr>
          <w:rFonts w:ascii="仿宋" w:eastAsia="仿宋" w:hAnsi="仿宋" w:cs="仿宋" w:hint="eastAsia"/>
          <w:sz w:val="32"/>
          <w:szCs w:val="32"/>
        </w:rPr>
        <w:t>部门评价得分100分，评价等级为“优”。发现的主要问题及原因：一是工作开展有一定</w:t>
      </w:r>
      <w:r>
        <w:rPr>
          <w:rFonts w:ascii="仿宋" w:eastAsia="仿宋" w:hAnsi="仿宋" w:cs="仿宋" w:hint="eastAsia"/>
          <w:sz w:val="32"/>
          <w:szCs w:val="32"/>
        </w:rPr>
        <w:lastRenderedPageBreak/>
        <w:t>的难度，群众环境保护意识不够；二是建设项目的拥有者不配合，建设项目花费了一定的资金。下一步改进措施：一是向人民群众多评估宣传，增强环境保护意识；二是多做解释，让其理解“绿盾”计划的重要性。</w:t>
      </w:r>
      <w:r>
        <w:rPr>
          <w:rFonts w:ascii="仿宋" w:eastAsia="仿宋" w:hAnsi="仿宋" w:cs="仿宋" w:hint="eastAsia"/>
          <w:b/>
          <w:bCs/>
          <w:kern w:val="0"/>
          <w:sz w:val="32"/>
          <w:szCs w:val="32"/>
        </w:rPr>
        <w:t>三是事前绩效评估结果。</w:t>
      </w:r>
      <w:r>
        <w:rPr>
          <w:rFonts w:ascii="仿宋" w:eastAsia="仿宋" w:hAnsi="仿宋" w:cs="仿宋" w:hint="eastAsia"/>
          <w:kern w:val="0"/>
          <w:sz w:val="32"/>
          <w:szCs w:val="32"/>
        </w:rPr>
        <w:t>2024年度</w:t>
      </w:r>
      <w:r>
        <w:rPr>
          <w:rFonts w:ascii="仿宋" w:eastAsia="仿宋" w:hAnsi="仿宋" w:cs="仿宋" w:hint="eastAsia"/>
          <w:sz w:val="32"/>
          <w:szCs w:val="32"/>
        </w:rPr>
        <w:t>0</w:t>
      </w:r>
      <w:r>
        <w:rPr>
          <w:rFonts w:ascii="仿宋" w:eastAsia="仿宋" w:hAnsi="仿宋" w:cs="仿宋" w:hint="eastAsia"/>
          <w:kern w:val="0"/>
          <w:sz w:val="32"/>
          <w:szCs w:val="32"/>
        </w:rPr>
        <w:t>个重大项目事前绩效评估，其中，</w:t>
      </w:r>
      <w:r>
        <w:rPr>
          <w:rFonts w:ascii="仿宋" w:eastAsia="仿宋" w:hAnsi="仿宋" w:cs="仿宋" w:hint="eastAsia"/>
          <w:sz w:val="32"/>
          <w:szCs w:val="32"/>
        </w:rPr>
        <w:t>0</w:t>
      </w:r>
      <w:r>
        <w:rPr>
          <w:rFonts w:ascii="仿宋" w:eastAsia="仿宋" w:hAnsi="仿宋" w:cs="仿宋" w:hint="eastAsia"/>
          <w:kern w:val="0"/>
          <w:sz w:val="32"/>
          <w:szCs w:val="32"/>
        </w:rPr>
        <w:t>个项目评估通过，涉及资金</w:t>
      </w:r>
      <w:r>
        <w:rPr>
          <w:rFonts w:ascii="仿宋" w:eastAsia="仿宋" w:hAnsi="仿宋" w:cs="仿宋" w:hint="eastAsia"/>
          <w:sz w:val="32"/>
          <w:szCs w:val="32"/>
        </w:rPr>
        <w:t>0</w:t>
      </w:r>
      <w:r>
        <w:rPr>
          <w:rFonts w:ascii="仿宋" w:eastAsia="仿宋" w:hAnsi="仿宋" w:cs="仿宋" w:hint="eastAsia"/>
          <w:kern w:val="0"/>
          <w:sz w:val="32"/>
          <w:szCs w:val="32"/>
        </w:rPr>
        <w:t>万元，</w:t>
      </w:r>
      <w:r>
        <w:rPr>
          <w:rFonts w:ascii="仿宋" w:eastAsia="仿宋" w:hAnsi="仿宋" w:cs="仿宋" w:hint="eastAsia"/>
          <w:sz w:val="32"/>
          <w:szCs w:val="32"/>
        </w:rPr>
        <w:t>0</w:t>
      </w:r>
      <w:r>
        <w:rPr>
          <w:rFonts w:ascii="仿宋" w:eastAsia="仿宋" w:hAnsi="仿宋" w:cs="仿宋" w:hint="eastAsia"/>
          <w:kern w:val="0"/>
          <w:sz w:val="32"/>
          <w:szCs w:val="32"/>
        </w:rPr>
        <w:t>个项目评估不通过，涉及资金</w:t>
      </w:r>
      <w:r>
        <w:rPr>
          <w:rFonts w:ascii="仿宋" w:eastAsia="仿宋" w:hAnsi="仿宋" w:cs="仿宋" w:hint="eastAsia"/>
          <w:sz w:val="32"/>
          <w:szCs w:val="32"/>
        </w:rPr>
        <w:t>0</w:t>
      </w:r>
      <w:r>
        <w:rPr>
          <w:rFonts w:ascii="仿宋" w:eastAsia="仿宋" w:hAnsi="仿宋" w:cs="仿宋" w:hint="eastAsia"/>
          <w:kern w:val="0"/>
          <w:sz w:val="32"/>
          <w:szCs w:val="32"/>
        </w:rPr>
        <w:t>万元。</w:t>
      </w:r>
    </w:p>
    <w:p w:rsidR="002A054D" w:rsidRDefault="00000000">
      <w:pPr>
        <w:pStyle w:val="Default"/>
        <w:overflowPunct w:val="0"/>
        <w:autoSpaceDE/>
        <w:autoSpaceDN/>
        <w:spacing w:line="600" w:lineRule="exact"/>
        <w:ind w:firstLineChars="200" w:firstLine="643"/>
        <w:jc w:val="both"/>
        <w:rPr>
          <w:rFonts w:ascii="仿宋" w:eastAsia="仿宋" w:hAnsi="仿宋" w:cs="仿宋" w:hint="eastAsia"/>
          <w:color w:val="auto"/>
          <w:sz w:val="72"/>
          <w:szCs w:val="72"/>
        </w:rPr>
      </w:pPr>
      <w:r>
        <w:rPr>
          <w:rFonts w:ascii="仿宋" w:eastAsia="仿宋" w:hAnsi="仿宋" w:cs="仿宋" w:hint="eastAsia"/>
          <w:b/>
          <w:bCs/>
          <w:color w:val="auto"/>
          <w:kern w:val="2"/>
          <w:sz w:val="32"/>
          <w:szCs w:val="32"/>
        </w:rPr>
        <w:t>（三）评价结果应用情况。</w:t>
      </w:r>
      <w:r>
        <w:rPr>
          <w:rFonts w:ascii="仿宋" w:eastAsia="仿宋" w:hAnsi="仿宋" w:cs="仿宋" w:hint="eastAsia"/>
          <w:color w:val="auto"/>
          <w:kern w:val="2"/>
          <w:sz w:val="32"/>
          <w:szCs w:val="32"/>
        </w:rPr>
        <w:t>预算执行到位，严格执行《预算法》和各项财经纪律，机关管理制度健全，财务管理规范，预算编制合理，资金监管到位。但是，预算管理工作有待细化，预算编制不够明确和细化，预算编制合理性有待提高。因部分工作是是临时增加的支出，无法纳入预算，导致预算执行存在偏差。今后年度要充分理解财政绩效评价指标体系，强化全过程预算绩效管理理念，合理设定绩效目标强化管理措施，科学编制预算，并严格执行，提高财政资金使用效益，加强预算事前，事中，事后管控，做到事前有评估，事中有监督，带电后有评价。</w:t>
      </w:r>
    </w:p>
    <w:p w:rsidR="002A054D" w:rsidRDefault="002A054D">
      <w:pPr>
        <w:pStyle w:val="Default"/>
        <w:jc w:val="center"/>
        <w:rPr>
          <w:rFonts w:ascii="仿宋" w:eastAsia="仿宋" w:hAnsi="仿宋" w:cs="仿宋" w:hint="eastAsia"/>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both"/>
        <w:rPr>
          <w:rFonts w:ascii="Times New Roman" w:hAnsi="Times New Roman" w:cs="Times New Roman"/>
          <w:sz w:val="72"/>
          <w:szCs w:val="72"/>
        </w:rPr>
      </w:pPr>
    </w:p>
    <w:p w:rsidR="002A054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2A054D" w:rsidRDefault="002A054D">
      <w:pPr>
        <w:widowControl/>
        <w:jc w:val="left"/>
        <w:rPr>
          <w:rFonts w:ascii="Times New Roman" w:hAnsi="Times New Roman" w:cs="Times New Roman"/>
          <w:color w:val="000000"/>
          <w:kern w:val="0"/>
          <w:sz w:val="32"/>
          <w:szCs w:val="32"/>
        </w:rPr>
      </w:pPr>
    </w:p>
    <w:p w:rsidR="002A054D"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2A054D"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lastRenderedPageBreak/>
        <w:t>四、“三公”经费科目</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2A054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center"/>
        <w:rPr>
          <w:rFonts w:ascii="Times New Roman" w:hAnsi="Times New Roman" w:cs="Times New Roman"/>
          <w:sz w:val="72"/>
          <w:szCs w:val="72"/>
        </w:rPr>
      </w:pPr>
    </w:p>
    <w:p w:rsidR="002A054D" w:rsidRDefault="002A054D">
      <w:pPr>
        <w:pStyle w:val="Default"/>
        <w:jc w:val="both"/>
        <w:rPr>
          <w:rFonts w:ascii="Times New Roman" w:hAnsi="Times New Roman" w:cs="Times New Roman"/>
          <w:sz w:val="72"/>
          <w:szCs w:val="72"/>
        </w:rPr>
      </w:pPr>
    </w:p>
    <w:p w:rsidR="002A054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2A054D" w:rsidRDefault="002A054D">
      <w:pPr>
        <w:rPr>
          <w:rFonts w:ascii="Times New Roman" w:hAnsi="Times New Roman" w:cs="Times New Roman"/>
          <w:sz w:val="72"/>
          <w:szCs w:val="72"/>
        </w:rPr>
      </w:pPr>
    </w:p>
    <w:p w:rsidR="002A054D" w:rsidRDefault="00000000">
      <w:pPr>
        <w:pStyle w:val="Default"/>
        <w:spacing w:line="600" w:lineRule="exact"/>
        <w:jc w:val="center"/>
        <w:rPr>
          <w:rFonts w:ascii="Times New Roman" w:eastAsia="仿宋_GB2312" w:hAnsi="Times New Roman" w:cs="Times New Roman"/>
          <w:b/>
          <w:bCs/>
          <w:sz w:val="36"/>
          <w:szCs w:val="36"/>
        </w:rPr>
      </w:pPr>
      <w:r>
        <w:rPr>
          <w:rFonts w:ascii="Times New Roman" w:eastAsia="仿宋_GB2312" w:hAnsi="Times New Roman" w:cs="Times New Roman"/>
          <w:b/>
          <w:bCs/>
          <w:sz w:val="36"/>
          <w:szCs w:val="36"/>
        </w:rPr>
        <w:t>2024</w:t>
      </w:r>
      <w:r>
        <w:rPr>
          <w:rFonts w:ascii="Times New Roman" w:eastAsia="仿宋_GB2312" w:hAnsi="Times New Roman" w:cs="Times New Roman"/>
          <w:b/>
          <w:bCs/>
          <w:sz w:val="36"/>
          <w:szCs w:val="36"/>
        </w:rPr>
        <w:t>年度部门</w:t>
      </w:r>
      <w:r>
        <w:rPr>
          <w:rFonts w:ascii="Times New Roman" w:eastAsia="仿宋_GB2312" w:hAnsi="Times New Roman" w:cs="Times New Roman"/>
          <w:b/>
          <w:bCs/>
          <w:sz w:val="36"/>
          <w:szCs w:val="36"/>
        </w:rPr>
        <w:t>(</w:t>
      </w:r>
      <w:r>
        <w:rPr>
          <w:rFonts w:ascii="Times New Roman" w:eastAsia="仿宋_GB2312" w:hAnsi="Times New Roman" w:cs="Times New Roman"/>
          <w:b/>
          <w:bCs/>
          <w:sz w:val="36"/>
          <w:szCs w:val="36"/>
        </w:rPr>
        <w:t>单位</w:t>
      </w:r>
      <w:r>
        <w:rPr>
          <w:rFonts w:ascii="Times New Roman" w:eastAsia="仿宋_GB2312" w:hAnsi="Times New Roman" w:cs="Times New Roman"/>
          <w:b/>
          <w:bCs/>
          <w:sz w:val="36"/>
          <w:szCs w:val="36"/>
        </w:rPr>
        <w:t>)</w:t>
      </w:r>
      <w:r>
        <w:rPr>
          <w:rFonts w:ascii="Times New Roman" w:eastAsia="仿宋_GB2312" w:hAnsi="Times New Roman" w:cs="Times New Roman"/>
          <w:b/>
          <w:bCs/>
          <w:sz w:val="36"/>
          <w:szCs w:val="36"/>
        </w:rPr>
        <w:t>整体支出绩效自评报告</w:t>
      </w:r>
    </w:p>
    <w:p w:rsidR="002A054D" w:rsidRDefault="00000000">
      <w:pPr>
        <w:spacing w:line="560" w:lineRule="exact"/>
        <w:rPr>
          <w:rFonts w:ascii="仿宋" w:eastAsia="仿宋" w:hAnsi="仿宋" w:cs="仿宋" w:hint="eastAsia"/>
          <w:sz w:val="32"/>
          <w:szCs w:val="32"/>
        </w:rPr>
      </w:pPr>
      <w:r>
        <w:rPr>
          <w:rFonts w:ascii="仿宋" w:eastAsia="仿宋" w:hAnsi="仿宋" w:cs="仿宋" w:hint="eastAsia"/>
          <w:b/>
          <w:bCs/>
          <w:sz w:val="32"/>
          <w:szCs w:val="32"/>
        </w:rPr>
        <w:t>一、祁阳市七里桥镇人民政府概况</w:t>
      </w:r>
    </w:p>
    <w:p w:rsidR="002A054D" w:rsidRDefault="00000000">
      <w:pPr>
        <w:pStyle w:val="ad"/>
        <w:ind w:firstLineChars="0" w:firstLine="0"/>
        <w:jc w:val="left"/>
        <w:rPr>
          <w:rFonts w:ascii="仿宋" w:eastAsia="仿宋" w:hAnsi="仿宋" w:cs="仿宋" w:hint="eastAsia"/>
          <w:b/>
          <w:bCs/>
          <w:sz w:val="32"/>
          <w:szCs w:val="32"/>
        </w:rPr>
      </w:pPr>
      <w:r>
        <w:rPr>
          <w:rFonts w:ascii="仿宋" w:eastAsia="仿宋" w:hAnsi="仿宋" w:cs="仿宋" w:hint="eastAsia"/>
          <w:b/>
          <w:bCs/>
          <w:sz w:val="32"/>
          <w:szCs w:val="32"/>
        </w:rPr>
        <w:t xml:space="preserve">（一）、基本情况　</w:t>
      </w:r>
    </w:p>
    <w:p w:rsidR="002A054D" w:rsidRDefault="00000000">
      <w:pPr>
        <w:pStyle w:val="ad"/>
        <w:ind w:firstLineChars="0" w:firstLine="0"/>
        <w:jc w:val="left"/>
        <w:rPr>
          <w:rFonts w:ascii="仿宋" w:eastAsia="仿宋" w:hAnsi="仿宋" w:cs="仿宋" w:hint="eastAsia"/>
          <w:sz w:val="32"/>
          <w:szCs w:val="32"/>
        </w:rPr>
      </w:pPr>
      <w:r>
        <w:rPr>
          <w:rFonts w:ascii="仿宋" w:eastAsia="仿宋" w:hAnsi="仿宋" w:cs="仿宋" w:hint="eastAsia"/>
          <w:b/>
          <w:bCs/>
          <w:sz w:val="32"/>
          <w:szCs w:val="32"/>
        </w:rPr>
        <w:t>1、</w:t>
      </w:r>
      <w:r>
        <w:rPr>
          <w:rFonts w:ascii="仿宋" w:eastAsia="仿宋" w:hAnsi="仿宋" w:cs="仿宋" w:hint="eastAsia"/>
          <w:sz w:val="32"/>
          <w:szCs w:val="32"/>
        </w:rPr>
        <w:t>部门职责</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（1）、贯彻执行党的路线、方针、政策和国家的法律、法规，落实上级党委、政府的各项决议和决定。</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（2）、制定本镇行政区域内的经济和社会发展规划，并组织实施。</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（3）、负责本镇党的组织、思想和作风建设，提高党组织的战斗办和凝聚力，充分发挥党员的先锋模范作用。负责做好管理权限范围内干部的日常管理工作。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（4）、负责强化本镇社会治安综合治理，加强信访和矛盾纠纷调处工作，建立和健全群防群治网络，及时化解各类矛盾纠纷，维护社会稳定。</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（5）、负责本镇财政、自然资源、规划建设、生态环境保护、动物防疫、交通运输、科技和工业经济、商务、应急管理、市场监督管理及农业农村、扶贫开发、统计、林业、水利等工作。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（6）、负责本镇退役军人事务、国防动员教育、民兵预备役、民族宗教、民政、体育、旅游、文化、广电、城镇管理、劳动和社会保障等社会事务管理工作。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（7）、充分发挥镇党委的领导核心作用，保证和支持基层自治组织行使职权，实行依法自治，充分发挥基层群众自治组织的自我教育、自我管理、自我建设、自我服务作用。</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（8）、负责本镇纪检监察、组织、人事、宣传、统战、人民武装、工会、共青团、妇联、残联、科协等工作。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t>（9）、承担镇人大和政协联络等相关工作。</w:t>
      </w:r>
    </w:p>
    <w:p w:rsidR="002A054D" w:rsidRDefault="00000000">
      <w:pPr>
        <w:widowControl/>
        <w:spacing w:line="600" w:lineRule="atLeast"/>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（10）、完成市委、市人大常委会、市政府、市政协交办的其他工作。</w:t>
      </w:r>
    </w:p>
    <w:p w:rsidR="002A054D" w:rsidRDefault="00000000">
      <w:pPr>
        <w:widowControl/>
        <w:spacing w:line="600" w:lineRule="exact"/>
        <w:rPr>
          <w:rFonts w:ascii="仿宋" w:eastAsia="仿宋" w:hAnsi="仿宋" w:cs="仿宋" w:hint="eastAsia"/>
          <w:b/>
          <w:kern w:val="0"/>
          <w:sz w:val="32"/>
          <w:szCs w:val="32"/>
        </w:rPr>
      </w:pPr>
      <w:r>
        <w:rPr>
          <w:rFonts w:ascii="仿宋" w:eastAsia="仿宋" w:hAnsi="仿宋" w:cs="仿宋" w:hint="eastAsia"/>
          <w:b/>
          <w:kern w:val="0"/>
          <w:sz w:val="32"/>
          <w:szCs w:val="32"/>
        </w:rPr>
        <w:t>2、机构设置</w:t>
      </w:r>
    </w:p>
    <w:p w:rsidR="002A054D" w:rsidRDefault="00000000">
      <w:pPr>
        <w:widowControl/>
        <w:spacing w:line="600" w:lineRule="exact"/>
        <w:ind w:firstLineChars="100" w:firstLine="320"/>
        <w:rPr>
          <w:rFonts w:ascii="仿宋" w:eastAsia="仿宋" w:hAnsi="仿宋" w:cs="仿宋" w:hint="eastAsia"/>
          <w:bCs/>
          <w:kern w:val="0"/>
          <w:sz w:val="32"/>
          <w:szCs w:val="32"/>
        </w:rPr>
      </w:pPr>
      <w:r>
        <w:rPr>
          <w:rFonts w:ascii="仿宋" w:eastAsia="仿宋" w:hAnsi="仿宋" w:cs="仿宋" w:hint="eastAsia"/>
          <w:bCs/>
          <w:kern w:val="0"/>
          <w:sz w:val="32"/>
          <w:szCs w:val="32"/>
        </w:rPr>
        <w:t>（一）内设机构设置。七里桥</w:t>
      </w:r>
      <w:r>
        <w:rPr>
          <w:rFonts w:ascii="仿宋" w:eastAsia="仿宋" w:hAnsi="仿宋" w:cs="仿宋" w:hint="eastAsia"/>
          <w:bCs/>
          <w:color w:val="666666"/>
          <w:sz w:val="32"/>
          <w:szCs w:val="32"/>
        </w:rPr>
        <w:t>镇人民政府实有编制</w:t>
      </w:r>
      <w:r>
        <w:rPr>
          <w:rFonts w:ascii="仿宋" w:eastAsia="仿宋" w:hAnsi="仿宋" w:cs="仿宋" w:hint="eastAsia"/>
          <w:bCs/>
          <w:color w:val="666666"/>
          <w:sz w:val="32"/>
          <w:szCs w:val="32"/>
          <w:shd w:val="clear" w:color="auto" w:fill="FFFFFF"/>
        </w:rPr>
        <w:t>106名，其中：行政编制40人，事业编制66人。内设11个机构，分别为党政综合办公室、基层党建办公室、经济发展办公室、社会事务办公室、自然资源和生态环境办公室、社会治安和应急管理办公室、社会事业综合服务中心、农业综合服务中心、政务（便民）服务中心、退役军人服务站、综合行政执法大队。</w:t>
      </w:r>
    </w:p>
    <w:p w:rsidR="002A054D" w:rsidRDefault="002A054D">
      <w:pPr>
        <w:spacing w:line="560" w:lineRule="exact"/>
        <w:ind w:firstLineChars="200" w:firstLine="643"/>
        <w:rPr>
          <w:rFonts w:ascii="仿宋" w:eastAsia="仿宋" w:hAnsi="仿宋" w:cs="仿宋" w:hint="eastAsia"/>
          <w:b/>
          <w:bCs/>
          <w:sz w:val="32"/>
          <w:szCs w:val="32"/>
        </w:rPr>
      </w:pPr>
    </w:p>
    <w:p w:rsidR="002A054D" w:rsidRDefault="00000000">
      <w:pPr>
        <w:pStyle w:val="TOC5"/>
        <w:ind w:leftChars="0" w:left="0"/>
        <w:rPr>
          <w:rFonts w:ascii="仿宋" w:eastAsia="仿宋" w:hAnsi="仿宋" w:cs="仿宋" w:hint="eastAsia"/>
          <w:sz w:val="32"/>
          <w:szCs w:val="32"/>
        </w:rPr>
      </w:pPr>
      <w:r>
        <w:rPr>
          <w:rFonts w:ascii="仿宋" w:eastAsia="仿宋" w:hAnsi="仿宋" w:cs="仿宋" w:hint="eastAsia"/>
          <w:b/>
          <w:bCs/>
          <w:sz w:val="32"/>
          <w:szCs w:val="32"/>
        </w:rPr>
        <w:t>（二）、</w:t>
      </w:r>
      <w:r>
        <w:rPr>
          <w:rFonts w:ascii="仿宋" w:eastAsia="仿宋" w:hAnsi="仿宋" w:cs="仿宋" w:hint="eastAsia"/>
          <w:sz w:val="32"/>
          <w:szCs w:val="32"/>
        </w:rPr>
        <w:t>2024年本部门全年支出2403.64万元，按照功能方面分类：一般公共服务支出1501.33万元，公共安全支出1.04万元，文化旅游体育与传媒支出1.00万元，社会保障和就业支出155.92万元，卫生健康支出53.81万元，城乡社区支出52.22万元，农林水支出533.63万元；按经济分类，全年支出主要用于工资福利支出1472.23万元，商品和服务支出349.05万，对个人和家庭补助支出582.36万元。</w:t>
      </w:r>
    </w:p>
    <w:p w:rsidR="002A054D" w:rsidRDefault="002A054D">
      <w:pPr>
        <w:pStyle w:val="a0"/>
        <w:ind w:firstLineChars="200" w:firstLine="640"/>
        <w:rPr>
          <w:rFonts w:ascii="仿宋" w:eastAsia="仿宋" w:hAnsi="仿宋" w:cs="仿宋" w:hint="eastAsia"/>
          <w:sz w:val="32"/>
          <w:szCs w:val="32"/>
        </w:rPr>
      </w:pPr>
    </w:p>
    <w:p w:rsidR="002A054D" w:rsidRDefault="00000000">
      <w:pPr>
        <w:pStyle w:val="TOC5"/>
        <w:ind w:leftChars="0" w:left="0"/>
        <w:rPr>
          <w:rFonts w:ascii="仿宋" w:eastAsia="仿宋" w:hAnsi="仿宋" w:cs="仿宋" w:hint="eastAsia"/>
          <w:sz w:val="32"/>
          <w:szCs w:val="32"/>
        </w:rPr>
      </w:pPr>
      <w:r>
        <w:rPr>
          <w:rFonts w:ascii="仿宋" w:eastAsia="仿宋" w:hAnsi="仿宋" w:cs="仿宋" w:hint="eastAsia"/>
          <w:sz w:val="32"/>
          <w:szCs w:val="32"/>
        </w:rPr>
        <w:t xml:space="preserve"> </w:t>
      </w:r>
    </w:p>
    <w:p w:rsidR="002A054D"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二、整体支出管理及使用情况</w:t>
      </w:r>
    </w:p>
    <w:p w:rsidR="002A054D"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（一）基本支出</w:t>
      </w:r>
    </w:p>
    <w:p w:rsidR="002A054D" w:rsidRDefault="00000000">
      <w:pPr>
        <w:spacing w:line="560" w:lineRule="exact"/>
        <w:ind w:firstLineChars="200" w:firstLine="640"/>
        <w:rPr>
          <w:rFonts w:ascii="仿宋" w:eastAsia="仿宋" w:hAnsi="仿宋" w:cs="仿宋" w:hint="eastAsia"/>
          <w:color w:val="000000"/>
          <w:sz w:val="32"/>
          <w:szCs w:val="32"/>
          <w:lang w:val="zh-CN"/>
        </w:rPr>
      </w:pPr>
      <w:r>
        <w:rPr>
          <w:rFonts w:ascii="仿宋" w:eastAsia="仿宋" w:hAnsi="仿宋" w:cs="仿宋" w:hint="eastAsia"/>
          <w:color w:val="000000"/>
          <w:sz w:val="32"/>
          <w:szCs w:val="32"/>
          <w:lang w:val="zh-CN"/>
        </w:rPr>
        <w:t>2024年度财政拨款基本支出</w:t>
      </w:r>
      <w:r>
        <w:rPr>
          <w:rFonts w:ascii="仿宋" w:eastAsia="仿宋" w:hAnsi="仿宋" w:cs="仿宋" w:hint="eastAsia"/>
          <w:sz w:val="32"/>
          <w:szCs w:val="32"/>
        </w:rPr>
        <w:t>2228.35</w:t>
      </w:r>
      <w:r>
        <w:rPr>
          <w:rFonts w:ascii="仿宋" w:eastAsia="仿宋" w:hAnsi="仿宋" w:cs="仿宋" w:hint="eastAsia"/>
          <w:color w:val="000000"/>
          <w:sz w:val="32"/>
          <w:szCs w:val="32"/>
          <w:lang w:val="zh-CN"/>
        </w:rPr>
        <w:t>万元，</w:t>
      </w:r>
      <w:proofErr w:type="gramStart"/>
      <w:r>
        <w:rPr>
          <w:rFonts w:ascii="仿宋" w:eastAsia="仿宋" w:hAnsi="仿宋" w:cs="仿宋" w:hint="eastAsia"/>
          <w:color w:val="000000"/>
          <w:sz w:val="32"/>
          <w:szCs w:val="32"/>
          <w:lang w:val="zh-CN"/>
        </w:rPr>
        <w:t>其中:</w:t>
      </w:r>
      <w:proofErr w:type="gramEnd"/>
      <w:r>
        <w:rPr>
          <w:rFonts w:ascii="仿宋" w:eastAsia="仿宋" w:hAnsi="仿宋" w:cs="仿宋" w:hint="eastAsia"/>
          <w:color w:val="000000"/>
          <w:sz w:val="32"/>
          <w:szCs w:val="32"/>
          <w:lang w:val="zh-CN"/>
        </w:rPr>
        <w:t>人员经费</w:t>
      </w:r>
      <w:r>
        <w:rPr>
          <w:rFonts w:ascii="仿宋" w:eastAsia="仿宋" w:hAnsi="仿宋" w:cs="仿宋" w:hint="eastAsia"/>
          <w:color w:val="000000"/>
          <w:sz w:val="32"/>
          <w:szCs w:val="32"/>
        </w:rPr>
        <w:t>2054.59</w:t>
      </w:r>
      <w:r>
        <w:rPr>
          <w:rFonts w:ascii="仿宋" w:eastAsia="仿宋" w:hAnsi="仿宋" w:cs="仿宋" w:hint="eastAsia"/>
          <w:color w:val="000000"/>
          <w:sz w:val="32"/>
          <w:szCs w:val="32"/>
          <w:lang w:val="zh-CN"/>
        </w:rPr>
        <w:t>万元，占基本支出的</w:t>
      </w:r>
      <w:r>
        <w:rPr>
          <w:rFonts w:ascii="仿宋" w:eastAsia="仿宋" w:hAnsi="仿宋" w:cs="仿宋" w:hint="eastAsia"/>
          <w:color w:val="000000"/>
          <w:sz w:val="32"/>
          <w:szCs w:val="32"/>
        </w:rPr>
        <w:t>92.20</w:t>
      </w:r>
      <w:r>
        <w:rPr>
          <w:rFonts w:ascii="仿宋" w:eastAsia="仿宋" w:hAnsi="仿宋" w:cs="仿宋" w:hint="eastAsia"/>
          <w:color w:val="000000"/>
          <w:sz w:val="32"/>
          <w:szCs w:val="32"/>
          <w:lang w:val="zh-CN"/>
        </w:rPr>
        <w:t>%，主要包括基本工资、</w:t>
      </w:r>
      <w:r>
        <w:rPr>
          <w:rFonts w:ascii="仿宋" w:eastAsia="仿宋" w:hAnsi="仿宋" w:cs="仿宋" w:hint="eastAsia"/>
          <w:color w:val="000000"/>
          <w:sz w:val="32"/>
          <w:szCs w:val="32"/>
          <w:lang w:val="zh-CN"/>
        </w:rPr>
        <w:lastRenderedPageBreak/>
        <w:t>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仿宋" w:eastAsia="仿宋" w:hAnsi="仿宋" w:cs="仿宋" w:hint="eastAsia"/>
          <w:color w:val="000000"/>
          <w:sz w:val="32"/>
          <w:szCs w:val="32"/>
        </w:rPr>
        <w:t>173.76</w:t>
      </w:r>
      <w:r>
        <w:rPr>
          <w:rFonts w:ascii="仿宋" w:eastAsia="仿宋" w:hAnsi="仿宋" w:cs="仿宋" w:hint="eastAsia"/>
          <w:color w:val="000000"/>
          <w:sz w:val="32"/>
          <w:szCs w:val="32"/>
          <w:lang w:val="zh-CN"/>
        </w:rPr>
        <w:t>万元，占基本支出的</w:t>
      </w:r>
      <w:r>
        <w:rPr>
          <w:rFonts w:ascii="仿宋" w:eastAsia="仿宋" w:hAnsi="仿宋" w:cs="仿宋" w:hint="eastAsia"/>
          <w:color w:val="000000"/>
          <w:sz w:val="32"/>
          <w:szCs w:val="32"/>
        </w:rPr>
        <w:t>7.80</w:t>
      </w:r>
      <w:r>
        <w:rPr>
          <w:rFonts w:ascii="仿宋" w:eastAsia="仿宋" w:hAnsi="仿宋" w:cs="仿宋" w:hint="eastAsia"/>
          <w:color w:val="000000"/>
          <w:sz w:val="32"/>
          <w:szCs w:val="32"/>
          <w:lang w:val="zh-C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2A054D" w:rsidRDefault="002A054D">
      <w:pPr>
        <w:spacing w:line="560" w:lineRule="exact"/>
        <w:ind w:firstLineChars="200" w:firstLine="643"/>
        <w:rPr>
          <w:rFonts w:ascii="仿宋" w:eastAsia="仿宋" w:hAnsi="仿宋" w:cs="仿宋" w:hint="eastAsia"/>
          <w:b/>
          <w:bCs/>
          <w:sz w:val="32"/>
          <w:szCs w:val="32"/>
        </w:rPr>
      </w:pPr>
    </w:p>
    <w:p w:rsidR="002A054D"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（二）项目支出</w:t>
      </w:r>
    </w:p>
    <w:p w:rsidR="002A054D" w:rsidRDefault="00000000">
      <w:pPr>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1.项目资金安排落实、总投入等情况分析2024年本部门项目支出</w:t>
      </w:r>
      <w:r>
        <w:rPr>
          <w:rFonts w:ascii="仿宋" w:eastAsia="仿宋" w:hAnsi="仿宋" w:cs="仿宋" w:hint="eastAsia"/>
          <w:kern w:val="0"/>
          <w:sz w:val="32"/>
          <w:szCs w:val="32"/>
        </w:rPr>
        <w:t>175.28</w:t>
      </w:r>
      <w:r>
        <w:rPr>
          <w:rFonts w:ascii="仿宋" w:eastAsia="仿宋" w:hAnsi="仿宋" w:cs="仿宋" w:hint="eastAsia"/>
          <w:sz w:val="32"/>
          <w:szCs w:val="32"/>
        </w:rPr>
        <w:t>万元，主要是用于一般行政管理事务，财政一般行政管理事务，城乡社区支出。</w:t>
      </w:r>
    </w:p>
    <w:p w:rsidR="002A054D" w:rsidRDefault="002A054D">
      <w:pPr>
        <w:spacing w:line="560" w:lineRule="exact"/>
        <w:ind w:firstLineChars="200" w:firstLine="640"/>
        <w:rPr>
          <w:rFonts w:ascii="仿宋" w:eastAsia="仿宋" w:hAnsi="仿宋" w:cs="仿宋" w:hint="eastAsia"/>
          <w:sz w:val="32"/>
          <w:szCs w:val="32"/>
        </w:rPr>
      </w:pPr>
    </w:p>
    <w:p w:rsidR="002A054D" w:rsidRDefault="00000000">
      <w:pPr>
        <w:tabs>
          <w:tab w:val="left" w:pos="457"/>
        </w:tabs>
        <w:spacing w:line="560" w:lineRule="exact"/>
        <w:rPr>
          <w:rFonts w:ascii="仿宋" w:eastAsia="仿宋" w:hAnsi="仿宋" w:cs="仿宋" w:hint="eastAsia"/>
          <w:sz w:val="32"/>
          <w:szCs w:val="32"/>
        </w:rPr>
      </w:pPr>
      <w:r>
        <w:rPr>
          <w:rFonts w:ascii="仿宋" w:eastAsia="仿宋" w:hAnsi="仿宋" w:cs="仿宋" w:hint="eastAsia"/>
          <w:sz w:val="32"/>
          <w:szCs w:val="32"/>
        </w:rPr>
        <w:t xml:space="preserve">　2、项目资金实际使用情况分析</w:t>
      </w:r>
    </w:p>
    <w:p w:rsidR="002A054D" w:rsidRDefault="00000000">
      <w:pPr>
        <w:rPr>
          <w:rFonts w:ascii="仿宋" w:eastAsia="仿宋" w:hAnsi="仿宋" w:cs="宋体" w:hint="eastAsia"/>
          <w:color w:val="000000"/>
          <w:kern w:val="0"/>
          <w:sz w:val="32"/>
          <w:szCs w:val="32"/>
        </w:rPr>
      </w:pPr>
      <w:r>
        <w:rPr>
          <w:rFonts w:ascii="仿宋" w:eastAsia="仿宋" w:hAnsi="仿宋" w:cs="仿宋" w:hint="eastAsia"/>
          <w:sz w:val="32"/>
          <w:szCs w:val="32"/>
          <w:highlight w:val="white"/>
          <w:lang w:val="zh-CN"/>
        </w:rPr>
        <w:t xml:space="preserve">　　2024年度</w:t>
      </w:r>
      <w:r>
        <w:rPr>
          <w:rFonts w:ascii="仿宋" w:eastAsia="仿宋" w:hAnsi="仿宋" w:cs="仿宋" w:hint="eastAsia"/>
          <w:kern w:val="0"/>
          <w:sz w:val="32"/>
          <w:szCs w:val="32"/>
          <w:highlight w:val="white"/>
        </w:rPr>
        <w:t>财政拨款项目支出175.28万元，其中一般行政管理事务支出123.06万元；国有土地使用权出让收入安排的支出：城市建设支出4.37万元，农业农村生态环境支出19.69</w:t>
      </w:r>
      <w:r>
        <w:rPr>
          <w:rFonts w:ascii="仿宋" w:eastAsia="仿宋" w:hAnsi="仿宋" w:cs="仿宋" w:hint="eastAsia"/>
          <w:kern w:val="0"/>
          <w:sz w:val="32"/>
          <w:szCs w:val="32"/>
          <w:highlight w:val="white"/>
        </w:rPr>
        <w:lastRenderedPageBreak/>
        <w:t>万元，其他国有土地使用权出让收入安排的支出27.33万元</w:t>
      </w:r>
      <w:r>
        <w:rPr>
          <w:rFonts w:ascii="仿宋" w:eastAsia="仿宋" w:hAnsi="仿宋" w:cs="仿宋" w:hint="eastAsia"/>
          <w:kern w:val="0"/>
          <w:sz w:val="32"/>
          <w:szCs w:val="32"/>
        </w:rPr>
        <w:t>，</w:t>
      </w:r>
      <w:r>
        <w:rPr>
          <w:rFonts w:ascii="仿宋" w:eastAsia="仿宋" w:hAnsi="仿宋" w:cs="宋体" w:hint="eastAsia"/>
          <w:color w:val="000000"/>
          <w:kern w:val="0"/>
          <w:sz w:val="32"/>
          <w:szCs w:val="32"/>
        </w:rPr>
        <w:t>其他城市基础设施配套费安排的支出0.83万元。</w:t>
      </w:r>
    </w:p>
    <w:p w:rsidR="002A054D" w:rsidRDefault="002A054D">
      <w:pPr>
        <w:spacing w:line="560" w:lineRule="exact"/>
        <w:rPr>
          <w:rFonts w:ascii="仿宋" w:eastAsia="仿宋" w:hAnsi="仿宋" w:cs="仿宋" w:hint="eastAsia"/>
          <w:kern w:val="0"/>
          <w:sz w:val="32"/>
          <w:szCs w:val="32"/>
          <w:highlight w:val="white"/>
        </w:rPr>
      </w:pPr>
    </w:p>
    <w:p w:rsidR="002A054D" w:rsidRDefault="002A054D">
      <w:pPr>
        <w:spacing w:line="560" w:lineRule="exact"/>
        <w:ind w:firstLineChars="200" w:firstLine="640"/>
        <w:rPr>
          <w:rFonts w:ascii="仿宋" w:eastAsia="仿宋" w:hAnsi="仿宋" w:cs="仿宋" w:hint="eastAsia"/>
          <w:sz w:val="32"/>
          <w:szCs w:val="32"/>
        </w:rPr>
      </w:pPr>
    </w:p>
    <w:p w:rsidR="002A054D" w:rsidRDefault="00000000">
      <w:pPr>
        <w:spacing w:line="560" w:lineRule="exact"/>
        <w:ind w:leftChars="200" w:left="420"/>
        <w:rPr>
          <w:rFonts w:ascii="仿宋" w:eastAsia="仿宋" w:hAnsi="仿宋" w:cs="仿宋" w:hint="eastAsia"/>
          <w:sz w:val="32"/>
          <w:szCs w:val="32"/>
        </w:rPr>
      </w:pPr>
      <w:r>
        <w:rPr>
          <w:rFonts w:ascii="仿宋" w:eastAsia="仿宋" w:hAnsi="仿宋" w:cs="仿宋" w:hint="eastAsia"/>
          <w:sz w:val="32"/>
          <w:szCs w:val="32"/>
        </w:rPr>
        <w:t>3、项目资金管理情况分析</w:t>
      </w:r>
    </w:p>
    <w:p w:rsidR="002A054D" w:rsidRDefault="00000000">
      <w:pPr>
        <w:spacing w:line="560" w:lineRule="exact"/>
        <w:ind w:leftChars="200" w:left="420"/>
        <w:rPr>
          <w:rFonts w:ascii="仿宋" w:eastAsia="仿宋" w:hAnsi="仿宋" w:cs="仿宋" w:hint="eastAsia"/>
          <w:sz w:val="32"/>
          <w:szCs w:val="32"/>
        </w:rPr>
      </w:pPr>
      <w:r>
        <w:rPr>
          <w:rFonts w:ascii="仿宋" w:eastAsia="仿宋" w:hAnsi="仿宋" w:cs="仿宋" w:hint="eastAsia"/>
          <w:sz w:val="32"/>
          <w:szCs w:val="32"/>
        </w:rPr>
        <w:t>（1）、项目资金实施进度安排，按时足额到位。未出现截留、挤占、挪用等现象。</w:t>
      </w:r>
    </w:p>
    <w:p w:rsidR="002A054D" w:rsidRDefault="00000000">
      <w:pPr>
        <w:spacing w:line="560" w:lineRule="exact"/>
        <w:ind w:firstLineChars="100" w:firstLine="320"/>
        <w:rPr>
          <w:rFonts w:ascii="仿宋" w:eastAsia="仿宋" w:hAnsi="仿宋" w:cs="仿宋" w:hint="eastAsia"/>
          <w:sz w:val="32"/>
          <w:szCs w:val="32"/>
        </w:rPr>
      </w:pPr>
      <w:r>
        <w:rPr>
          <w:rFonts w:ascii="仿宋" w:eastAsia="仿宋" w:hAnsi="仿宋" w:cs="仿宋" w:hint="eastAsia"/>
          <w:sz w:val="32"/>
          <w:szCs w:val="32"/>
        </w:rPr>
        <w:t>（2）、经费到达后，我镇制定了资金使用方案，严格按项目计划和规定用途专款专用；建立健全会计核算制度，专项核算项目资金的使用情况。</w:t>
      </w:r>
    </w:p>
    <w:p w:rsidR="002A054D" w:rsidRDefault="00000000">
      <w:pPr>
        <w:spacing w:line="560" w:lineRule="exact"/>
        <w:ind w:firstLineChars="100" w:firstLine="320"/>
        <w:rPr>
          <w:rFonts w:ascii="仿宋" w:eastAsia="仿宋" w:hAnsi="仿宋" w:cs="仿宋" w:hint="eastAsia"/>
          <w:sz w:val="32"/>
          <w:szCs w:val="32"/>
        </w:rPr>
      </w:pPr>
      <w:r>
        <w:rPr>
          <w:rFonts w:ascii="仿宋" w:eastAsia="仿宋" w:hAnsi="仿宋" w:cs="仿宋" w:hint="eastAsia"/>
          <w:sz w:val="32"/>
          <w:szCs w:val="32"/>
        </w:rPr>
        <w:t>（3）、定期向镇领导汇报项目进展与专项资金核算使用情况。项目按照序时进度进行，未出现项目滞后情况。</w:t>
      </w:r>
    </w:p>
    <w:p w:rsidR="002A054D" w:rsidRDefault="00000000">
      <w:pPr>
        <w:spacing w:line="560" w:lineRule="exact"/>
        <w:ind w:firstLineChars="100" w:firstLine="320"/>
        <w:rPr>
          <w:rFonts w:ascii="仿宋" w:eastAsia="仿宋" w:hAnsi="仿宋" w:cs="仿宋" w:hint="eastAsia"/>
          <w:sz w:val="32"/>
          <w:szCs w:val="32"/>
        </w:rPr>
      </w:pPr>
      <w:r>
        <w:rPr>
          <w:rFonts w:ascii="仿宋" w:eastAsia="仿宋" w:hAnsi="仿宋" w:cs="仿宋" w:hint="eastAsia"/>
          <w:sz w:val="32"/>
          <w:szCs w:val="32"/>
        </w:rPr>
        <w:t>（4）、所有项目的实施都已按照预定目标快速、高效组织实施并完成。</w:t>
      </w:r>
    </w:p>
    <w:p w:rsidR="002A054D" w:rsidRDefault="002A054D">
      <w:pPr>
        <w:spacing w:line="560" w:lineRule="exact"/>
        <w:ind w:firstLineChars="200" w:firstLine="640"/>
        <w:rPr>
          <w:rFonts w:ascii="仿宋" w:eastAsia="仿宋" w:hAnsi="仿宋" w:cs="仿宋" w:hint="eastAsia"/>
          <w:sz w:val="32"/>
          <w:szCs w:val="32"/>
        </w:rPr>
      </w:pPr>
    </w:p>
    <w:p w:rsidR="002A054D" w:rsidRDefault="00000000">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三、部门整体支出绩效情况</w:t>
      </w:r>
    </w:p>
    <w:p w:rsidR="002A054D" w:rsidRDefault="00000000">
      <w:pPr>
        <w:pStyle w:val="ac"/>
        <w:spacing w:before="0" w:beforeAutospacing="0" w:after="106" w:afterAutospacing="0" w:line="20" w:lineRule="atLeast"/>
        <w:ind w:firstLineChars="100" w:firstLine="321"/>
        <w:rPr>
          <w:rFonts w:ascii="仿宋" w:eastAsia="仿宋" w:hAnsi="仿宋" w:cs="仿宋" w:hint="eastAsia"/>
          <w:b/>
          <w:bCs/>
          <w:sz w:val="32"/>
          <w:szCs w:val="32"/>
        </w:rPr>
      </w:pPr>
      <w:r>
        <w:rPr>
          <w:rFonts w:ascii="仿宋" w:eastAsia="仿宋" w:hAnsi="仿宋" w:cs="仿宋" w:hint="eastAsia"/>
          <w:b/>
          <w:bCs/>
          <w:sz w:val="32"/>
          <w:szCs w:val="32"/>
        </w:rPr>
        <w:t>（一）部门整体支出绩效目标完成情况</w:t>
      </w:r>
    </w:p>
    <w:p w:rsidR="002A054D" w:rsidRDefault="00000000">
      <w:pPr>
        <w:pStyle w:val="ac"/>
        <w:spacing w:before="0" w:beforeAutospacing="0" w:after="106" w:afterAutospacing="0" w:line="20" w:lineRule="atLeast"/>
        <w:ind w:firstLineChars="100" w:firstLine="320"/>
        <w:rPr>
          <w:rFonts w:ascii="仿宋" w:eastAsia="仿宋" w:hAnsi="仿宋" w:cs="仿宋" w:hint="eastAsia"/>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资产内</w:t>
      </w:r>
      <w:r>
        <w:rPr>
          <w:rFonts w:ascii="仿宋" w:eastAsia="仿宋" w:hAnsi="仿宋" w:cs="仿宋" w:hint="eastAsia"/>
          <w:color w:val="000000" w:themeColor="text1"/>
          <w:sz w:val="32"/>
          <w:szCs w:val="32"/>
          <w:shd w:val="clear" w:color="auto" w:fill="FFFFFF"/>
        </w:rPr>
        <w:lastRenderedPageBreak/>
        <w:t>部管理制度，预算资金按规定管理使用，较好地完成了当年任务目标。2024年全面完成了上级主管部门下达我办的各项工作任务和重点工作计划。</w:t>
      </w:r>
    </w:p>
    <w:p w:rsidR="002A054D" w:rsidRDefault="002A054D">
      <w:pPr>
        <w:spacing w:line="560" w:lineRule="exact"/>
        <w:ind w:firstLineChars="200" w:firstLine="643"/>
        <w:rPr>
          <w:rFonts w:ascii="仿宋" w:eastAsia="仿宋" w:hAnsi="仿宋" w:cs="仿宋" w:hint="eastAsia"/>
          <w:b/>
          <w:bCs/>
          <w:sz w:val="32"/>
          <w:szCs w:val="32"/>
        </w:rPr>
      </w:pPr>
    </w:p>
    <w:p w:rsidR="002A054D" w:rsidRDefault="00000000">
      <w:pPr>
        <w:pStyle w:val="ac"/>
        <w:numPr>
          <w:ilvl w:val="0"/>
          <w:numId w:val="4"/>
        </w:numPr>
        <w:spacing w:before="0" w:beforeAutospacing="0" w:after="106" w:afterAutospacing="0" w:line="20" w:lineRule="atLeas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部门整体支出效益情况</w:t>
      </w:r>
    </w:p>
    <w:p w:rsidR="002A054D" w:rsidRDefault="00000000">
      <w:pPr>
        <w:pStyle w:val="ac"/>
        <w:spacing w:before="0" w:beforeAutospacing="0" w:after="106" w:afterAutospacing="0" w:line="20" w:lineRule="atLeas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shd w:val="clear" w:color="auto" w:fill="FFFFFF"/>
        </w:rPr>
        <w:t>2024年部门整体支出绩效自评结果显示，我镇绩效管理情况较为理想，达到了年初设定的各项绩效目标。所有资金使用严格按审批程序办理、操作规范，会计核算结果真实、准确，各项支出严格按照各项制度执行。</w:t>
      </w:r>
    </w:p>
    <w:p w:rsidR="002A054D" w:rsidRDefault="002A054D">
      <w:pPr>
        <w:spacing w:line="560" w:lineRule="exact"/>
        <w:ind w:firstLineChars="200" w:firstLine="643"/>
        <w:rPr>
          <w:rFonts w:ascii="仿宋" w:eastAsia="仿宋" w:hAnsi="仿宋" w:cs="仿宋" w:hint="eastAsia"/>
          <w:b/>
          <w:bCs/>
          <w:sz w:val="32"/>
          <w:szCs w:val="32"/>
        </w:rPr>
      </w:pPr>
    </w:p>
    <w:p w:rsidR="002A054D" w:rsidRDefault="00000000">
      <w:pPr>
        <w:pStyle w:val="ac"/>
        <w:numPr>
          <w:ilvl w:val="0"/>
          <w:numId w:val="5"/>
        </w:numPr>
        <w:spacing w:before="0" w:beforeAutospacing="0" w:after="106" w:afterAutospacing="0" w:line="20" w:lineRule="atLeas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绩效评价结论</w:t>
      </w:r>
    </w:p>
    <w:p w:rsidR="002A054D" w:rsidRDefault="00000000">
      <w:pPr>
        <w:pStyle w:val="ac"/>
        <w:spacing w:before="0" w:beforeAutospacing="0" w:after="106" w:afterAutospacing="0" w:line="20" w:lineRule="atLeas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shd w:val="clear" w:color="auto" w:fill="FFFFFF"/>
        </w:rPr>
        <w:t>2024年部门整体支出绩效自评结果显示，我镇绩效管理情况较为理想，达到了年初设定的各项绩效目标。所有资金使用严格按审批程序办理、操作规范，会计核算结果真实、准确，各项支出严格按照各项制度执行。</w:t>
      </w:r>
    </w:p>
    <w:p w:rsidR="002A054D" w:rsidRDefault="002A054D">
      <w:pPr>
        <w:spacing w:line="560" w:lineRule="exact"/>
        <w:ind w:firstLineChars="200" w:firstLine="640"/>
        <w:rPr>
          <w:rFonts w:ascii="仿宋" w:eastAsia="仿宋" w:hAnsi="仿宋" w:cs="仿宋" w:hint="eastAsia"/>
          <w:sz w:val="32"/>
          <w:szCs w:val="32"/>
        </w:rPr>
      </w:pPr>
    </w:p>
    <w:p w:rsidR="002A054D" w:rsidRDefault="00000000">
      <w:pPr>
        <w:numPr>
          <w:ilvl w:val="0"/>
          <w:numId w:val="5"/>
        </w:numPr>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存在的主要问题</w:t>
      </w:r>
    </w:p>
    <w:p w:rsidR="002A054D" w:rsidRDefault="00000000">
      <w:pPr>
        <w:ind w:leftChars="200" w:left="420" w:firstLineChars="100" w:firstLine="320"/>
        <w:jc w:val="left"/>
        <w:rPr>
          <w:rFonts w:ascii="仿宋" w:eastAsia="仿宋" w:hAnsi="仿宋" w:cs="仿宋" w:hint="eastAsia"/>
          <w:bCs/>
          <w:color w:val="000000"/>
          <w:kern w:val="0"/>
          <w:sz w:val="32"/>
          <w:szCs w:val="32"/>
        </w:rPr>
      </w:pPr>
      <w:r>
        <w:rPr>
          <w:rFonts w:ascii="仿宋" w:eastAsia="仿宋" w:hAnsi="仿宋" w:cs="仿宋" w:hint="eastAsia"/>
          <w:bCs/>
          <w:color w:val="000000"/>
          <w:kern w:val="0"/>
          <w:sz w:val="32"/>
          <w:szCs w:val="32"/>
        </w:rPr>
        <w:t>1、管理制度不完善，无绩效管理相关制度。</w:t>
      </w:r>
    </w:p>
    <w:p w:rsidR="002A05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2、绩效评价工作未能全面开展宣传培训，自评覆盖率低，绩效评价质量不高。</w:t>
      </w:r>
    </w:p>
    <w:p w:rsidR="002A054D" w:rsidRDefault="00000000">
      <w:pPr>
        <w:numPr>
          <w:ilvl w:val="0"/>
          <w:numId w:val="5"/>
        </w:num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改进措施和有关建议</w:t>
      </w:r>
    </w:p>
    <w:p w:rsidR="002A054D" w:rsidRDefault="00000000">
      <w:pPr>
        <w:spacing w:line="560" w:lineRule="exact"/>
        <w:ind w:leftChars="200" w:left="420"/>
        <w:rPr>
          <w:rFonts w:ascii="仿宋" w:eastAsia="仿宋" w:hAnsi="仿宋" w:cs="仿宋" w:hint="eastAsia"/>
          <w:sz w:val="32"/>
          <w:szCs w:val="32"/>
        </w:rPr>
      </w:pPr>
      <w:r>
        <w:rPr>
          <w:rFonts w:ascii="仿宋" w:eastAsia="仿宋" w:hAnsi="仿宋" w:cs="仿宋" w:hint="eastAsia"/>
          <w:sz w:val="32"/>
          <w:szCs w:val="32"/>
        </w:rPr>
        <w:t xml:space="preserve">　1、完善、规范项目资金的预算管理和执行，确保项目资</w:t>
      </w:r>
      <w:r>
        <w:rPr>
          <w:rFonts w:ascii="仿宋" w:eastAsia="仿宋" w:hAnsi="仿宋" w:cs="仿宋" w:hint="eastAsia"/>
          <w:sz w:val="32"/>
          <w:szCs w:val="32"/>
        </w:rPr>
        <w:lastRenderedPageBreak/>
        <w:t>金及时足额到位。</w:t>
      </w:r>
    </w:p>
    <w:p w:rsidR="002A054D"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2、规范资金管理行为，提高资金使用效益。</w:t>
      </w:r>
    </w:p>
    <w:p w:rsidR="002A054D" w:rsidRDefault="00000000">
      <w:pPr>
        <w:spacing w:line="560" w:lineRule="exact"/>
        <w:ind w:firstLineChars="200" w:firstLine="640"/>
        <w:rPr>
          <w:rFonts w:ascii="宋体" w:eastAsia="宋体" w:hAnsi="宋体" w:cs="宋体" w:hint="eastAsia"/>
          <w:sz w:val="32"/>
          <w:szCs w:val="32"/>
        </w:rPr>
      </w:pPr>
      <w:r>
        <w:rPr>
          <w:rFonts w:ascii="仿宋" w:eastAsia="仿宋" w:hAnsi="仿宋" w:cs="仿宋" w:hint="eastAsia"/>
          <w:sz w:val="32"/>
          <w:szCs w:val="32"/>
        </w:rPr>
        <w:t>3、构建资金监管体系，加强对专项资金的监管检查力度</w:t>
      </w:r>
      <w:r>
        <w:rPr>
          <w:rFonts w:ascii="宋体" w:eastAsia="宋体" w:hAnsi="宋体" w:cs="宋体" w:hint="eastAsia"/>
          <w:sz w:val="32"/>
          <w:szCs w:val="32"/>
        </w:rPr>
        <w:t>。</w:t>
      </w:r>
    </w:p>
    <w:p w:rsidR="002A054D" w:rsidRDefault="002A054D">
      <w:pPr>
        <w:spacing w:line="560" w:lineRule="exact"/>
        <w:ind w:firstLineChars="200" w:firstLine="640"/>
        <w:rPr>
          <w:rFonts w:ascii="仿宋_GB2312" w:eastAsia="仿宋_GB2312" w:hAnsi="仿宋_GB2312" w:cs="仿宋_GB2312" w:hint="eastAsia"/>
          <w:sz w:val="32"/>
          <w:szCs w:val="32"/>
        </w:rPr>
      </w:pPr>
    </w:p>
    <w:p w:rsidR="002A054D" w:rsidRDefault="002A054D">
      <w:pPr>
        <w:spacing w:line="560" w:lineRule="exact"/>
        <w:rPr>
          <w:rFonts w:ascii="仿宋_GB2312" w:eastAsia="仿宋_GB2312" w:hAnsi="仿宋_GB2312" w:cs="仿宋_GB2312" w:hint="eastAsia"/>
          <w:sz w:val="32"/>
          <w:szCs w:val="32"/>
        </w:rPr>
      </w:pPr>
    </w:p>
    <w:p w:rsidR="002A054D" w:rsidRDefault="002A054D">
      <w:pPr>
        <w:spacing w:line="560" w:lineRule="exact"/>
        <w:rPr>
          <w:rFonts w:ascii="仿宋_GB2312" w:eastAsia="仿宋_GB2312" w:hAnsi="仿宋_GB2312" w:cs="仿宋_GB2312" w:hint="eastAsia"/>
          <w:sz w:val="32"/>
          <w:szCs w:val="32"/>
        </w:rPr>
      </w:pPr>
    </w:p>
    <w:p w:rsidR="002A054D" w:rsidRDefault="002A054D">
      <w:pPr>
        <w:spacing w:line="560" w:lineRule="exact"/>
        <w:rPr>
          <w:rFonts w:ascii="仿宋_GB2312" w:eastAsia="仿宋_GB2312" w:hAnsi="仿宋_GB2312" w:cs="仿宋_GB2312" w:hint="eastAsia"/>
          <w:sz w:val="32"/>
          <w:szCs w:val="32"/>
        </w:rPr>
      </w:pPr>
    </w:p>
    <w:p w:rsidR="002A054D" w:rsidRDefault="002A054D">
      <w:pPr>
        <w:pStyle w:val="Default"/>
        <w:spacing w:line="600" w:lineRule="exact"/>
        <w:ind w:firstLineChars="200" w:firstLine="640"/>
        <w:rPr>
          <w:rFonts w:ascii="Times New Roman" w:eastAsia="仿宋_GB2312" w:hAnsi="Times New Roman" w:cs="Times New Roman"/>
          <w:sz w:val="32"/>
          <w:szCs w:val="32"/>
        </w:rPr>
      </w:pPr>
    </w:p>
    <w:p w:rsidR="002A054D" w:rsidRDefault="002A054D">
      <w:pPr>
        <w:pStyle w:val="Default"/>
        <w:jc w:val="center"/>
        <w:rPr>
          <w:rFonts w:ascii="Times New Roman" w:hAnsi="Times New Roman" w:cs="Times New Roman"/>
          <w:sz w:val="72"/>
          <w:szCs w:val="72"/>
        </w:rPr>
      </w:pPr>
    </w:p>
    <w:sectPr w:rsidR="002A054D">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707" w:rsidRDefault="00465707">
      <w:r>
        <w:separator/>
      </w:r>
    </w:p>
  </w:endnote>
  <w:endnote w:type="continuationSeparator" w:id="0">
    <w:p w:rsidR="00465707" w:rsidRDefault="0046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54D" w:rsidRDefault="002A05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54D" w:rsidRDefault="002A054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54D"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054D"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2A054D"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707" w:rsidRDefault="00465707">
      <w:r>
        <w:separator/>
      </w:r>
    </w:p>
  </w:footnote>
  <w:footnote w:type="continuationSeparator" w:id="0">
    <w:p w:rsidR="00465707" w:rsidRDefault="00465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0F37C"/>
    <w:multiLevelType w:val="singleLevel"/>
    <w:tmpl w:val="8E10F37C"/>
    <w:lvl w:ilvl="0">
      <w:start w:val="5"/>
      <w:numFmt w:val="decimal"/>
      <w:suff w:val="nothing"/>
      <w:lvlText w:val="%1、"/>
      <w:lvlJc w:val="left"/>
    </w:lvl>
  </w:abstractNum>
  <w:abstractNum w:abstractNumId="1" w15:restartNumberingAfterBreak="0">
    <w:nsid w:val="DCF6872B"/>
    <w:multiLevelType w:val="singleLevel"/>
    <w:tmpl w:val="DCF6872B"/>
    <w:lvl w:ilvl="0">
      <w:start w:val="3"/>
      <w:numFmt w:val="decimal"/>
      <w:suff w:val="nothing"/>
      <w:lvlText w:val="%1、"/>
      <w:lvlJc w:val="left"/>
    </w:lvl>
  </w:abstractNum>
  <w:abstractNum w:abstractNumId="2" w15:restartNumberingAfterBreak="0">
    <w:nsid w:val="DF6EC5F9"/>
    <w:multiLevelType w:val="singleLevel"/>
    <w:tmpl w:val="DF6EC5F9"/>
    <w:lvl w:ilvl="0">
      <w:start w:val="4"/>
      <w:numFmt w:val="chineseCounting"/>
      <w:suff w:val="nothing"/>
      <w:lvlText w:val="%1、"/>
      <w:lvlJc w:val="left"/>
      <w:rPr>
        <w:rFonts w:hint="eastAsia"/>
      </w:rPr>
    </w:lvl>
  </w:abstractNum>
  <w:abstractNum w:abstractNumId="3" w15:restartNumberingAfterBreak="0">
    <w:nsid w:val="F198A25D"/>
    <w:multiLevelType w:val="singleLevel"/>
    <w:tmpl w:val="F198A25D"/>
    <w:lvl w:ilvl="0">
      <w:start w:val="2"/>
      <w:numFmt w:val="decimal"/>
      <w:suff w:val="nothing"/>
      <w:lvlText w:val="%1、"/>
      <w:lvlJc w:val="left"/>
      <w:pPr>
        <w:ind w:left="-10"/>
      </w:pPr>
    </w:lvl>
  </w:abstractNum>
  <w:abstractNum w:abstractNumId="4" w15:restartNumberingAfterBreak="0">
    <w:nsid w:val="F414B5D4"/>
    <w:multiLevelType w:val="singleLevel"/>
    <w:tmpl w:val="F414B5D4"/>
    <w:lvl w:ilvl="0">
      <w:start w:val="2"/>
      <w:numFmt w:val="chineseCounting"/>
      <w:suff w:val="nothing"/>
      <w:lvlText w:val="（%1）"/>
      <w:lvlJc w:val="left"/>
      <w:rPr>
        <w:rFonts w:hint="eastAsia"/>
      </w:rPr>
    </w:lvl>
  </w:abstractNum>
  <w:num w:numId="1" w16cid:durableId="321466083">
    <w:abstractNumId w:val="0"/>
  </w:num>
  <w:num w:numId="2" w16cid:durableId="981932441">
    <w:abstractNumId w:val="3"/>
  </w:num>
  <w:num w:numId="3" w16cid:durableId="139614286">
    <w:abstractNumId w:val="1"/>
  </w:num>
  <w:num w:numId="4" w16cid:durableId="521554384">
    <w:abstractNumId w:val="4"/>
  </w:num>
  <w:num w:numId="5" w16cid:durableId="188325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40262"/>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A054D"/>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65707"/>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A06CC"/>
    <w:rsid w:val="007C4539"/>
    <w:rsid w:val="007F3657"/>
    <w:rsid w:val="00810F0C"/>
    <w:rsid w:val="00811AA2"/>
    <w:rsid w:val="00812ED5"/>
    <w:rsid w:val="008277D9"/>
    <w:rsid w:val="0084478C"/>
    <w:rsid w:val="0086638C"/>
    <w:rsid w:val="008764FA"/>
    <w:rsid w:val="00884092"/>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81866"/>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0F1C"/>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00514"/>
    <w:rsid w:val="00F74360"/>
    <w:rsid w:val="00FB462F"/>
    <w:rsid w:val="00FD7279"/>
    <w:rsid w:val="00FE16FA"/>
    <w:rsid w:val="00FE328A"/>
    <w:rsid w:val="00FE6269"/>
    <w:rsid w:val="00FF5CD6"/>
    <w:rsid w:val="089E7C48"/>
    <w:rsid w:val="0B152E55"/>
    <w:rsid w:val="15B01CD8"/>
    <w:rsid w:val="161552E4"/>
    <w:rsid w:val="168348C3"/>
    <w:rsid w:val="16C6442B"/>
    <w:rsid w:val="172A411A"/>
    <w:rsid w:val="177902CC"/>
    <w:rsid w:val="182C74E4"/>
    <w:rsid w:val="186877C1"/>
    <w:rsid w:val="195957BE"/>
    <w:rsid w:val="1CD16931"/>
    <w:rsid w:val="1D530C12"/>
    <w:rsid w:val="1D7111EA"/>
    <w:rsid w:val="1D97DEFF"/>
    <w:rsid w:val="1DBF0AA7"/>
    <w:rsid w:val="1DFF72E5"/>
    <w:rsid w:val="1EFC6F07"/>
    <w:rsid w:val="22AA3261"/>
    <w:rsid w:val="25E52060"/>
    <w:rsid w:val="2AB724FA"/>
    <w:rsid w:val="2B526C0C"/>
    <w:rsid w:val="2EED7A63"/>
    <w:rsid w:val="2FDF85B8"/>
    <w:rsid w:val="2FFFEE04"/>
    <w:rsid w:val="313B3A61"/>
    <w:rsid w:val="33ED4A14"/>
    <w:rsid w:val="34DC47CC"/>
    <w:rsid w:val="34DF85B0"/>
    <w:rsid w:val="34FB5BBD"/>
    <w:rsid w:val="36054F45"/>
    <w:rsid w:val="399E1DF5"/>
    <w:rsid w:val="39B00FFD"/>
    <w:rsid w:val="3B8F36BC"/>
    <w:rsid w:val="3BDA1993"/>
    <w:rsid w:val="3CB50333"/>
    <w:rsid w:val="3E8A1B82"/>
    <w:rsid w:val="42994437"/>
    <w:rsid w:val="43E86F7B"/>
    <w:rsid w:val="45D90BF3"/>
    <w:rsid w:val="46347950"/>
    <w:rsid w:val="471C7BBC"/>
    <w:rsid w:val="474E4951"/>
    <w:rsid w:val="491FF225"/>
    <w:rsid w:val="4C511C1D"/>
    <w:rsid w:val="4E2A241D"/>
    <w:rsid w:val="4F5F05D0"/>
    <w:rsid w:val="4FB54409"/>
    <w:rsid w:val="4FFD214C"/>
    <w:rsid w:val="50E56E8D"/>
    <w:rsid w:val="548337C0"/>
    <w:rsid w:val="54A20D14"/>
    <w:rsid w:val="5777D4F5"/>
    <w:rsid w:val="577F1864"/>
    <w:rsid w:val="585D0139"/>
    <w:rsid w:val="58F77CC8"/>
    <w:rsid w:val="59180CE9"/>
    <w:rsid w:val="59273BCC"/>
    <w:rsid w:val="59DD8326"/>
    <w:rsid w:val="5A527B01"/>
    <w:rsid w:val="5A5C57F2"/>
    <w:rsid w:val="5AEE1D64"/>
    <w:rsid w:val="5DEF592A"/>
    <w:rsid w:val="5EFF69E9"/>
    <w:rsid w:val="5F634D40"/>
    <w:rsid w:val="5FC6BB1E"/>
    <w:rsid w:val="5FF720F1"/>
    <w:rsid w:val="61A16E58"/>
    <w:rsid w:val="6273748C"/>
    <w:rsid w:val="637E2265"/>
    <w:rsid w:val="667D4F0D"/>
    <w:rsid w:val="67F207A0"/>
    <w:rsid w:val="67FF5C0B"/>
    <w:rsid w:val="69AF3D5B"/>
    <w:rsid w:val="6C141DD0"/>
    <w:rsid w:val="6C440E8C"/>
    <w:rsid w:val="6D207B3D"/>
    <w:rsid w:val="6D753A79"/>
    <w:rsid w:val="6EFC0924"/>
    <w:rsid w:val="6FB74722"/>
    <w:rsid w:val="6FEF8B7E"/>
    <w:rsid w:val="6FFB19C7"/>
    <w:rsid w:val="70B359CB"/>
    <w:rsid w:val="71A6591B"/>
    <w:rsid w:val="737D59BA"/>
    <w:rsid w:val="740924A3"/>
    <w:rsid w:val="77C37683"/>
    <w:rsid w:val="79D19834"/>
    <w:rsid w:val="79FF515B"/>
    <w:rsid w:val="7B430CF1"/>
    <w:rsid w:val="7D4F61F0"/>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10D2F-2FE0-42A7-8E91-C7760D16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43</Pages>
  <Words>2973</Words>
  <Characters>16949</Characters>
  <Application>Microsoft Office Word</Application>
  <DocSecurity>0</DocSecurity>
  <Lines>141</Lines>
  <Paragraphs>39</Paragraphs>
  <ScaleCrop>false</ScaleCrop>
  <Company>Microsoft</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2025-09-17T04:55:00Z</cp:lastPrinted>
  <dcterms:created xsi:type="dcterms:W3CDTF">2025-08-18T10:17:00Z</dcterms:created>
  <dcterms:modified xsi:type="dcterms:W3CDTF">2025-12-04T07:43:00Z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eyJoZGlkIjoiNDNmYjdhZTFlMjNiMmI0YTc3NGMxY2RjZWE3YzQ4OTYiLCJ1c2VySWQiOiIxMzIwNDM0OTQ3In0=</vt:lpwstr>
  </property>
</Properties>
</file>