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5689B">
      <w:pPr>
        <w:rPr>
          <w:rFonts w:ascii="方正小标宋简体" w:hAnsi="方正小标宋简体" w:eastAsia="方正小标宋简体" w:cs="方正小标宋简体"/>
          <w:sz w:val="44"/>
          <w:szCs w:val="44"/>
        </w:rPr>
      </w:pPr>
    </w:p>
    <w:p w14:paraId="4048EDF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rPr>
        <w:t>部门整体支出绩效自评报告</w:t>
      </w:r>
    </w:p>
    <w:p w14:paraId="3AF60E7D">
      <w:pPr>
        <w:rPr>
          <w:rFonts w:ascii="方正小标宋简体" w:hAnsi="方正小标宋简体" w:eastAsia="方正小标宋简体" w:cs="方正小标宋简体"/>
          <w:sz w:val="36"/>
          <w:szCs w:val="36"/>
        </w:rPr>
      </w:pPr>
    </w:p>
    <w:p w14:paraId="586EEA90">
      <w:pPr>
        <w:rPr>
          <w:rFonts w:ascii="方正小标宋简体" w:hAnsi="方正小标宋简体" w:eastAsia="方正小标宋简体" w:cs="方正小标宋简体"/>
          <w:sz w:val="36"/>
          <w:szCs w:val="36"/>
        </w:rPr>
      </w:pPr>
    </w:p>
    <w:p w14:paraId="0E1CCCEB">
      <w:pPr>
        <w:rPr>
          <w:rFonts w:ascii="方正小标宋简体" w:hAnsi="方正小标宋简体" w:eastAsia="方正小标宋简体" w:cs="方正小标宋简体"/>
          <w:sz w:val="36"/>
          <w:szCs w:val="36"/>
        </w:rPr>
      </w:pPr>
    </w:p>
    <w:p w14:paraId="77B4A160">
      <w:pPr>
        <w:spacing w:afterLines="100"/>
        <w:jc w:val="left"/>
        <w:rPr>
          <w:rFonts w:hint="eastAsia" w:ascii="仿宋_GB2312" w:hAnsi="仿宋_GB2312" w:eastAsia="仿宋_GB2312" w:cs="仿宋_GB2312"/>
          <w:sz w:val="36"/>
          <w:szCs w:val="36"/>
        </w:rPr>
      </w:pPr>
      <w:bookmarkStart w:id="0" w:name="_GoBack"/>
      <w:bookmarkEnd w:id="0"/>
    </w:p>
    <w:p w14:paraId="48BCE2DA">
      <w:pPr>
        <w:spacing w:afterLines="100"/>
        <w:jc w:val="left"/>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 xml:space="preserve">部门（单位）名称： </w:t>
      </w:r>
      <w:r>
        <w:rPr>
          <w:rFonts w:hint="eastAsia" w:ascii="仿宋_GB2312" w:hAnsi="仿宋_GB2312" w:eastAsia="仿宋_GB2312" w:cs="仿宋_GB2312"/>
          <w:sz w:val="36"/>
          <w:szCs w:val="36"/>
          <w:lang w:eastAsia="zh-CN"/>
        </w:rPr>
        <w:t>祁阳市医疗保障局</w:t>
      </w:r>
      <w:r>
        <w:rPr>
          <w:rFonts w:hint="eastAsia" w:ascii="仿宋_GB2312" w:hAnsi="仿宋_GB2312" w:eastAsia="仿宋_GB2312" w:cs="仿宋_GB2312"/>
          <w:sz w:val="36"/>
          <w:szCs w:val="36"/>
          <w:lang w:val="en-US" w:eastAsia="zh-CN"/>
        </w:rPr>
        <w:t xml:space="preserve">        </w:t>
      </w:r>
    </w:p>
    <w:p w14:paraId="12199A1A">
      <w:pPr>
        <w:spacing w:afterLines="100"/>
        <w:jc w:val="left"/>
        <w:rPr>
          <w:rFonts w:hint="eastAsia" w:ascii="仿宋_GB2312" w:hAnsi="仿宋_GB2312" w:eastAsia="仿宋_GB2312" w:cs="仿宋_GB2312"/>
          <w:sz w:val="36"/>
          <w:szCs w:val="36"/>
        </w:rPr>
      </w:pPr>
    </w:p>
    <w:p w14:paraId="2F3BD38D">
      <w:pPr>
        <w:spacing w:afterLines="1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评价方式：部门</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单位</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绩效自评</w:t>
      </w:r>
    </w:p>
    <w:p w14:paraId="681DD0CC">
      <w:pPr>
        <w:spacing w:afterLines="100"/>
        <w:jc w:val="left"/>
        <w:rPr>
          <w:rFonts w:ascii="仿宋_GB2312" w:hAnsi="仿宋_GB2312" w:eastAsia="仿宋_GB2312" w:cs="仿宋_GB2312"/>
          <w:sz w:val="36"/>
          <w:szCs w:val="36"/>
        </w:rPr>
      </w:pPr>
    </w:p>
    <w:p w14:paraId="2B2E5F9A">
      <w:pPr>
        <w:spacing w:afterLines="1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评价机构：部门</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单位</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评价组</w:t>
      </w:r>
    </w:p>
    <w:p w14:paraId="5564D75C">
      <w:pPr>
        <w:rPr>
          <w:rFonts w:ascii="仿宋_GB2312" w:hAnsi="仿宋_GB2312" w:eastAsia="仿宋_GB2312" w:cs="仿宋_GB2312"/>
          <w:sz w:val="36"/>
          <w:szCs w:val="36"/>
        </w:rPr>
      </w:pPr>
    </w:p>
    <w:p w14:paraId="7E8F0828">
      <w:pPr>
        <w:rPr>
          <w:rFonts w:ascii="仿宋_GB2312" w:hAnsi="仿宋_GB2312" w:eastAsia="仿宋_GB2312" w:cs="仿宋_GB2312"/>
          <w:sz w:val="36"/>
          <w:szCs w:val="36"/>
        </w:rPr>
      </w:pPr>
    </w:p>
    <w:p w14:paraId="720B4506">
      <w:pPr>
        <w:spacing w:afterLines="100"/>
        <w:jc w:val="center"/>
        <w:rPr>
          <w:rFonts w:hint="eastAsia" w:ascii="仿宋_GB2312" w:hAnsi="仿宋_GB2312" w:eastAsia="仿宋_GB2312" w:cs="仿宋_GB2312"/>
          <w:sz w:val="36"/>
          <w:szCs w:val="36"/>
        </w:rPr>
      </w:pPr>
    </w:p>
    <w:p w14:paraId="1637A622">
      <w:pPr>
        <w:spacing w:afterLines="100"/>
        <w:jc w:val="center"/>
        <w:rPr>
          <w:rFonts w:hint="eastAsia" w:ascii="仿宋_GB2312" w:hAnsi="仿宋_GB2312" w:eastAsia="仿宋_GB2312" w:cs="仿宋_GB2312"/>
          <w:sz w:val="36"/>
          <w:szCs w:val="36"/>
        </w:rPr>
      </w:pPr>
    </w:p>
    <w:p w14:paraId="64AC906A">
      <w:pPr>
        <w:keepNext w:val="0"/>
        <w:keepLines w:val="0"/>
        <w:pageBreakBefore w:val="0"/>
        <w:widowControl w:val="0"/>
        <w:kinsoku/>
        <w:wordWrap/>
        <w:overflowPunct/>
        <w:topLinePunct w:val="0"/>
        <w:autoSpaceDE/>
        <w:autoSpaceDN/>
        <w:bidi w:val="0"/>
        <w:adjustRightInd/>
        <w:snapToGrid/>
        <w:spacing w:after="251" w:afterLines="80"/>
        <w:jc w:val="center"/>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报告日期：</w:t>
      </w:r>
      <w:r>
        <w:rPr>
          <w:rFonts w:hint="eastAsia" w:ascii="仿宋_GB2312" w:hAnsi="仿宋_GB2312" w:eastAsia="仿宋_GB2312" w:cs="仿宋_GB2312"/>
          <w:sz w:val="36"/>
          <w:szCs w:val="36"/>
          <w:lang w:val="en-US" w:eastAsia="zh-CN"/>
        </w:rPr>
        <w:t>2025</w:t>
      </w:r>
      <w:r>
        <w:rPr>
          <w:rFonts w:hint="eastAsia" w:ascii="仿宋_GB2312" w:hAnsi="仿宋_GB2312" w:eastAsia="仿宋_GB2312" w:cs="仿宋_GB2312"/>
          <w:sz w:val="36"/>
          <w:szCs w:val="36"/>
        </w:rPr>
        <w:t xml:space="preserve"> 年 </w:t>
      </w:r>
      <w:r>
        <w:rPr>
          <w:rFonts w:hint="eastAsia" w:ascii="仿宋_GB2312" w:hAnsi="仿宋_GB2312" w:eastAsia="仿宋_GB2312" w:cs="仿宋_GB2312"/>
          <w:sz w:val="36"/>
          <w:szCs w:val="36"/>
          <w:lang w:val="en-US" w:eastAsia="zh-CN"/>
        </w:rPr>
        <w:t>7</w:t>
      </w:r>
      <w:r>
        <w:rPr>
          <w:rFonts w:hint="eastAsia" w:ascii="仿宋_GB2312" w:hAnsi="仿宋_GB2312" w:eastAsia="仿宋_GB2312" w:cs="仿宋_GB2312"/>
          <w:sz w:val="36"/>
          <w:szCs w:val="36"/>
        </w:rPr>
        <w:t xml:space="preserve"> 月 </w:t>
      </w:r>
      <w:r>
        <w:rPr>
          <w:rFonts w:hint="eastAsia" w:ascii="仿宋_GB2312" w:hAnsi="仿宋_GB2312" w:eastAsia="仿宋_GB2312" w:cs="仿宋_GB2312"/>
          <w:sz w:val="36"/>
          <w:szCs w:val="36"/>
          <w:lang w:val="en-US" w:eastAsia="zh-CN"/>
        </w:rPr>
        <w:t>4</w:t>
      </w:r>
      <w:r>
        <w:rPr>
          <w:rFonts w:hint="eastAsia" w:ascii="仿宋_GB2312" w:hAnsi="仿宋_GB2312" w:eastAsia="仿宋_GB2312" w:cs="仿宋_GB2312"/>
          <w:sz w:val="36"/>
          <w:szCs w:val="36"/>
        </w:rPr>
        <w:t xml:space="preserve"> 日</w:t>
      </w:r>
    </w:p>
    <w:p w14:paraId="6C3E1AD2">
      <w:pPr>
        <w:keepNext w:val="0"/>
        <w:keepLines w:val="0"/>
        <w:pageBreakBefore w:val="0"/>
        <w:widowControl w:val="0"/>
        <w:kinsoku/>
        <w:wordWrap/>
        <w:overflowPunct/>
        <w:topLinePunct w:val="0"/>
        <w:autoSpaceDE/>
        <w:autoSpaceDN/>
        <w:bidi w:val="0"/>
        <w:adjustRightInd/>
        <w:snapToGrid/>
        <w:spacing w:after="251" w:afterLines="80"/>
        <w:jc w:val="both"/>
        <w:textAlignment w:val="auto"/>
        <w:rPr>
          <w:rFonts w:hint="eastAsia" w:ascii="仿宋_GB2312" w:hAnsi="仿宋_GB2312" w:eastAsia="仿宋_GB2312" w:cs="仿宋_GB2312"/>
          <w:sz w:val="36"/>
          <w:szCs w:val="36"/>
        </w:rPr>
      </w:pPr>
    </w:p>
    <w:p w14:paraId="4BDFBC00">
      <w:pPr>
        <w:keepNext w:val="0"/>
        <w:keepLines w:val="0"/>
        <w:pageBreakBefore w:val="0"/>
        <w:widowControl w:val="0"/>
        <w:kinsoku/>
        <w:wordWrap/>
        <w:overflowPunct/>
        <w:topLinePunct w:val="0"/>
        <w:autoSpaceDE/>
        <w:autoSpaceDN/>
        <w:bidi w:val="0"/>
        <w:adjustRightInd/>
        <w:snapToGrid/>
        <w:spacing w:after="251" w:afterLines="80"/>
        <w:jc w:val="center"/>
        <w:textAlignment w:val="auto"/>
        <w:rPr>
          <w:sz w:val="44"/>
          <w:szCs w:val="44"/>
        </w:rPr>
      </w:pPr>
      <w:r>
        <w:rPr>
          <w:rFonts w:hint="eastAsia" w:ascii="方正小标宋简体" w:hAnsi="方正小标宋简体" w:eastAsia="方正小标宋简体" w:cs="方正小标宋简体"/>
          <w:sz w:val="44"/>
          <w:szCs w:val="44"/>
        </w:rPr>
        <w:t>自评报告综述</w:t>
      </w:r>
    </w:p>
    <w:p w14:paraId="6E7FD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一、部门概况</w:t>
      </w:r>
    </w:p>
    <w:p w14:paraId="2A7DF3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w:t>
      </w:r>
      <w:r>
        <w:rPr>
          <w:rFonts w:hint="eastAsia" w:ascii="Times New Roman" w:hAnsi="Times New Roman" w:eastAsia="楷体_GB2312" w:cs="Times New Roman"/>
          <w:b/>
          <w:bCs/>
          <w:sz w:val="32"/>
          <w:szCs w:val="32"/>
          <w:lang w:eastAsia="zh-CN"/>
        </w:rPr>
        <w:t>基本情况（</w:t>
      </w:r>
      <w:r>
        <w:rPr>
          <w:rFonts w:hint="eastAsia" w:ascii="Times New Roman" w:hAnsi="Times New Roman" w:eastAsia="楷体_GB2312" w:cs="Times New Roman"/>
          <w:b/>
          <w:bCs/>
          <w:sz w:val="32"/>
          <w:szCs w:val="32"/>
          <w:lang w:val="en-US" w:eastAsia="zh-CN"/>
        </w:rPr>
        <w:t>职能职责及人员）</w:t>
      </w:r>
    </w:p>
    <w:p w14:paraId="3EAA6A7C">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祁阳市医疗保障局在职员工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85人。</w:t>
      </w:r>
      <w:r>
        <w:rPr>
          <w:rFonts w:hint="eastAsia" w:ascii="仿宋_GB2312" w:hAnsi="仿宋_GB2312" w:eastAsia="仿宋_GB2312" w:cs="仿宋_GB2312"/>
          <w:color w:val="000000" w:themeColor="text1"/>
          <w:sz w:val="32"/>
          <w:szCs w:val="32"/>
          <w:highlight w:val="none"/>
          <w14:textFill>
            <w14:solidFill>
              <w14:schemeClr w14:val="tx1"/>
            </w14:solidFill>
          </w14:textFill>
        </w:rPr>
        <w:t>内设机构：办公室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（规划财务和法规股、信访室）、</w:t>
      </w:r>
      <w:r>
        <w:rPr>
          <w:rFonts w:hint="eastAsia" w:ascii="仿宋_GB2312" w:hAnsi="仿宋_GB2312" w:eastAsia="仿宋_GB2312" w:cs="仿宋_GB2312"/>
          <w:color w:val="000000" w:themeColor="text1"/>
          <w:sz w:val="32"/>
          <w:szCs w:val="32"/>
          <w:highlight w:val="none"/>
          <w14:textFill>
            <w14:solidFill>
              <w14:schemeClr w14:val="tx1"/>
            </w14:solidFill>
          </w14:textFill>
        </w:rPr>
        <w:t>待遇保障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医药服务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、医药价格和</w:t>
      </w:r>
      <w:r>
        <w:rPr>
          <w:rFonts w:hint="eastAsia" w:ascii="仿宋_GB2312" w:hAnsi="仿宋_GB2312" w:eastAsia="仿宋_GB2312" w:cs="仿宋_GB2312"/>
          <w:color w:val="000000" w:themeColor="text1"/>
          <w:sz w:val="32"/>
          <w:szCs w:val="32"/>
          <w:highlight w:val="none"/>
          <w14:textFill>
            <w14:solidFill>
              <w14:schemeClr w14:val="tx1"/>
            </w14:solidFill>
          </w14:textFill>
        </w:rPr>
        <w:t>招标采购股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、基金</w:t>
      </w:r>
      <w:r>
        <w:rPr>
          <w:rFonts w:hint="eastAsia" w:ascii="仿宋_GB2312" w:hAnsi="仿宋_GB2312" w:eastAsia="仿宋_GB2312" w:cs="仿宋_GB2312"/>
          <w:color w:val="000000" w:themeColor="text1"/>
          <w:sz w:val="32"/>
          <w:szCs w:val="32"/>
          <w:highlight w:val="none"/>
          <w14:textFill>
            <w14:solidFill>
              <w14:schemeClr w14:val="tx1"/>
            </w14:solidFill>
          </w14:textFill>
        </w:rPr>
        <w:t>监管股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（行政审批服务股）</w:t>
      </w:r>
      <w:r>
        <w:rPr>
          <w:rFonts w:hint="eastAsia" w:ascii="仿宋_GB2312" w:hAnsi="仿宋_GB2312" w:eastAsia="仿宋_GB2312" w:cs="仿宋_GB2312"/>
          <w:color w:val="000000" w:themeColor="text1"/>
          <w:sz w:val="32"/>
          <w:szCs w:val="32"/>
          <w:highlight w:val="none"/>
          <w14:textFill>
            <w14:solidFill>
              <w14:schemeClr w14:val="tx1"/>
            </w14:solidFill>
          </w14:textFill>
        </w:rPr>
        <w:t>。下设二级机构医保事务中心（未独立核算）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4574F20C">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拟制全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医疗保险、生育保险、医疗救助等医疗保障制度的规范性文件，并组织实施</w:t>
      </w:r>
      <w:r>
        <w:rPr>
          <w:rFonts w:hint="eastAsia" w:ascii="仿宋_GB2312" w:eastAsia="仿宋_GB2312"/>
          <w:color w:val="000000" w:themeColor="text1"/>
          <w:sz w:val="30"/>
          <w:szCs w:val="30"/>
          <w:highlight w:val="none"/>
          <w:lang w:eastAsia="zh-CN"/>
          <w14:textFill>
            <w14:solidFill>
              <w14:schemeClr w14:val="tx1"/>
            </w14:solidFill>
          </w14:textFill>
        </w:rPr>
        <w:t>；</w:t>
      </w:r>
    </w:p>
    <w:p w14:paraId="3DB9F820">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组织拟制并实施全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医疗保障基金监督管理办法，监督管理相关医疗保障基金，建立健全医疗保障基金安全防控机制，推进医疗保障基金支付方式改革</w:t>
      </w:r>
      <w:r>
        <w:rPr>
          <w:rFonts w:hint="eastAsia" w:ascii="仿宋_GB2312" w:eastAsia="仿宋_GB2312"/>
          <w:color w:val="000000" w:themeColor="text1"/>
          <w:sz w:val="30"/>
          <w:szCs w:val="30"/>
          <w:highlight w:val="none"/>
          <w:lang w:eastAsia="zh-CN"/>
          <w14:textFill>
            <w14:solidFill>
              <w14:schemeClr w14:val="tx1"/>
            </w14:solidFill>
          </w14:textFill>
        </w:rPr>
        <w:t>；</w:t>
      </w:r>
    </w:p>
    <w:p w14:paraId="332863F3">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4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落实上级医疗保障部门筹资和待遇政策措施，完善动态调整机制和区域调剂平衡机制，统筹城乡医疗保障待遇标准，建立健全与筹资水平相适应的待遇调整机制，组织拟制并实施长期护理保险制度改革方案</w:t>
      </w:r>
      <w:r>
        <w:rPr>
          <w:rFonts w:hint="eastAsia" w:ascii="仿宋_GB2312" w:eastAsia="仿宋_GB2312"/>
          <w:color w:val="000000" w:themeColor="text1"/>
          <w:sz w:val="30"/>
          <w:szCs w:val="30"/>
          <w:highlight w:val="none"/>
          <w:lang w:eastAsia="zh-CN"/>
          <w14:textFill>
            <w14:solidFill>
              <w14:schemeClr w14:val="tx1"/>
            </w14:solidFill>
          </w14:textFill>
        </w:rPr>
        <w:t>；</w:t>
      </w:r>
    </w:p>
    <w:p w14:paraId="64BD3990">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贯彻落实湖南省统一制定的药品、医用耗材、医疗服务项目、医疗服务设施等基本医疗保险目录和支付标准</w:t>
      </w:r>
      <w:r>
        <w:rPr>
          <w:rFonts w:hint="eastAsia" w:ascii="仿宋_GB2312" w:eastAsia="仿宋_GB2312"/>
          <w:color w:val="000000" w:themeColor="text1"/>
          <w:sz w:val="30"/>
          <w:szCs w:val="30"/>
          <w:highlight w:val="none"/>
          <w:lang w:eastAsia="zh-CN"/>
          <w14:textFill>
            <w14:solidFill>
              <w14:schemeClr w14:val="tx1"/>
            </w14:solidFill>
          </w14:textFill>
        </w:rPr>
        <w:t>；</w:t>
      </w:r>
    </w:p>
    <w:p w14:paraId="4AEF5ED0">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落实上级医疗保险部门制定的药品、医用耗材和医疗服务项目、医疗服务设施收费等政策措施，建立医保支付医药服务价格合理确定和动态调整机制，推动建立市场主动的社会医药服务价格形成机制，建立价格信息监测和信息发布制度</w:t>
      </w:r>
      <w:r>
        <w:rPr>
          <w:rFonts w:hint="eastAsia" w:ascii="仿宋_GB2312" w:eastAsia="仿宋_GB2312"/>
          <w:color w:val="000000" w:themeColor="text1"/>
          <w:sz w:val="30"/>
          <w:szCs w:val="30"/>
          <w:highlight w:val="none"/>
          <w:lang w:eastAsia="zh-CN"/>
          <w14:textFill>
            <w14:solidFill>
              <w14:schemeClr w14:val="tx1"/>
            </w14:solidFill>
          </w14:textFill>
        </w:rPr>
        <w:t>；</w:t>
      </w:r>
    </w:p>
    <w:p w14:paraId="5E770128">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根据国家、省和市药品、医用耗材的招标采购政策，监督实施全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药品、医用耗材招标采购工作</w:t>
      </w:r>
      <w:r>
        <w:rPr>
          <w:rFonts w:hint="eastAsia" w:ascii="仿宋_GB2312" w:eastAsia="仿宋_GB2312"/>
          <w:color w:val="000000" w:themeColor="text1"/>
          <w:sz w:val="30"/>
          <w:szCs w:val="30"/>
          <w:highlight w:val="none"/>
          <w:lang w:eastAsia="zh-CN"/>
          <w14:textFill>
            <w14:solidFill>
              <w14:schemeClr w14:val="tx1"/>
            </w14:solidFill>
          </w14:textFill>
        </w:rPr>
        <w:t>；</w:t>
      </w:r>
    </w:p>
    <w:p w14:paraId="38C892A3">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color w:val="000000" w:themeColor="text1"/>
          <w:sz w:val="30"/>
          <w:szCs w:val="30"/>
          <w:highlight w:val="none"/>
          <w:lang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拟制全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定点医药机构协议和支付管理办法并组织实施，建立健全医疗保障信用评价体系和信息披露制度，监督管理纳入基本医疗保险范围内的医疗服务行为和医疗费用，依法查处医疗保障领域违法违规行为</w:t>
      </w:r>
      <w:r>
        <w:rPr>
          <w:rFonts w:hint="eastAsia" w:ascii="仿宋_GB2312" w:eastAsia="仿宋_GB2312"/>
          <w:color w:val="000000" w:themeColor="text1"/>
          <w:sz w:val="30"/>
          <w:szCs w:val="30"/>
          <w:highlight w:val="none"/>
          <w:lang w:eastAsia="zh-CN"/>
          <w14:textFill>
            <w14:solidFill>
              <w14:schemeClr w14:val="tx1"/>
            </w14:solidFill>
          </w14:textFill>
        </w:rPr>
        <w:t>；</w:t>
      </w:r>
    </w:p>
    <w:p w14:paraId="0C4E87DD">
      <w:pPr>
        <w:keepNext w:val="0"/>
        <w:keepLines w:val="0"/>
        <w:pageBreakBefore w:val="0"/>
        <w:tabs>
          <w:tab w:val="left" w:pos="10340"/>
        </w:tabs>
        <w:kinsoku/>
        <w:wordWrap/>
        <w:overflowPunct/>
        <w:topLinePunct w:val="0"/>
        <w:autoSpaceDE w:val="0"/>
        <w:autoSpaceDN w:val="0"/>
        <w:bidi w:val="0"/>
        <w:adjustRightInd/>
        <w:snapToGrid/>
        <w:spacing w:line="240" w:lineRule="auto"/>
        <w:ind w:left="0" w:leftChars="0" w:right="0" w:rightChars="0" w:firstLine="600" w:firstLineChars="200"/>
        <w:jc w:val="both"/>
        <w:textAlignment w:val="auto"/>
        <w:rPr>
          <w:rFonts w:hint="eastAsia" w:ascii="仿宋_GB2312" w:eastAsia="仿宋_GB2312" w:hAnsiTheme="minorEastAsia"/>
          <w:color w:val="000000" w:themeColor="text1"/>
          <w:sz w:val="28"/>
          <w:szCs w:val="32"/>
          <w:highlight w:val="none"/>
          <w:lang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8.</w:t>
      </w:r>
      <w:r>
        <w:rPr>
          <w:rFonts w:hint="eastAsia" w:ascii="仿宋_GB2312" w:eastAsia="仿宋_GB2312"/>
          <w:color w:val="000000" w:themeColor="text1"/>
          <w:sz w:val="30"/>
          <w:szCs w:val="30"/>
          <w:highlight w:val="none"/>
          <w14:textFill>
            <w14:solidFill>
              <w14:schemeClr w14:val="tx1"/>
            </w14:solidFill>
          </w14:textFill>
        </w:rPr>
        <w:t>负责全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医疗保障经办管理，公共服务体系和信息化建设。指导、监督全</w:t>
      </w:r>
      <w:r>
        <w:rPr>
          <w:rFonts w:hint="eastAsia" w:ascii="仿宋_GB2312" w:eastAsia="仿宋_GB2312"/>
          <w:color w:val="000000" w:themeColor="text1"/>
          <w:sz w:val="30"/>
          <w:szCs w:val="30"/>
          <w:highlight w:val="none"/>
          <w:lang w:eastAsia="zh-CN"/>
          <w14:textFill>
            <w14:solidFill>
              <w14:schemeClr w14:val="tx1"/>
            </w14:solidFill>
          </w14:textFill>
        </w:rPr>
        <w:t>市</w:t>
      </w:r>
      <w:r>
        <w:rPr>
          <w:rFonts w:hint="eastAsia" w:ascii="仿宋_GB2312" w:eastAsia="仿宋_GB2312"/>
          <w:color w:val="000000" w:themeColor="text1"/>
          <w:sz w:val="30"/>
          <w:szCs w:val="30"/>
          <w:highlight w:val="none"/>
          <w14:textFill>
            <w14:solidFill>
              <w14:schemeClr w14:val="tx1"/>
            </w14:solidFill>
          </w14:textFill>
        </w:rPr>
        <w:t>医疗保险、生育保险、大病保险、医疗救助等医疗保障经办业务</w:t>
      </w:r>
      <w:r>
        <w:rPr>
          <w:rFonts w:hint="eastAsia" w:ascii="仿宋_GB2312" w:eastAsia="仿宋_GB2312"/>
          <w:color w:val="000000" w:themeColor="text1"/>
          <w:sz w:val="30"/>
          <w:szCs w:val="30"/>
          <w:highlight w:val="none"/>
          <w:lang w:eastAsia="zh-CN"/>
          <w14:textFill>
            <w14:solidFill>
              <w14:schemeClr w14:val="tx1"/>
            </w14:solidFill>
          </w14:textFill>
        </w:rPr>
        <w:t>。</w:t>
      </w:r>
    </w:p>
    <w:p w14:paraId="7782AC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部门整体支出规模、使用方向和主要内容、涉及范围等</w:t>
      </w:r>
    </w:p>
    <w:p w14:paraId="108BEDD2">
      <w:pPr>
        <w:pStyle w:val="2"/>
        <w:numPr>
          <w:ilvl w:val="0"/>
          <w:numId w:val="2"/>
        </w:numPr>
        <w:rPr>
          <w:rFonts w:hint="default"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支出规模主要</w:t>
      </w:r>
      <w:r>
        <w:rPr>
          <w:rFonts w:hint="default"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包括基本支出、项目支出等。</w:t>
      </w:r>
    </w:p>
    <w:p w14:paraId="6B44BEE0">
      <w:pPr>
        <w:pStyle w:val="3"/>
        <w:numPr>
          <w:ilvl w:val="0"/>
          <w:numId w:val="2"/>
        </w:numPr>
        <w:ind w:left="0" w:leftChars="0" w:firstLine="0" w:firstLineChars="0"/>
        <w:jc w:val="left"/>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使用方向和主要内容：基本支出主要用于保障机构正常运转，包括人员经费和公用经费；项目支出主要用于医疗保障政策落实和重点任务推进，包括：城乡医疗救助、医疗保障能力提升、医保信息化建设、药品耗材集中采购、</w:t>
      </w:r>
      <w:r>
        <w:rPr>
          <w:rFonts w:hint="default"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医疗保障基金监管基金安全防控</w:t>
      </w: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、行政执法与监督检查。</w:t>
      </w:r>
    </w:p>
    <w:p w14:paraId="31094D51">
      <w:pPr>
        <w:numPr>
          <w:ilvl w:val="0"/>
          <w:numId w:val="2"/>
        </w:numPr>
        <w:ind w:left="0" w:leftChars="0" w:firstLine="0" w:firstLineChars="0"/>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pPr>
      <w:r>
        <w:rPr>
          <w:rFonts w:hint="default"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涉及范围</w:t>
      </w: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w:t>
      </w:r>
    </w:p>
    <w:p w14:paraId="12776676">
      <w:pPr>
        <w:numPr>
          <w:ilvl w:val="0"/>
          <w:numId w:val="0"/>
        </w:numPr>
        <w:ind w:leftChars="0"/>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（1）医疗保障政策执行（基本医保、大病保险、医疗救助等）。</w:t>
      </w:r>
    </w:p>
    <w:p w14:paraId="76EF5E7A">
      <w:pPr>
        <w:numPr>
          <w:ilvl w:val="0"/>
          <w:numId w:val="0"/>
        </w:numPr>
        <w:ind w:leftChars="0"/>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（2）医保经办服务（参保登记、费用结算、异地就医备案等）。</w:t>
      </w:r>
    </w:p>
    <w:p w14:paraId="7F97A687">
      <w:pPr>
        <w:numPr>
          <w:ilvl w:val="0"/>
          <w:numId w:val="0"/>
        </w:numPr>
        <w:ind w:leftChars="0"/>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（3）医保基金监管（协议管理、行政执法、飞行检查等）。</w:t>
      </w:r>
    </w:p>
    <w:p w14:paraId="3E2FD424">
      <w:pPr>
        <w:numPr>
          <w:ilvl w:val="0"/>
          <w:numId w:val="0"/>
        </w:numPr>
        <w:ind w:leftChars="0"/>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（4）信息化建设（医保电子凭证、智能结算设备等）。</w:t>
      </w:r>
    </w:p>
    <w:p w14:paraId="238A3A1B">
      <w:pPr>
        <w:numPr>
          <w:ilvl w:val="0"/>
          <w:numId w:val="0"/>
        </w:numPr>
        <w:ind w:leftChars="0"/>
        <w:rPr>
          <w:rFonts w:hint="default"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pPr>
      <w:r>
        <w:rPr>
          <w:rFonts w:hint="eastAsia" w:ascii="仿宋_GB2312" w:eastAsia="仿宋_GB2312" w:hAnsiTheme="minorHAnsi" w:cstheme="minorBidi"/>
          <w:color w:val="000000" w:themeColor="text1"/>
          <w:kern w:val="2"/>
          <w:sz w:val="30"/>
          <w:szCs w:val="30"/>
          <w:highlight w:val="none"/>
          <w:lang w:val="en-US" w:eastAsia="zh-CN" w:bidi="ar-SA"/>
          <w14:textFill>
            <w14:solidFill>
              <w14:schemeClr w14:val="tx1"/>
            </w14:solidFill>
          </w14:textFill>
        </w:rPr>
        <w:t>（5）药品耗材价格管理（集中采购、价格监测等）。</w:t>
      </w:r>
    </w:p>
    <w:p w14:paraId="0B3F48BE">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二、部门整体支出管理及使用情况</w:t>
      </w:r>
    </w:p>
    <w:p w14:paraId="096C18CD">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（一）基本支出</w:t>
      </w:r>
    </w:p>
    <w:p w14:paraId="5934C9DC">
      <w:pPr>
        <w:pStyle w:val="2"/>
        <w:rPr>
          <w:rFonts w:hint="default"/>
          <w:sz w:val="30"/>
          <w:szCs w:val="30"/>
          <w:lang w:eastAsia="zh-CN"/>
        </w:rPr>
      </w:pPr>
      <w:r>
        <w:rPr>
          <w:rFonts w:hint="eastAsia" w:ascii="仿宋_GB2312" w:hAnsi="仿宋_GB2312" w:eastAsia="仿宋_GB2312"/>
          <w:sz w:val="30"/>
          <w:szCs w:val="30"/>
          <w:lang w:val="en-US" w:eastAsia="zh-CN" w:bidi="ar"/>
        </w:rPr>
        <w:t>全年基本支出</w:t>
      </w:r>
      <w:r>
        <w:rPr>
          <w:rFonts w:hint="eastAsia" w:ascii="仿宋_GB2312" w:eastAsia="仿宋_GB2312" w:cs="仿宋_GB2312"/>
          <w:sz w:val="30"/>
          <w:szCs w:val="30"/>
          <w:lang w:val="en-US" w:eastAsia="zh-CN" w:bidi="ar"/>
        </w:rPr>
        <w:t>1067.15</w:t>
      </w:r>
      <w:r>
        <w:rPr>
          <w:rFonts w:hint="eastAsia" w:ascii="仿宋_GB2312" w:hAnsi="仿宋_GB2312" w:eastAsia="仿宋_GB2312"/>
          <w:sz w:val="30"/>
          <w:szCs w:val="30"/>
          <w:lang w:val="en-US" w:eastAsia="zh-CN" w:bidi="ar"/>
        </w:rPr>
        <w:t>万元，主要用于人员经费和公用经费。</w:t>
      </w:r>
    </w:p>
    <w:p w14:paraId="0491D82D">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（二）项目支出（多个项目应逐一进行说明）</w:t>
      </w:r>
    </w:p>
    <w:p w14:paraId="17CAC0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.项目支出基本情况，主要是财政拨入一般公共预算资金，用于医疗保障政策落实及重点任务的推进。</w:t>
      </w:r>
    </w:p>
    <w:p w14:paraId="1C4B8C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项目资金安排</w:t>
      </w:r>
      <w:r>
        <w:rPr>
          <w:rFonts w:hint="eastAsia" w:ascii="仿宋" w:hAnsi="仿宋" w:eastAsia="仿宋" w:cs="仿宋"/>
          <w:sz w:val="30"/>
          <w:szCs w:val="30"/>
          <w:lang w:val="en-US" w:eastAsia="zh-CN"/>
        </w:rPr>
        <w:t>和实际使用</w:t>
      </w:r>
      <w:r>
        <w:rPr>
          <w:rFonts w:hint="eastAsia" w:ascii="仿宋" w:hAnsi="仿宋" w:eastAsia="仿宋" w:cs="仿宋"/>
          <w:sz w:val="30"/>
          <w:szCs w:val="30"/>
        </w:rPr>
        <w:t>等情况分析</w:t>
      </w:r>
    </w:p>
    <w:p w14:paraId="4AB728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（1）城乡医疗救助资金年初安排3556万元，年末完成3619.29万元；</w:t>
      </w:r>
    </w:p>
    <w:p w14:paraId="2EB41D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（2）城乡居民医保专项工作经费及责任制考核年初安排363万元，年末完成363万元；</w:t>
      </w:r>
    </w:p>
    <w:p w14:paraId="036170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（3）尿素症医疗费用年初安排500万元，实际完成454.69万元；</w:t>
      </w:r>
    </w:p>
    <w:p w14:paraId="7F2807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（4）离休干部医疗费年初预算300万元，年末执行数65万元；</w:t>
      </w:r>
    </w:p>
    <w:p w14:paraId="1A6575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（5）建国前老干医疗补贴年初预算14.4万元，年末执行数6.7万元。</w:t>
      </w:r>
    </w:p>
    <w:p w14:paraId="5CBF22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项目资金</w:t>
      </w:r>
      <w:r>
        <w:rPr>
          <w:rFonts w:hint="eastAsia" w:ascii="仿宋" w:hAnsi="仿宋" w:eastAsia="仿宋" w:cs="仿宋"/>
          <w:sz w:val="30"/>
          <w:szCs w:val="30"/>
          <w:lang w:val="en-US" w:eastAsia="zh-CN"/>
        </w:rPr>
        <w:t>绩效</w:t>
      </w:r>
      <w:r>
        <w:rPr>
          <w:rFonts w:hint="eastAsia" w:ascii="仿宋" w:hAnsi="仿宋" w:eastAsia="仿宋" w:cs="仿宋"/>
          <w:sz w:val="30"/>
          <w:szCs w:val="30"/>
        </w:rPr>
        <w:t>情况分析</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包括产出、效益情况等。</w:t>
      </w:r>
    </w:p>
    <w:p w14:paraId="379A6346">
      <w:pPr>
        <w:pStyle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（1）城乡医疗救助资金绩效分析：</w:t>
      </w:r>
    </w:p>
    <w:p w14:paraId="53791827">
      <w:pPr>
        <w:pStyle w:val="3"/>
        <w:numPr>
          <w:ilvl w:val="0"/>
          <w:numId w:val="0"/>
        </w:numPr>
        <w:ind w:leftChars="0" w:firstLine="300" w:firstLineChars="1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产出指标</w:t>
      </w:r>
    </w:p>
    <w:p w14:paraId="298A2E53">
      <w:pPr>
        <w:pStyle w:val="3"/>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*救助覆盖面：农村低收入和脱贫人口医保参保率99%以上，</w:t>
      </w:r>
    </w:p>
    <w:p w14:paraId="5AAE2054">
      <w:pPr>
        <w:pStyle w:val="3"/>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年度救助人次占低收入人群比例达99%（如农村低保、特困人员等）；</w:t>
      </w:r>
    </w:p>
    <w:p w14:paraId="16EC747D">
      <w:pPr>
        <w:pStyle w:val="3"/>
        <w:numPr>
          <w:ilvl w:val="0"/>
          <w:numId w:val="0"/>
        </w:numPr>
        <w:ind w:lef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*资金执行率：101.78%；</w:t>
      </w:r>
    </w:p>
    <w:p w14:paraId="428E3049">
      <w:pPr>
        <w:pStyle w:val="3"/>
        <w:ind w:left="0" w:leftChars="0"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*救助标准：符合救助条件的对象按规定纳入救助范围，做到应保尽保、应救尽救。人均救助金额539元；</w:t>
      </w:r>
    </w:p>
    <w:p w14:paraId="4F4470DB">
      <w:pPr>
        <w:pStyle w:val="3"/>
        <w:ind w:left="0" w:leftChars="0"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*服务便捷性：市域内“一站式”即时结算定点医药机构覆盖率100%。</w:t>
      </w:r>
    </w:p>
    <w:p w14:paraId="2ED1A41A">
      <w:pPr>
        <w:pStyle w:val="3"/>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效益指标</w:t>
      </w:r>
    </w:p>
    <w:p w14:paraId="00279194">
      <w:pPr>
        <w:pStyle w:val="3"/>
        <w:ind w:left="0" w:leftChars="0"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*社会效益：城乡医疗救助政策知晓率达80%以上，困难群众看病就医方便程度明显提高且有效缓解困难群众就医负担个人费用；</w:t>
      </w:r>
    </w:p>
    <w:p w14:paraId="118566A5">
      <w:pPr>
        <w:pStyle w:val="3"/>
        <w:ind w:left="0" w:leftChars="0"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*健康效益：救助对象慢性病管理率90%、重大疾病及时救治率90%；</w:t>
      </w:r>
    </w:p>
    <w:p w14:paraId="2FBC3E00">
      <w:pPr>
        <w:pStyle w:val="3"/>
        <w:ind w:left="0" w:leftChars="0" w:firstLine="0" w:firstLine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*满意度：受助对象对救助流程、金额的满意度达85%以上。</w:t>
      </w:r>
    </w:p>
    <w:p w14:paraId="43B71A5C">
      <w:pPr>
        <w:numPr>
          <w:ilvl w:val="0"/>
          <w:numId w:val="3"/>
        </w:num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城乡居民医保专项工作经费及责任制考核绩效分析</w:t>
      </w:r>
    </w:p>
    <w:p w14:paraId="25FA4BE8">
      <w:pPr>
        <w:pStyle w:val="2"/>
        <w:numPr>
          <w:ilvl w:val="0"/>
          <w:numId w:val="0"/>
        </w:numPr>
        <w:ind w:firstLine="600" w:firstLine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产出指标</w:t>
      </w:r>
    </w:p>
    <w:p w14:paraId="3F8BDAD5">
      <w:pPr>
        <w:pStyle w:val="3"/>
        <w:bidi w:val="0"/>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kern w:val="2"/>
          <w:sz w:val="30"/>
          <w:szCs w:val="30"/>
          <w:lang w:val="en-US" w:eastAsia="zh-CN" w:bidi="ar-SA"/>
        </w:rPr>
        <w:t>*参保覆盖率：以常住人口为基数计算的基本医保综合参保率90%以上；确保“应保尽保”；通过“村不漏户、户不漏人</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”的征缴考核机制提升参保率。</w:t>
      </w:r>
    </w:p>
    <w:p w14:paraId="2846DEB3">
      <w:pPr>
        <w:pStyle w:val="3"/>
        <w:bidi w:val="0"/>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*资金执行率：城乡居民医保补助资金提前下达，要求严格预算执行。</w:t>
      </w:r>
    </w:p>
    <w:p w14:paraId="34CFD953">
      <w:pPr>
        <w:pStyle w:val="3"/>
        <w:bidi w:val="0"/>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*服务效率：提供“一站式”缴费服务，针对特殊群体上门办理，缩短参保流程时效。</w:t>
      </w:r>
    </w:p>
    <w:p w14:paraId="51ABA398">
      <w:pPr>
        <w:pStyle w:val="3"/>
        <w:bidi w:val="0"/>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*考核落实：实行“日督导、周评比、月约谈”制度，将参保率纳入年度考核。</w:t>
      </w:r>
    </w:p>
    <w:p w14:paraId="3B4C128F">
      <w:pPr>
        <w:pStyle w:val="3"/>
        <w:bidi w:val="0"/>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 xml:space="preserve">效益指标 </w:t>
      </w:r>
    </w:p>
    <w:p w14:paraId="5102AAEF">
      <w:pPr>
        <w:pStyle w:val="3"/>
        <w:bidi w:val="0"/>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*社会效益：通过财政补助降低群众参保负担，增强大病保障能力。</w:t>
      </w:r>
    </w:p>
    <w:p w14:paraId="7A1F5F31">
      <w:pPr>
        <w:pStyle w:val="3"/>
        <w:bidi w:val="0"/>
        <w:ind w:left="0" w:leftChars="0" w:firstLine="0" w:firstLineChars="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*健康公平性：困难群众参保率提升（医疗救助覆盖100%目标人群），减少因病致贫。</w:t>
      </w:r>
    </w:p>
    <w:p w14:paraId="29BE96E0">
      <w:pPr>
        <w:pStyle w:val="2"/>
        <w:numPr>
          <w:ilvl w:val="0"/>
          <w:numId w:val="0"/>
        </w:numPr>
        <w:ind w:left="600" w:hanging="600" w:hanging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*满意度：参保群众满意度≥85%。</w:t>
      </w:r>
    </w:p>
    <w:p w14:paraId="3D74F602">
      <w:pPr>
        <w:numPr>
          <w:ilvl w:val="0"/>
          <w:numId w:val="3"/>
        </w:numPr>
        <w:ind w:left="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尿毒症医疗费用绩效分析</w:t>
      </w:r>
    </w:p>
    <w:p w14:paraId="405EFEFF">
      <w:pPr>
        <w:pStyle w:val="2"/>
        <w:numPr>
          <w:ilvl w:val="0"/>
          <w:numId w:val="0"/>
        </w:numPr>
        <w:ind w:firstLine="600" w:firstLine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产出指标</w:t>
      </w:r>
    </w:p>
    <w:p w14:paraId="2A4EA884">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*救治人次：年度接受血液透析/腹膜透析患者数量1157人，总费用6186.29万元，基金负担费用4894.51万元，医疗救助负担511.73万元；</w:t>
      </w:r>
    </w:p>
    <w:p w14:paraId="49F2C924">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*费用减免：人均透析费用减免金额4.4万元；</w:t>
      </w:r>
    </w:p>
    <w:p w14:paraId="6BC4C0B9">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*服务能力：定点医疗机构覆盖率100%、透析设备配置达标率100%。</w:t>
      </w:r>
    </w:p>
    <w:p w14:paraId="1EDC84D0">
      <w:pPr>
        <w:pStyle w:val="2"/>
        <w:numPr>
          <w:ilvl w:val="0"/>
          <w:numId w:val="0"/>
        </w:numPr>
        <w:ind w:firstLine="600" w:firstLine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效益指标</w:t>
      </w:r>
    </w:p>
    <w:p w14:paraId="072D64AA">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*健康效益：患者生存率大大提高、并发症发生率有所下降；</w:t>
      </w:r>
    </w:p>
    <w:p w14:paraId="4E4BE909">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*经济减负：患者家庭医疗支出占收入比有所下降；</w:t>
      </w:r>
    </w:p>
    <w:p w14:paraId="3CF753CF">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*公平性：农村与城市患者救助标准无差异。</w:t>
      </w:r>
    </w:p>
    <w:p w14:paraId="2B45E49A">
      <w:pPr>
        <w:pStyle w:val="2"/>
        <w:numPr>
          <w:ilvl w:val="0"/>
          <w:numId w:val="0"/>
        </w:numPr>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t>（4）离休干部医疗费绩效分析</w:t>
      </w:r>
    </w:p>
    <w:p w14:paraId="145EB98D">
      <w:pPr>
        <w:pStyle w:val="2"/>
        <w:numPr>
          <w:ilvl w:val="0"/>
          <w:numId w:val="0"/>
        </w:numPr>
        <w:ind w:firstLine="600" w:firstLine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产出指标</w:t>
      </w:r>
    </w:p>
    <w:p w14:paraId="469F6743">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*费用保障：离休干部医疗费用报销比例100%；</w:t>
      </w:r>
    </w:p>
    <w:p w14:paraId="017B3AEF">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*服务供给：定点医院绿色通道开通率100%、特需药品可及性80%；</w:t>
      </w:r>
    </w:p>
    <w:p w14:paraId="33DEE73C">
      <w:pPr>
        <w:pStyle w:val="2"/>
        <w:numPr>
          <w:ilvl w:val="0"/>
          <w:numId w:val="0"/>
        </w:numPr>
        <w:ind w:firstLine="600" w:firstLine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效益指标</w:t>
      </w:r>
    </w:p>
    <w:p w14:paraId="0ABEAA36">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*满意度：离休干部对医疗待遇、服务质量的评价较高；</w:t>
      </w:r>
    </w:p>
    <w:p w14:paraId="68C082FD">
      <w:pPr>
        <w:pStyle w:val="2"/>
        <w:numPr>
          <w:ilvl w:val="0"/>
          <w:numId w:val="0"/>
        </w:num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*健康管理：年度体检覆盖率90%以上、慢性病随访率100%；</w:t>
      </w:r>
    </w:p>
    <w:p w14:paraId="0A63AA84">
      <w:pPr>
        <w:pStyle w:val="3"/>
        <w:ind w:left="0" w:leftChars="0" w:firstLine="0" w:firstLineChars="0"/>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0"/>
          <w:szCs w:val="30"/>
          <w:highlight w:val="none"/>
          <w:lang w:val="en-US" w:eastAsia="zh-CN" w:bidi="ar-SA"/>
          <w14:textFill>
            <w14:solidFill>
              <w14:schemeClr w14:val="tx1"/>
            </w14:solidFill>
          </w14:textFill>
        </w:rPr>
        <w:t>（5）建国前老干部医疗补贴项目绩效分析</w:t>
      </w:r>
    </w:p>
    <w:p w14:paraId="2BF6A950">
      <w:pPr>
        <w:ind w:firstLine="600" w:firstLine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 xml:space="preserve"> 产出指标</w:t>
      </w:r>
    </w:p>
    <w:p w14:paraId="74C653AB">
      <w:p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*补贴发放精准性：对符合条件的老干部实行门诊8000元/年、住院按城乡居民医保政策报销，资金直发到人。</w:t>
      </w:r>
    </w:p>
    <w:p w14:paraId="42157306">
      <w:p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*服务覆盖：从2021年1月1日起，建国初期参加革命工作的部分退休干部医疗补贴由每人每年4000元提高到8000元，并确保专款专用。</w:t>
      </w:r>
    </w:p>
    <w:p w14:paraId="0A1B7AA9">
      <w:p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*健康管理：为老干部提供年度体检、急症用车保障等。</w:t>
      </w:r>
    </w:p>
    <w:p w14:paraId="367F16B5">
      <w:pPr>
        <w:ind w:firstLine="600" w:firstLineChars="200"/>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效益指标</w:t>
      </w:r>
    </w:p>
    <w:p w14:paraId="5207F0BB">
      <w:p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*政治效益：落实对“有功群体”的待遇保障，体现政策延续性。</w:t>
      </w:r>
    </w:p>
    <w:p w14:paraId="30B83F81">
      <w:p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*健康保障：门诊费用提高显著降低老干部医疗负担。</w:t>
      </w:r>
    </w:p>
    <w:p w14:paraId="7E43729C">
      <w:pP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*满意度：通过“领导联系制度”“节日慰问”提升满意度。</w:t>
      </w:r>
    </w:p>
    <w:p w14:paraId="0E1C95ED">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三、部门整体支出绩效情况</w:t>
      </w:r>
    </w:p>
    <w:p w14:paraId="5540F83E">
      <w:pPr>
        <w:pStyle w:val="2"/>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部门通过全体干部职工的努力，严格执行预算管理。组织实施全市医疗保险、生育保险、医疗救助等，监督管理相关医疗保障基金，建立健全医疗保障基金安全防控机制，推进医疗保障基金支付方式改革。落实上级医疗保障部门筹资和待遇政策措施，完善动态调整机制和区域调剂平衡机制，统筹城乡医疗保障待遇标准，建立健全与筹资水平相适应的待遇调整机制。全面完成上级的考核指标和征缴任务，及时足额拨付医疗救助专项资金、城乡居民医保征缴工作经费、尿毒症医疗费、建国前老干部医疗补贴及离休干部医疗费用。为全市城乡居民医疗保险工作的开展提供有力保障。</w:t>
      </w:r>
    </w:p>
    <w:p w14:paraId="41A0250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绩效评价结论</w:t>
      </w:r>
    </w:p>
    <w:p w14:paraId="33539358">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本部门</w:t>
      </w:r>
      <w:r>
        <w:rPr>
          <w:rFonts w:hint="eastAsia" w:ascii="仿宋" w:hAnsi="仿宋" w:eastAsia="仿宋" w:cs="仿宋"/>
          <w:sz w:val="30"/>
          <w:szCs w:val="30"/>
        </w:rPr>
        <w:t>的整体支出规模受地方财政和政策影响较大，主要用于保障机构运行、落实医疗保障政策、优化医保服务和强化基金监管。未来，医保信息化、支付方式改革和基金安全仍是重点发展方向。</w:t>
      </w:r>
    </w:p>
    <w:p w14:paraId="05B909B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存在的问题</w:t>
      </w:r>
      <w:r>
        <w:rPr>
          <w:rFonts w:hint="eastAsia" w:ascii="仿宋" w:hAnsi="仿宋" w:eastAsia="仿宋" w:cs="仿宋"/>
          <w:b/>
          <w:bCs/>
          <w:sz w:val="30"/>
          <w:szCs w:val="30"/>
          <w:lang w:val="en-US" w:eastAsia="zh-CN"/>
        </w:rPr>
        <w:t>及原因分析</w:t>
      </w:r>
    </w:p>
    <w:p w14:paraId="4B4198E3">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存在的问题：一是资金缺口、区域分配不均、救助标准偏低、政策宣传不足；二是高龄人群医疗需求激增可能导致资金压力。</w:t>
      </w:r>
    </w:p>
    <w:p w14:paraId="438735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改进措施和有关建议</w:t>
      </w:r>
    </w:p>
    <w:p w14:paraId="2C3C450D">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深化医保改革，继续推进DRG/DIP支付方式改革，提高医保基金使用效率。</w:t>
      </w:r>
    </w:p>
    <w:p w14:paraId="7181DC74">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整合资源，推动基本医保、大病保险与医疗救助"三重保障"无缝衔接；平衡待遇保障与医疗资源合理使用，</w:t>
      </w:r>
      <w:r>
        <w:rPr>
          <w:rFonts w:hint="eastAsia" w:ascii="仿宋" w:hAnsi="仿宋" w:eastAsia="仿宋" w:cs="仿宋"/>
          <w:sz w:val="30"/>
          <w:szCs w:val="30"/>
          <w:lang w:val="en-US" w:eastAsia="zh-CN"/>
        </w:rPr>
        <w:t>探索“财政+医保基金”共担机制，加强健康管理以减少重症支出。</w:t>
      </w:r>
    </w:p>
    <w:p w14:paraId="3984B1ED">
      <w:pPr>
        <w:pStyle w:val="2"/>
        <w:numPr>
          <w:ilvl w:val="0"/>
          <w:numId w:val="0"/>
        </w:numPr>
        <w:ind w:firstLine="602" w:firstLineChars="200"/>
        <w:rPr>
          <w:rFonts w:hint="eastAsia" w:ascii="仿宋" w:hAnsi="仿宋" w:eastAsia="仿宋" w:cs="仿宋"/>
          <w:kern w:val="2"/>
          <w:sz w:val="30"/>
          <w:szCs w:val="30"/>
          <w:lang w:val="en-US" w:eastAsia="zh-CN" w:bidi="ar-SA"/>
        </w:rPr>
      </w:pPr>
      <w:r>
        <w:rPr>
          <w:rFonts w:hint="eastAsia" w:ascii="仿宋" w:hAnsi="仿宋" w:eastAsia="仿宋" w:cs="仿宋"/>
          <w:b/>
          <w:bCs/>
          <w:sz w:val="30"/>
          <w:szCs w:val="30"/>
          <w:lang w:val="en-US" w:eastAsia="zh-CN"/>
        </w:rPr>
        <w:t>七、其他需要说明的情况（</w:t>
      </w:r>
      <w:r>
        <w:rPr>
          <w:rFonts w:hint="eastAsia" w:ascii="仿宋" w:hAnsi="仿宋" w:eastAsia="仿宋" w:cs="仿宋"/>
          <w:kern w:val="2"/>
          <w:sz w:val="30"/>
          <w:szCs w:val="30"/>
          <w:lang w:val="en-US" w:eastAsia="zh-CN" w:bidi="ar-SA"/>
        </w:rPr>
        <w:t>无）</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3D2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274B5">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F274B5">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554F1"/>
    <w:multiLevelType w:val="singleLevel"/>
    <w:tmpl w:val="AA7554F1"/>
    <w:lvl w:ilvl="0" w:tentative="0">
      <w:start w:val="1"/>
      <w:numFmt w:val="decimal"/>
      <w:lvlText w:val="%1."/>
      <w:lvlJc w:val="left"/>
      <w:pPr>
        <w:tabs>
          <w:tab w:val="left" w:pos="312"/>
        </w:tabs>
      </w:pPr>
    </w:lvl>
  </w:abstractNum>
  <w:abstractNum w:abstractNumId="1">
    <w:nsid w:val="0EA18E79"/>
    <w:multiLevelType w:val="singleLevel"/>
    <w:tmpl w:val="0EA18E79"/>
    <w:lvl w:ilvl="0" w:tentative="0">
      <w:start w:val="2"/>
      <w:numFmt w:val="decimal"/>
      <w:suff w:val="nothing"/>
      <w:lvlText w:val="（%1）"/>
      <w:lvlJc w:val="left"/>
    </w:lvl>
  </w:abstractNum>
  <w:abstractNum w:abstractNumId="2">
    <w:nsid w:val="4382B153"/>
    <w:multiLevelType w:val="singleLevel"/>
    <w:tmpl w:val="4382B153"/>
    <w:lvl w:ilvl="0" w:tentative="0">
      <w:start w:val="4"/>
      <w:numFmt w:val="chineseCounting"/>
      <w:suff w:val="nothing"/>
      <w:lvlText w:val="%1、"/>
      <w:lvlJc w:val="left"/>
      <w:rPr>
        <w:rFonts w:hint="eastAsia"/>
      </w:rPr>
    </w:lvl>
  </w:abstractNum>
  <w:abstractNum w:abstractNumId="3">
    <w:nsid w:val="69177F78"/>
    <w:multiLevelType w:val="singleLevel"/>
    <w:tmpl w:val="69177F78"/>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YzE2MTIyMDM0MTM2Yjc4ZGY2OGQ4ODhhYzFkMzQifQ=="/>
  </w:docVars>
  <w:rsids>
    <w:rsidRoot w:val="650411B8"/>
    <w:rsid w:val="00933F39"/>
    <w:rsid w:val="00D73440"/>
    <w:rsid w:val="00F72E90"/>
    <w:rsid w:val="02511CDC"/>
    <w:rsid w:val="030E60D7"/>
    <w:rsid w:val="07C7154F"/>
    <w:rsid w:val="1326193B"/>
    <w:rsid w:val="1AC05E4B"/>
    <w:rsid w:val="230D1036"/>
    <w:rsid w:val="27642D17"/>
    <w:rsid w:val="28614FF1"/>
    <w:rsid w:val="28AB5844"/>
    <w:rsid w:val="2B8C5DD2"/>
    <w:rsid w:val="2D6F02C0"/>
    <w:rsid w:val="2E243AC3"/>
    <w:rsid w:val="30BD40DF"/>
    <w:rsid w:val="32121DEA"/>
    <w:rsid w:val="3BE4759D"/>
    <w:rsid w:val="3E7E1019"/>
    <w:rsid w:val="3EEC39A1"/>
    <w:rsid w:val="41612C4B"/>
    <w:rsid w:val="44365935"/>
    <w:rsid w:val="4786146B"/>
    <w:rsid w:val="485F1C73"/>
    <w:rsid w:val="4A133ED2"/>
    <w:rsid w:val="4D790AA7"/>
    <w:rsid w:val="4EC310A1"/>
    <w:rsid w:val="4FDC066D"/>
    <w:rsid w:val="520F1215"/>
    <w:rsid w:val="530F37B2"/>
    <w:rsid w:val="5450525A"/>
    <w:rsid w:val="54680721"/>
    <w:rsid w:val="579C7046"/>
    <w:rsid w:val="599631E4"/>
    <w:rsid w:val="5B42213D"/>
    <w:rsid w:val="650411B8"/>
    <w:rsid w:val="68A2021A"/>
    <w:rsid w:val="68EA202F"/>
    <w:rsid w:val="693F67DB"/>
    <w:rsid w:val="6AE51F5B"/>
    <w:rsid w:val="70583472"/>
    <w:rsid w:val="70FD1698"/>
    <w:rsid w:val="75530AA3"/>
    <w:rsid w:val="759109DA"/>
    <w:rsid w:val="76F35877"/>
    <w:rsid w:val="770B7AF0"/>
    <w:rsid w:val="787E3E86"/>
    <w:rsid w:val="7A74131E"/>
    <w:rsid w:val="7C05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2993</Words>
  <Characters>3131</Characters>
  <Lines>2</Lines>
  <Paragraphs>1</Paragraphs>
  <TotalTime>13</TotalTime>
  <ScaleCrop>false</ScaleCrop>
  <LinksUpToDate>false</LinksUpToDate>
  <CharactersWithSpaces>3147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2023-05-17T02:34:00Z</dcterms:created>
  <dc:creator>Administrator</dc:creator>
  <cp:lastModifiedBy>坤山不语</cp:lastModifiedBy>
  <cp:lastPrinted>2025-09-12T02:07:22Z</cp:lastPrinted>
  <dcterms:modified xsi:type="dcterms:W3CDTF">2025-09-12T02:17:13Z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024E2B9158DA4EABB3C87AD49331D474_13</vt:lpwstr>
  </property>
  <property fmtid="{D5CDD505-2E9C-101B-9397-08002B2CF9AE}" pid="4" name="KSOTemplateDocerSaveRecord">
    <vt:lpwstr>eyJoZGlkIjoiMmIxNDQ1OTY0Y2NhODljMzVmZjlhZGM0NjBiMGI1ZmIiLCJ1c2VySWQiOiIxNzI5MzU4NDM2In0=</vt:lpwstr>
  </property>
</Properties>
</file>