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25F" w:rsidRDefault="0058525F">
      <w:pPr>
        <w:pStyle w:val="Default"/>
        <w:jc w:val="both"/>
        <w:rPr>
          <w:rFonts w:hAnsi="黑体" w:hint="eastAsia"/>
          <w:sz w:val="36"/>
          <w:szCs w:val="36"/>
        </w:rPr>
      </w:pPr>
    </w:p>
    <w:p w:rsidR="0058525F" w:rsidRDefault="0058525F">
      <w:pPr>
        <w:pStyle w:val="Default"/>
        <w:jc w:val="center"/>
        <w:rPr>
          <w:rFonts w:ascii="Times New Roman" w:hAnsi="Times New Roman" w:cs="Times New Roman"/>
          <w:sz w:val="56"/>
          <w:szCs w:val="56"/>
        </w:rPr>
      </w:pPr>
    </w:p>
    <w:p w:rsidR="0058525F" w:rsidRDefault="0058525F">
      <w:pPr>
        <w:pStyle w:val="Default"/>
        <w:jc w:val="center"/>
        <w:rPr>
          <w:rFonts w:ascii="Times New Roman" w:hAnsi="Times New Roman" w:cs="Times New Roman"/>
          <w:sz w:val="84"/>
          <w:szCs w:val="84"/>
        </w:rPr>
      </w:pPr>
    </w:p>
    <w:p w:rsidR="0058525F" w:rsidRDefault="0058525F">
      <w:pPr>
        <w:pStyle w:val="Default"/>
        <w:jc w:val="center"/>
        <w:rPr>
          <w:rFonts w:ascii="Times New Roman" w:hAnsi="Times New Roman" w:cs="Times New Roman"/>
          <w:sz w:val="84"/>
          <w:szCs w:val="84"/>
        </w:rPr>
      </w:pPr>
    </w:p>
    <w:p w:rsidR="0058525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58525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祁阳市人民代表大会</w:t>
      </w:r>
    </w:p>
    <w:p w:rsidR="0058525F"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常务委员会部门决算</w:t>
      </w:r>
    </w:p>
    <w:p w:rsidR="0058525F" w:rsidRDefault="0058525F">
      <w:pPr>
        <w:pStyle w:val="Default"/>
        <w:jc w:val="center"/>
        <w:rPr>
          <w:rFonts w:asciiTheme="minorEastAsia" w:eastAsiaTheme="minorEastAsia" w:hAnsiTheme="minorEastAsia" w:hint="eastAsia"/>
          <w:sz w:val="84"/>
          <w:szCs w:val="84"/>
        </w:rPr>
      </w:pPr>
    </w:p>
    <w:p w:rsidR="0058525F" w:rsidRDefault="0058525F">
      <w:pPr>
        <w:pStyle w:val="Default"/>
        <w:jc w:val="center"/>
        <w:rPr>
          <w:rFonts w:ascii="Times New Roman" w:eastAsia="方正小标宋_GBK" w:hAnsi="Times New Roman" w:cs="Times New Roman"/>
          <w:sz w:val="56"/>
          <w:szCs w:val="56"/>
        </w:rPr>
      </w:pPr>
    </w:p>
    <w:p w:rsidR="0058525F" w:rsidRDefault="0058525F">
      <w:pPr>
        <w:pStyle w:val="Default"/>
        <w:jc w:val="center"/>
        <w:rPr>
          <w:rFonts w:ascii="Times New Roman" w:hAnsi="Times New Roman" w:cs="Times New Roman"/>
          <w:sz w:val="56"/>
          <w:szCs w:val="56"/>
        </w:rPr>
      </w:pPr>
    </w:p>
    <w:p w:rsidR="0058525F" w:rsidRDefault="0058525F">
      <w:pPr>
        <w:pStyle w:val="Default"/>
        <w:rPr>
          <w:rFonts w:ascii="Times New Roman" w:hAnsi="Times New Roman" w:cs="Times New Roman"/>
          <w:sz w:val="56"/>
          <w:szCs w:val="56"/>
        </w:rPr>
      </w:pPr>
    </w:p>
    <w:p w:rsidR="0058525F" w:rsidRDefault="0058525F">
      <w:pPr>
        <w:pStyle w:val="Default"/>
        <w:jc w:val="center"/>
        <w:rPr>
          <w:rFonts w:ascii="Times New Roman" w:hAnsi="Times New Roman" w:cs="Times New Roman"/>
          <w:sz w:val="32"/>
          <w:szCs w:val="32"/>
        </w:rPr>
      </w:pPr>
    </w:p>
    <w:p w:rsidR="0058525F" w:rsidRDefault="0058525F">
      <w:pPr>
        <w:pStyle w:val="Default"/>
        <w:jc w:val="center"/>
        <w:rPr>
          <w:rFonts w:ascii="Times New Roman" w:hAnsi="Times New Roman" w:cs="Times New Roman"/>
          <w:sz w:val="32"/>
          <w:szCs w:val="32"/>
        </w:rPr>
      </w:pPr>
    </w:p>
    <w:p w:rsidR="0058525F" w:rsidRDefault="0058525F">
      <w:pPr>
        <w:pStyle w:val="Default"/>
        <w:jc w:val="both"/>
        <w:rPr>
          <w:rFonts w:ascii="Times New Roman" w:hAnsi="Times New Roman" w:cs="Times New Roman"/>
          <w:sz w:val="32"/>
          <w:szCs w:val="32"/>
        </w:rPr>
      </w:pPr>
    </w:p>
    <w:p w:rsidR="0058525F" w:rsidRDefault="0058525F">
      <w:pPr>
        <w:rPr>
          <w:rFonts w:ascii="Times New Roman" w:hAnsi="Times New Roman" w:cs="Times New Roman"/>
          <w:b/>
          <w:sz w:val="36"/>
          <w:szCs w:val="28"/>
        </w:rPr>
        <w:sectPr w:rsidR="0058525F">
          <w:pgSz w:w="11906" w:h="16838"/>
          <w:pgMar w:top="1417" w:right="1588" w:bottom="1417" w:left="1588" w:header="851" w:footer="992" w:gutter="0"/>
          <w:cols w:space="425"/>
          <w:docGrid w:type="lines" w:linePitch="312"/>
        </w:sectPr>
      </w:pPr>
    </w:p>
    <w:p w:rsidR="0058525F" w:rsidRDefault="0058525F">
      <w:pPr>
        <w:pStyle w:val="Default"/>
        <w:spacing w:line="600" w:lineRule="exact"/>
        <w:jc w:val="both"/>
        <w:rPr>
          <w:rFonts w:ascii="Times New Roman" w:hAnsi="Times New Roman" w:cs="Times New Roman"/>
          <w:b/>
          <w:sz w:val="36"/>
          <w:szCs w:val="28"/>
        </w:rPr>
      </w:pPr>
    </w:p>
    <w:p w:rsidR="0058525F"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58525F" w:rsidRDefault="0058525F">
      <w:pPr>
        <w:pStyle w:val="Default"/>
        <w:spacing w:line="600" w:lineRule="exact"/>
        <w:jc w:val="center"/>
        <w:rPr>
          <w:rFonts w:ascii="Times New Roman" w:hAnsi="Times New Roman" w:cs="Times New Roman"/>
          <w:b/>
          <w:sz w:val="36"/>
          <w:szCs w:val="28"/>
        </w:rPr>
      </w:pPr>
    </w:p>
    <w:p w:rsidR="0058525F" w:rsidRDefault="00000000">
      <w:pPr>
        <w:pStyle w:val="Default"/>
        <w:spacing w:line="5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祁阳市人民代表大会常务委员会概况</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58525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2024</w:t>
      </w:r>
      <w:r>
        <w:rPr>
          <w:rFonts w:ascii="Times New Roman" w:hAnsi="Times New Roman" w:cs="Times New Roman"/>
          <w:bCs/>
          <w:sz w:val="32"/>
          <w:szCs w:val="32"/>
        </w:rPr>
        <w:t>年度部门决算表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58525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2024</w:t>
      </w:r>
      <w:r>
        <w:rPr>
          <w:rFonts w:ascii="Times New Roman" w:hAnsi="Times New Roman" w:cs="Times New Roman"/>
          <w:bCs/>
          <w:sz w:val="32"/>
          <w:szCs w:val="32"/>
        </w:rPr>
        <w:t>年部门决算情况说明</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58525F"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58525F" w:rsidRDefault="0058525F">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58525F">
          <w:footerReference w:type="default" r:id="rId8"/>
          <w:pgSz w:w="11906" w:h="16838"/>
          <w:pgMar w:top="1417" w:right="1588" w:bottom="1417" w:left="1588" w:header="851" w:footer="992" w:gutter="0"/>
          <w:pgNumType w:start="1"/>
          <w:cols w:space="425"/>
          <w:docGrid w:type="lines" w:linePitch="312"/>
        </w:sectPr>
      </w:pP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58525F"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58525F"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58525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58525F"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58525F" w:rsidRDefault="0058525F">
      <w:pPr>
        <w:pStyle w:val="Default"/>
        <w:spacing w:line="600" w:lineRule="exact"/>
        <w:rPr>
          <w:rFonts w:ascii="Times New Roman" w:hAnsi="Times New Roman" w:cs="Times New Roman"/>
          <w:bCs/>
          <w:sz w:val="28"/>
          <w:szCs w:val="28"/>
        </w:rPr>
      </w:pPr>
    </w:p>
    <w:p w:rsidR="0058525F" w:rsidRDefault="0058525F">
      <w:pPr>
        <w:jc w:val="center"/>
        <w:rPr>
          <w:rFonts w:ascii="Times New Roman" w:hAnsi="Times New Roman" w:cs="Times New Roman"/>
          <w:sz w:val="72"/>
          <w:szCs w:val="72"/>
        </w:rPr>
      </w:pPr>
    </w:p>
    <w:p w:rsidR="0058525F" w:rsidRDefault="0058525F">
      <w:pPr>
        <w:jc w:val="center"/>
        <w:rPr>
          <w:rFonts w:ascii="Times New Roman" w:hAnsi="Times New Roman" w:cs="Times New Roman"/>
          <w:sz w:val="72"/>
          <w:szCs w:val="72"/>
        </w:rPr>
      </w:pPr>
    </w:p>
    <w:p w:rsidR="0058525F" w:rsidRDefault="0058525F">
      <w:pPr>
        <w:jc w:val="center"/>
        <w:rPr>
          <w:rFonts w:ascii="Times New Roman" w:hAnsi="Times New Roman" w:cs="Times New Roman"/>
          <w:sz w:val="72"/>
          <w:szCs w:val="72"/>
        </w:rPr>
      </w:pPr>
    </w:p>
    <w:p w:rsidR="0058525F" w:rsidRDefault="0058525F">
      <w:pPr>
        <w:pStyle w:val="a0"/>
        <w:rPr>
          <w:rFonts w:ascii="Times New Roman" w:hAnsi="Times New Roman" w:cs="Times New Roman"/>
        </w:rPr>
        <w:sectPr w:rsidR="0058525F">
          <w:footerReference w:type="default" r:id="rId9"/>
          <w:pgSz w:w="11906" w:h="16838"/>
          <w:pgMar w:top="1417" w:right="1588" w:bottom="1417" w:left="1588" w:header="851" w:footer="992" w:gutter="0"/>
          <w:pgNumType w:start="1"/>
          <w:cols w:space="425"/>
          <w:docGrid w:type="lines" w:linePitch="312"/>
        </w:sectPr>
      </w:pPr>
    </w:p>
    <w:p w:rsidR="0058525F" w:rsidRDefault="0058525F">
      <w:pPr>
        <w:rPr>
          <w:rFonts w:ascii="Times New Roman" w:eastAsia="方正小标宋_GBK" w:hAnsi="Times New Roman" w:cs="Times New Roman"/>
          <w:sz w:val="72"/>
          <w:szCs w:val="72"/>
        </w:rPr>
      </w:pP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祁阳市人民代表大会常务委员会单位概况</w:t>
      </w:r>
    </w:p>
    <w:p w:rsidR="0058525F" w:rsidRDefault="0058525F">
      <w:pPr>
        <w:pStyle w:val="2"/>
        <w:ind w:leftChars="0" w:left="0" w:firstLineChars="0" w:firstLine="0"/>
        <w:rPr>
          <w:rFonts w:ascii="Times New Roman" w:hAnsi="Times New Roman" w:cs="Times New Roman"/>
        </w:rPr>
      </w:pPr>
    </w:p>
    <w:p w:rsidR="0058525F"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主持市人民代表大会代表的换届选举工作；</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指导全市乡镇人民代表大会代表的选举工作；</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在市人民代表大会闭会期间补选市人民代表大会出缺的代表和罢免个别代表；</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依照法律规定召集市人民代表大会会议；</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讨论、决定</w:t>
      </w:r>
      <w:r>
        <w:rPr>
          <w:rFonts w:ascii="Times New Roman" w:eastAsia="仿宋_GB2312" w:hAnsi="Times New Roman" w:cs="Times New Roman" w:hint="eastAsia"/>
          <w:sz w:val="32"/>
          <w:szCs w:val="32"/>
        </w:rPr>
        <w:t>本市</w:t>
      </w:r>
      <w:r>
        <w:rPr>
          <w:rFonts w:ascii="Times New Roman" w:eastAsia="仿宋_GB2312" w:hAnsi="Times New Roman" w:cs="Times New Roman"/>
          <w:sz w:val="32"/>
          <w:szCs w:val="32"/>
        </w:rPr>
        <w:t>政治、经济、教育、科学、文化、卫生、环境和资源保护、民政、民族等工作的重大事项；</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负责中央、省委、市委重大方针政策、重要工作部署和领导同志重要批示、批件贯彻落实情况的督促检查工作，组织办理人大代表有关建议。</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依法监督市人民政府、市人民法院和市人民检察院的工作；</w:t>
      </w:r>
    </w:p>
    <w:p w:rsidR="0058525F"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（八）</w:t>
      </w:r>
      <w:r>
        <w:rPr>
          <w:rFonts w:ascii="Times New Roman" w:eastAsia="仿宋_GB2312" w:hAnsi="Times New Roman" w:cs="仿宋_GB2312"/>
          <w:bCs/>
          <w:kern w:val="0"/>
          <w:sz w:val="32"/>
          <w:szCs w:val="32"/>
        </w:rPr>
        <w:t>依法行使任免权。</w:t>
      </w:r>
    </w:p>
    <w:p w:rsidR="0058525F"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（一）内设机构设置。祁阳市人民代表大会下设七个专门</w:t>
      </w:r>
      <w:r>
        <w:rPr>
          <w:rFonts w:ascii="Times New Roman" w:eastAsia="仿宋_GB2312" w:hAnsi="Times New Roman" w:cs="Times New Roman"/>
          <w:sz w:val="32"/>
          <w:szCs w:val="32"/>
        </w:rPr>
        <w:lastRenderedPageBreak/>
        <w:t>工作委员会：市人大</w:t>
      </w:r>
      <w:proofErr w:type="gramStart"/>
      <w:r>
        <w:rPr>
          <w:rFonts w:ascii="Times New Roman" w:eastAsia="仿宋_GB2312" w:hAnsi="Times New Roman" w:cs="Times New Roman"/>
          <w:sz w:val="32"/>
          <w:szCs w:val="32"/>
        </w:rPr>
        <w:t>民族华侨</w:t>
      </w:r>
      <w:proofErr w:type="gramEnd"/>
      <w:r>
        <w:rPr>
          <w:rFonts w:ascii="Times New Roman" w:eastAsia="仿宋_GB2312" w:hAnsi="Times New Roman" w:cs="Times New Roman"/>
          <w:sz w:val="32"/>
          <w:szCs w:val="32"/>
        </w:rPr>
        <w:t>外事委员会、市人大监察和司法委员会、市人大财政经济委员会、市人大教育科学文化卫生委员会、市人大环境与资源保护委员会、市人大农业与农村委员会、市人大社会建设委员会。市人大常委会下设办公室、选举任免联络工作委员会、预算工作委员会。</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（二）决算单位构成。祁阳市人民代表大会常务委员会</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年部门决算汇总公开单位构成包括：祁阳市人民代表大会常务委员会本级</w:t>
      </w:r>
      <w:r>
        <w:rPr>
          <w:rFonts w:ascii="Times New Roman" w:eastAsia="仿宋_GB2312" w:hAnsi="Times New Roman" w:cs="Times New Roman" w:hint="eastAsia"/>
          <w:sz w:val="32"/>
          <w:szCs w:val="32"/>
        </w:rPr>
        <w:t>。</w:t>
      </w:r>
    </w:p>
    <w:p w:rsidR="0058525F" w:rsidRDefault="0058525F">
      <w:pPr>
        <w:jc w:val="center"/>
        <w:rPr>
          <w:rFonts w:asciiTheme="minorEastAsia" w:hAnsiTheme="minorEastAsia" w:hint="eastAsia"/>
          <w:sz w:val="28"/>
          <w:szCs w:val="28"/>
        </w:rPr>
      </w:pPr>
    </w:p>
    <w:p w:rsidR="0058525F" w:rsidRDefault="0058525F">
      <w:pPr>
        <w:jc w:val="center"/>
        <w:rPr>
          <w:rFonts w:ascii="Times New Roman" w:eastAsia="黑体" w:hAnsi="Times New Roman" w:cs="Times New Roman"/>
          <w:sz w:val="28"/>
          <w:szCs w:val="28"/>
        </w:rPr>
      </w:pPr>
    </w:p>
    <w:p w:rsidR="0058525F" w:rsidRDefault="0058525F">
      <w:pPr>
        <w:jc w:val="center"/>
        <w:rPr>
          <w:rFonts w:ascii="Times New Roman" w:eastAsia="黑体" w:hAnsi="Times New Roman" w:cs="Times New Roman"/>
          <w:sz w:val="28"/>
          <w:szCs w:val="28"/>
        </w:rPr>
      </w:pPr>
    </w:p>
    <w:p w:rsidR="0058525F" w:rsidRDefault="0058525F">
      <w:pPr>
        <w:jc w:val="center"/>
        <w:rPr>
          <w:rFonts w:ascii="Times New Roman" w:eastAsia="黑体" w:hAnsi="Times New Roman" w:cs="Times New Roman"/>
          <w:sz w:val="28"/>
          <w:szCs w:val="28"/>
        </w:rPr>
      </w:pPr>
    </w:p>
    <w:p w:rsidR="0058525F" w:rsidRDefault="0058525F">
      <w:pPr>
        <w:jc w:val="center"/>
        <w:rPr>
          <w:rFonts w:ascii="Times New Roman" w:eastAsia="黑体" w:hAnsi="Times New Roman" w:cs="Times New Roman"/>
          <w:sz w:val="28"/>
          <w:szCs w:val="28"/>
        </w:rPr>
      </w:pPr>
    </w:p>
    <w:p w:rsidR="0058525F" w:rsidRDefault="0058525F">
      <w:pPr>
        <w:jc w:val="center"/>
        <w:rPr>
          <w:rFonts w:ascii="Times New Roman" w:eastAsia="黑体" w:hAnsi="Times New Roman" w:cs="Times New Roman"/>
          <w:sz w:val="28"/>
          <w:szCs w:val="28"/>
        </w:rPr>
      </w:pPr>
    </w:p>
    <w:p w:rsidR="0058525F" w:rsidRDefault="0058525F">
      <w:pPr>
        <w:pStyle w:val="a0"/>
        <w:rPr>
          <w:rFonts w:ascii="Times New Roman" w:hAnsi="Times New Roman" w:cs="Times New Roman"/>
        </w:rPr>
        <w:sectPr w:rsidR="0058525F">
          <w:footerReference w:type="default" r:id="rId10"/>
          <w:pgSz w:w="11906" w:h="16838"/>
          <w:pgMar w:top="1417" w:right="1588" w:bottom="1417" w:left="1588" w:header="851" w:footer="992" w:gutter="0"/>
          <w:pgNumType w:start="1"/>
          <w:cols w:space="425"/>
          <w:docGrid w:type="lines" w:linePitch="312"/>
        </w:sectPr>
      </w:pPr>
    </w:p>
    <w:p w:rsidR="0058525F"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58525F"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58525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58525F"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4911" w:type="pct"/>
        <w:tblInd w:w="118" w:type="dxa"/>
        <w:tblLook w:val="04A0" w:firstRow="1" w:lastRow="0" w:firstColumn="1" w:lastColumn="0" w:noHBand="0" w:noVBand="1"/>
      </w:tblPr>
      <w:tblGrid>
        <w:gridCol w:w="4067"/>
        <w:gridCol w:w="636"/>
        <w:gridCol w:w="2255"/>
        <w:gridCol w:w="3758"/>
        <w:gridCol w:w="763"/>
        <w:gridCol w:w="2488"/>
      </w:tblGrid>
      <w:tr w:rsidR="0058525F">
        <w:trPr>
          <w:trHeight w:val="300"/>
        </w:trPr>
        <w:tc>
          <w:tcPr>
            <w:tcW w:w="1472" w:type="pct"/>
            <w:tcBorders>
              <w:top w:val="nil"/>
              <w:left w:val="nil"/>
              <w:bottom w:val="nil"/>
              <w:right w:val="nil"/>
            </w:tcBorders>
            <w:shd w:val="clear" w:color="000000" w:fill="FFFFFF"/>
            <w:noWrap/>
            <w:vAlign w:val="center"/>
          </w:tcPr>
          <w:p w:rsidR="0058525F"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nil"/>
              <w:right w:val="nil"/>
            </w:tcBorders>
            <w:shd w:val="clear" w:color="000000" w:fill="FFFFFF"/>
            <w:noWrap/>
            <w:vAlign w:val="center"/>
          </w:tcPr>
          <w:p w:rsidR="0058525F"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8525F">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1181.81</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963.69</w:t>
            </w: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4.00</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5.05</w:t>
            </w: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134..45</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jc w:val="center"/>
              <w:rPr>
                <w:rFonts w:ascii="Times New Roman" w:hAnsi="Times New Roman" w:cs="Times New Roman"/>
                <w:kern w:val="0"/>
                <w:szCs w:val="21"/>
              </w:rPr>
            </w:pPr>
            <w:r>
              <w:rPr>
                <w:rFonts w:ascii="Times New Roman" w:hAnsi="Times New Roman" w:cs="Times New Roman"/>
                <w:kern w:val="0"/>
                <w:szCs w:val="21"/>
              </w:rPr>
              <w:t>4</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2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2488"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jc w:val="center"/>
              <w:rPr>
                <w:rFonts w:ascii="Times New Roman" w:hAnsi="Times New Roman" w:cs="Times New Roman"/>
                <w:kern w:val="0"/>
                <w:szCs w:val="21"/>
              </w:rPr>
            </w:pPr>
            <w:r>
              <w:rPr>
                <w:rFonts w:ascii="Times New Roman" w:hAnsi="Times New Roman" w:cs="Times New Roman"/>
                <w:kern w:val="0"/>
                <w:szCs w:val="21"/>
              </w:rPr>
              <w:t>42.66</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2488"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2488"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1185.81</w:t>
            </w: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1185.81</w:t>
            </w: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center"/>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center"/>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58525F">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shd w:val="clear" w:color="auto" w:fill="auto"/>
            <w:noWrap/>
            <w:vAlign w:val="center"/>
          </w:tcPr>
          <w:p w:rsidR="0058525F" w:rsidRDefault="0058525F">
            <w:pPr>
              <w:widowControl/>
              <w:jc w:val="center"/>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58525F">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58525F">
            <w:pPr>
              <w:jc w:val="center"/>
              <w:rPr>
                <w:rFonts w:ascii="Times New Roman" w:hAnsi="Times New Roman" w:cs="Times New Roman"/>
                <w:b/>
                <w:bCs/>
                <w:kern w:val="0"/>
                <w:szCs w:val="21"/>
              </w:rPr>
            </w:pPr>
          </w:p>
        </w:tc>
      </w:tr>
      <w:tr w:rsidR="0058525F">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shd w:val="clear" w:color="auto" w:fill="auto"/>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1185.81</w:t>
            </w:r>
          </w:p>
        </w:tc>
        <w:tc>
          <w:tcPr>
            <w:tcW w:w="1361"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2488" w:type="dxa"/>
            <w:tcBorders>
              <w:top w:val="nil"/>
              <w:left w:val="nil"/>
              <w:bottom w:val="single" w:sz="4" w:space="0" w:color="auto"/>
              <w:right w:val="single" w:sz="4" w:space="0" w:color="auto"/>
            </w:tcBorders>
            <w:shd w:val="clear" w:color="auto" w:fill="auto"/>
            <w:noWrap/>
            <w:vAlign w:val="center"/>
          </w:tcPr>
          <w:p w:rsidR="0058525F" w:rsidRDefault="00000000">
            <w:pPr>
              <w:widowControl/>
              <w:jc w:val="center"/>
              <w:textAlignment w:val="center"/>
              <w:rPr>
                <w:rFonts w:ascii="Times New Roman" w:hAnsi="Times New Roman" w:cs="Times New Roman"/>
                <w:b/>
                <w:bCs/>
                <w:kern w:val="0"/>
                <w:szCs w:val="21"/>
              </w:rPr>
            </w:pPr>
            <w:r>
              <w:rPr>
                <w:rFonts w:ascii="Times New Roman" w:eastAsia="宋体" w:hAnsi="Times New Roman" w:cs="Times New Roman"/>
                <w:color w:val="000000"/>
                <w:kern w:val="0"/>
                <w:szCs w:val="21"/>
                <w:lang w:bidi="ar"/>
              </w:rPr>
              <w:t>1185.81</w:t>
            </w:r>
          </w:p>
        </w:tc>
      </w:tr>
      <w:tr w:rsidR="0058525F">
        <w:trPr>
          <w:trHeight w:val="1020"/>
        </w:trPr>
        <w:tc>
          <w:tcPr>
            <w:tcW w:w="5000" w:type="pct"/>
            <w:gridSpan w:val="6"/>
            <w:tcBorders>
              <w:top w:val="nil"/>
              <w:left w:val="nil"/>
              <w:bottom w:val="nil"/>
              <w:right w:val="nil"/>
            </w:tcBorders>
            <w:shd w:val="clear" w:color="auto" w:fill="auto"/>
            <w:vAlign w:val="center"/>
          </w:tcPr>
          <w:p w:rsidR="0058525F"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rsidR="0058525F" w:rsidRDefault="0058525F">
      <w:pPr>
        <w:rPr>
          <w:rFonts w:ascii="Times New Roman" w:eastAsia="华文中宋" w:hAnsi="Times New Roman" w:cs="Times New Roman"/>
          <w:color w:val="000000"/>
          <w:sz w:val="32"/>
          <w:szCs w:val="32"/>
        </w:rPr>
      </w:pPr>
    </w:p>
    <w:p w:rsidR="0058525F" w:rsidRDefault="0058525F">
      <w:pPr>
        <w:widowControl/>
        <w:spacing w:line="400" w:lineRule="exact"/>
        <w:jc w:val="center"/>
        <w:textAlignment w:val="center"/>
        <w:rPr>
          <w:rFonts w:ascii="Times New Roman" w:eastAsia="黑体" w:hAnsi="Times New Roman" w:cs="Times New Roman"/>
          <w:color w:val="000000"/>
          <w:kern w:val="0"/>
          <w:sz w:val="32"/>
          <w:szCs w:val="32"/>
          <w:lang w:bidi="ar"/>
        </w:rPr>
      </w:pPr>
    </w:p>
    <w:p w:rsidR="0058525F" w:rsidRDefault="0058525F">
      <w:pPr>
        <w:pStyle w:val="a0"/>
        <w:rPr>
          <w:rFonts w:ascii="Times New Roman" w:eastAsia="黑体" w:hAnsi="Times New Roman" w:cs="Times New Roman"/>
          <w:color w:val="000000"/>
          <w:kern w:val="0"/>
          <w:sz w:val="32"/>
          <w:szCs w:val="32"/>
          <w:lang w:bidi="ar"/>
        </w:rPr>
      </w:pPr>
    </w:p>
    <w:p w:rsidR="0058525F" w:rsidRDefault="0058525F">
      <w:pPr>
        <w:pStyle w:val="2"/>
        <w:ind w:firstLine="640"/>
        <w:rPr>
          <w:rFonts w:ascii="Times New Roman" w:eastAsia="黑体" w:hAnsi="Times New Roman" w:cs="Times New Roman"/>
          <w:color w:val="000000"/>
          <w:sz w:val="32"/>
          <w:szCs w:val="32"/>
          <w:lang w:bidi="ar"/>
        </w:rPr>
      </w:pPr>
    </w:p>
    <w:p w:rsidR="0058525F" w:rsidRDefault="0058525F">
      <w:pPr>
        <w:rPr>
          <w:rFonts w:ascii="Times New Roman" w:eastAsia="黑体" w:hAnsi="Times New Roman" w:cs="Times New Roman"/>
          <w:color w:val="000000"/>
          <w:kern w:val="0"/>
          <w:sz w:val="32"/>
          <w:szCs w:val="32"/>
          <w:lang w:bidi="ar"/>
        </w:rPr>
      </w:pPr>
    </w:p>
    <w:p w:rsidR="0058525F" w:rsidRDefault="0058525F">
      <w:pPr>
        <w:pStyle w:val="a0"/>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收入决算表</w:t>
      </w:r>
    </w:p>
    <w:p w:rsidR="0058525F"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58525F"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132" w:type="dxa"/>
        <w:jc w:val="center"/>
        <w:tblCellMar>
          <w:top w:w="32" w:type="dxa"/>
          <w:left w:w="64" w:type="dxa"/>
          <w:bottom w:w="32" w:type="dxa"/>
          <w:right w:w="64" w:type="dxa"/>
        </w:tblCellMar>
        <w:tblLook w:val="04A0" w:firstRow="1" w:lastRow="0" w:firstColumn="1" w:lastColumn="0" w:noHBand="0" w:noVBand="1"/>
      </w:tblPr>
      <w:tblGrid>
        <w:gridCol w:w="1798"/>
        <w:gridCol w:w="3488"/>
        <w:gridCol w:w="1379"/>
        <w:gridCol w:w="1379"/>
        <w:gridCol w:w="1376"/>
        <w:gridCol w:w="964"/>
        <w:gridCol w:w="964"/>
        <w:gridCol w:w="1798"/>
        <w:gridCol w:w="986"/>
      </w:tblGrid>
      <w:tr w:rsidR="0058525F">
        <w:trPr>
          <w:tblHeader/>
          <w:jc w:val="center"/>
        </w:trPr>
        <w:tc>
          <w:tcPr>
            <w:tcW w:w="348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项目</w:t>
            </w:r>
          </w:p>
        </w:tc>
        <w:tc>
          <w:tcPr>
            <w:tcW w:w="13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本年收入合计</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财政拨款收入</w:t>
            </w:r>
          </w:p>
        </w:tc>
        <w:tc>
          <w:tcPr>
            <w:tcW w:w="1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上级补助收入</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事业收入</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经营收入</w:t>
            </w:r>
          </w:p>
        </w:tc>
        <w:tc>
          <w:tcPr>
            <w:tcW w:w="17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附属单位上缴收入</w:t>
            </w:r>
          </w:p>
        </w:tc>
        <w:tc>
          <w:tcPr>
            <w:tcW w:w="9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其他收入</w:t>
            </w:r>
          </w:p>
        </w:tc>
      </w:tr>
      <w:tr w:rsidR="0058525F">
        <w:trPr>
          <w:trHeight w:val="312"/>
          <w:tblHeader/>
          <w:jc w:val="center"/>
        </w:trPr>
        <w:tc>
          <w:tcPr>
            <w:tcW w:w="17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功能分类科目编码</w:t>
            </w:r>
          </w:p>
        </w:tc>
        <w:tc>
          <w:tcPr>
            <w:tcW w:w="3488" w:type="dxa"/>
            <w:vMerge w:val="restart"/>
            <w:tcBorders>
              <w:top w:val="nil"/>
              <w:left w:val="single" w:sz="4" w:space="0" w:color="auto"/>
              <w:bottom w:val="single" w:sz="4" w:space="0" w:color="auto"/>
              <w:right w:val="single" w:sz="4" w:space="0" w:color="auto"/>
            </w:tcBorders>
            <w:shd w:val="clear" w:color="000000" w:fill="FFFFFF"/>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科目名称</w:t>
            </w:r>
          </w:p>
        </w:tc>
        <w:tc>
          <w:tcPr>
            <w:tcW w:w="1379"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1379"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64"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64"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r>
      <w:tr w:rsidR="0058525F">
        <w:trPr>
          <w:trHeight w:val="312"/>
          <w:tblHeader/>
          <w:jc w:val="center"/>
        </w:trPr>
        <w:tc>
          <w:tcPr>
            <w:tcW w:w="1798"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left"/>
              <w:rPr>
                <w:rFonts w:ascii="Times New Roman" w:eastAsia="宋体" w:hAnsi="Times New Roman" w:cs="Times New Roman"/>
                <w:b/>
                <w:szCs w:val="21"/>
              </w:rPr>
            </w:pPr>
          </w:p>
        </w:tc>
        <w:tc>
          <w:tcPr>
            <w:tcW w:w="3488" w:type="dxa"/>
            <w:vMerge/>
            <w:tcBorders>
              <w:top w:val="nil"/>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1379"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right"/>
              <w:rPr>
                <w:rFonts w:ascii="Times New Roman" w:eastAsia="宋体" w:hAnsi="Times New Roman" w:cs="Times New Roman"/>
                <w:b/>
                <w:szCs w:val="21"/>
              </w:rPr>
            </w:pPr>
          </w:p>
        </w:tc>
        <w:tc>
          <w:tcPr>
            <w:tcW w:w="1379"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right"/>
              <w:rPr>
                <w:rFonts w:ascii="Times New Roman" w:eastAsia="宋体" w:hAnsi="Times New Roman" w:cs="Times New Roman"/>
                <w:b/>
                <w:szCs w:val="21"/>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64"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64"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1798"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c>
          <w:tcPr>
            <w:tcW w:w="986" w:type="dxa"/>
            <w:vMerge/>
            <w:tcBorders>
              <w:top w:val="single" w:sz="4" w:space="0" w:color="auto"/>
              <w:left w:val="single" w:sz="4" w:space="0" w:color="auto"/>
              <w:bottom w:val="single" w:sz="4" w:space="0" w:color="auto"/>
              <w:right w:val="single" w:sz="4" w:space="0" w:color="auto"/>
            </w:tcBorders>
            <w:vAlign w:val="center"/>
          </w:tcPr>
          <w:p w:rsidR="0058525F" w:rsidRDefault="0058525F">
            <w:pPr>
              <w:snapToGrid w:val="0"/>
              <w:jc w:val="center"/>
              <w:rPr>
                <w:rFonts w:ascii="Times New Roman" w:eastAsia="宋体" w:hAnsi="Times New Roman" w:cs="Times New Roman"/>
                <w:b/>
                <w:szCs w:val="21"/>
              </w:rPr>
            </w:pPr>
          </w:p>
        </w:tc>
      </w:tr>
      <w:tr w:rsidR="0058525F">
        <w:trPr>
          <w:jc w:val="center"/>
        </w:trPr>
        <w:tc>
          <w:tcPr>
            <w:tcW w:w="348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snapToGrid w:val="0"/>
              <w:jc w:val="left"/>
              <w:rPr>
                <w:rFonts w:ascii="Times New Roman" w:eastAsia="宋体" w:hAnsi="Times New Roman" w:cs="Times New Roman"/>
                <w:b/>
                <w:szCs w:val="21"/>
              </w:rPr>
            </w:pPr>
            <w:r>
              <w:rPr>
                <w:rFonts w:ascii="Times New Roman" w:eastAsia="宋体" w:hAnsi="Times New Roman" w:cs="Times New Roman"/>
                <w:b/>
                <w:szCs w:val="21"/>
              </w:rPr>
              <w:t>栏次</w:t>
            </w:r>
          </w:p>
        </w:tc>
        <w:tc>
          <w:tcPr>
            <w:tcW w:w="1379"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1</w:t>
            </w:r>
          </w:p>
        </w:tc>
        <w:tc>
          <w:tcPr>
            <w:tcW w:w="1379"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right"/>
              <w:rPr>
                <w:rFonts w:ascii="Times New Roman" w:eastAsia="宋体" w:hAnsi="Times New Roman" w:cs="Times New Roman"/>
                <w:b/>
                <w:szCs w:val="21"/>
              </w:rPr>
            </w:pPr>
            <w:r>
              <w:rPr>
                <w:rFonts w:ascii="Times New Roman" w:eastAsia="宋体" w:hAnsi="Times New Roman" w:cs="Times New Roman"/>
                <w:b/>
                <w:szCs w:val="21"/>
              </w:rPr>
              <w:t>2</w:t>
            </w:r>
          </w:p>
        </w:tc>
        <w:tc>
          <w:tcPr>
            <w:tcW w:w="1376"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right"/>
              <w:rPr>
                <w:rFonts w:ascii="Times New Roman" w:eastAsia="宋体" w:hAnsi="Times New Roman" w:cs="Times New Roman"/>
                <w:b/>
                <w:szCs w:val="21"/>
              </w:rPr>
            </w:pPr>
            <w:r>
              <w:rPr>
                <w:rFonts w:ascii="Times New Roman" w:eastAsia="宋体" w:hAnsi="Times New Roman" w:cs="Times New Roman"/>
                <w:b/>
                <w:szCs w:val="21"/>
              </w:rPr>
              <w:t>3</w:t>
            </w:r>
          </w:p>
        </w:tc>
        <w:tc>
          <w:tcPr>
            <w:tcW w:w="964"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4</w:t>
            </w:r>
          </w:p>
        </w:tc>
        <w:tc>
          <w:tcPr>
            <w:tcW w:w="964"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5</w:t>
            </w:r>
          </w:p>
        </w:tc>
        <w:tc>
          <w:tcPr>
            <w:tcW w:w="1798"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6</w:t>
            </w:r>
          </w:p>
        </w:tc>
        <w:tc>
          <w:tcPr>
            <w:tcW w:w="986" w:type="dxa"/>
            <w:tcBorders>
              <w:top w:val="nil"/>
              <w:left w:val="nil"/>
              <w:bottom w:val="single" w:sz="4" w:space="0" w:color="auto"/>
              <w:right w:val="single" w:sz="4" w:space="0" w:color="auto"/>
            </w:tcBorders>
            <w:shd w:val="clear" w:color="000000" w:fill="FFFFFF"/>
            <w:noWrap/>
            <w:vAlign w:val="center"/>
          </w:tcPr>
          <w:p w:rsidR="0058525F" w:rsidRDefault="00000000">
            <w:pPr>
              <w:snapToGrid w:val="0"/>
              <w:jc w:val="center"/>
              <w:rPr>
                <w:rFonts w:ascii="Times New Roman" w:eastAsia="宋体" w:hAnsi="Times New Roman" w:cs="Times New Roman"/>
                <w:b/>
                <w:szCs w:val="21"/>
              </w:rPr>
            </w:pPr>
            <w:r>
              <w:rPr>
                <w:rFonts w:ascii="Times New Roman" w:eastAsia="宋体" w:hAnsi="Times New Roman" w:cs="Times New Roman"/>
                <w:b/>
                <w:szCs w:val="21"/>
              </w:rPr>
              <w:t>7</w:t>
            </w:r>
          </w:p>
        </w:tc>
      </w:tr>
      <w:tr w:rsidR="0058525F">
        <w:trPr>
          <w:jc w:val="center"/>
        </w:trPr>
        <w:tc>
          <w:tcPr>
            <w:tcW w:w="348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snapToGrid w:val="0"/>
              <w:jc w:val="left"/>
              <w:rPr>
                <w:rFonts w:ascii="Times New Roman" w:eastAsia="宋体" w:hAnsi="Times New Roman" w:cs="Times New Roman"/>
                <w:szCs w:val="21"/>
              </w:rPr>
            </w:pPr>
            <w:r>
              <w:rPr>
                <w:rFonts w:ascii="Times New Roman" w:eastAsia="宋体" w:hAnsi="Times New Roman" w:cs="Times New Roman"/>
                <w:szCs w:val="21"/>
              </w:rPr>
              <w:t>合计</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b/>
                <w:bCs/>
                <w:color w:val="000000"/>
                <w:kern w:val="0"/>
                <w:szCs w:val="21"/>
                <w:lang w:bidi="ar"/>
              </w:rPr>
              <w:t>1185.81</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b/>
                <w:bCs/>
                <w:color w:val="000000"/>
                <w:kern w:val="0"/>
                <w:szCs w:val="21"/>
                <w:lang w:bidi="ar"/>
              </w:rPr>
              <w:t>1185.81</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一般公共服务支出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963.69</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963.69</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20101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人大事务</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963.69</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963.69</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2010101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行政运行</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688.91</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688.91</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2010102</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一般行政管理事务</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269.18</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269.18</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2010199</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其他人大事务支出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5.60</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5.60</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205</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教育支出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20508</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进修及培训</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2050803</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培训支出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12.05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207</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文化旅游体育与传媒支出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20799</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其他文化旅游体育与传媒支出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2079999</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其他文化旅游体育与传媒支出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5.05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208</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社会保障和就业支出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134.45</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134.45</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20805</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行政事业单位养老支出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59.47</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59.47</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2080505</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机关事业单位基本养老保险缴费支出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59.47</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59.47</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20808</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抚恤</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74.98</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74.98</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2080801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死亡抚恤</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74.98</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74.98</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210</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卫生健康支出</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23.90</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23.90</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lastRenderedPageBreak/>
              <w:t>21011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行政事业单位医疗</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23.90</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szCs w:val="21"/>
              </w:rPr>
            </w:pPr>
            <w:r>
              <w:rPr>
                <w:rFonts w:ascii="Times New Roman" w:eastAsia="宋体" w:hAnsi="Times New Roman" w:cs="Times New Roman"/>
                <w:color w:val="000000"/>
                <w:kern w:val="0"/>
                <w:szCs w:val="21"/>
                <w:lang w:bidi="ar"/>
              </w:rPr>
              <w:t>23.90</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eastAsia="宋体"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left"/>
              <w:rPr>
                <w:rFonts w:ascii="Times New Roman" w:eastAsia="宋体" w:hAnsi="Times New Roman" w:cs="Times New Roman"/>
                <w:szCs w:val="21"/>
              </w:rPr>
            </w:pPr>
          </w:p>
        </w:tc>
      </w:tr>
      <w:tr w:rsidR="0058525F">
        <w:trPr>
          <w:jc w:val="center"/>
        </w:trPr>
        <w:tc>
          <w:tcPr>
            <w:tcW w:w="17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2101101</w:t>
            </w:r>
          </w:p>
        </w:tc>
        <w:tc>
          <w:tcPr>
            <w:tcW w:w="348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szCs w:val="21"/>
              </w:rPr>
            </w:pPr>
            <w:r>
              <w:rPr>
                <w:rFonts w:ascii="Times New Roman" w:hAnsi="Times New Roman" w:cs="Times New Roman"/>
                <w:color w:val="000000"/>
                <w:kern w:val="0"/>
                <w:szCs w:val="21"/>
                <w:lang w:bidi="ar"/>
              </w:rPr>
              <w:t>行政单位医疗</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szCs w:val="21"/>
              </w:rPr>
            </w:pPr>
            <w:r>
              <w:rPr>
                <w:rFonts w:ascii="Times New Roman" w:eastAsia="宋体" w:hAnsi="Times New Roman" w:cs="Times New Roman"/>
                <w:color w:val="000000"/>
                <w:kern w:val="0"/>
                <w:szCs w:val="21"/>
                <w:lang w:bidi="ar"/>
              </w:rPr>
              <w:t>23.90</w:t>
            </w:r>
          </w:p>
        </w:tc>
        <w:tc>
          <w:tcPr>
            <w:tcW w:w="137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szCs w:val="21"/>
              </w:rPr>
            </w:pPr>
            <w:r>
              <w:rPr>
                <w:rFonts w:ascii="Times New Roman" w:eastAsia="宋体" w:hAnsi="Times New Roman" w:cs="Times New Roman"/>
                <w:color w:val="000000"/>
                <w:kern w:val="0"/>
                <w:szCs w:val="21"/>
                <w:lang w:bidi="ar"/>
              </w:rPr>
              <w:t>23.90</w:t>
            </w:r>
          </w:p>
        </w:tc>
        <w:tc>
          <w:tcPr>
            <w:tcW w:w="137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szCs w:val="21"/>
              </w:rPr>
            </w:pPr>
          </w:p>
        </w:tc>
        <w:tc>
          <w:tcPr>
            <w:tcW w:w="964"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szCs w:val="21"/>
              </w:rPr>
            </w:pPr>
          </w:p>
        </w:tc>
        <w:tc>
          <w:tcPr>
            <w:tcW w:w="179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szCs w:val="21"/>
              </w:rPr>
            </w:pPr>
          </w:p>
        </w:tc>
        <w:tc>
          <w:tcPr>
            <w:tcW w:w="986" w:type="dxa"/>
            <w:tcBorders>
              <w:top w:val="nil"/>
              <w:left w:val="nil"/>
              <w:bottom w:val="single" w:sz="4" w:space="0" w:color="auto"/>
              <w:right w:val="single" w:sz="4" w:space="0" w:color="auto"/>
            </w:tcBorders>
            <w:shd w:val="clear" w:color="auto" w:fill="auto"/>
            <w:noWrap/>
            <w:vAlign w:val="center"/>
          </w:tcPr>
          <w:p w:rsidR="0058525F" w:rsidRDefault="0058525F">
            <w:pPr>
              <w:pStyle w:val="a5"/>
              <w:snapToGrid w:val="0"/>
              <w:jc w:val="center"/>
            </w:pPr>
          </w:p>
        </w:tc>
      </w:tr>
      <w:tr w:rsidR="0058525F">
        <w:trPr>
          <w:jc w:val="center"/>
        </w:trPr>
        <w:tc>
          <w:tcPr>
            <w:tcW w:w="986" w:type="dxa"/>
            <w:gridSpan w:val="9"/>
            <w:tcBorders>
              <w:top w:val="nil"/>
              <w:left w:val="nil"/>
              <w:bottom w:val="nil"/>
              <w:right w:val="nil"/>
            </w:tcBorders>
            <w:shd w:val="clear" w:color="auto" w:fill="auto"/>
            <w:vAlign w:val="center"/>
          </w:tcPr>
          <w:p w:rsidR="0058525F" w:rsidRDefault="00000000">
            <w:pPr>
              <w:snapToGrid w:val="0"/>
              <w:jc w:val="center"/>
              <w:rPr>
                <w:rFonts w:ascii="Times New Roman" w:hAnsi="Times New Roman" w:cs="Times New Roman"/>
                <w:szCs w:val="21"/>
              </w:rPr>
            </w:pPr>
            <w:r>
              <w:rPr>
                <w:rFonts w:ascii="Times New Roman" w:hAnsi="Times New Roman" w:cs="Times New Roman"/>
                <w:szCs w:val="21"/>
              </w:rPr>
              <w:t>注：本表反映部门本年度取得的各项收入情况。</w:t>
            </w:r>
          </w:p>
        </w:tc>
      </w:tr>
      <w:tr w:rsidR="0058525F">
        <w:trPr>
          <w:jc w:val="center"/>
        </w:trPr>
        <w:tc>
          <w:tcPr>
            <w:tcW w:w="986" w:type="dxa"/>
            <w:gridSpan w:val="9"/>
            <w:tcBorders>
              <w:top w:val="nil"/>
              <w:left w:val="nil"/>
              <w:bottom w:val="nil"/>
              <w:right w:val="nil"/>
            </w:tcBorders>
            <w:shd w:val="clear" w:color="auto" w:fill="auto"/>
            <w:vAlign w:val="center"/>
          </w:tcPr>
          <w:p w:rsidR="0058525F" w:rsidRDefault="0058525F">
            <w:pPr>
              <w:snapToGrid w:val="0"/>
              <w:jc w:val="center"/>
              <w:rPr>
                <w:rFonts w:ascii="Times New Roman" w:hAnsi="Times New Roman" w:cs="Times New Roman"/>
                <w:szCs w:val="21"/>
              </w:rPr>
            </w:pPr>
          </w:p>
        </w:tc>
      </w:tr>
    </w:tbl>
    <w:p w:rsidR="0058525F" w:rsidRDefault="0058525F">
      <w:pPr>
        <w:spacing w:before="120"/>
        <w:rPr>
          <w:rFonts w:ascii="Times New Roman" w:eastAsia="仿宋_GB2312" w:hAnsi="Times New Roman" w:cs="Times New Roman"/>
          <w:sz w:val="24"/>
          <w:szCs w:val="24"/>
        </w:rPr>
      </w:pPr>
    </w:p>
    <w:p w:rsidR="0058525F"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58525F" w:rsidRDefault="0058525F">
      <w:pPr>
        <w:widowControl/>
        <w:jc w:val="center"/>
        <w:textAlignment w:val="center"/>
        <w:rPr>
          <w:rFonts w:ascii="Times New Roman" w:eastAsia="黑体" w:hAnsi="Times New Roman" w:cs="Times New Roman"/>
          <w:color w:val="000000"/>
          <w:kern w:val="0"/>
          <w:sz w:val="32"/>
          <w:szCs w:val="32"/>
          <w:lang w:bidi="ar"/>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58525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58525F"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128" w:type="dxa"/>
        <w:jc w:val="center"/>
        <w:tblCellMar>
          <w:top w:w="32" w:type="dxa"/>
          <w:left w:w="64" w:type="dxa"/>
          <w:bottom w:w="32" w:type="dxa"/>
          <w:right w:w="64" w:type="dxa"/>
        </w:tblCellMar>
        <w:tblLook w:val="04A0" w:firstRow="1" w:lastRow="0" w:firstColumn="1" w:lastColumn="0" w:noHBand="0" w:noVBand="1"/>
      </w:tblPr>
      <w:tblGrid>
        <w:gridCol w:w="1703"/>
        <w:gridCol w:w="3298"/>
        <w:gridCol w:w="1310"/>
        <w:gridCol w:w="913"/>
        <w:gridCol w:w="913"/>
        <w:gridCol w:w="1310"/>
        <w:gridCol w:w="913"/>
        <w:gridCol w:w="1884"/>
        <w:gridCol w:w="1884"/>
      </w:tblGrid>
      <w:tr w:rsidR="0058525F">
        <w:trPr>
          <w:tblHeader/>
          <w:jc w:val="center"/>
        </w:trPr>
        <w:tc>
          <w:tcPr>
            <w:tcW w:w="50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项目</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本年支出合计</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基本支出</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项目支出</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上缴上级支出</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经营支出</w:t>
            </w:r>
          </w:p>
        </w:tc>
        <w:tc>
          <w:tcPr>
            <w:tcW w:w="18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对附属单位补助支出</w:t>
            </w:r>
          </w:p>
        </w:tc>
        <w:tc>
          <w:tcPr>
            <w:tcW w:w="1884" w:type="dxa"/>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58525F">
            <w:pPr>
              <w:widowControl/>
              <w:snapToGrid w:val="0"/>
              <w:jc w:val="center"/>
              <w:rPr>
                <w:rFonts w:ascii="宋体" w:eastAsia="宋体" w:hAnsiTheme="minorEastAsia" w:cs="宋体" w:hint="eastAsia"/>
                <w:b/>
                <w:kern w:val="0"/>
                <w:szCs w:val="21"/>
              </w:rPr>
            </w:pPr>
          </w:p>
        </w:tc>
      </w:tr>
      <w:tr w:rsidR="0058525F">
        <w:trPr>
          <w:trHeight w:val="312"/>
          <w:tblHeader/>
          <w:jc w:val="center"/>
        </w:trPr>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功能分类科目编码</w:t>
            </w:r>
          </w:p>
        </w:tc>
        <w:tc>
          <w:tcPr>
            <w:tcW w:w="3298" w:type="dxa"/>
            <w:vMerge w:val="restart"/>
            <w:tcBorders>
              <w:top w:val="nil"/>
              <w:left w:val="single" w:sz="4" w:space="0" w:color="auto"/>
              <w:bottom w:val="single" w:sz="4" w:space="0" w:color="auto"/>
              <w:right w:val="single" w:sz="4" w:space="0" w:color="auto"/>
            </w:tcBorders>
            <w:shd w:val="clear" w:color="000000" w:fill="FFFFFF"/>
            <w:vAlign w:val="center"/>
          </w:tcPr>
          <w:p w:rsidR="0058525F" w:rsidRDefault="00000000">
            <w:pPr>
              <w:widowControl/>
              <w:snapToGrid w:val="0"/>
              <w:jc w:val="center"/>
              <w:rPr>
                <w:rFonts w:ascii="宋体" w:eastAsia="宋体" w:hAnsiTheme="minorEastAsia" w:cs="宋体" w:hint="eastAsia"/>
                <w:b/>
                <w:kern w:val="0"/>
                <w:szCs w:val="21"/>
              </w:rPr>
            </w:pPr>
            <w:r>
              <w:rPr>
                <w:rFonts w:ascii="宋体" w:eastAsia="宋体" w:hAnsiTheme="minorEastAsia" w:cs="宋体"/>
                <w:b/>
                <w:kern w:val="0"/>
                <w:szCs w:val="21"/>
              </w:rPr>
              <w:t>科目名称</w:t>
            </w:r>
          </w:p>
        </w:tc>
        <w:tc>
          <w:tcPr>
            <w:tcW w:w="1310"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宋体" w:eastAsia="宋体" w:hAnsiTheme="minorEastAsia" w:cs="宋体" w:hint="eastAsia"/>
                <w:b/>
                <w:kern w:val="0"/>
                <w:szCs w:val="21"/>
              </w:rPr>
            </w:pPr>
          </w:p>
        </w:tc>
      </w:tr>
      <w:tr w:rsidR="0058525F">
        <w:trPr>
          <w:trHeight w:val="312"/>
          <w:tblHeader/>
          <w:jc w:val="center"/>
        </w:trPr>
        <w:tc>
          <w:tcPr>
            <w:tcW w:w="170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left"/>
              <w:rPr>
                <w:rFonts w:ascii="Times New Roman" w:eastAsia="宋体" w:hAnsiTheme="minorEastAsia" w:cs="宋体" w:hint="eastAsia"/>
                <w:b/>
                <w:kern w:val="0"/>
                <w:szCs w:val="21"/>
              </w:rPr>
            </w:pPr>
          </w:p>
        </w:tc>
        <w:tc>
          <w:tcPr>
            <w:tcW w:w="3298" w:type="dxa"/>
            <w:vMerge/>
            <w:tcBorders>
              <w:top w:val="nil"/>
              <w:left w:val="single" w:sz="4" w:space="0" w:color="auto"/>
              <w:bottom w:val="single" w:sz="4" w:space="0" w:color="auto"/>
              <w:right w:val="single" w:sz="4" w:space="0" w:color="auto"/>
            </w:tcBorders>
            <w:vAlign w:val="center"/>
          </w:tcPr>
          <w:p w:rsidR="0058525F" w:rsidRDefault="0058525F">
            <w:pPr>
              <w:widowControl/>
              <w:snapToGrid w:val="0"/>
              <w:jc w:val="center"/>
              <w:rPr>
                <w:rFonts w:ascii="Times New Roman" w:eastAsia="宋体" w:hAnsiTheme="minorEastAsia" w:cs="宋体" w:hint="eastAsia"/>
                <w:b/>
                <w:kern w:val="0"/>
                <w:szCs w:val="21"/>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right"/>
              <w:rPr>
                <w:rFonts w:ascii="Times New Roman"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right"/>
              <w:rPr>
                <w:rFonts w:ascii="Times New Roman"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right"/>
              <w:rPr>
                <w:rFonts w:ascii="Times New Roman" w:eastAsia="宋体" w:hAnsiTheme="minorEastAsia" w:cs="宋体" w:hint="eastAsia"/>
                <w:b/>
                <w:kern w:val="0"/>
                <w:szCs w:val="21"/>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Times New Roman" w:eastAsia="宋体" w:hAnsiTheme="minorEastAsia" w:cs="宋体" w:hint="eastAsia"/>
                <w:b/>
                <w:kern w:val="0"/>
                <w:szCs w:val="21"/>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Times New Roman" w:eastAsia="宋体" w:hAnsiTheme="minorEastAsia" w:cs="宋体" w:hint="eastAsia"/>
                <w:b/>
                <w:kern w:val="0"/>
                <w:szCs w:val="21"/>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Times New Roman" w:eastAsia="宋体" w:hAnsiTheme="minorEastAsia" w:cs="宋体" w:hint="eastAsia"/>
                <w:b/>
                <w:kern w:val="0"/>
                <w:szCs w:val="21"/>
              </w:rPr>
            </w:pPr>
          </w:p>
        </w:tc>
        <w:tc>
          <w:tcPr>
            <w:tcW w:w="1884" w:type="dxa"/>
            <w:tcBorders>
              <w:top w:val="single" w:sz="4" w:space="0" w:color="auto"/>
              <w:left w:val="single" w:sz="4" w:space="0" w:color="auto"/>
              <w:bottom w:val="single" w:sz="4" w:space="0" w:color="auto"/>
              <w:right w:val="single" w:sz="4" w:space="0" w:color="auto"/>
            </w:tcBorders>
            <w:vAlign w:val="center"/>
          </w:tcPr>
          <w:p w:rsidR="0058525F" w:rsidRDefault="0058525F">
            <w:pPr>
              <w:widowControl/>
              <w:snapToGrid w:val="0"/>
              <w:jc w:val="center"/>
              <w:rPr>
                <w:rFonts w:ascii="Times New Roman" w:eastAsia="宋体" w:hAnsiTheme="minorEastAsia" w:cs="宋体" w:hint="eastAsia"/>
                <w:b/>
                <w:kern w:val="0"/>
                <w:szCs w:val="21"/>
              </w:rPr>
            </w:pPr>
          </w:p>
        </w:tc>
      </w:tr>
      <w:tr w:rsidR="0058525F">
        <w:trPr>
          <w:jc w:val="center"/>
        </w:trPr>
        <w:tc>
          <w:tcPr>
            <w:tcW w:w="50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rPr>
                <w:rFonts w:ascii="Times New Roman" w:eastAsia="宋体" w:hAnsiTheme="minorEastAsia" w:cs="宋体" w:hint="eastAsia"/>
                <w:b/>
                <w:kern w:val="0"/>
                <w:szCs w:val="21"/>
              </w:rPr>
            </w:pPr>
            <w:r>
              <w:rPr>
                <w:rFonts w:ascii="Times New Roman" w:eastAsia="宋体" w:hAnsiTheme="minorEastAsia" w:cs="宋体" w:hint="eastAsia"/>
                <w:b/>
                <w:kern w:val="0"/>
                <w:szCs w:val="21"/>
              </w:rPr>
              <w:t>栏次</w:t>
            </w:r>
          </w:p>
        </w:tc>
        <w:tc>
          <w:tcPr>
            <w:tcW w:w="1310"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heme="minorEastAsia" w:cs="宋体" w:hint="eastAsia"/>
                <w:b/>
                <w:kern w:val="0"/>
                <w:szCs w:val="21"/>
              </w:rPr>
            </w:pPr>
            <w:r>
              <w:rPr>
                <w:rFonts w:ascii="Times New Roman" w:eastAsia="宋体" w:hAnsiTheme="minorEastAsia" w:cs="宋体" w:hint="eastAsia"/>
                <w:b/>
                <w:kern w:val="0"/>
                <w:szCs w:val="21"/>
              </w:rPr>
              <w:t>1</w:t>
            </w:r>
          </w:p>
        </w:tc>
        <w:tc>
          <w:tcPr>
            <w:tcW w:w="913"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right"/>
              <w:rPr>
                <w:rFonts w:ascii="Times New Roman" w:eastAsia="宋体" w:hAnsiTheme="minorEastAsia" w:cs="宋体" w:hint="eastAsia"/>
                <w:b/>
                <w:kern w:val="0"/>
                <w:szCs w:val="21"/>
              </w:rPr>
            </w:pPr>
            <w:r>
              <w:rPr>
                <w:rFonts w:ascii="Times New Roman" w:eastAsia="宋体" w:hAnsiTheme="minorEastAsia" w:cs="宋体" w:hint="eastAsia"/>
                <w:b/>
                <w:kern w:val="0"/>
                <w:szCs w:val="21"/>
              </w:rPr>
              <w:t>2</w:t>
            </w:r>
          </w:p>
        </w:tc>
        <w:tc>
          <w:tcPr>
            <w:tcW w:w="913"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right"/>
              <w:rPr>
                <w:rFonts w:ascii="Times New Roman" w:eastAsia="宋体" w:hAnsiTheme="minorEastAsia" w:cs="宋体" w:hint="eastAsia"/>
                <w:b/>
                <w:kern w:val="0"/>
                <w:szCs w:val="21"/>
              </w:rPr>
            </w:pPr>
            <w:r>
              <w:rPr>
                <w:rFonts w:ascii="Times New Roman" w:eastAsia="宋体" w:hAnsiTheme="minorEastAsia" w:cs="宋体" w:hint="eastAsia"/>
                <w:b/>
                <w:kern w:val="0"/>
                <w:szCs w:val="21"/>
              </w:rPr>
              <w:t>3</w:t>
            </w:r>
          </w:p>
        </w:tc>
        <w:tc>
          <w:tcPr>
            <w:tcW w:w="1310"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right"/>
              <w:rPr>
                <w:rFonts w:ascii="Times New Roman" w:eastAsia="宋体" w:hAnsiTheme="minorEastAsia" w:cs="宋体" w:hint="eastAsia"/>
                <w:b/>
                <w:kern w:val="0"/>
                <w:szCs w:val="21"/>
              </w:rPr>
            </w:pPr>
            <w:r>
              <w:rPr>
                <w:rFonts w:ascii="Times New Roman" w:eastAsia="宋体" w:hAnsiTheme="minorEastAsia" w:cs="宋体" w:hint="eastAsia"/>
                <w:b/>
                <w:kern w:val="0"/>
                <w:szCs w:val="21"/>
              </w:rPr>
              <w:t>4</w:t>
            </w:r>
          </w:p>
        </w:tc>
        <w:tc>
          <w:tcPr>
            <w:tcW w:w="913"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heme="minorEastAsia" w:cs="宋体" w:hint="eastAsia"/>
                <w:b/>
                <w:kern w:val="0"/>
                <w:szCs w:val="21"/>
              </w:rPr>
            </w:pPr>
            <w:r>
              <w:rPr>
                <w:rFonts w:ascii="Times New Roman" w:eastAsia="宋体" w:hAnsiTheme="minorEastAsia" w:cs="宋体" w:hint="eastAsia"/>
                <w:b/>
                <w:kern w:val="0"/>
                <w:szCs w:val="21"/>
              </w:rPr>
              <w:t>5</w:t>
            </w:r>
          </w:p>
        </w:tc>
        <w:tc>
          <w:tcPr>
            <w:tcW w:w="1884"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heme="minorEastAsia" w:cs="宋体" w:hint="eastAsia"/>
                <w:b/>
                <w:kern w:val="0"/>
                <w:szCs w:val="21"/>
              </w:rPr>
            </w:pPr>
            <w:r>
              <w:rPr>
                <w:rFonts w:ascii="Times New Roman" w:eastAsia="宋体" w:hAnsiTheme="minorEastAsia" w:cs="宋体" w:hint="eastAsia"/>
                <w:b/>
                <w:kern w:val="0"/>
                <w:szCs w:val="21"/>
              </w:rPr>
              <w:t>6</w:t>
            </w:r>
          </w:p>
        </w:tc>
        <w:tc>
          <w:tcPr>
            <w:tcW w:w="1884" w:type="dxa"/>
            <w:tcBorders>
              <w:top w:val="nil"/>
              <w:left w:val="nil"/>
              <w:bottom w:val="single" w:sz="4" w:space="0" w:color="auto"/>
              <w:right w:val="single" w:sz="4" w:space="0" w:color="auto"/>
            </w:tcBorders>
            <w:shd w:val="clear" w:color="000000" w:fill="FFFFFF"/>
            <w:noWrap/>
            <w:vAlign w:val="center"/>
          </w:tcPr>
          <w:p w:rsidR="0058525F" w:rsidRDefault="0058525F">
            <w:pPr>
              <w:widowControl/>
              <w:snapToGrid w:val="0"/>
              <w:jc w:val="center"/>
              <w:rPr>
                <w:rFonts w:ascii="Times New Roman" w:eastAsia="宋体" w:hAnsiTheme="minorEastAsia" w:cs="宋体" w:hint="eastAsia"/>
                <w:b/>
                <w:kern w:val="0"/>
                <w:szCs w:val="21"/>
              </w:rPr>
            </w:pPr>
          </w:p>
        </w:tc>
      </w:tr>
      <w:tr w:rsidR="0058525F">
        <w:trPr>
          <w:jc w:val="center"/>
        </w:trPr>
        <w:tc>
          <w:tcPr>
            <w:tcW w:w="500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合计</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b/>
                <w:bCs/>
                <w:color w:val="000000"/>
                <w:kern w:val="0"/>
                <w:szCs w:val="21"/>
                <w:lang w:bidi="ar"/>
              </w:rPr>
              <w:t>1185.81</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b/>
                <w:bCs/>
                <w:color w:val="000000"/>
                <w:kern w:val="0"/>
                <w:szCs w:val="21"/>
                <w:lang w:bidi="ar"/>
              </w:rPr>
              <w:t>901.97</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b/>
                <w:bCs/>
                <w:color w:val="000000"/>
                <w:kern w:val="0"/>
                <w:szCs w:val="21"/>
                <w:lang w:bidi="ar"/>
              </w:rPr>
              <w:t>283.84</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一般公共服务支出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274.78</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trHeight w:val="531"/>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20101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人大事务</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274.78</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2010101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行政运行</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659.50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659.50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2010102</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一般行政管理事务</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269.18</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269.18</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2010199</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其他人大事务支出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5.60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5.60</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205</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教育支出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20508</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进修及培训</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2050803</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培训支出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207</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文化旅游体育与传媒支出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5.05</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20799</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其他文化旅游体育与传媒支出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5.05</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2079999</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其他文化旅游体育与传媒支出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4.95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5.05</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208</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社会保障和就业支出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134.45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134.45</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20805</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行政事业单位养老支出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59.47</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59.47</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2080505</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机关事业单位基本养老保险缴费支出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59.47</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59.47</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lastRenderedPageBreak/>
              <w:t>20808</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抚恤</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74.98</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74.98</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2080801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死亡抚恤</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74.98</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74.98</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heme="minorEastAsia" w:cs="宋体" w:hint="eastAsia"/>
                <w:kern w:val="0"/>
                <w:szCs w:val="21"/>
              </w:rPr>
            </w:pPr>
            <w:r>
              <w:rPr>
                <w:rFonts w:ascii="Times New Roman" w:eastAsia="宋体"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trHeight w:val="375"/>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210</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卫生健康支出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21011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行政事业单位医疗</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2101101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行政单位医疗</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hAnsi="Times New Roman" w:cs="Times New Roman"/>
                <w:kern w:val="0"/>
                <w:szCs w:val="21"/>
              </w:rPr>
              <w:t>23.90</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pPr>
            <w:r>
              <w:rPr>
                <w:rFonts w:asciiTheme="minorEastAsia" w:hAnsiTheme="minorEastAsia" w:cs="宋体" w:hint="eastAsia"/>
                <w:kern w:val="0"/>
                <w:szCs w:val="21"/>
              </w:rPr>
              <w:t xml:space="preserve">　</w:t>
            </w: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212</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城乡社区支出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kern w:val="0"/>
                <w:szCs w:val="21"/>
              </w:rPr>
            </w:pPr>
            <w:r>
              <w:rPr>
                <w:rFonts w:ascii="Times New Roman" w:hAnsi="Times New Roman" w:cs="Times New Roman"/>
                <w:kern w:val="0"/>
                <w:szCs w:val="21"/>
              </w:rPr>
              <w:t>4</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21208</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国有土地使用权出让收入安排的支出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kern w:val="0"/>
                <w:szCs w:val="21"/>
              </w:rPr>
            </w:pPr>
            <w:r>
              <w:rPr>
                <w:rFonts w:ascii="Times New Roman" w:hAnsi="Times New Roman" w:cs="Times New Roman"/>
                <w:kern w:val="0"/>
                <w:szCs w:val="21"/>
              </w:rPr>
              <w:t>4</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2120803</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城市建设支出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kern w:val="0"/>
                <w:szCs w:val="21"/>
              </w:rPr>
            </w:pPr>
            <w:r>
              <w:rPr>
                <w:rFonts w:ascii="Times New Roman" w:hAnsi="Times New Roman" w:cs="Times New Roman"/>
                <w:kern w:val="0"/>
                <w:szCs w:val="21"/>
              </w:rPr>
              <w:t>4</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221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住房保障支出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hAnsi="Times New Roman" w:cs="Times New Roman"/>
                <w:kern w:val="0"/>
                <w:szCs w:val="21"/>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22102</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住房改革支出</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hAnsi="Times New Roman" w:cs="Times New Roman"/>
                <w:kern w:val="0"/>
                <w:szCs w:val="21"/>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70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2210201</w:t>
            </w:r>
          </w:p>
        </w:tc>
        <w:tc>
          <w:tcPr>
            <w:tcW w:w="329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textAlignment w:val="center"/>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住房公积金</w:t>
            </w:r>
          </w:p>
        </w:tc>
        <w:tc>
          <w:tcPr>
            <w:tcW w:w="131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kern w:val="0"/>
                <w:szCs w:val="21"/>
              </w:rPr>
            </w:pPr>
            <w:r>
              <w:rPr>
                <w:rFonts w:ascii="Times New Roman" w:hAnsi="Times New Roman" w:cs="Times New Roman"/>
                <w:kern w:val="0"/>
                <w:szCs w:val="21"/>
              </w:rPr>
              <w:t>42.66</w:t>
            </w: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kern w:val="0"/>
                <w:szCs w:val="21"/>
              </w:rPr>
            </w:pPr>
          </w:p>
        </w:tc>
        <w:tc>
          <w:tcPr>
            <w:tcW w:w="1310"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913"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c>
          <w:tcPr>
            <w:tcW w:w="1884"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heme="minorEastAsia" w:hAnsiTheme="minorEastAsia" w:cs="宋体" w:hint="eastAsia"/>
                <w:kern w:val="0"/>
                <w:szCs w:val="21"/>
              </w:rPr>
            </w:pPr>
          </w:p>
        </w:tc>
      </w:tr>
      <w:tr w:rsidR="0058525F">
        <w:trPr>
          <w:jc w:val="center"/>
        </w:trPr>
        <w:tc>
          <w:tcPr>
            <w:tcW w:w="12244" w:type="dxa"/>
            <w:gridSpan w:val="8"/>
            <w:tcBorders>
              <w:top w:val="nil"/>
              <w:left w:val="nil"/>
              <w:bottom w:val="nil"/>
              <w:right w:val="nil"/>
            </w:tcBorders>
            <w:shd w:val="clear" w:color="auto" w:fill="auto"/>
            <w:vAlign w:val="center"/>
          </w:tcPr>
          <w:p w:rsidR="0058525F" w:rsidRDefault="00000000">
            <w:pPr>
              <w:widowControl/>
              <w:snapToGrid w:val="0"/>
              <w:jc w:val="center"/>
              <w:rPr>
                <w:rFonts w:asciiTheme="minorEastAsia" w:hAnsiTheme="minorEastAsia" w:cs="宋体" w:hint="eastAsia"/>
                <w:kern w:val="0"/>
                <w:szCs w:val="21"/>
              </w:rPr>
            </w:pPr>
            <w:r>
              <w:rPr>
                <w:rFonts w:asciiTheme="minorEastAsia" w:hAnsiTheme="minorEastAsia" w:cs="宋体" w:hint="eastAsia"/>
                <w:kern w:val="0"/>
                <w:sz w:val="24"/>
                <w:szCs w:val="24"/>
              </w:rPr>
              <w:t>注：本表反映部门本年度各项支出情况。</w:t>
            </w:r>
          </w:p>
        </w:tc>
        <w:tc>
          <w:tcPr>
            <w:tcW w:w="1884" w:type="dxa"/>
            <w:tcBorders>
              <w:top w:val="nil"/>
              <w:left w:val="nil"/>
              <w:bottom w:val="nil"/>
              <w:right w:val="nil"/>
            </w:tcBorders>
            <w:shd w:val="clear" w:color="auto" w:fill="auto"/>
            <w:vAlign w:val="center"/>
          </w:tcPr>
          <w:p w:rsidR="0058525F" w:rsidRDefault="0058525F">
            <w:pPr>
              <w:widowControl/>
              <w:snapToGrid w:val="0"/>
              <w:jc w:val="center"/>
              <w:rPr>
                <w:rFonts w:asciiTheme="minorEastAsia" w:hAnsiTheme="minorEastAsia" w:cs="宋体" w:hint="eastAsia"/>
                <w:kern w:val="0"/>
                <w:sz w:val="24"/>
                <w:szCs w:val="24"/>
              </w:rPr>
            </w:pPr>
          </w:p>
        </w:tc>
      </w:tr>
      <w:tr w:rsidR="0058525F">
        <w:trPr>
          <w:jc w:val="center"/>
        </w:trPr>
        <w:tc>
          <w:tcPr>
            <w:tcW w:w="12244" w:type="dxa"/>
            <w:gridSpan w:val="8"/>
            <w:tcBorders>
              <w:top w:val="nil"/>
              <w:left w:val="nil"/>
              <w:bottom w:val="nil"/>
              <w:right w:val="nil"/>
            </w:tcBorders>
            <w:shd w:val="clear" w:color="auto" w:fill="auto"/>
            <w:vAlign w:val="center"/>
          </w:tcPr>
          <w:p w:rsidR="0058525F" w:rsidRDefault="0058525F">
            <w:pPr>
              <w:widowControl/>
              <w:snapToGrid w:val="0"/>
              <w:jc w:val="center"/>
              <w:rPr>
                <w:rFonts w:asciiTheme="minorEastAsia" w:hAnsiTheme="minorEastAsia" w:cs="宋体" w:hint="eastAsia"/>
                <w:kern w:val="0"/>
                <w:sz w:val="24"/>
                <w:szCs w:val="24"/>
              </w:rPr>
            </w:pPr>
          </w:p>
        </w:tc>
        <w:tc>
          <w:tcPr>
            <w:tcW w:w="1884" w:type="dxa"/>
            <w:tcBorders>
              <w:top w:val="nil"/>
              <w:left w:val="nil"/>
              <w:bottom w:val="nil"/>
              <w:right w:val="nil"/>
            </w:tcBorders>
            <w:shd w:val="clear" w:color="auto" w:fill="auto"/>
            <w:vAlign w:val="center"/>
          </w:tcPr>
          <w:p w:rsidR="0058525F" w:rsidRDefault="0058525F">
            <w:pPr>
              <w:widowControl/>
              <w:snapToGrid w:val="0"/>
              <w:jc w:val="center"/>
              <w:rPr>
                <w:rFonts w:asciiTheme="minorEastAsia" w:hAnsiTheme="minorEastAsia" w:cs="宋体" w:hint="eastAsia"/>
                <w:kern w:val="0"/>
                <w:sz w:val="24"/>
                <w:szCs w:val="24"/>
              </w:rPr>
            </w:pPr>
          </w:p>
        </w:tc>
      </w:tr>
    </w:tbl>
    <w:p w:rsidR="0058525F" w:rsidRDefault="0058525F">
      <w:pPr>
        <w:widowControl/>
        <w:spacing w:before="120"/>
        <w:jc w:val="left"/>
        <w:rPr>
          <w:rFonts w:ascii="Times New Roman" w:eastAsia="方正小标宋_GBK" w:hAnsi="Times New Roman" w:cs="Times New Roman"/>
          <w:color w:val="000000"/>
          <w:kern w:val="0"/>
          <w:sz w:val="36"/>
          <w:szCs w:val="21"/>
        </w:rPr>
      </w:pPr>
    </w:p>
    <w:p w:rsidR="0058525F"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58525F">
      <w:pPr>
        <w:widowControl/>
        <w:tabs>
          <w:tab w:val="left" w:pos="3595"/>
          <w:tab w:val="left" w:pos="4031"/>
          <w:tab w:val="left" w:pos="5605"/>
          <w:tab w:val="left" w:pos="9152"/>
          <w:tab w:val="left" w:pos="9587"/>
          <w:tab w:val="left" w:pos="11160"/>
          <w:tab w:val="left" w:pos="12554"/>
          <w:tab w:val="left" w:pos="13948"/>
        </w:tabs>
        <w:jc w:val="right"/>
        <w:rPr>
          <w:rFonts w:ascii="Times New Roman" w:eastAsia="黑体" w:hAnsi="Times New Roman" w:cs="Times New Roman"/>
          <w:kern w:val="0"/>
          <w:sz w:val="24"/>
          <w:szCs w:val="24"/>
        </w:rPr>
      </w:pPr>
    </w:p>
    <w:p w:rsidR="0058525F"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58525F" w:rsidRDefault="0058525F">
      <w:pPr>
        <w:widowControl/>
        <w:spacing w:line="400" w:lineRule="exact"/>
        <w:jc w:val="center"/>
        <w:textAlignment w:val="center"/>
        <w:rPr>
          <w:rFonts w:ascii="Times New Roman" w:eastAsia="黑体" w:hAnsi="Times New Roman" w:cs="Times New Roman"/>
          <w:color w:val="000000"/>
          <w:kern w:val="0"/>
          <w:sz w:val="32"/>
          <w:szCs w:val="32"/>
          <w:lang w:bidi="ar"/>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58525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58525F"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388" w:type="dxa"/>
        <w:jc w:val="center"/>
        <w:tblCellMar>
          <w:top w:w="32" w:type="dxa"/>
          <w:left w:w="64" w:type="dxa"/>
          <w:bottom w:w="32" w:type="dxa"/>
          <w:right w:w="64" w:type="dxa"/>
        </w:tblCellMar>
        <w:tblLook w:val="04A0" w:firstRow="1" w:lastRow="0" w:firstColumn="1" w:lastColumn="0" w:noHBand="0" w:noVBand="1"/>
      </w:tblPr>
      <w:tblGrid>
        <w:gridCol w:w="3090"/>
        <w:gridCol w:w="550"/>
        <w:gridCol w:w="821"/>
        <w:gridCol w:w="3302"/>
        <w:gridCol w:w="550"/>
        <w:gridCol w:w="866"/>
        <w:gridCol w:w="2348"/>
        <w:gridCol w:w="1565"/>
        <w:gridCol w:w="1296"/>
      </w:tblGrid>
      <w:tr w:rsidR="0058525F">
        <w:trPr>
          <w:tblHeader/>
          <w:jc w:val="center"/>
        </w:trPr>
        <w:tc>
          <w:tcPr>
            <w:tcW w:w="82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收入</w:t>
            </w:r>
          </w:p>
        </w:tc>
        <w:tc>
          <w:tcPr>
            <w:tcW w:w="1296" w:type="dxa"/>
            <w:gridSpan w:val="6"/>
            <w:tcBorders>
              <w:top w:val="single" w:sz="4" w:space="0" w:color="auto"/>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支出</w:t>
            </w:r>
          </w:p>
        </w:tc>
      </w:tr>
      <w:tr w:rsidR="0058525F">
        <w:trPr>
          <w:tblHeade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项目</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行次</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金额</w:t>
            </w: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项目</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行次</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合计</w:t>
            </w:r>
          </w:p>
        </w:tc>
        <w:tc>
          <w:tcPr>
            <w:tcW w:w="2348" w:type="dxa"/>
            <w:tcBorders>
              <w:top w:val="nil"/>
              <w:left w:val="nil"/>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一般公共预算财政拨款</w:t>
            </w:r>
          </w:p>
        </w:tc>
        <w:tc>
          <w:tcPr>
            <w:tcW w:w="1565" w:type="dxa"/>
            <w:tcBorders>
              <w:top w:val="nil"/>
              <w:left w:val="nil"/>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政府性基金预算财政拨款</w:t>
            </w:r>
          </w:p>
        </w:tc>
        <w:tc>
          <w:tcPr>
            <w:tcW w:w="1296" w:type="dxa"/>
            <w:tcBorders>
              <w:top w:val="nil"/>
              <w:left w:val="nil"/>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国有资本经营预算财政拨款</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栏</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次</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栏</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次</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一、一般公共预算财政拨款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1181.81</w:t>
            </w: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一、一般公共服务支出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33</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963.69</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4.00</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二、政府性基金预算财政拨款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4.00</w:t>
            </w: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二、外交支出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34</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三、国有资本经营预算财政拨款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三、国防支出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35</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四、公共安全支出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36</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五、教育支出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37</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12.05</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六、科学技术支出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38</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7</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七、文化旅游体育与传媒支出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39</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5.05</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5.05</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八、社会保障和就业支出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40</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134.45</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kern w:val="0"/>
                <w:szCs w:val="21"/>
              </w:rPr>
              <w:t>134.45</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九、卫生健康支出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41</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23.90</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kern w:val="0"/>
                <w:szCs w:val="21"/>
              </w:rPr>
            </w:pPr>
            <w:r>
              <w:rPr>
                <w:rFonts w:ascii="Times New Roman" w:eastAsia="宋体" w:hAnsi="Times New Roman" w:cs="Times New Roman"/>
                <w:color w:val="000000"/>
                <w:kern w:val="0"/>
                <w:szCs w:val="21"/>
                <w:lang w:bidi="ar"/>
              </w:rPr>
              <w:t>23.90</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十、节能环保支出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42</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十一、城乡社区支出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43</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4.00</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4.00</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十二、农林水支出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44</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13</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十三、交通运输支出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45</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14</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十四、资源勘探工业信息等支出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46</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十五、商业服务业等支出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47</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16</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十六、金融支出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48</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17</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十七、援助其他地区支出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49</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18</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十八、自然资源海洋气象等支出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19</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十九、住房保障支出</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42.66</w:t>
            </w:r>
          </w:p>
        </w:tc>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snapToGrid w:val="0"/>
              <w:jc w:val="right"/>
              <w:rPr>
                <w:rFonts w:ascii="Times New Roman" w:eastAsia="宋体" w:hAnsi="Times New Roman" w:cs="Times New Roman"/>
                <w:kern w:val="0"/>
                <w:szCs w:val="21"/>
              </w:rPr>
            </w:pPr>
            <w:r>
              <w:rPr>
                <w:rFonts w:ascii="Times New Roman" w:eastAsia="宋体" w:hAnsi="Times New Roman" w:cs="Times New Roman"/>
                <w:kern w:val="0"/>
                <w:szCs w:val="21"/>
              </w:rPr>
              <w:t>42.66</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二十、粮油物资储备支出</w:t>
            </w:r>
          </w:p>
        </w:tc>
        <w:tc>
          <w:tcPr>
            <w:tcW w:w="550"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52</w:t>
            </w:r>
          </w:p>
        </w:tc>
        <w:tc>
          <w:tcPr>
            <w:tcW w:w="866"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21</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二十一、国有资本经营预算支出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53</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22</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二十二、灾害防治及应急管理支出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54</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23</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二十三、其他支出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55</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24</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二十四、债务还本支出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56</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二十五、债务付息支出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57</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58525F">
            <w:pPr>
              <w:widowControl/>
              <w:snapToGrid w:val="0"/>
              <w:jc w:val="left"/>
              <w:rPr>
                <w:rFonts w:ascii="Times New Roman" w:eastAsia="宋体" w:hAnsi="Times New Roman" w:cs="Times New Roman"/>
                <w:kern w:val="0"/>
                <w:szCs w:val="21"/>
              </w:rPr>
            </w:pP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26</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二十六、抗</w:t>
            </w:r>
            <w:proofErr w:type="gramStart"/>
            <w:r>
              <w:rPr>
                <w:rFonts w:ascii="Times New Roman" w:eastAsia="宋体" w:hAnsi="Times New Roman" w:cs="Times New Roman"/>
                <w:kern w:val="0"/>
                <w:szCs w:val="21"/>
              </w:rPr>
              <w:t>疫</w:t>
            </w:r>
            <w:proofErr w:type="gramEnd"/>
            <w:r>
              <w:rPr>
                <w:rFonts w:ascii="Times New Roman" w:eastAsia="宋体" w:hAnsi="Times New Roman" w:cs="Times New Roman"/>
                <w:kern w:val="0"/>
                <w:szCs w:val="21"/>
              </w:rPr>
              <w:t>特别国债安排的支出</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58</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c>
          <w:tcPr>
            <w:tcW w:w="129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eastAsia="宋体" w:hAnsi="Times New Roman" w:cs="Times New Roman"/>
                <w:kern w:val="0"/>
                <w:szCs w:val="21"/>
              </w:rPr>
            </w:pP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t>本年收入合计</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27</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b/>
                <w:kern w:val="0"/>
                <w:szCs w:val="21"/>
              </w:rPr>
            </w:pPr>
            <w:r>
              <w:rPr>
                <w:rFonts w:ascii="Times New Roman" w:eastAsia="宋体" w:hAnsi="Times New Roman" w:cs="Times New Roman"/>
                <w:b/>
                <w:kern w:val="0"/>
                <w:szCs w:val="21"/>
              </w:rPr>
              <w:t>1185.81</w:t>
            </w: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本年支出合计</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59</w:t>
            </w:r>
          </w:p>
        </w:tc>
        <w:tc>
          <w:tcPr>
            <w:tcW w:w="86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b/>
                <w:kern w:val="0"/>
                <w:szCs w:val="21"/>
              </w:rPr>
            </w:pPr>
            <w:r>
              <w:rPr>
                <w:rFonts w:ascii="Times New Roman" w:eastAsia="宋体" w:hAnsi="Times New Roman" w:cs="Times New Roman"/>
                <w:b/>
                <w:color w:val="000000"/>
                <w:kern w:val="0"/>
                <w:szCs w:val="21"/>
                <w:lang w:bidi="ar"/>
              </w:rPr>
              <w:t>1185.81</w:t>
            </w:r>
          </w:p>
        </w:tc>
        <w:tc>
          <w:tcPr>
            <w:tcW w:w="234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textAlignment w:val="center"/>
              <w:rPr>
                <w:rFonts w:ascii="Times New Roman" w:eastAsia="宋体" w:hAnsi="Times New Roman" w:cs="Times New Roman"/>
                <w:b/>
                <w:kern w:val="0"/>
                <w:szCs w:val="21"/>
              </w:rPr>
            </w:pPr>
            <w:r>
              <w:rPr>
                <w:rFonts w:ascii="Times New Roman" w:eastAsia="宋体" w:hAnsi="Times New Roman" w:cs="Times New Roman"/>
                <w:b/>
                <w:color w:val="000000"/>
                <w:kern w:val="0"/>
                <w:szCs w:val="21"/>
                <w:lang w:bidi="ar"/>
              </w:rPr>
              <w:t>1181.81</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4.00</w:t>
            </w:r>
            <w:r>
              <w:rPr>
                <w:rFonts w:ascii="Times New Roman" w:eastAsia="宋体" w:hAnsi="Times New Roman" w:cs="Times New Roman"/>
                <w:b/>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年初财政拨款结转和结余</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28</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年末财政拨款结转和结余</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一般公共预算财政拨款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29</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61</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政府性基金预算财政拨款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62</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eastAsia="宋体" w:hAnsi="Times New Roman" w:cs="Times New Roman"/>
                <w:kern w:val="0"/>
                <w:szCs w:val="21"/>
              </w:rPr>
            </w:pPr>
            <w:r>
              <w:rPr>
                <w:rFonts w:ascii="Times New Roman" w:eastAsia="宋体" w:hAnsi="Times New Roman" w:cs="Times New Roman"/>
                <w:kern w:val="0"/>
                <w:szCs w:val="21"/>
              </w:rPr>
              <w:t>国有资本经营预算财政拨款</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31</w:t>
            </w:r>
          </w:p>
        </w:tc>
        <w:tc>
          <w:tcPr>
            <w:tcW w:w="821"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right"/>
              <w:rPr>
                <w:rFonts w:ascii="Times New Roman" w:eastAsia="宋体" w:hAnsi="Times New Roman" w:cs="Times New Roman"/>
                <w:kern w:val="0"/>
                <w:szCs w:val="21"/>
              </w:rPr>
            </w:pPr>
          </w:p>
        </w:tc>
        <w:tc>
          <w:tcPr>
            <w:tcW w:w="3302"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550"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63</w:t>
            </w:r>
          </w:p>
        </w:tc>
        <w:tc>
          <w:tcPr>
            <w:tcW w:w="866"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2348"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right"/>
              <w:rPr>
                <w:rFonts w:ascii="Times New Roman" w:eastAsia="宋体" w:hAnsi="Times New Roman" w:cs="Times New Roman"/>
                <w:kern w:val="0"/>
                <w:szCs w:val="21"/>
              </w:rPr>
            </w:pP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58525F">
        <w:trPr>
          <w:jc w:val="center"/>
        </w:trPr>
        <w:tc>
          <w:tcPr>
            <w:tcW w:w="3090" w:type="dxa"/>
            <w:tcBorders>
              <w:top w:val="nil"/>
              <w:left w:val="single" w:sz="4" w:space="0" w:color="auto"/>
              <w:bottom w:val="single" w:sz="4" w:space="0" w:color="auto"/>
              <w:right w:val="single" w:sz="4" w:space="0" w:color="auto"/>
            </w:tcBorders>
            <w:shd w:val="clear" w:color="000000" w:fill="FFFFFF"/>
            <w:noWrap/>
            <w:vAlign w:val="center"/>
          </w:tcPr>
          <w:p w:rsidR="0058525F" w:rsidRDefault="00000000">
            <w:pPr>
              <w:widowControl/>
              <w:snapToGrid w:val="0"/>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t>总计</w:t>
            </w:r>
          </w:p>
        </w:tc>
        <w:tc>
          <w:tcPr>
            <w:tcW w:w="550"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32</w:t>
            </w:r>
          </w:p>
        </w:tc>
        <w:tc>
          <w:tcPr>
            <w:tcW w:w="82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right"/>
              <w:rPr>
                <w:rFonts w:ascii="Times New Roman" w:eastAsia="宋体" w:hAnsi="Times New Roman" w:cs="Times New Roman"/>
                <w:b/>
                <w:kern w:val="0"/>
                <w:szCs w:val="21"/>
              </w:rPr>
            </w:pPr>
            <w:r>
              <w:rPr>
                <w:rFonts w:ascii="Times New Roman" w:eastAsia="宋体" w:hAnsi="Times New Roman" w:cs="Times New Roman"/>
                <w:b/>
                <w:kern w:val="0"/>
                <w:szCs w:val="21"/>
              </w:rPr>
              <w:t>1185.81</w:t>
            </w:r>
          </w:p>
        </w:tc>
        <w:tc>
          <w:tcPr>
            <w:tcW w:w="3302"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总计</w:t>
            </w:r>
          </w:p>
        </w:tc>
        <w:tc>
          <w:tcPr>
            <w:tcW w:w="550"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center"/>
              <w:rPr>
                <w:rFonts w:ascii="Times New Roman" w:eastAsia="宋体" w:hAnsi="Times New Roman" w:cs="Times New Roman"/>
                <w:b/>
                <w:kern w:val="0"/>
                <w:szCs w:val="21"/>
              </w:rPr>
            </w:pPr>
            <w:r>
              <w:rPr>
                <w:rFonts w:ascii="Times New Roman" w:eastAsia="宋体" w:hAnsi="Times New Roman" w:cs="Times New Roman"/>
                <w:b/>
                <w:kern w:val="0"/>
                <w:szCs w:val="21"/>
              </w:rPr>
              <w:t>64</w:t>
            </w:r>
          </w:p>
        </w:tc>
        <w:tc>
          <w:tcPr>
            <w:tcW w:w="866"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right"/>
              <w:textAlignment w:val="center"/>
              <w:rPr>
                <w:rFonts w:ascii="Times New Roman" w:eastAsia="宋体" w:hAnsi="Times New Roman" w:cs="Times New Roman"/>
                <w:b/>
                <w:kern w:val="0"/>
                <w:szCs w:val="21"/>
              </w:rPr>
            </w:pPr>
            <w:r>
              <w:rPr>
                <w:rFonts w:ascii="Times New Roman" w:eastAsia="宋体" w:hAnsi="Times New Roman" w:cs="Times New Roman"/>
                <w:b/>
                <w:color w:val="000000"/>
                <w:kern w:val="0"/>
                <w:szCs w:val="21"/>
                <w:lang w:bidi="ar"/>
              </w:rPr>
              <w:t>1185.81</w:t>
            </w:r>
          </w:p>
        </w:tc>
        <w:tc>
          <w:tcPr>
            <w:tcW w:w="2348" w:type="dxa"/>
            <w:tcBorders>
              <w:top w:val="nil"/>
              <w:left w:val="nil"/>
              <w:bottom w:val="single" w:sz="4" w:space="0" w:color="auto"/>
              <w:right w:val="single" w:sz="4" w:space="0" w:color="auto"/>
            </w:tcBorders>
            <w:shd w:val="clear" w:color="000000" w:fill="FFFFFF"/>
            <w:noWrap/>
            <w:vAlign w:val="center"/>
          </w:tcPr>
          <w:p w:rsidR="0058525F" w:rsidRDefault="00000000">
            <w:pPr>
              <w:widowControl/>
              <w:snapToGrid w:val="0"/>
              <w:jc w:val="right"/>
              <w:textAlignment w:val="center"/>
              <w:rPr>
                <w:rFonts w:ascii="Times New Roman" w:eastAsia="宋体" w:hAnsi="Times New Roman" w:cs="Times New Roman"/>
                <w:b/>
                <w:kern w:val="0"/>
                <w:szCs w:val="21"/>
              </w:rPr>
            </w:pPr>
            <w:r>
              <w:rPr>
                <w:rFonts w:ascii="Times New Roman" w:eastAsia="宋体" w:hAnsi="Times New Roman" w:cs="Times New Roman"/>
                <w:b/>
                <w:color w:val="000000"/>
                <w:kern w:val="0"/>
                <w:szCs w:val="21"/>
                <w:lang w:bidi="ar"/>
              </w:rPr>
              <w:t>1181.81</w:t>
            </w:r>
          </w:p>
        </w:tc>
        <w:tc>
          <w:tcPr>
            <w:tcW w:w="1565"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r>
              <w:rPr>
                <w:rFonts w:ascii="Times New Roman" w:eastAsia="宋体" w:hAnsi="Times New Roman" w:cs="Times New Roman"/>
                <w:b/>
                <w:bCs/>
                <w:kern w:val="0"/>
                <w:szCs w:val="21"/>
              </w:rPr>
              <w:t>4.00</w:t>
            </w:r>
          </w:p>
        </w:tc>
        <w:tc>
          <w:tcPr>
            <w:tcW w:w="129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58525F">
        <w:trPr>
          <w:jc w:val="center"/>
        </w:trPr>
        <w:tc>
          <w:tcPr>
            <w:tcW w:w="1296" w:type="dxa"/>
            <w:gridSpan w:val="9"/>
            <w:tcBorders>
              <w:top w:val="nil"/>
              <w:left w:val="nil"/>
              <w:bottom w:val="nil"/>
              <w:right w:val="nil"/>
            </w:tcBorders>
            <w:shd w:val="clear" w:color="auto" w:fill="auto"/>
            <w:vAlign w:val="center"/>
          </w:tcPr>
          <w:p w:rsidR="0058525F" w:rsidRDefault="00000000">
            <w:pPr>
              <w:widowControl/>
              <w:snapToGrid w:val="0"/>
              <w:jc w:val="center"/>
              <w:rPr>
                <w:rFonts w:ascii="Times New Roman" w:hAnsi="Times New Roman" w:cs="Times New Roman"/>
                <w:kern w:val="0"/>
                <w:sz w:val="24"/>
                <w:szCs w:val="24"/>
              </w:rPr>
            </w:pPr>
            <w:r>
              <w:rPr>
                <w:rFonts w:ascii="Times New Roman" w:hAnsi="Times New Roman" w:cs="Times New Roman"/>
                <w:kern w:val="0"/>
                <w:szCs w:val="21"/>
              </w:rPr>
              <w:t>注：本表反映部门本年度一般公共预算财政拨款、政府性基金预算财政拨款和国有资本经营预算财政拨款的总收支和年末结转结余情况。</w:t>
            </w:r>
          </w:p>
        </w:tc>
      </w:tr>
    </w:tbl>
    <w:p w:rsidR="0058525F" w:rsidRDefault="00000000">
      <w:pPr>
        <w:widowControl/>
        <w:jc w:val="left"/>
        <w:rPr>
          <w:rFonts w:ascii="Times New Roman" w:eastAsia="仿宋_GB2312" w:hAnsi="Times New Roman" w:cs="Times New Roman"/>
          <w:kern w:val="0"/>
          <w:sz w:val="24"/>
          <w:szCs w:val="24"/>
        </w:rPr>
      </w:pPr>
      <w:r>
        <w:rPr>
          <w:rFonts w:asciiTheme="minorEastAsia" w:hAnsiTheme="minorEastAsia" w:cs="Times New Roman"/>
          <w:kern w:val="0"/>
          <w:sz w:val="36"/>
          <w:szCs w:val="36"/>
        </w:rPr>
        <w:br w:type="page"/>
      </w:r>
    </w:p>
    <w:p w:rsidR="0058525F" w:rsidRDefault="0058525F">
      <w:pPr>
        <w:widowControl/>
        <w:jc w:val="center"/>
        <w:rPr>
          <w:rFonts w:ascii="Times New Roman" w:eastAsia="方正小标宋_GBK" w:hAnsi="Times New Roman" w:cs="Times New Roman"/>
          <w:kern w:val="0"/>
          <w:sz w:val="36"/>
          <w:szCs w:val="36"/>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58525F"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58525F"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4937" w:type="pct"/>
        <w:jc w:val="center"/>
        <w:tblLook w:val="04A0" w:firstRow="1" w:lastRow="0" w:firstColumn="1" w:lastColumn="0" w:noHBand="0" w:noVBand="1"/>
      </w:tblPr>
      <w:tblGrid>
        <w:gridCol w:w="968"/>
        <w:gridCol w:w="4075"/>
        <w:gridCol w:w="2963"/>
        <w:gridCol w:w="2974"/>
        <w:gridCol w:w="3061"/>
      </w:tblGrid>
      <w:tr w:rsidR="0058525F">
        <w:trPr>
          <w:trHeight w:val="405"/>
          <w:jc w:val="center"/>
        </w:trPr>
        <w:tc>
          <w:tcPr>
            <w:tcW w:w="17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项</w:t>
            </w:r>
            <w:r>
              <w:rPr>
                <w:rFonts w:ascii="Times New Roman" w:hAnsi="Times New Roman" w:cs="Times New Roman"/>
                <w:bCs/>
                <w:kern w:val="0"/>
                <w:szCs w:val="21"/>
              </w:rPr>
              <w:t xml:space="preserve">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2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rsidR="0058525F">
        <w:trPr>
          <w:trHeight w:val="360"/>
          <w:jc w:val="center"/>
        </w:trPr>
        <w:tc>
          <w:tcPr>
            <w:tcW w:w="345" w:type="pct"/>
            <w:vMerge w:val="restart"/>
            <w:tcBorders>
              <w:top w:val="single" w:sz="4" w:space="0" w:color="auto"/>
              <w:left w:val="single" w:sz="8" w:space="0" w:color="auto"/>
              <w:right w:val="single" w:sz="4" w:space="0" w:color="auto"/>
            </w:tcBorders>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58525F"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小计</w:t>
            </w:r>
          </w:p>
        </w:tc>
        <w:tc>
          <w:tcPr>
            <w:tcW w:w="1059" w:type="pct"/>
            <w:vMerge w:val="restart"/>
            <w:tcBorders>
              <w:top w:val="single" w:sz="4" w:space="0" w:color="auto"/>
              <w:left w:val="single" w:sz="4" w:space="0" w:color="auto"/>
              <w:right w:val="single" w:sz="4" w:space="0" w:color="auto"/>
            </w:tcBorders>
            <w:vAlign w:val="center"/>
          </w:tcPr>
          <w:p w:rsidR="0058525F"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基本支出</w:t>
            </w:r>
          </w:p>
        </w:tc>
        <w:tc>
          <w:tcPr>
            <w:tcW w:w="1088" w:type="pct"/>
            <w:vMerge w:val="restart"/>
            <w:tcBorders>
              <w:top w:val="single" w:sz="4" w:space="0" w:color="auto"/>
              <w:left w:val="single" w:sz="4" w:space="0" w:color="auto"/>
              <w:right w:val="single" w:sz="8" w:space="0" w:color="auto"/>
            </w:tcBorders>
            <w:vAlign w:val="center"/>
          </w:tcPr>
          <w:p w:rsidR="0058525F" w:rsidRDefault="00000000">
            <w:pPr>
              <w:widowControl/>
              <w:jc w:val="center"/>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项目支出</w:t>
            </w:r>
          </w:p>
        </w:tc>
      </w:tr>
      <w:tr w:rsidR="0058525F">
        <w:trPr>
          <w:trHeight w:val="450"/>
          <w:jc w:val="center"/>
        </w:trPr>
        <w:tc>
          <w:tcPr>
            <w:tcW w:w="345" w:type="pct"/>
            <w:vMerge/>
            <w:tcBorders>
              <w:top w:val="single" w:sz="4" w:space="0" w:color="auto"/>
              <w:left w:val="single" w:sz="8" w:space="0" w:color="auto"/>
              <w:bottom w:val="single" w:sz="4" w:space="0" w:color="auto"/>
              <w:right w:val="single" w:sz="4" w:space="0" w:color="auto"/>
            </w:tcBorders>
            <w:vAlign w:val="center"/>
          </w:tcPr>
          <w:p w:rsidR="0058525F" w:rsidRDefault="0058525F">
            <w:pPr>
              <w:widowControl/>
              <w:jc w:val="left"/>
              <w:rPr>
                <w:rFonts w:ascii="Times New Roman" w:hAnsi="Times New Roman" w:cs="Times New Roman"/>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jc w:val="left"/>
              <w:rPr>
                <w:rFonts w:ascii="Times New Roman" w:hAnsi="Times New Roman" w:cs="Times New Roman"/>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jc w:val="left"/>
              <w:rPr>
                <w:rFonts w:ascii="Times New Roman" w:hAnsi="Times New Roman" w:cs="Times New Roman"/>
                <w:kern w:val="0"/>
                <w:szCs w:val="21"/>
              </w:rPr>
            </w:pPr>
          </w:p>
        </w:tc>
        <w:tc>
          <w:tcPr>
            <w:tcW w:w="1059" w:type="pct"/>
            <w:vMerge/>
            <w:tcBorders>
              <w:top w:val="single" w:sz="4" w:space="0" w:color="auto"/>
              <w:left w:val="single" w:sz="4" w:space="0" w:color="auto"/>
              <w:bottom w:val="single" w:sz="4" w:space="0" w:color="auto"/>
              <w:right w:val="single" w:sz="4" w:space="0" w:color="auto"/>
            </w:tcBorders>
            <w:vAlign w:val="center"/>
          </w:tcPr>
          <w:p w:rsidR="0058525F" w:rsidRDefault="0058525F">
            <w:pPr>
              <w:widowControl/>
              <w:jc w:val="left"/>
              <w:rPr>
                <w:rFonts w:ascii="Times New Roman" w:hAnsi="Times New Roman" w:cs="Times New Roman"/>
                <w:kern w:val="0"/>
                <w:szCs w:val="21"/>
              </w:rPr>
            </w:pPr>
          </w:p>
        </w:tc>
        <w:tc>
          <w:tcPr>
            <w:tcW w:w="1088" w:type="pct"/>
            <w:vMerge/>
            <w:tcBorders>
              <w:top w:val="single" w:sz="4" w:space="0" w:color="auto"/>
              <w:left w:val="single" w:sz="4" w:space="0" w:color="auto"/>
              <w:bottom w:val="single" w:sz="4" w:space="0" w:color="auto"/>
              <w:right w:val="single" w:sz="8" w:space="0" w:color="auto"/>
            </w:tcBorders>
            <w:vAlign w:val="center"/>
          </w:tcPr>
          <w:p w:rsidR="0058525F" w:rsidRDefault="0058525F">
            <w:pPr>
              <w:widowControl/>
              <w:jc w:val="left"/>
              <w:rPr>
                <w:rFonts w:ascii="Times New Roman" w:hAnsi="Times New Roman" w:cs="Times New Roman"/>
                <w:kern w:val="0"/>
                <w:szCs w:val="21"/>
              </w:rPr>
            </w:pPr>
          </w:p>
        </w:tc>
      </w:tr>
      <w:tr w:rsidR="0058525F">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55" w:type="pct"/>
            <w:tcBorders>
              <w:top w:val="single" w:sz="4" w:space="0" w:color="auto"/>
              <w:left w:val="nil"/>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59" w:type="pct"/>
            <w:tcBorders>
              <w:top w:val="single" w:sz="4" w:space="0" w:color="auto"/>
              <w:left w:val="nil"/>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88" w:type="pct"/>
            <w:tcBorders>
              <w:top w:val="single" w:sz="4" w:space="0" w:color="auto"/>
              <w:left w:val="nil"/>
              <w:bottom w:val="single" w:sz="4" w:space="0" w:color="auto"/>
              <w:right w:val="single" w:sz="8" w:space="0" w:color="auto"/>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58525F">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b/>
                <w:bCs/>
                <w:color w:val="000000"/>
                <w:kern w:val="0"/>
                <w:szCs w:val="21"/>
                <w:lang w:bidi="ar"/>
              </w:rPr>
              <w:t>1181.81</w:t>
            </w:r>
          </w:p>
        </w:tc>
        <w:tc>
          <w:tcPr>
            <w:tcW w:w="3265"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b/>
                <w:bCs/>
                <w:color w:val="000000"/>
                <w:kern w:val="0"/>
                <w:szCs w:val="21"/>
                <w:lang w:bidi="ar"/>
              </w:rPr>
              <w:t>901.97</w:t>
            </w:r>
          </w:p>
        </w:tc>
        <w:tc>
          <w:tcPr>
            <w:tcW w:w="3361" w:type="dxa"/>
            <w:tcBorders>
              <w:top w:val="nil"/>
              <w:left w:val="nil"/>
              <w:bottom w:val="single" w:sz="4" w:space="0" w:color="auto"/>
              <w:right w:val="single" w:sz="8"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b/>
                <w:bCs/>
                <w:color w:val="000000"/>
                <w:kern w:val="0"/>
                <w:szCs w:val="21"/>
                <w:lang w:bidi="ar"/>
              </w:rPr>
              <w:t>279.84</w:t>
            </w: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201</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一般公共服务支出</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963.69</w:t>
            </w:r>
          </w:p>
        </w:tc>
        <w:tc>
          <w:tcPr>
            <w:tcW w:w="3265"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688.91</w:t>
            </w:r>
          </w:p>
        </w:tc>
        <w:tc>
          <w:tcPr>
            <w:tcW w:w="3361" w:type="dxa"/>
            <w:tcBorders>
              <w:top w:val="nil"/>
              <w:left w:val="nil"/>
              <w:bottom w:val="single" w:sz="4" w:space="0" w:color="auto"/>
              <w:right w:val="single" w:sz="8"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274.48</w:t>
            </w: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20101</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人大事务</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963.69</w:t>
            </w:r>
          </w:p>
        </w:tc>
        <w:tc>
          <w:tcPr>
            <w:tcW w:w="3265"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688.91</w:t>
            </w:r>
          </w:p>
        </w:tc>
        <w:tc>
          <w:tcPr>
            <w:tcW w:w="3361" w:type="dxa"/>
            <w:tcBorders>
              <w:top w:val="nil"/>
              <w:left w:val="nil"/>
              <w:bottom w:val="single" w:sz="4" w:space="0" w:color="auto"/>
              <w:right w:val="single" w:sz="8"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274.48</w:t>
            </w: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2010101</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行政运行</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699.91</w:t>
            </w:r>
          </w:p>
        </w:tc>
        <w:tc>
          <w:tcPr>
            <w:tcW w:w="3265"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688.91</w:t>
            </w:r>
          </w:p>
        </w:tc>
        <w:tc>
          <w:tcPr>
            <w:tcW w:w="3361" w:type="dxa"/>
            <w:tcBorders>
              <w:top w:val="nil"/>
              <w:left w:val="nil"/>
              <w:bottom w:val="single" w:sz="4"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2010102</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一般行政管理事务</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269.18</w:t>
            </w:r>
          </w:p>
        </w:tc>
        <w:tc>
          <w:tcPr>
            <w:tcW w:w="3265" w:type="dxa"/>
            <w:tcBorders>
              <w:top w:val="nil"/>
              <w:left w:val="nil"/>
              <w:bottom w:val="single" w:sz="4" w:space="0" w:color="auto"/>
              <w:right w:val="single" w:sz="4" w:space="0" w:color="auto"/>
            </w:tcBorders>
            <w:shd w:val="clear" w:color="auto" w:fill="auto"/>
            <w:vAlign w:val="center"/>
          </w:tcPr>
          <w:p w:rsidR="0058525F" w:rsidRDefault="0058525F">
            <w:pPr>
              <w:jc w:val="center"/>
              <w:rPr>
                <w:rFonts w:ascii="Times New Roman" w:hAnsi="Times New Roman" w:cs="Times New Roman"/>
                <w:kern w:val="0"/>
                <w:szCs w:val="21"/>
              </w:rPr>
            </w:pPr>
          </w:p>
        </w:tc>
        <w:tc>
          <w:tcPr>
            <w:tcW w:w="3361" w:type="dxa"/>
            <w:tcBorders>
              <w:top w:val="nil"/>
              <w:left w:val="nil"/>
              <w:bottom w:val="single" w:sz="4" w:space="0" w:color="auto"/>
              <w:right w:val="single" w:sz="8"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269.18</w:t>
            </w: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2010199</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其他人大事务支出</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5.60</w:t>
            </w:r>
          </w:p>
        </w:tc>
        <w:tc>
          <w:tcPr>
            <w:tcW w:w="3265" w:type="dxa"/>
            <w:tcBorders>
              <w:top w:val="nil"/>
              <w:left w:val="nil"/>
              <w:bottom w:val="single" w:sz="4" w:space="0" w:color="auto"/>
              <w:right w:val="single" w:sz="4" w:space="0" w:color="auto"/>
            </w:tcBorders>
            <w:shd w:val="clear" w:color="auto" w:fill="auto"/>
            <w:vAlign w:val="center"/>
          </w:tcPr>
          <w:p w:rsidR="0058525F" w:rsidRDefault="0058525F">
            <w:pPr>
              <w:jc w:val="center"/>
              <w:rPr>
                <w:rFonts w:ascii="Times New Roman" w:hAnsi="Times New Roman" w:cs="Times New Roman"/>
                <w:kern w:val="0"/>
                <w:szCs w:val="21"/>
              </w:rPr>
            </w:pPr>
          </w:p>
        </w:tc>
        <w:tc>
          <w:tcPr>
            <w:tcW w:w="3361" w:type="dxa"/>
            <w:tcBorders>
              <w:top w:val="nil"/>
              <w:left w:val="nil"/>
              <w:bottom w:val="single" w:sz="4" w:space="0" w:color="auto"/>
              <w:right w:val="single" w:sz="8"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5.60</w:t>
            </w:r>
          </w:p>
        </w:tc>
      </w:tr>
      <w:tr w:rsidR="0058525F">
        <w:trPr>
          <w:trHeight w:val="450"/>
          <w:jc w:val="center"/>
        </w:trPr>
        <w:tc>
          <w:tcPr>
            <w:tcW w:w="1064" w:type="dxa"/>
            <w:tcBorders>
              <w:top w:val="single" w:sz="4" w:space="0" w:color="auto"/>
              <w:left w:val="single" w:sz="8" w:space="0" w:color="auto"/>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205</w:t>
            </w:r>
          </w:p>
        </w:tc>
        <w:tc>
          <w:tcPr>
            <w:tcW w:w="4474" w:type="dxa"/>
            <w:tcBorders>
              <w:top w:val="nil"/>
              <w:left w:val="nil"/>
              <w:bottom w:val="single" w:sz="4"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教育支出</w:t>
            </w:r>
          </w:p>
        </w:tc>
        <w:tc>
          <w:tcPr>
            <w:tcW w:w="3253"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265" w:type="dxa"/>
            <w:tcBorders>
              <w:top w:val="nil"/>
              <w:left w:val="nil"/>
              <w:bottom w:val="single" w:sz="4"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361" w:type="dxa"/>
            <w:tcBorders>
              <w:top w:val="nil"/>
              <w:left w:val="nil"/>
              <w:bottom w:val="single" w:sz="4"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20508</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进修及培训</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2050803</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培训支出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12.05</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207</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文化旅游体育与传媒支出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5.05</w:t>
            </w:r>
          </w:p>
        </w:tc>
        <w:tc>
          <w:tcPr>
            <w:tcW w:w="3265" w:type="dxa"/>
            <w:tcBorders>
              <w:top w:val="nil"/>
              <w:left w:val="nil"/>
              <w:bottom w:val="single" w:sz="8" w:space="0" w:color="auto"/>
              <w:right w:val="single" w:sz="4" w:space="0" w:color="auto"/>
            </w:tcBorders>
            <w:shd w:val="clear" w:color="auto" w:fill="auto"/>
            <w:vAlign w:val="center"/>
          </w:tcPr>
          <w:p w:rsidR="0058525F" w:rsidRDefault="0058525F">
            <w:pPr>
              <w:widowControl/>
              <w:jc w:val="center"/>
              <w:textAlignment w:val="center"/>
              <w:rPr>
                <w:rFonts w:ascii="Times New Roman" w:hAnsi="Times New Roman" w:cs="Times New Roman"/>
                <w:kern w:val="0"/>
                <w:szCs w:val="21"/>
              </w:rPr>
            </w:pPr>
          </w:p>
        </w:tc>
        <w:tc>
          <w:tcPr>
            <w:tcW w:w="3361" w:type="dxa"/>
            <w:tcBorders>
              <w:top w:val="nil"/>
              <w:left w:val="nil"/>
              <w:bottom w:val="single" w:sz="8" w:space="0" w:color="auto"/>
              <w:right w:val="single" w:sz="8" w:space="0" w:color="auto"/>
            </w:tcBorders>
            <w:shd w:val="clear" w:color="auto" w:fill="auto"/>
            <w:vAlign w:val="center"/>
          </w:tcPr>
          <w:p w:rsidR="0058525F" w:rsidRDefault="00000000">
            <w:pPr>
              <w:jc w:val="center"/>
              <w:rPr>
                <w:rFonts w:ascii="Times New Roman" w:hAnsi="Times New Roman" w:cs="Times New Roman"/>
                <w:kern w:val="0"/>
                <w:szCs w:val="21"/>
              </w:rPr>
            </w:pPr>
            <w:r>
              <w:rPr>
                <w:rFonts w:ascii="Times New Roman" w:hAnsi="Times New Roman" w:cs="Times New Roman"/>
                <w:kern w:val="0"/>
                <w:szCs w:val="21"/>
              </w:rPr>
              <w:t>5.05</w:t>
            </w: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lastRenderedPageBreak/>
              <w:t>20799</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其他文化旅游体育与传媒支出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5.05</w:t>
            </w:r>
          </w:p>
        </w:tc>
        <w:tc>
          <w:tcPr>
            <w:tcW w:w="3265" w:type="dxa"/>
            <w:tcBorders>
              <w:top w:val="nil"/>
              <w:left w:val="nil"/>
              <w:bottom w:val="single" w:sz="8" w:space="0" w:color="auto"/>
              <w:right w:val="single" w:sz="4" w:space="0" w:color="auto"/>
            </w:tcBorders>
            <w:shd w:val="clear" w:color="auto" w:fill="auto"/>
            <w:vAlign w:val="center"/>
          </w:tcPr>
          <w:p w:rsidR="0058525F" w:rsidRDefault="0058525F">
            <w:pPr>
              <w:widowControl/>
              <w:jc w:val="center"/>
              <w:textAlignment w:val="center"/>
              <w:rPr>
                <w:rFonts w:ascii="Times New Roman" w:hAnsi="Times New Roman" w:cs="Times New Roman"/>
                <w:kern w:val="0"/>
                <w:szCs w:val="21"/>
              </w:rPr>
            </w:pPr>
          </w:p>
        </w:tc>
        <w:tc>
          <w:tcPr>
            <w:tcW w:w="3361" w:type="dxa"/>
            <w:tcBorders>
              <w:top w:val="nil"/>
              <w:left w:val="nil"/>
              <w:bottom w:val="single" w:sz="8" w:space="0" w:color="auto"/>
              <w:right w:val="single" w:sz="8" w:space="0" w:color="auto"/>
            </w:tcBorders>
            <w:shd w:val="clear" w:color="auto" w:fill="auto"/>
            <w:vAlign w:val="center"/>
          </w:tcPr>
          <w:p w:rsidR="0058525F" w:rsidRDefault="00000000">
            <w:pPr>
              <w:jc w:val="center"/>
              <w:rPr>
                <w:rFonts w:ascii="Times New Roman" w:hAnsi="Times New Roman" w:cs="Times New Roman"/>
                <w:kern w:val="0"/>
                <w:szCs w:val="21"/>
              </w:rPr>
            </w:pPr>
            <w:r>
              <w:rPr>
                <w:rFonts w:ascii="Times New Roman" w:hAnsi="Times New Roman" w:cs="Times New Roman"/>
                <w:kern w:val="0"/>
                <w:szCs w:val="21"/>
              </w:rPr>
              <w:t>5.05</w:t>
            </w: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2079999</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其他文化旅游体育与传媒支出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5.05</w:t>
            </w:r>
          </w:p>
        </w:tc>
        <w:tc>
          <w:tcPr>
            <w:tcW w:w="3265" w:type="dxa"/>
            <w:tcBorders>
              <w:top w:val="nil"/>
              <w:left w:val="nil"/>
              <w:bottom w:val="single" w:sz="8" w:space="0" w:color="auto"/>
              <w:right w:val="single" w:sz="4" w:space="0" w:color="auto"/>
            </w:tcBorders>
            <w:shd w:val="clear" w:color="auto" w:fill="auto"/>
            <w:vAlign w:val="center"/>
          </w:tcPr>
          <w:p w:rsidR="0058525F" w:rsidRDefault="0058525F">
            <w:pPr>
              <w:widowControl/>
              <w:jc w:val="center"/>
              <w:textAlignment w:val="center"/>
              <w:rPr>
                <w:rFonts w:ascii="Times New Roman" w:hAnsi="Times New Roman" w:cs="Times New Roman"/>
                <w:kern w:val="0"/>
                <w:szCs w:val="21"/>
              </w:rPr>
            </w:pPr>
          </w:p>
        </w:tc>
        <w:tc>
          <w:tcPr>
            <w:tcW w:w="3361" w:type="dxa"/>
            <w:tcBorders>
              <w:top w:val="nil"/>
              <w:left w:val="nil"/>
              <w:bottom w:val="single" w:sz="8" w:space="0" w:color="auto"/>
              <w:right w:val="single" w:sz="8" w:space="0" w:color="auto"/>
            </w:tcBorders>
            <w:shd w:val="clear" w:color="auto" w:fill="auto"/>
            <w:vAlign w:val="center"/>
          </w:tcPr>
          <w:p w:rsidR="0058525F" w:rsidRDefault="00000000">
            <w:pPr>
              <w:jc w:val="center"/>
              <w:rPr>
                <w:rFonts w:ascii="Times New Roman" w:hAnsi="Times New Roman" w:cs="Times New Roman"/>
                <w:kern w:val="0"/>
                <w:szCs w:val="21"/>
              </w:rPr>
            </w:pPr>
            <w:r>
              <w:rPr>
                <w:rFonts w:ascii="Times New Roman" w:hAnsi="Times New Roman" w:cs="Times New Roman"/>
                <w:kern w:val="0"/>
                <w:szCs w:val="21"/>
              </w:rPr>
              <w:t>5.05</w:t>
            </w: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208</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社会保障和就业支出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134.45</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134.45</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20805</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行政事业单位养老支出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hAnsi="Times New Roman" w:cs="Times New Roman"/>
                <w:kern w:val="0"/>
                <w:szCs w:val="21"/>
              </w:rPr>
              <w:t>59.47</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59.47</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2080505</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bidi="ar"/>
              </w:rPr>
              <w:t>机关事业单位基本养老保险缴费支出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59.47</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59.47</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20808</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抚恤</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74.98</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74.98</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2080801</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死亡抚恤</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74.98</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74.98</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210</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卫生健康支出</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21011</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行政事业单位医疗</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450"/>
          <w:jc w:val="center"/>
        </w:trPr>
        <w:tc>
          <w:tcPr>
            <w:tcW w:w="1064" w:type="dxa"/>
            <w:tcBorders>
              <w:top w:val="single" w:sz="4" w:space="0" w:color="auto"/>
              <w:left w:val="single" w:sz="8" w:space="0" w:color="auto"/>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2101101</w:t>
            </w:r>
          </w:p>
        </w:tc>
        <w:tc>
          <w:tcPr>
            <w:tcW w:w="4474" w:type="dxa"/>
            <w:tcBorders>
              <w:top w:val="nil"/>
              <w:left w:val="nil"/>
              <w:bottom w:val="single" w:sz="8" w:space="0" w:color="auto"/>
              <w:right w:val="single" w:sz="4" w:space="0" w:color="auto"/>
            </w:tcBorders>
            <w:shd w:val="clear" w:color="000000" w:fill="FFFFFF"/>
            <w:vAlign w:val="center"/>
          </w:tcPr>
          <w:p w:rsidR="0058525F" w:rsidRDefault="00000000">
            <w:pPr>
              <w:widowControl/>
              <w:jc w:val="left"/>
              <w:textAlignment w:val="center"/>
              <w:rPr>
                <w:rFonts w:ascii="Times New Roman" w:hAnsi="Times New Roman" w:cs="Times New Roman"/>
                <w:kern w:val="0"/>
                <w:szCs w:val="21"/>
              </w:rPr>
            </w:pPr>
            <w:r>
              <w:rPr>
                <w:rFonts w:ascii="Times New Roman" w:hAnsi="Times New Roman" w:cs="Times New Roman"/>
                <w:color w:val="000000"/>
                <w:kern w:val="0"/>
                <w:szCs w:val="21"/>
                <w:lang w:bidi="ar"/>
              </w:rPr>
              <w:t>行政单位医疗</w:t>
            </w:r>
          </w:p>
        </w:tc>
        <w:tc>
          <w:tcPr>
            <w:tcW w:w="3253"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265" w:type="dxa"/>
            <w:tcBorders>
              <w:top w:val="nil"/>
              <w:left w:val="nil"/>
              <w:bottom w:val="single" w:sz="8" w:space="0" w:color="auto"/>
              <w:right w:val="single" w:sz="4" w:space="0" w:color="auto"/>
            </w:tcBorders>
            <w:shd w:val="clear" w:color="auto" w:fill="auto"/>
            <w:vAlign w:val="center"/>
          </w:tcPr>
          <w:p w:rsidR="0058525F" w:rsidRDefault="00000000">
            <w:pPr>
              <w:widowControl/>
              <w:jc w:val="center"/>
              <w:textAlignment w:val="center"/>
              <w:rPr>
                <w:rFonts w:ascii="Times New Roman" w:hAnsi="Times New Roman" w:cs="Times New Roman"/>
                <w:kern w:val="0"/>
                <w:szCs w:val="21"/>
              </w:rPr>
            </w:pPr>
            <w:r>
              <w:rPr>
                <w:rFonts w:ascii="Times New Roman" w:eastAsia="宋体" w:hAnsi="Times New Roman" w:cs="Times New Roman"/>
                <w:color w:val="000000"/>
                <w:kern w:val="0"/>
                <w:szCs w:val="21"/>
                <w:lang w:bidi="ar"/>
              </w:rPr>
              <w:t>23.90</w:t>
            </w:r>
          </w:p>
        </w:tc>
        <w:tc>
          <w:tcPr>
            <w:tcW w:w="3361" w:type="dxa"/>
            <w:tcBorders>
              <w:top w:val="nil"/>
              <w:left w:val="nil"/>
              <w:bottom w:val="single" w:sz="8" w:space="0" w:color="auto"/>
              <w:right w:val="single" w:sz="8" w:space="0" w:color="auto"/>
            </w:tcBorders>
            <w:shd w:val="clear" w:color="auto" w:fill="auto"/>
            <w:vAlign w:val="center"/>
          </w:tcPr>
          <w:p w:rsidR="0058525F" w:rsidRDefault="0058525F">
            <w:pPr>
              <w:jc w:val="center"/>
              <w:rPr>
                <w:rFonts w:ascii="Times New Roman" w:hAnsi="Times New Roman" w:cs="Times New Roman"/>
                <w:kern w:val="0"/>
                <w:szCs w:val="21"/>
              </w:rPr>
            </w:pPr>
          </w:p>
        </w:tc>
      </w:tr>
      <w:tr w:rsidR="0058525F">
        <w:trPr>
          <w:trHeight w:val="645"/>
          <w:jc w:val="center"/>
        </w:trPr>
        <w:tc>
          <w:tcPr>
            <w:tcW w:w="5000" w:type="pct"/>
            <w:gridSpan w:val="5"/>
            <w:tcBorders>
              <w:top w:val="nil"/>
              <w:left w:val="nil"/>
              <w:bottom w:val="nil"/>
              <w:right w:val="nil"/>
            </w:tcBorders>
            <w:shd w:val="clear" w:color="auto" w:fill="auto"/>
            <w:vAlign w:val="center"/>
          </w:tcPr>
          <w:p w:rsidR="0058525F"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58525F" w:rsidRDefault="0058525F">
      <w:pPr>
        <w:widowControl/>
        <w:jc w:val="left"/>
        <w:rPr>
          <w:rFonts w:ascii="Times New Roman" w:eastAsia="仿宋_GB2312" w:hAnsi="Times New Roman" w:cs="Times New Roman"/>
          <w:bCs/>
          <w:kern w:val="0"/>
          <w:szCs w:val="21"/>
        </w:rPr>
      </w:pPr>
    </w:p>
    <w:p w:rsidR="0058525F" w:rsidRDefault="0058525F">
      <w:pPr>
        <w:pStyle w:val="a0"/>
        <w:rPr>
          <w:rFonts w:ascii="Times New Roman" w:eastAsia="仿宋_GB2312" w:hAnsi="Times New Roman" w:cs="Times New Roman"/>
          <w:bCs/>
          <w:kern w:val="0"/>
          <w:szCs w:val="21"/>
        </w:rPr>
      </w:pPr>
    </w:p>
    <w:p w:rsidR="0058525F" w:rsidRDefault="0058525F">
      <w:pPr>
        <w:pStyle w:val="2"/>
        <w:ind w:firstLine="480"/>
        <w:rPr>
          <w:rFonts w:ascii="Times New Roman" w:eastAsia="仿宋_GB2312" w:hAnsi="Times New Roman" w:cs="Times New Roman"/>
          <w:bCs/>
          <w:szCs w:val="21"/>
        </w:rPr>
      </w:pPr>
    </w:p>
    <w:p w:rsidR="0058525F" w:rsidRDefault="0058525F">
      <w:pPr>
        <w:rPr>
          <w:rFonts w:ascii="Times New Roman" w:eastAsia="仿宋_GB2312" w:hAnsi="Times New Roman" w:cs="Times New Roman"/>
          <w:bCs/>
          <w:kern w:val="0"/>
          <w:szCs w:val="21"/>
        </w:rPr>
      </w:pPr>
    </w:p>
    <w:p w:rsidR="0058525F" w:rsidRDefault="0058525F">
      <w:pPr>
        <w:pStyle w:val="a0"/>
        <w:rPr>
          <w:rFonts w:ascii="Times New Roman" w:eastAsia="仿宋_GB2312" w:hAnsi="Times New Roman" w:cs="Times New Roman"/>
          <w:bCs/>
          <w:kern w:val="0"/>
          <w:szCs w:val="21"/>
        </w:rPr>
      </w:pPr>
    </w:p>
    <w:p w:rsidR="0058525F" w:rsidRDefault="0058525F">
      <w:pPr>
        <w:pStyle w:val="2"/>
        <w:ind w:firstLine="480"/>
        <w:rPr>
          <w:rFonts w:ascii="Times New Roman" w:eastAsia="仿宋_GB2312" w:hAnsi="Times New Roman" w:cs="Times New Roman"/>
          <w:bCs/>
          <w:szCs w:val="21"/>
        </w:rPr>
      </w:pPr>
    </w:p>
    <w:p w:rsidR="0058525F" w:rsidRDefault="0058525F">
      <w:pPr>
        <w:rPr>
          <w:rFonts w:ascii="Times New Roman" w:eastAsia="仿宋_GB2312" w:hAnsi="Times New Roman" w:cs="Times New Roman"/>
          <w:bCs/>
          <w:kern w:val="0"/>
          <w:szCs w:val="21"/>
        </w:rPr>
      </w:pPr>
    </w:p>
    <w:p w:rsidR="0058525F" w:rsidRDefault="0058525F">
      <w:pPr>
        <w:pStyle w:val="a0"/>
        <w:rPr>
          <w:rFonts w:ascii="Times New Roman" w:eastAsia="仿宋_GB2312" w:hAnsi="Times New Roman" w:cs="Times New Roman"/>
          <w:bCs/>
          <w:kern w:val="0"/>
          <w:szCs w:val="21"/>
        </w:rPr>
      </w:pPr>
    </w:p>
    <w:p w:rsidR="0058525F" w:rsidRDefault="0058525F">
      <w:pPr>
        <w:pStyle w:val="2"/>
        <w:ind w:firstLine="480"/>
        <w:rPr>
          <w:rFonts w:ascii="Times New Roman" w:eastAsia="仿宋_GB2312" w:hAnsi="Times New Roman" w:cs="Times New Roman"/>
          <w:bCs/>
          <w:szCs w:val="21"/>
        </w:rPr>
      </w:pPr>
    </w:p>
    <w:p w:rsidR="0058525F" w:rsidRDefault="0058525F">
      <w:pPr>
        <w:rPr>
          <w:rFonts w:ascii="Times New Roman" w:eastAsia="仿宋_GB2312" w:hAnsi="Times New Roman" w:cs="Times New Roman"/>
          <w:bCs/>
          <w:kern w:val="0"/>
          <w:szCs w:val="21"/>
        </w:rPr>
      </w:pPr>
    </w:p>
    <w:p w:rsidR="0058525F" w:rsidRDefault="0058525F"/>
    <w:p w:rsidR="0058525F" w:rsidRDefault="0058525F">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p>
    <w:bookmarkEnd w:id="2"/>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tbl>
      <w:tblPr>
        <w:tblW w:w="14120" w:type="dxa"/>
        <w:jc w:val="center"/>
        <w:tblCellMar>
          <w:top w:w="32" w:type="dxa"/>
          <w:left w:w="64" w:type="dxa"/>
          <w:bottom w:w="32" w:type="dxa"/>
          <w:right w:w="64" w:type="dxa"/>
        </w:tblCellMar>
        <w:tblLook w:val="04A0" w:firstRow="1" w:lastRow="0" w:firstColumn="1" w:lastColumn="0" w:noHBand="0" w:noVBand="1"/>
      </w:tblPr>
      <w:tblGrid>
        <w:gridCol w:w="785"/>
        <w:gridCol w:w="3278"/>
        <w:gridCol w:w="711"/>
        <w:gridCol w:w="789"/>
        <w:gridCol w:w="2228"/>
        <w:gridCol w:w="707"/>
        <w:gridCol w:w="789"/>
        <w:gridCol w:w="4127"/>
        <w:gridCol w:w="706"/>
      </w:tblGrid>
      <w:tr w:rsidR="0058525F">
        <w:trPr>
          <w:jc w:val="center"/>
        </w:trPr>
        <w:tc>
          <w:tcPr>
            <w:tcW w:w="14120" w:type="dxa"/>
            <w:gridSpan w:val="9"/>
            <w:tcBorders>
              <w:top w:val="nil"/>
              <w:left w:val="nil"/>
              <w:bottom w:val="nil"/>
              <w:right w:val="nil"/>
            </w:tcBorders>
            <w:shd w:val="clear" w:color="auto" w:fill="auto"/>
            <w:noWrap/>
            <w:vAlign w:val="center"/>
          </w:tcPr>
          <w:p w:rsidR="0058525F" w:rsidRDefault="00000000">
            <w:pPr>
              <w:widowControl/>
              <w:snapToGrid w:val="0"/>
              <w:jc w:val="center"/>
              <w:rPr>
                <w:rFonts w:asciiTheme="minorEastAsia" w:hAnsiTheme="minorEastAsia" w:cs="宋体" w:hint="eastAsia"/>
                <w:color w:val="000000"/>
                <w:kern w:val="0"/>
                <w:szCs w:val="32"/>
              </w:rPr>
            </w:pPr>
            <w:r>
              <w:rPr>
                <w:rFonts w:ascii="华文中宋" w:eastAsia="华文中宋" w:hAnsi="华文中宋" w:cs="宋体" w:hint="eastAsia"/>
                <w:color w:val="000000"/>
                <w:kern w:val="0"/>
                <w:sz w:val="32"/>
                <w:szCs w:val="32"/>
              </w:rPr>
              <w:br w:type="page"/>
              <w:t>一般公共预算财政拨款基本支出决算明细表</w:t>
            </w:r>
          </w:p>
        </w:tc>
      </w:tr>
      <w:tr w:rsidR="0058525F">
        <w:trPr>
          <w:jc w:val="center"/>
        </w:trPr>
        <w:tc>
          <w:tcPr>
            <w:tcW w:w="14120" w:type="dxa"/>
            <w:gridSpan w:val="9"/>
            <w:tcBorders>
              <w:top w:val="nil"/>
              <w:left w:val="nil"/>
              <w:bottom w:val="nil"/>
              <w:right w:val="nil"/>
            </w:tcBorders>
            <w:shd w:val="clear" w:color="auto" w:fill="auto"/>
            <w:noWrap/>
            <w:vAlign w:val="center"/>
          </w:tcPr>
          <w:p w:rsidR="0058525F" w:rsidRDefault="00000000">
            <w:pPr>
              <w:widowControl/>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06</w:t>
            </w:r>
            <w:r>
              <w:rPr>
                <w:rFonts w:ascii="Times New Roman" w:hAnsi="Times New Roman" w:cs="Times New Roman"/>
                <w:color w:val="000000"/>
                <w:kern w:val="0"/>
                <w:szCs w:val="21"/>
              </w:rPr>
              <w:t>表</w:t>
            </w:r>
          </w:p>
        </w:tc>
      </w:tr>
      <w:tr w:rsidR="0058525F">
        <w:trPr>
          <w:jc w:val="center"/>
        </w:trPr>
        <w:tc>
          <w:tcPr>
            <w:tcW w:w="4774" w:type="dxa"/>
            <w:gridSpan w:val="3"/>
            <w:tcBorders>
              <w:top w:val="nil"/>
              <w:left w:val="nil"/>
              <w:bottom w:val="single" w:sz="4" w:space="0" w:color="auto"/>
              <w:right w:val="nil"/>
            </w:tcBorders>
            <w:shd w:val="clear" w:color="auto" w:fill="auto"/>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heme="minorEastAsia" w:hAnsiTheme="minorEastAsia" w:cstheme="minorEastAsia" w:hint="eastAsia"/>
                <w:bCs/>
                <w:kern w:val="0"/>
                <w:szCs w:val="21"/>
              </w:rPr>
              <w:t>祁阳市人民代表大会常务委员会</w:t>
            </w:r>
          </w:p>
        </w:tc>
        <w:tc>
          <w:tcPr>
            <w:tcW w:w="789" w:type="dxa"/>
            <w:tcBorders>
              <w:top w:val="nil"/>
              <w:left w:val="nil"/>
              <w:bottom w:val="single" w:sz="4" w:space="0" w:color="auto"/>
              <w:right w:val="nil"/>
            </w:tcBorders>
            <w:shd w:val="clear" w:color="auto" w:fill="auto"/>
            <w:vAlign w:val="center"/>
          </w:tcPr>
          <w:p w:rsidR="0058525F" w:rsidRDefault="0058525F">
            <w:pPr>
              <w:widowControl/>
              <w:snapToGrid w:val="0"/>
              <w:jc w:val="center"/>
              <w:rPr>
                <w:rFonts w:ascii="Times New Roman" w:hAnsi="Times New Roman" w:cs="Times New Roman"/>
                <w:color w:val="000000"/>
                <w:kern w:val="0"/>
                <w:szCs w:val="21"/>
              </w:rPr>
            </w:pPr>
          </w:p>
        </w:tc>
        <w:tc>
          <w:tcPr>
            <w:tcW w:w="2228" w:type="dxa"/>
            <w:tcBorders>
              <w:top w:val="nil"/>
              <w:left w:val="nil"/>
              <w:bottom w:val="single" w:sz="4" w:space="0" w:color="auto"/>
              <w:right w:val="nil"/>
            </w:tcBorders>
            <w:shd w:val="clear" w:color="auto" w:fill="auto"/>
            <w:vAlign w:val="center"/>
          </w:tcPr>
          <w:p w:rsidR="0058525F" w:rsidRDefault="0058525F">
            <w:pPr>
              <w:widowControl/>
              <w:snapToGrid w:val="0"/>
              <w:jc w:val="center"/>
              <w:rPr>
                <w:rFonts w:ascii="Times New Roman" w:hAnsi="Times New Roman" w:cs="Times New Roman"/>
                <w:color w:val="000000"/>
                <w:kern w:val="0"/>
                <w:szCs w:val="21"/>
              </w:rPr>
            </w:pPr>
          </w:p>
        </w:tc>
        <w:tc>
          <w:tcPr>
            <w:tcW w:w="707" w:type="dxa"/>
            <w:tcBorders>
              <w:top w:val="nil"/>
              <w:left w:val="nil"/>
              <w:bottom w:val="single" w:sz="4" w:space="0" w:color="auto"/>
              <w:right w:val="nil"/>
            </w:tcBorders>
            <w:shd w:val="clear" w:color="auto" w:fill="auto"/>
            <w:vAlign w:val="center"/>
          </w:tcPr>
          <w:p w:rsidR="0058525F" w:rsidRDefault="0058525F">
            <w:pPr>
              <w:widowControl/>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nil"/>
            </w:tcBorders>
            <w:shd w:val="clear" w:color="auto" w:fill="auto"/>
            <w:vAlign w:val="center"/>
          </w:tcPr>
          <w:p w:rsidR="0058525F" w:rsidRDefault="0058525F">
            <w:pPr>
              <w:widowControl/>
              <w:snapToGrid w:val="0"/>
              <w:jc w:val="center"/>
              <w:rPr>
                <w:rFonts w:ascii="Times New Roman" w:hAnsi="Times New Roman" w:cs="Times New Roman"/>
                <w:color w:val="000000"/>
                <w:kern w:val="0"/>
                <w:szCs w:val="21"/>
              </w:rPr>
            </w:pPr>
          </w:p>
        </w:tc>
        <w:tc>
          <w:tcPr>
            <w:tcW w:w="4833" w:type="dxa"/>
            <w:gridSpan w:val="2"/>
            <w:tcBorders>
              <w:top w:val="nil"/>
              <w:left w:val="nil"/>
              <w:bottom w:val="single" w:sz="4" w:space="0" w:color="auto"/>
              <w:right w:val="nil"/>
            </w:tcBorders>
            <w:shd w:val="clear" w:color="auto" w:fill="auto"/>
            <w:vAlign w:val="center"/>
          </w:tcPr>
          <w:p w:rsidR="0058525F" w:rsidRDefault="00000000">
            <w:pPr>
              <w:widowControl/>
              <w:snapToGrid w:val="0"/>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8525F">
        <w:trPr>
          <w:jc w:val="center"/>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经济分类科目编码</w:t>
            </w:r>
          </w:p>
        </w:tc>
        <w:tc>
          <w:tcPr>
            <w:tcW w:w="4127"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科目名称</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决算数</w:t>
            </w:r>
          </w:p>
        </w:tc>
      </w:tr>
      <w:tr w:rsidR="0058525F">
        <w:trPr>
          <w:jc w:val="center"/>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w:t>
            </w:r>
          </w:p>
        </w:tc>
        <w:tc>
          <w:tcPr>
            <w:tcW w:w="3278"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工资福利支出</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622.91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w:t>
            </w:r>
          </w:p>
        </w:tc>
        <w:tc>
          <w:tcPr>
            <w:tcW w:w="2228"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商品和服务支出</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200.53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307</w:t>
            </w:r>
          </w:p>
        </w:tc>
        <w:tc>
          <w:tcPr>
            <w:tcW w:w="4127" w:type="dxa"/>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债务利息及费用支出</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30101</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基本工资</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251.39</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30201</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35.20</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30701</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国内债务付息</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30102</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津贴补贴</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130.59</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30202</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印刷费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4.75</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30702</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国外债务付息</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30103</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奖金</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102.08</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30203</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咨询费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资本性支出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30106</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伙食补助费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30204</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手续费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31001</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房屋建筑物购建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30107</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绩效工资</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30205</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水费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31002</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办公设备购置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30108</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机关事业单位基本养老保险缴费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59.47</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30206</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电费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31003</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专用设备购置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30109</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职业年金缴费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30207</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邮电费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31005</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基础设施建设</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30110</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职工基本医疗保险缴费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23.90</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30208</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取暖费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31006</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大型修缮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30111</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公务员医疗补助缴费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30209</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物业管理费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31007</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信息网络及软件购置更新</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30112</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其他社会保障缴费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7.17</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30211</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差旅费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4.10</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31008</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物资储备</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30113</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住房公积金</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42.66</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30212</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因公出国（境）费用</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31009</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土地补偿</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30114</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30213</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维修（护）费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31010</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安置补助</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30199</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其他工资福利支出</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5.66</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30214</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租赁费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textAlignment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31011</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地上附着物和青苗补偿</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对个人和家庭的补助</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78.53</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30215</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会议费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13.30</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31012</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拆迁补偿</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30301</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离休费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30216</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培训费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23.32</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31013</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30302</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退休费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30217</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公务接待费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2.35</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31019</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其他交通工具购置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30303</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退职（役）费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30218</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专用材料费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31021</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文物和陈列品购置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30304</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抚恤金</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74.98</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30224</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被装购置费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31022</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无形资产购置</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lastRenderedPageBreak/>
              <w:t>30305</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生活补助</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3.55</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30225</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专用燃料费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31099</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其他资本性支出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30306</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救济费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30226</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劳务费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16.48</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399</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其他支出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30307</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医疗费补助</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30227</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委托业务费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39906</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赠与</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30308</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助学金</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30228</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工会经费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22.54</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39907</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国家赔偿费用支出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30309</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奖励金</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30229</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福利费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12.25</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39908</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对民间非营利组织和群众性自治组织补贴</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30310</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个人农业生产补贴</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30231</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公务用车运行维护费</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39999</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其他支出</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30311</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代缴社会保险费</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30239</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其他交通费用</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6.75</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30399</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其他对个人和家庭的补助</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30240</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税金及附加费用</w:t>
            </w:r>
          </w:p>
        </w:tc>
        <w:tc>
          <w:tcPr>
            <w:tcW w:w="707"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785" w:type="dxa"/>
            <w:tcBorders>
              <w:top w:val="nil"/>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327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711" w:type="dxa"/>
            <w:tcBorders>
              <w:top w:val="nil"/>
              <w:left w:val="nil"/>
              <w:bottom w:val="single" w:sz="4" w:space="0" w:color="auto"/>
              <w:right w:val="single" w:sz="4" w:space="0" w:color="auto"/>
            </w:tcBorders>
            <w:shd w:val="clear" w:color="auto" w:fill="auto"/>
            <w:noWrap/>
            <w:vAlign w:val="center"/>
          </w:tcPr>
          <w:p w:rsidR="0058525F" w:rsidRDefault="0058525F">
            <w:pPr>
              <w:snapToGrid w:val="0"/>
              <w:jc w:val="center"/>
              <w:rPr>
                <w:rFonts w:ascii="Times New Roman" w:hAnsi="Times New Roman" w:cs="Times New Roman"/>
                <w:color w:val="000000"/>
                <w:kern w:val="0"/>
                <w:szCs w:val="21"/>
              </w:rPr>
            </w:pP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30299</w:t>
            </w:r>
          </w:p>
        </w:tc>
        <w:tc>
          <w:tcPr>
            <w:tcW w:w="2228"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r>
              <w:rPr>
                <w:rFonts w:ascii="Times New Roman" w:hAnsi="Times New Roman" w:cs="Times New Roman"/>
                <w:color w:val="000000"/>
                <w:kern w:val="0"/>
                <w:szCs w:val="21"/>
              </w:rPr>
              <w:t>其他商品和服务支出</w:t>
            </w:r>
          </w:p>
        </w:tc>
        <w:tc>
          <w:tcPr>
            <w:tcW w:w="70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59.49</w:t>
            </w:r>
          </w:p>
        </w:tc>
        <w:tc>
          <w:tcPr>
            <w:tcW w:w="789"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4127"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8525F" w:rsidRDefault="0058525F">
            <w:pPr>
              <w:widowControl/>
              <w:snapToGrid w:val="0"/>
              <w:jc w:val="center"/>
              <w:rPr>
                <w:rFonts w:ascii="Times New Roman" w:hAnsi="Times New Roman" w:cs="Times New Roman"/>
                <w:color w:val="000000"/>
                <w:kern w:val="0"/>
                <w:szCs w:val="21"/>
              </w:rPr>
            </w:pPr>
          </w:p>
        </w:tc>
      </w:tr>
      <w:tr w:rsidR="0058525F">
        <w:trPr>
          <w:jc w:val="center"/>
        </w:trPr>
        <w:tc>
          <w:tcPr>
            <w:tcW w:w="40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人员经费合计</w:t>
            </w:r>
          </w:p>
        </w:tc>
        <w:tc>
          <w:tcPr>
            <w:tcW w:w="711"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textAlignment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701.44</w:t>
            </w:r>
          </w:p>
        </w:tc>
        <w:tc>
          <w:tcPr>
            <w:tcW w:w="8640" w:type="dxa"/>
            <w:gridSpan w:val="5"/>
            <w:tcBorders>
              <w:top w:val="single" w:sz="4" w:space="0" w:color="auto"/>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公用经费合计</w:t>
            </w:r>
          </w:p>
        </w:tc>
        <w:tc>
          <w:tcPr>
            <w:tcW w:w="706" w:type="dxa"/>
            <w:tcBorders>
              <w:top w:val="nil"/>
              <w:left w:val="nil"/>
              <w:bottom w:val="single" w:sz="4" w:space="0" w:color="auto"/>
              <w:right w:val="single" w:sz="4" w:space="0" w:color="auto"/>
            </w:tcBorders>
            <w:shd w:val="clear" w:color="auto" w:fill="auto"/>
            <w:noWrap/>
            <w:vAlign w:val="center"/>
          </w:tcPr>
          <w:p w:rsidR="0058525F" w:rsidRDefault="00000000">
            <w:pPr>
              <w:widowControl/>
              <w:snapToGrid w:val="0"/>
              <w:jc w:val="center"/>
              <w:rPr>
                <w:rFonts w:ascii="Times New Roman" w:hAnsi="Times New Roman" w:cs="Times New Roman"/>
                <w:color w:val="000000"/>
                <w:kern w:val="0"/>
                <w:szCs w:val="21"/>
              </w:rPr>
            </w:pPr>
            <w:r>
              <w:rPr>
                <w:rFonts w:ascii="Times New Roman" w:eastAsia="宋体" w:hAnsi="Times New Roman" w:cs="Times New Roman"/>
                <w:color w:val="000000"/>
                <w:kern w:val="0"/>
                <w:szCs w:val="21"/>
                <w:lang w:bidi="ar"/>
              </w:rPr>
              <w:t>200.53</w:t>
            </w:r>
          </w:p>
        </w:tc>
      </w:tr>
      <w:tr w:rsidR="0058525F">
        <w:trPr>
          <w:jc w:val="center"/>
        </w:trPr>
        <w:tc>
          <w:tcPr>
            <w:tcW w:w="14120" w:type="dxa"/>
            <w:gridSpan w:val="9"/>
            <w:tcBorders>
              <w:top w:val="nil"/>
              <w:left w:val="nil"/>
              <w:bottom w:val="nil"/>
              <w:right w:val="nil"/>
            </w:tcBorders>
            <w:shd w:val="clear" w:color="auto" w:fill="auto"/>
            <w:noWrap/>
            <w:vAlign w:val="center"/>
          </w:tcPr>
          <w:p w:rsidR="0058525F" w:rsidRDefault="00000000">
            <w:pPr>
              <w:widowControl/>
              <w:snapToGrid w:val="0"/>
              <w:jc w:val="left"/>
              <w:rPr>
                <w:rFonts w:ascii="Times New Roman" w:hAnsi="Times New Roman" w:cs="Times New Roman"/>
                <w:color w:val="000000"/>
                <w:kern w:val="0"/>
                <w:szCs w:val="21"/>
              </w:rPr>
            </w:pPr>
            <w:r>
              <w:rPr>
                <w:rFonts w:ascii="Times New Roman" w:hAnsi="Times New Roman" w:cs="Times New Roman"/>
                <w:color w:val="000000"/>
                <w:kern w:val="0"/>
                <w:szCs w:val="21"/>
              </w:rPr>
              <w:t>注：本表反映部门本年度一般公共预算财政拨款基本支出明细情况。</w:t>
            </w:r>
          </w:p>
        </w:tc>
      </w:tr>
    </w:tbl>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58525F">
      <w:pPr>
        <w:pStyle w:val="a0"/>
        <w:rPr>
          <w:rFonts w:ascii="Times New Roman" w:eastAsia="黑体" w:hAnsi="Times New Roman" w:cs="Times New Roman"/>
          <w:color w:val="000000"/>
          <w:kern w:val="0"/>
          <w:sz w:val="36"/>
          <w:szCs w:val="36"/>
          <w:lang w:bidi="ar"/>
        </w:rPr>
      </w:pPr>
    </w:p>
    <w:p w:rsidR="0058525F" w:rsidRDefault="0058525F">
      <w:pPr>
        <w:pStyle w:val="2"/>
        <w:ind w:firstLine="480"/>
        <w:rPr>
          <w:rFonts w:hint="eastAsia"/>
        </w:rPr>
      </w:pPr>
    </w:p>
    <w:p w:rsidR="0058525F" w:rsidRDefault="0058525F">
      <w:pPr>
        <w:widowControl/>
        <w:spacing w:afterLines="50" w:after="156"/>
        <w:jc w:val="center"/>
        <w:textAlignment w:val="center"/>
        <w:rPr>
          <w:rFonts w:ascii="Times New Roman" w:eastAsia="黑体" w:hAnsi="Times New Roman" w:cs="Times New Roman"/>
          <w:color w:val="000000"/>
          <w:kern w:val="0"/>
          <w:sz w:val="36"/>
          <w:szCs w:val="36"/>
          <w:lang w:bidi="ar"/>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政府性基金预算财政拨款收入支出决算表</w:t>
      </w:r>
    </w:p>
    <w:p w:rsidR="0058525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58525F"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58525F">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58525F">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widowControl/>
              <w:jc w:val="center"/>
              <w:rPr>
                <w:rFonts w:ascii="Times New Roman" w:eastAsia="仿宋_GB2312" w:hAnsi="Times New Roman" w:cs="Times New Roman"/>
                <w:color w:val="000000"/>
                <w:sz w:val="24"/>
                <w:szCs w:val="24"/>
              </w:rPr>
            </w:pPr>
          </w:p>
        </w:tc>
      </w:tr>
      <w:tr w:rsidR="0058525F">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58525F">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212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城乡社区支出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2120803</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城市建设支出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bl>
    <w:p w:rsidR="0058525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58525F" w:rsidRDefault="0058525F">
      <w:pPr>
        <w:widowControl/>
        <w:jc w:val="left"/>
        <w:textAlignment w:val="center"/>
        <w:rPr>
          <w:rFonts w:ascii="Times New Roman" w:eastAsia="仿宋_GB2312" w:hAnsi="Times New Roman" w:cs="Times New Roman"/>
          <w:color w:val="000000"/>
          <w:kern w:val="0"/>
          <w:sz w:val="24"/>
          <w:szCs w:val="24"/>
          <w:lang w:bidi="ar"/>
        </w:rPr>
      </w:pPr>
    </w:p>
    <w:p w:rsidR="0058525F" w:rsidRDefault="0058525F">
      <w:pPr>
        <w:widowControl/>
        <w:jc w:val="center"/>
        <w:rPr>
          <w:rFonts w:ascii="Times New Roman" w:eastAsia="方正小标宋_GBK" w:hAnsi="Times New Roman" w:cs="Times New Roman"/>
          <w:color w:val="000000"/>
          <w:kern w:val="0"/>
          <w:sz w:val="36"/>
          <w:szCs w:val="36"/>
        </w:rPr>
      </w:pPr>
    </w:p>
    <w:p w:rsidR="0058525F" w:rsidRDefault="0058525F">
      <w:pPr>
        <w:widowControl/>
        <w:spacing w:line="400" w:lineRule="exact"/>
        <w:textAlignment w:val="center"/>
        <w:rPr>
          <w:rFonts w:ascii="Times New Roman" w:eastAsia="黑体" w:hAnsi="Times New Roman" w:cs="Times New Roman"/>
          <w:color w:val="000000"/>
          <w:kern w:val="0"/>
          <w:sz w:val="36"/>
          <w:szCs w:val="36"/>
          <w:lang w:bidi="ar"/>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58525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58525F"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6" w:type="pct"/>
        <w:tblLook w:val="04A0" w:firstRow="1" w:lastRow="0" w:firstColumn="1" w:lastColumn="0" w:noHBand="0" w:noVBand="1"/>
      </w:tblPr>
      <w:tblGrid>
        <w:gridCol w:w="3093"/>
        <w:gridCol w:w="3096"/>
        <w:gridCol w:w="1830"/>
        <w:gridCol w:w="3095"/>
        <w:gridCol w:w="3095"/>
      </w:tblGrid>
      <w:tr w:rsidR="0058525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58525F">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58525F">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58525F">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r>
      <w:tr w:rsidR="0058525F">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宋体" w:hAnsi="Times New Roman" w:cs="Times New Roman"/>
                <w:color w:val="000000"/>
                <w:sz w:val="24"/>
                <w:szCs w:val="24"/>
              </w:rPr>
            </w:pPr>
          </w:p>
        </w:tc>
      </w:tr>
    </w:tbl>
    <w:p w:rsidR="0058525F"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58525F" w:rsidRDefault="0058525F">
      <w:pPr>
        <w:widowControl/>
        <w:jc w:val="left"/>
        <w:textAlignment w:val="center"/>
        <w:rPr>
          <w:rFonts w:ascii="Times New Roman" w:eastAsia="宋体" w:hAnsi="Times New Roman" w:cs="Times New Roman"/>
          <w:color w:val="000000"/>
          <w:kern w:val="0"/>
          <w:sz w:val="24"/>
          <w:szCs w:val="24"/>
          <w:lang w:bidi="ar"/>
        </w:rPr>
      </w:pPr>
    </w:p>
    <w:p w:rsidR="0058525F"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58525F" w:rsidRDefault="0058525F">
      <w:pPr>
        <w:widowControl/>
        <w:jc w:val="center"/>
        <w:rPr>
          <w:rFonts w:ascii="Times New Roman" w:eastAsia="方正小标宋_GBK" w:hAnsi="Times New Roman" w:cs="Times New Roman"/>
          <w:color w:val="000000"/>
          <w:kern w:val="0"/>
          <w:sz w:val="36"/>
          <w:szCs w:val="36"/>
        </w:rPr>
      </w:pPr>
    </w:p>
    <w:p w:rsidR="0058525F" w:rsidRDefault="0058525F">
      <w:pPr>
        <w:pStyle w:val="a0"/>
        <w:spacing w:line="400" w:lineRule="exact"/>
        <w:rPr>
          <w:rFonts w:ascii="Times New Roman" w:eastAsia="华文中宋" w:hAnsi="Times New Roman" w:cs="Times New Roman"/>
          <w:color w:val="000000"/>
          <w:kern w:val="0"/>
          <w:sz w:val="32"/>
          <w:szCs w:val="32"/>
          <w:lang w:bidi="ar"/>
        </w:rPr>
      </w:pPr>
    </w:p>
    <w:p w:rsidR="0058525F"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58525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58525F"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heme="minorEastAsia" w:hAnsiTheme="minorEastAsia" w:cstheme="minorEastAsia" w:hint="eastAsia"/>
          <w:bCs/>
          <w:kern w:val="0"/>
          <w:szCs w:val="21"/>
        </w:rPr>
        <w:t>祁阳市人民代表大会常务委员会</w:t>
      </w:r>
      <w:r>
        <w:rPr>
          <w:rFonts w:ascii="Times New Roman" w:hAnsi="Times New Roman" w:cs="Times New Roman"/>
          <w:color w:val="000000"/>
          <w:kern w:val="0"/>
          <w:szCs w:val="21"/>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2" w:type="pct"/>
        <w:jc w:val="center"/>
        <w:tblLook w:val="04A0" w:firstRow="1" w:lastRow="0" w:firstColumn="1" w:lastColumn="0" w:noHBand="0" w:noVBand="1"/>
      </w:tblPr>
      <w:tblGrid>
        <w:gridCol w:w="934"/>
        <w:gridCol w:w="1228"/>
        <w:gridCol w:w="1086"/>
        <w:gridCol w:w="1186"/>
        <w:gridCol w:w="1425"/>
        <w:gridCol w:w="1372"/>
        <w:gridCol w:w="1050"/>
        <w:gridCol w:w="1166"/>
        <w:gridCol w:w="1166"/>
        <w:gridCol w:w="1166"/>
        <w:gridCol w:w="1358"/>
        <w:gridCol w:w="1402"/>
      </w:tblGrid>
      <w:tr w:rsidR="0058525F">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58525F">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58525F">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jc w:val="center"/>
              <w:rPr>
                <w:rFonts w:ascii="Times New Roman" w:eastAsia="仿宋_GB2312" w:hAnsi="Times New Roman" w:cs="Times New Roman"/>
                <w:color w:val="000000"/>
                <w:sz w:val="22"/>
              </w:rPr>
            </w:pPr>
          </w:p>
        </w:tc>
      </w:tr>
      <w:tr w:rsidR="0058525F">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58525F">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4.58</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4.58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2.35</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58525F">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8525F"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2.35</w:t>
            </w:r>
          </w:p>
        </w:tc>
      </w:tr>
    </w:tbl>
    <w:p w:rsidR="0058525F"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58525F" w:rsidRDefault="0058525F">
      <w:pPr>
        <w:autoSpaceDE w:val="0"/>
        <w:autoSpaceDN w:val="0"/>
        <w:adjustRightInd w:val="0"/>
        <w:ind w:leftChars="150" w:left="315"/>
        <w:jc w:val="left"/>
        <w:rPr>
          <w:rFonts w:ascii="Times New Roman" w:eastAsia="宋体" w:hAnsi="Times New Roman" w:cs="Times New Roman"/>
          <w:kern w:val="0"/>
          <w:sz w:val="24"/>
          <w:szCs w:val="24"/>
        </w:rPr>
      </w:pPr>
    </w:p>
    <w:p w:rsidR="0058525F" w:rsidRDefault="0058525F">
      <w:pPr>
        <w:autoSpaceDE w:val="0"/>
        <w:autoSpaceDN w:val="0"/>
        <w:adjustRightInd w:val="0"/>
        <w:ind w:leftChars="150" w:left="315"/>
        <w:jc w:val="left"/>
        <w:rPr>
          <w:rFonts w:ascii="Times New Roman" w:eastAsia="宋体" w:hAnsi="Times New Roman" w:cs="Times New Roman"/>
          <w:kern w:val="0"/>
          <w:sz w:val="24"/>
          <w:szCs w:val="24"/>
        </w:rPr>
      </w:pPr>
    </w:p>
    <w:p w:rsidR="0058525F" w:rsidRDefault="0058525F">
      <w:pPr>
        <w:autoSpaceDE w:val="0"/>
        <w:autoSpaceDN w:val="0"/>
        <w:adjustRightInd w:val="0"/>
        <w:ind w:leftChars="150" w:left="315"/>
        <w:jc w:val="left"/>
        <w:rPr>
          <w:rFonts w:ascii="Times New Roman" w:eastAsia="宋体" w:hAnsi="Times New Roman" w:cs="Times New Roman"/>
          <w:kern w:val="0"/>
          <w:sz w:val="24"/>
          <w:szCs w:val="24"/>
        </w:rPr>
      </w:pPr>
    </w:p>
    <w:p w:rsidR="0058525F" w:rsidRDefault="0058525F">
      <w:pPr>
        <w:autoSpaceDE w:val="0"/>
        <w:autoSpaceDN w:val="0"/>
        <w:adjustRightInd w:val="0"/>
        <w:ind w:leftChars="150" w:left="315"/>
        <w:jc w:val="left"/>
        <w:rPr>
          <w:rFonts w:ascii="Times New Roman" w:eastAsia="宋体" w:hAnsi="Times New Roman" w:cs="Times New Roman"/>
          <w:kern w:val="0"/>
          <w:sz w:val="24"/>
          <w:szCs w:val="24"/>
        </w:rPr>
      </w:pPr>
    </w:p>
    <w:p w:rsidR="0058525F" w:rsidRDefault="0058525F">
      <w:pPr>
        <w:autoSpaceDE w:val="0"/>
        <w:autoSpaceDN w:val="0"/>
        <w:adjustRightInd w:val="0"/>
        <w:ind w:leftChars="150" w:left="315"/>
        <w:jc w:val="left"/>
        <w:rPr>
          <w:rFonts w:ascii="Times New Roman" w:eastAsia="宋体" w:hAnsi="Times New Roman" w:cs="Times New Roman"/>
          <w:kern w:val="0"/>
          <w:sz w:val="24"/>
          <w:szCs w:val="24"/>
        </w:rPr>
      </w:pPr>
    </w:p>
    <w:p w:rsidR="0058525F" w:rsidRDefault="00000000">
      <w:pPr>
        <w:widowControl/>
        <w:rPr>
          <w:rFonts w:ascii="Times New Roman" w:hAnsi="Times New Roman" w:cs="Times New Roman"/>
          <w:sz w:val="72"/>
          <w:szCs w:val="72"/>
        </w:rPr>
        <w:sectPr w:rsidR="0058525F">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58525F" w:rsidRDefault="0058525F">
      <w:pPr>
        <w:pStyle w:val="Default"/>
        <w:rPr>
          <w:rFonts w:ascii="Times New Roman" w:hAnsi="Times New Roman" w:cs="Times New Roman"/>
          <w:sz w:val="72"/>
          <w:szCs w:val="72"/>
        </w:rPr>
      </w:pPr>
    </w:p>
    <w:p w:rsidR="0058525F" w:rsidRDefault="0058525F">
      <w:pPr>
        <w:pStyle w:val="Default"/>
        <w:rPr>
          <w:rFonts w:ascii="Times New Roman" w:hAnsi="Times New Roman" w:cs="Times New Roman"/>
          <w:sz w:val="72"/>
          <w:szCs w:val="72"/>
        </w:rPr>
      </w:pPr>
    </w:p>
    <w:p w:rsidR="0058525F" w:rsidRDefault="0058525F">
      <w:pPr>
        <w:pStyle w:val="Default"/>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eastAsia="方正小标宋_GBK" w:hAnsi="Times New Roman" w:cs="Times New Roman"/>
          <w:sz w:val="72"/>
          <w:szCs w:val="72"/>
        </w:rPr>
      </w:pP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58525F"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万元。与上年相比，增加</w:t>
      </w:r>
      <w:r>
        <w:rPr>
          <w:rFonts w:ascii="Times New Roman" w:eastAsia="仿宋_GB2312" w:hAnsi="Times New Roman" w:cs="Times New Roman"/>
          <w:sz w:val="32"/>
          <w:szCs w:val="32"/>
        </w:rPr>
        <w:t>11.79</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，主要是因为基本支出</w:t>
      </w:r>
      <w:r>
        <w:rPr>
          <w:rFonts w:ascii="Times New Roman" w:eastAsia="仿宋_GB2312" w:hAnsi="Times New Roman" w:cs="Times New Roman" w:hint="eastAsia"/>
          <w:sz w:val="32"/>
          <w:szCs w:val="32"/>
        </w:rPr>
        <w:t>的增加</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万元，其中：财政拨款收入</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；上级补助收入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；事业收入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；经营收入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；附属单位上缴收入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901.97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76.06%</w:t>
      </w:r>
      <w:r>
        <w:rPr>
          <w:rFonts w:ascii="Times New Roman" w:eastAsia="仿宋_GB2312" w:hAnsi="Times New Roman" w:cs="Times New Roman"/>
          <w:sz w:val="32"/>
          <w:szCs w:val="32"/>
        </w:rPr>
        <w:t>；项目支出</w:t>
      </w:r>
      <w:r>
        <w:rPr>
          <w:rFonts w:ascii="Times New Roman" w:eastAsia="仿宋_GB2312" w:hAnsi="Times New Roman" w:cs="Times New Roman"/>
          <w:sz w:val="32"/>
          <w:szCs w:val="32"/>
        </w:rPr>
        <w:t>283.84</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23.94%</w:t>
      </w:r>
      <w:r>
        <w:rPr>
          <w:rFonts w:ascii="Times New Roman" w:eastAsia="仿宋_GB2312" w:hAnsi="Times New Roman" w:cs="Times New Roman"/>
          <w:sz w:val="32"/>
          <w:szCs w:val="32"/>
        </w:rPr>
        <w:t>；上缴上级支出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；经营支出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；对附属单位补助支出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万元，与上年相比，增加</w:t>
      </w:r>
      <w:r>
        <w:rPr>
          <w:rFonts w:ascii="Times New Roman" w:eastAsia="仿宋_GB2312" w:hAnsi="Times New Roman" w:cs="Times New Roman"/>
          <w:sz w:val="32"/>
          <w:szCs w:val="32"/>
        </w:rPr>
        <w:t>11.79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，主要是因为基本支出</w:t>
      </w:r>
      <w:r>
        <w:rPr>
          <w:rFonts w:ascii="Times New Roman" w:eastAsia="仿宋_GB2312" w:hAnsi="Times New Roman" w:cs="Times New Roman" w:hint="eastAsia"/>
          <w:sz w:val="32"/>
          <w:szCs w:val="32"/>
        </w:rPr>
        <w:t>的增加</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58525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万元，占本年支出合计的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sz w:val="32"/>
          <w:szCs w:val="32"/>
        </w:rPr>
        <w:t>11.79</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10.04%</w:t>
      </w:r>
      <w:r>
        <w:rPr>
          <w:rFonts w:ascii="Times New Roman" w:eastAsia="仿宋_GB2312" w:hAnsi="Times New Roman" w:cs="Times New Roman"/>
          <w:sz w:val="32"/>
          <w:szCs w:val="32"/>
        </w:rPr>
        <w:t>，主要是因为基本支出</w:t>
      </w:r>
      <w:r>
        <w:rPr>
          <w:rFonts w:ascii="Times New Roman" w:eastAsia="仿宋_GB2312" w:hAnsi="Times New Roman" w:cs="Times New Roman" w:hint="eastAsia"/>
          <w:sz w:val="32"/>
          <w:szCs w:val="32"/>
        </w:rPr>
        <w:t>的增加</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lastRenderedPageBreak/>
        <w:t>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963.69</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81.27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；教育（</w:t>
      </w:r>
      <w:r>
        <w:rPr>
          <w:rFonts w:ascii="Times New Roman" w:eastAsia="仿宋_GB2312" w:hAnsi="Times New Roman" w:cs="Times New Roman" w:hint="eastAsia"/>
          <w:sz w:val="32"/>
          <w:szCs w:val="32"/>
        </w:rPr>
        <w:t>205</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12.05</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1.02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；文化旅游体育与传媒（</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5.05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133.45</w:t>
      </w:r>
      <w:r>
        <w:rPr>
          <w:rFonts w:ascii="Times New Roman" w:eastAsia="仿宋_GB2312" w:hAnsi="Times New Roman" w:cs="Times New Roman" w:hint="eastAsia"/>
          <w:sz w:val="32"/>
          <w:szCs w:val="32"/>
        </w:rPr>
        <w:t>万元，占</w:t>
      </w:r>
      <w:r>
        <w:rPr>
          <w:rFonts w:ascii="Times New Roman" w:eastAsia="仿宋_GB2312" w:hAnsi="Times New Roman" w:cs="Times New Roman"/>
          <w:sz w:val="32"/>
          <w:szCs w:val="32"/>
        </w:rPr>
        <w:t>11.34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；卫生健康（</w:t>
      </w:r>
      <w:r>
        <w:rPr>
          <w:rFonts w:ascii="Times New Roman" w:eastAsia="仿宋_GB2312" w:hAnsi="Times New Roman" w:cs="Times New Roman" w:hint="eastAsia"/>
          <w:sz w:val="32"/>
          <w:szCs w:val="32"/>
        </w:rPr>
        <w:t>210</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23.9</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城市建设（</w:t>
      </w:r>
      <w:r>
        <w:rPr>
          <w:rFonts w:ascii="Times New Roman" w:eastAsia="仿宋_GB2312" w:hAnsi="Times New Roman" w:cs="Times New Roman"/>
          <w:sz w:val="32"/>
          <w:szCs w:val="32"/>
        </w:rPr>
        <w:t>212</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0.33%</w:t>
      </w:r>
      <w:r>
        <w:rPr>
          <w:rFonts w:ascii="Times New Roman" w:eastAsia="仿宋_GB2312" w:hAnsi="Times New Roman" w:cs="Times New Roman"/>
          <w:sz w:val="32"/>
          <w:szCs w:val="32"/>
        </w:rPr>
        <w:t>，住房公积金（</w:t>
      </w:r>
      <w:r>
        <w:rPr>
          <w:rFonts w:ascii="Times New Roman" w:eastAsia="仿宋_GB2312" w:hAnsi="Times New Roman" w:cs="Times New Roman"/>
          <w:sz w:val="32"/>
          <w:szCs w:val="32"/>
        </w:rPr>
        <w:t>221</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42.66</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3.59%</w:t>
      </w:r>
      <w:r>
        <w:rPr>
          <w:rFonts w:ascii="Times New Roman" w:eastAsia="仿宋_GB2312" w:hAnsi="Times New Roman" w:cs="Times New Roman"/>
          <w:sz w:val="32"/>
          <w:szCs w:val="32"/>
        </w:rPr>
        <w:t>。</w:t>
      </w:r>
    </w:p>
    <w:p w:rsidR="0058525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sz w:val="32"/>
          <w:szCs w:val="32"/>
        </w:rPr>
        <w:t>1008.68</w:t>
      </w:r>
      <w:r>
        <w:rPr>
          <w:rFonts w:ascii="Times New Roman" w:eastAsia="仿宋_GB2312" w:hAnsi="Times New Roman" w:cs="Times New Roman"/>
          <w:sz w:val="32"/>
          <w:szCs w:val="32"/>
        </w:rPr>
        <w:t>万元，支出决算数为</w:t>
      </w:r>
      <w:r>
        <w:rPr>
          <w:rFonts w:ascii="Times New Roman" w:eastAsia="仿宋_GB2312" w:hAnsi="Times New Roman" w:cs="Times New Roman"/>
          <w:sz w:val="32"/>
          <w:szCs w:val="32"/>
        </w:rPr>
        <w:t>1185.81</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117.56%</w:t>
      </w:r>
      <w:r>
        <w:rPr>
          <w:rFonts w:ascii="Times New Roman" w:eastAsia="仿宋_GB2312" w:hAnsi="Times New Roman" w:cs="Times New Roman"/>
          <w:sz w:val="32"/>
          <w:szCs w:val="32"/>
        </w:rPr>
        <w:t>，其中：</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sz w:val="32"/>
          <w:szCs w:val="32"/>
        </w:rPr>
        <w:t>201</w:t>
      </w:r>
      <w:r>
        <w:rPr>
          <w:rFonts w:ascii="Times New Roman" w:eastAsia="仿宋_GB2312" w:hAnsi="Times New Roman" w:cs="Times New Roman"/>
          <w:sz w:val="32"/>
          <w:szCs w:val="32"/>
        </w:rPr>
        <w:t>）人大事务（</w:t>
      </w:r>
      <w:r>
        <w:rPr>
          <w:rFonts w:ascii="Times New Roman" w:eastAsia="仿宋_GB2312" w:hAnsi="Times New Roman" w:cs="Times New Roman"/>
          <w:sz w:val="32"/>
          <w:szCs w:val="32"/>
        </w:rPr>
        <w:t>20101</w:t>
      </w:r>
      <w:r>
        <w:rPr>
          <w:rFonts w:ascii="Times New Roman" w:eastAsia="仿宋_GB2312" w:hAnsi="Times New Roman" w:cs="Times New Roman"/>
          <w:sz w:val="32"/>
          <w:szCs w:val="32"/>
        </w:rPr>
        <w:t>）行政运行（</w:t>
      </w:r>
      <w:r>
        <w:rPr>
          <w:rFonts w:ascii="Times New Roman" w:eastAsia="仿宋_GB2312" w:hAnsi="Times New Roman" w:cs="Times New Roman"/>
          <w:sz w:val="32"/>
          <w:szCs w:val="32"/>
        </w:rPr>
        <w:t>2010101</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641.29</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688.91</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107.43%</w:t>
      </w:r>
      <w:r>
        <w:rPr>
          <w:rFonts w:ascii="Times New Roman" w:eastAsia="仿宋_GB2312" w:hAnsi="Times New Roman" w:cs="Times New Roman"/>
          <w:sz w:val="32"/>
          <w:szCs w:val="32"/>
        </w:rPr>
        <w:t>，决算数大于年初预算数的主要原因是：因人员调动增加人员经费增加和公用经费增加。</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w:t>
      </w:r>
      <w:r>
        <w:rPr>
          <w:rFonts w:ascii="Times New Roman" w:eastAsia="仿宋_GB2312" w:hAnsi="Times New Roman" w:cs="Times New Roman"/>
          <w:sz w:val="32"/>
          <w:szCs w:val="32"/>
        </w:rPr>
        <w:t>201</w:t>
      </w:r>
      <w:r>
        <w:rPr>
          <w:rFonts w:ascii="Times New Roman" w:eastAsia="仿宋_GB2312" w:hAnsi="Times New Roman" w:cs="Times New Roman"/>
          <w:sz w:val="32"/>
          <w:szCs w:val="32"/>
        </w:rPr>
        <w:t>）人大事务（</w:t>
      </w:r>
      <w:r>
        <w:rPr>
          <w:rFonts w:ascii="Times New Roman" w:eastAsia="仿宋_GB2312" w:hAnsi="Times New Roman" w:cs="Times New Roman"/>
          <w:sz w:val="32"/>
          <w:szCs w:val="32"/>
        </w:rPr>
        <w:t>20101</w:t>
      </w:r>
      <w:r>
        <w:rPr>
          <w:rFonts w:ascii="Times New Roman" w:eastAsia="仿宋_GB2312" w:hAnsi="Times New Roman" w:cs="Times New Roman"/>
          <w:sz w:val="32"/>
          <w:szCs w:val="32"/>
        </w:rPr>
        <w:t>）一般行政管理事务（</w:t>
      </w:r>
      <w:r>
        <w:rPr>
          <w:rFonts w:ascii="Times New Roman" w:eastAsia="仿宋_GB2312" w:hAnsi="Times New Roman" w:cs="Times New Roman"/>
          <w:sz w:val="32"/>
          <w:szCs w:val="32"/>
        </w:rPr>
        <w:t>2010102</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134.08</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269.18</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200.76%</w:t>
      </w:r>
      <w:r>
        <w:rPr>
          <w:rFonts w:ascii="Times New Roman" w:eastAsia="仿宋_GB2312" w:hAnsi="Times New Roman" w:cs="Times New Roman"/>
          <w:sz w:val="32"/>
          <w:szCs w:val="32"/>
        </w:rPr>
        <w:t>，决算数大于年初预算数的主要原因是项目的增加导致项目经费增长。</w:t>
      </w:r>
    </w:p>
    <w:p w:rsidR="0058525F"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3</w:t>
      </w:r>
      <w:r>
        <w:rPr>
          <w:rFonts w:ascii="Times New Roman" w:eastAsia="仿宋_GB2312" w:hAnsi="Times New Roman" w:cs="Times New Roman"/>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color w:val="auto"/>
          <w:sz w:val="32"/>
          <w:szCs w:val="32"/>
        </w:rPr>
        <w:t>）人大事务（</w:t>
      </w:r>
      <w:r>
        <w:rPr>
          <w:rFonts w:ascii="Times New Roman" w:eastAsia="仿宋_GB2312" w:hAnsi="Times New Roman" w:cs="Times New Roman"/>
          <w:color w:val="auto"/>
          <w:sz w:val="32"/>
          <w:szCs w:val="32"/>
        </w:rPr>
        <w:t>20101</w:t>
      </w:r>
      <w:r>
        <w:rPr>
          <w:rFonts w:ascii="Times New Roman" w:eastAsia="仿宋_GB2312" w:hAnsi="Times New Roman" w:cs="Times New Roman"/>
          <w:color w:val="auto"/>
          <w:sz w:val="32"/>
          <w:szCs w:val="32"/>
        </w:rPr>
        <w:t>）其他人大事务支出（</w:t>
      </w:r>
      <w:r>
        <w:rPr>
          <w:rFonts w:ascii="Times New Roman" w:eastAsia="仿宋_GB2312" w:hAnsi="Times New Roman" w:cs="Times New Roman"/>
          <w:color w:val="auto"/>
          <w:sz w:val="32"/>
          <w:szCs w:val="32"/>
        </w:rPr>
        <w:t>2010199</w:t>
      </w:r>
      <w:r>
        <w:rPr>
          <w:rFonts w:ascii="Times New Roman" w:eastAsia="仿宋_GB2312" w:hAnsi="Times New Roman" w:cs="Times New Roman"/>
          <w:color w:val="auto"/>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color w:val="auto"/>
          <w:sz w:val="32"/>
          <w:szCs w:val="32"/>
        </w:rPr>
        <w:t>5.60</w:t>
      </w:r>
      <w:r>
        <w:rPr>
          <w:rFonts w:ascii="Times New Roman" w:eastAsia="仿宋_GB2312" w:hAnsi="Times New Roman" w:cs="Times New Roman"/>
          <w:color w:val="auto"/>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color w:val="auto"/>
          <w:sz w:val="32"/>
          <w:szCs w:val="32"/>
        </w:rPr>
        <w:t>，决算数大于年初预算数的主要原因是</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财政</w:t>
      </w:r>
      <w:r>
        <w:rPr>
          <w:rFonts w:ascii="Times New Roman" w:eastAsia="仿宋_GB2312" w:hAnsi="Times New Roman" w:cs="Times New Roman"/>
          <w:sz w:val="32"/>
          <w:szCs w:val="32"/>
        </w:rPr>
        <w:lastRenderedPageBreak/>
        <w:t>追加预算</w:t>
      </w:r>
      <w:r>
        <w:rPr>
          <w:rFonts w:ascii="Times New Roman" w:eastAsia="仿宋_GB2312" w:hAnsi="Times New Roman" w:cs="Times New Roman" w:hint="eastAsia"/>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、教育支出（</w:t>
      </w:r>
      <w:r>
        <w:rPr>
          <w:rFonts w:ascii="Times New Roman" w:eastAsia="仿宋_GB2312" w:hAnsi="Times New Roman" w:cs="Times New Roman"/>
          <w:sz w:val="32"/>
          <w:szCs w:val="32"/>
        </w:rPr>
        <w:t>205</w:t>
      </w:r>
      <w:r>
        <w:rPr>
          <w:rFonts w:ascii="Times New Roman" w:eastAsia="仿宋_GB2312" w:hAnsi="Times New Roman" w:cs="Times New Roman"/>
          <w:sz w:val="32"/>
          <w:szCs w:val="32"/>
        </w:rPr>
        <w:t>）进修及培训（</w:t>
      </w:r>
      <w:r>
        <w:rPr>
          <w:rFonts w:ascii="Times New Roman" w:eastAsia="仿宋_GB2312" w:hAnsi="Times New Roman" w:cs="Times New Roman"/>
          <w:sz w:val="32"/>
          <w:szCs w:val="32"/>
        </w:rPr>
        <w:t>20508</w:t>
      </w:r>
      <w:r>
        <w:rPr>
          <w:rFonts w:ascii="Times New Roman" w:eastAsia="仿宋_GB2312" w:hAnsi="Times New Roman" w:cs="Times New Roman"/>
          <w:sz w:val="32"/>
          <w:szCs w:val="32"/>
        </w:rPr>
        <w:t>）培训支出（</w:t>
      </w:r>
      <w:r>
        <w:rPr>
          <w:rFonts w:ascii="Times New Roman" w:eastAsia="仿宋_GB2312" w:hAnsi="Times New Roman" w:cs="Times New Roman"/>
          <w:sz w:val="32"/>
          <w:szCs w:val="32"/>
        </w:rPr>
        <w:t>2050803</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3.52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决算数大于年初预算数的主要原因是：财政追加预算。</w:t>
      </w:r>
    </w:p>
    <w:p w:rsidR="0058525F" w:rsidRDefault="00000000">
      <w:pPr>
        <w:pStyle w:val="Default"/>
        <w:numPr>
          <w:ilvl w:val="0"/>
          <w:numId w:val="1"/>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文化旅游体育与传媒支出（</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）其他文化旅游体育与传媒支出（</w:t>
      </w:r>
      <w:r>
        <w:rPr>
          <w:rFonts w:ascii="Times New Roman" w:eastAsia="仿宋_GB2312" w:hAnsi="Times New Roman" w:cs="Times New Roman" w:hint="eastAsia"/>
          <w:sz w:val="32"/>
          <w:szCs w:val="32"/>
        </w:rPr>
        <w:t>20799</w:t>
      </w:r>
      <w:r>
        <w:rPr>
          <w:rFonts w:ascii="Times New Roman" w:eastAsia="仿宋_GB2312" w:hAnsi="Times New Roman" w:cs="Times New Roman" w:hint="eastAsia"/>
          <w:sz w:val="32"/>
          <w:szCs w:val="32"/>
        </w:rPr>
        <w:t>）其他文化旅游体育与传媒支出（</w:t>
      </w:r>
      <w:r>
        <w:rPr>
          <w:rFonts w:ascii="Times New Roman" w:eastAsia="仿宋_GB2312" w:hAnsi="Times New Roman" w:cs="Times New Roman" w:hint="eastAsia"/>
          <w:sz w:val="32"/>
          <w:szCs w:val="32"/>
        </w:rPr>
        <w:t>2079999</w:t>
      </w:r>
      <w:r>
        <w:rPr>
          <w:rFonts w:ascii="Times New Roman" w:eastAsia="仿宋_GB2312" w:hAnsi="Times New Roman" w:cs="Times New Roman" w:hint="eastAsia"/>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4.95</w:t>
      </w:r>
      <w:r>
        <w:rPr>
          <w:rFonts w:ascii="Times New Roman" w:eastAsia="仿宋_GB2312" w:hAnsi="Times New Roman" w:cs="Times New Roman"/>
          <w:sz w:val="32"/>
          <w:szCs w:val="32"/>
        </w:rPr>
        <w:t>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决算数大于年初预算数的主要原因是：财政追加预算</w:t>
      </w:r>
      <w:r>
        <w:rPr>
          <w:rFonts w:ascii="Times New Roman" w:eastAsia="仿宋_GB2312" w:hAnsi="Times New Roman" w:cs="Times New Roman" w:hint="eastAsia"/>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、社会保障和就业支出（</w:t>
      </w:r>
      <w:r>
        <w:rPr>
          <w:rFonts w:ascii="Times New Roman" w:eastAsia="仿宋_GB2312" w:hAnsi="Times New Roman" w:cs="Times New Roman"/>
          <w:sz w:val="32"/>
          <w:szCs w:val="32"/>
        </w:rPr>
        <w:t>208</w:t>
      </w:r>
      <w:r>
        <w:rPr>
          <w:rFonts w:ascii="Times New Roman" w:eastAsia="仿宋_GB2312" w:hAnsi="Times New Roman" w:cs="Times New Roman"/>
          <w:sz w:val="32"/>
          <w:szCs w:val="32"/>
        </w:rPr>
        <w:t>）行政事业单位养老支出（</w:t>
      </w:r>
      <w:r>
        <w:rPr>
          <w:rFonts w:ascii="Times New Roman" w:eastAsia="仿宋_GB2312" w:hAnsi="Times New Roman" w:cs="Times New Roman"/>
          <w:sz w:val="32"/>
          <w:szCs w:val="32"/>
        </w:rPr>
        <w:t>20805</w:t>
      </w:r>
      <w:r>
        <w:rPr>
          <w:rFonts w:ascii="Times New Roman" w:eastAsia="仿宋_GB2312" w:hAnsi="Times New Roman" w:cs="Times New Roman"/>
          <w:sz w:val="32"/>
          <w:szCs w:val="32"/>
        </w:rPr>
        <w:t>）机关事业单位基本养老保险缴费支出（</w:t>
      </w:r>
      <w:r>
        <w:rPr>
          <w:rFonts w:ascii="Times New Roman" w:eastAsia="仿宋_GB2312" w:hAnsi="Times New Roman" w:cs="Times New Roman"/>
          <w:sz w:val="32"/>
          <w:szCs w:val="32"/>
        </w:rPr>
        <w:t>2080505</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59.47</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59.47</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决算数与年初预算数持平的主要原因是：严格按预算数执行。</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、社会保障和就业支出（</w:t>
      </w:r>
      <w:r>
        <w:rPr>
          <w:rFonts w:ascii="Times New Roman" w:eastAsia="仿宋_GB2312" w:hAnsi="Times New Roman" w:cs="Times New Roman"/>
          <w:sz w:val="32"/>
          <w:szCs w:val="32"/>
        </w:rPr>
        <w:t>208</w:t>
      </w:r>
      <w:r>
        <w:rPr>
          <w:rFonts w:ascii="Times New Roman" w:eastAsia="仿宋_GB2312" w:hAnsi="Times New Roman" w:cs="Times New Roman"/>
          <w:sz w:val="32"/>
          <w:szCs w:val="32"/>
        </w:rPr>
        <w:t>）抚恤（</w:t>
      </w:r>
      <w:r>
        <w:rPr>
          <w:rFonts w:ascii="Times New Roman" w:eastAsia="仿宋_GB2312" w:hAnsi="Times New Roman" w:cs="Times New Roman"/>
          <w:sz w:val="32"/>
          <w:szCs w:val="32"/>
        </w:rPr>
        <w:t>20808</w:t>
      </w:r>
      <w:r>
        <w:rPr>
          <w:rFonts w:ascii="Times New Roman" w:eastAsia="仿宋_GB2312" w:hAnsi="Times New Roman" w:cs="Times New Roman"/>
          <w:sz w:val="32"/>
          <w:szCs w:val="32"/>
        </w:rPr>
        <w:t>）死亡抚恤（</w:t>
      </w:r>
      <w:r>
        <w:rPr>
          <w:rFonts w:ascii="Times New Roman" w:eastAsia="仿宋_GB2312" w:hAnsi="Times New Roman" w:cs="Times New Roman"/>
          <w:sz w:val="32"/>
          <w:szCs w:val="32"/>
        </w:rPr>
        <w:t>2080801</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74.98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sz w:val="32"/>
          <w:szCs w:val="32"/>
        </w:rPr>
        <w:t>决算数大于年初预算数的主要原因是：单位退休人员死亡，财政追加预算。</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、卫生健康支出（</w:t>
      </w:r>
      <w:r>
        <w:rPr>
          <w:rFonts w:ascii="Times New Roman" w:eastAsia="仿宋_GB2312" w:hAnsi="Times New Roman" w:cs="Times New Roman"/>
          <w:sz w:val="32"/>
          <w:szCs w:val="32"/>
        </w:rPr>
        <w:t>210</w:t>
      </w:r>
      <w:r>
        <w:rPr>
          <w:rFonts w:ascii="Times New Roman" w:eastAsia="仿宋_GB2312" w:hAnsi="Times New Roman" w:cs="Times New Roman"/>
          <w:sz w:val="32"/>
          <w:szCs w:val="32"/>
        </w:rPr>
        <w:t>）行政事业单位医疗（</w:t>
      </w:r>
      <w:r>
        <w:rPr>
          <w:rFonts w:ascii="Times New Roman" w:eastAsia="仿宋_GB2312" w:hAnsi="Times New Roman" w:cs="Times New Roman"/>
          <w:sz w:val="32"/>
          <w:szCs w:val="32"/>
        </w:rPr>
        <w:t>21011</w:t>
      </w:r>
      <w:r>
        <w:rPr>
          <w:rFonts w:ascii="Times New Roman" w:eastAsia="仿宋_GB2312" w:hAnsi="Times New Roman" w:cs="Times New Roman"/>
          <w:sz w:val="32"/>
          <w:szCs w:val="32"/>
        </w:rPr>
        <w:t>）行政单位医疗（</w:t>
      </w:r>
      <w:r>
        <w:rPr>
          <w:rFonts w:ascii="Times New Roman" w:eastAsia="仿宋_GB2312" w:hAnsi="Times New Roman" w:cs="Times New Roman"/>
          <w:sz w:val="32"/>
          <w:szCs w:val="32"/>
        </w:rPr>
        <w:t>2101101</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23.90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23.90</w:t>
      </w:r>
      <w:r>
        <w:rPr>
          <w:rFonts w:ascii="Times New Roman" w:eastAsia="仿宋_GB2312" w:hAnsi="Times New Roman" w:cs="Times New Roman"/>
          <w:sz w:val="32"/>
          <w:szCs w:val="32"/>
        </w:rPr>
        <w:t>万元，完成年初预</w:t>
      </w:r>
      <w:r>
        <w:rPr>
          <w:rFonts w:ascii="Times New Roman" w:eastAsia="仿宋_GB2312" w:hAnsi="Times New Roman" w:cs="Times New Roman"/>
          <w:sz w:val="32"/>
          <w:szCs w:val="32"/>
        </w:rPr>
        <w:lastRenderedPageBreak/>
        <w:t>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决算数与年初预算数持平的主要原因是：严格按预算数执行。</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、住房保障支出（</w:t>
      </w:r>
      <w:r>
        <w:rPr>
          <w:rFonts w:ascii="Times New Roman" w:eastAsia="仿宋_GB2312" w:hAnsi="Times New Roman" w:cs="Times New Roman"/>
          <w:sz w:val="32"/>
          <w:szCs w:val="32"/>
        </w:rPr>
        <w:t>221</w:t>
      </w:r>
      <w:r>
        <w:rPr>
          <w:rFonts w:ascii="Times New Roman" w:eastAsia="仿宋_GB2312" w:hAnsi="Times New Roman" w:cs="Times New Roman"/>
          <w:sz w:val="32"/>
          <w:szCs w:val="32"/>
        </w:rPr>
        <w:t>）住房改革支出（</w:t>
      </w:r>
      <w:r>
        <w:rPr>
          <w:rFonts w:ascii="Times New Roman" w:eastAsia="仿宋_GB2312" w:hAnsi="Times New Roman" w:cs="Times New Roman"/>
          <w:sz w:val="32"/>
          <w:szCs w:val="32"/>
        </w:rPr>
        <w:t>22102</w:t>
      </w:r>
      <w:r>
        <w:rPr>
          <w:rFonts w:ascii="Times New Roman" w:eastAsia="仿宋_GB2312" w:hAnsi="Times New Roman" w:cs="Times New Roman"/>
          <w:sz w:val="32"/>
          <w:szCs w:val="32"/>
        </w:rPr>
        <w:t>）住房公积金（</w:t>
      </w:r>
      <w:r>
        <w:rPr>
          <w:rFonts w:ascii="Times New Roman" w:eastAsia="仿宋_GB2312" w:hAnsi="Times New Roman" w:cs="Times New Roman"/>
          <w:sz w:val="32"/>
          <w:szCs w:val="32"/>
        </w:rPr>
        <w:t>2210201</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42.66</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42.66</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决算数与年初预算数持平的主要原因是：严格按预算数执行。</w:t>
      </w:r>
    </w:p>
    <w:p w:rsidR="0058525F" w:rsidRDefault="0058525F">
      <w:pPr>
        <w:pStyle w:val="Default"/>
        <w:spacing w:line="600" w:lineRule="exact"/>
        <w:ind w:firstLineChars="200" w:firstLine="640"/>
        <w:rPr>
          <w:rFonts w:ascii="Times New Roman" w:eastAsia="仿宋_GB2312" w:hAnsi="Times New Roman" w:cs="Times New Roman"/>
          <w:sz w:val="32"/>
          <w:szCs w:val="32"/>
        </w:rPr>
      </w:pP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sz w:val="32"/>
          <w:szCs w:val="32"/>
        </w:rPr>
        <w:t>901.97</w:t>
      </w:r>
      <w:r>
        <w:rPr>
          <w:rFonts w:ascii="Times New Roman" w:eastAsia="仿宋_GB2312" w:hAnsi="Times New Roman" w:cs="Times New Roman"/>
          <w:sz w:val="32"/>
          <w:szCs w:val="32"/>
        </w:rPr>
        <w:t>万元，其中：</w:t>
      </w:r>
    </w:p>
    <w:p w:rsidR="0058525F"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sz w:val="32"/>
          <w:szCs w:val="32"/>
        </w:rPr>
        <w:t>701.43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sz w:val="32"/>
          <w:szCs w:val="32"/>
        </w:rPr>
        <w:t>77.77%,</w:t>
      </w:r>
      <w:r>
        <w:rPr>
          <w:rFonts w:ascii="Times New Roman" w:eastAsia="仿宋_GB2312" w:hAnsi="Times New Roman" w:cs="Times New Roman" w:hint="eastAsia"/>
          <w:sz w:val="32"/>
          <w:szCs w:val="32"/>
        </w:rPr>
        <w:t>主要包括基本工资、津贴补贴、奖金、机关事业单位基本养老保险缴费、职工基本医疗保险缴费等。</w:t>
      </w:r>
    </w:p>
    <w:p w:rsidR="0058525F"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sz w:val="32"/>
          <w:szCs w:val="32"/>
        </w:rPr>
        <w:t>200.53</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sz w:val="32"/>
          <w:szCs w:val="32"/>
        </w:rPr>
        <w:t>22.23%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主要包括办公费、印刷费、差旅费、会议费、培训费、公务接待费、工会经费、其他商品和服务支出等。</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58525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sz w:val="32"/>
          <w:szCs w:val="32"/>
        </w:rPr>
        <w:t>4.58</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2.35</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51.31%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决算数小于预算数的主要原因是单位严格遵守</w:t>
      </w:r>
      <w:r w:rsidR="00F87BF7">
        <w:rPr>
          <w:rFonts w:ascii="Times New Roman" w:eastAsia="仿宋_GB2312" w:hAnsi="Times New Roman" w:cs="Times New Roman" w:hint="eastAsia"/>
          <w:sz w:val="32"/>
          <w:szCs w:val="32"/>
        </w:rPr>
        <w:t>中央</w:t>
      </w:r>
      <w:r>
        <w:rPr>
          <w:rFonts w:ascii="Times New Roman" w:eastAsia="仿宋_GB2312" w:hAnsi="Times New Roman" w:cs="Times New Roman" w:hint="eastAsia"/>
          <w:sz w:val="32"/>
          <w:szCs w:val="32"/>
        </w:rPr>
        <w:t>八项规定，厉行节约，</w:t>
      </w:r>
      <w:r>
        <w:rPr>
          <w:rFonts w:ascii="Times New Roman" w:eastAsia="仿宋_GB2312" w:hAnsi="Times New Roman" w:hint="eastAsia"/>
          <w:sz w:val="32"/>
          <w:szCs w:val="32"/>
        </w:rPr>
        <w:t>与上年相比持</w:t>
      </w:r>
      <w:r>
        <w:rPr>
          <w:rFonts w:ascii="Times New Roman" w:eastAsia="仿宋_GB2312" w:hAnsi="Times New Roman" w:hint="eastAsia"/>
          <w:sz w:val="32"/>
          <w:szCs w:val="32"/>
        </w:rPr>
        <w:lastRenderedPageBreak/>
        <w:t>平，无增减变化，无变化的主要原因是认真贯彻落实中央八项规定精神和厉行节约要求，从严控制公务接待开支。</w:t>
      </w:r>
    </w:p>
    <w:p w:rsidR="0058525F"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58525F" w:rsidRDefault="00000000">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，无法计算百分比，决算数与预算数持平的主要原因是无因公出国（境）费支出，与上年相比持平，无增减变化，无变化的主要原因是无因公出国（境）费支出。</w:t>
      </w:r>
    </w:p>
    <w:p w:rsidR="0058525F" w:rsidRDefault="00000000">
      <w:pPr>
        <w:pStyle w:val="Default"/>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color w:val="000000" w:themeColor="text1"/>
          <w:sz w:val="32"/>
          <w:szCs w:val="32"/>
        </w:rPr>
        <w:t>无法计算百分比，决算数与预算数持平的主要原因是无公务用车购置费支出，与上年相比持平，无增减变化，无变化的主要原因是无公务用车购置费支出。</w:t>
      </w:r>
    </w:p>
    <w:p w:rsidR="0058525F" w:rsidRDefault="00000000">
      <w:pPr>
        <w:pStyle w:val="Default"/>
        <w:spacing w:line="60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color w:val="000000" w:themeColor="text1"/>
          <w:sz w:val="32"/>
          <w:szCs w:val="32"/>
        </w:rPr>
        <w:t>无法计算百分比，决算数与预算数持平的主要原因是无公务用车购置费支出，与上年相比持平，无增减变化，无变化的主要原因是无公务用车购置费支出。</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p>
    <w:p w:rsidR="0058525F"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万元，祁阳市人民代表大会常务委员会更新公务用车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辆。公务用车运行维护费</w:t>
      </w:r>
      <w:r>
        <w:rPr>
          <w:rFonts w:ascii="Times New Roman" w:eastAsia="仿宋_GB2312" w:hAnsi="Times New Roman" w:hint="eastAsia"/>
          <w:sz w:val="32"/>
          <w:szCs w:val="32"/>
        </w:rPr>
        <w:t>0</w:t>
      </w:r>
      <w:r>
        <w:rPr>
          <w:rFonts w:ascii="Times New Roman" w:eastAsia="仿宋_GB2312" w:hAnsi="Times New Roman" w:hint="eastAsia"/>
          <w:sz w:val="32"/>
          <w:szCs w:val="32"/>
        </w:rPr>
        <w:t>万元，截止</w:t>
      </w:r>
      <w:r>
        <w:rPr>
          <w:rFonts w:ascii="Times New Roman" w:eastAsia="仿宋_GB2312" w:hAnsi="Times New Roman" w:hint="eastAsia"/>
          <w:sz w:val="32"/>
          <w:szCs w:val="32"/>
        </w:rPr>
        <w:t>202</w:t>
      </w:r>
      <w:r>
        <w:rPr>
          <w:rFonts w:ascii="Times New Roman" w:eastAsia="仿宋_GB2312" w:hAnsi="Times New Roman"/>
          <w:sz w:val="32"/>
          <w:szCs w:val="32"/>
        </w:rPr>
        <w:t>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sz w:val="32"/>
          <w:szCs w:val="32"/>
        </w:rPr>
        <w:t>4.58</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2.38</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51.96%</w:t>
      </w:r>
      <w:r>
        <w:rPr>
          <w:rFonts w:ascii="Times New Roman" w:eastAsia="仿宋_GB2312" w:hAnsi="Times New Roman" w:cs="Times New Roman"/>
          <w:sz w:val="32"/>
          <w:szCs w:val="32"/>
        </w:rPr>
        <w:t>；与上年相比增加</w:t>
      </w:r>
      <w:r>
        <w:rPr>
          <w:rFonts w:ascii="Times New Roman" w:eastAsia="仿宋_GB2312" w:hAnsi="Times New Roman" w:cs="Times New Roman"/>
          <w:sz w:val="32"/>
          <w:szCs w:val="32"/>
        </w:rPr>
        <w:t>1.74</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271.87%</w:t>
      </w:r>
      <w:r>
        <w:rPr>
          <w:rFonts w:ascii="Times New Roman" w:eastAsia="仿宋_GB2312" w:hAnsi="Times New Roman" w:cs="Times New Roman"/>
          <w:sz w:val="32"/>
          <w:szCs w:val="32"/>
        </w:rPr>
        <w:t>。决算数大于预算数的主要原因是上年公务接待工作未开展。</w:t>
      </w: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个、来宾</w:t>
      </w:r>
      <w:r>
        <w:rPr>
          <w:rFonts w:ascii="Times New Roman" w:eastAsia="仿宋_GB2312" w:hAnsi="Times New Roman" w:cs="Times New Roman"/>
          <w:sz w:val="32"/>
          <w:szCs w:val="32"/>
        </w:rPr>
        <w:t>121</w:t>
      </w:r>
      <w:r>
        <w:rPr>
          <w:rFonts w:ascii="Times New Roman" w:eastAsia="仿宋_GB2312" w:hAnsi="Times New Roman" w:cs="Times New Roman"/>
          <w:sz w:val="32"/>
          <w:szCs w:val="32"/>
        </w:rPr>
        <w:t>人次，主要是上级单位调研发生的接待支出。</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万元；年初结转和结余</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万元；年末结转和结余</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万元。具体情况如下：城市建设支出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、城乡社区支出（</w:t>
      </w:r>
      <w:r>
        <w:rPr>
          <w:rFonts w:ascii="Times New Roman" w:eastAsia="仿宋_GB2312" w:hAnsi="Times New Roman" w:cs="Times New Roman"/>
          <w:sz w:val="32"/>
          <w:szCs w:val="32"/>
        </w:rPr>
        <w:t>212</w:t>
      </w:r>
      <w:r>
        <w:rPr>
          <w:rFonts w:ascii="Times New Roman" w:eastAsia="仿宋_GB2312" w:hAnsi="Times New Roman" w:cs="Times New Roman"/>
          <w:sz w:val="32"/>
          <w:szCs w:val="32"/>
        </w:rPr>
        <w:t>）城市建设支出（</w:t>
      </w:r>
      <w:r>
        <w:rPr>
          <w:rFonts w:ascii="Times New Roman" w:eastAsia="仿宋_GB2312" w:hAnsi="Times New Roman" w:cs="Times New Roman"/>
          <w:sz w:val="32"/>
          <w:szCs w:val="32"/>
        </w:rPr>
        <w:t>21208</w:t>
      </w:r>
      <w:r>
        <w:rPr>
          <w:rFonts w:ascii="Times New Roman" w:eastAsia="仿宋_GB2312" w:hAnsi="Times New Roman" w:cs="Times New Roman"/>
          <w:sz w:val="32"/>
          <w:szCs w:val="32"/>
        </w:rPr>
        <w:t>）城市建设支出（</w:t>
      </w:r>
      <w:r>
        <w:rPr>
          <w:rFonts w:ascii="Times New Roman" w:eastAsia="仿宋_GB2312" w:hAnsi="Times New Roman" w:cs="Times New Roman"/>
          <w:sz w:val="32"/>
          <w:szCs w:val="32"/>
        </w:rPr>
        <w:t>2120803</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决算数与年初预算数持平的主要原因是：严格按预算数执行。</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sz w:val="32"/>
          <w:szCs w:val="32"/>
        </w:rPr>
        <w:t>200.53</w:t>
      </w:r>
      <w:r>
        <w:rPr>
          <w:rFonts w:ascii="Times New Roman" w:eastAsia="仿宋_GB2312" w:hAnsi="Times New Roman" w:cs="Times New Roman"/>
          <w:sz w:val="32"/>
          <w:szCs w:val="32"/>
        </w:rPr>
        <w:t>万元，比年初预算数持平。主要原因是：</w:t>
      </w:r>
      <w:r>
        <w:rPr>
          <w:rFonts w:ascii="Times New Roman" w:eastAsia="仿宋_GB2312" w:hAnsi="Times New Roman" w:hint="eastAsia"/>
          <w:sz w:val="32"/>
          <w:szCs w:val="32"/>
        </w:rPr>
        <w:t>严格按预算数执行。</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sz w:val="32"/>
          <w:szCs w:val="32"/>
        </w:rPr>
        <w:t>13.3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用于召开祁阳市一届人大</w:t>
      </w: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次会议和法定程序规定的市人民代表大会常务委员会会议</w:t>
      </w:r>
      <w:r>
        <w:rPr>
          <w:rFonts w:ascii="Times New Roman" w:eastAsia="仿宋_GB2312" w:hAnsi="Times New Roman" w:cs="Times New Roman"/>
          <w:sz w:val="32"/>
          <w:szCs w:val="32"/>
        </w:rPr>
        <w:t>；开支培训费</w:t>
      </w:r>
      <w:r>
        <w:rPr>
          <w:rFonts w:ascii="Times New Roman" w:eastAsia="仿宋_GB2312" w:hAnsi="Times New Roman" w:cs="Times New Roman"/>
          <w:sz w:val="32"/>
          <w:szCs w:val="32"/>
        </w:rPr>
        <w:t>23.32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用于开展组织党员干部参加学习贯彻党的二十大精神集中轮训班、省人大干部培训</w:t>
      </w:r>
      <w:proofErr w:type="gramStart"/>
      <w:r>
        <w:rPr>
          <w:rFonts w:ascii="Times New Roman" w:eastAsia="仿宋_GB2312" w:hAnsi="Times New Roman" w:hint="eastAsia"/>
          <w:sz w:val="32"/>
          <w:szCs w:val="32"/>
        </w:rPr>
        <w:t>基地人大</w:t>
      </w:r>
      <w:proofErr w:type="gramEnd"/>
      <w:r>
        <w:rPr>
          <w:rFonts w:ascii="Times New Roman" w:eastAsia="仿宋_GB2312" w:hAnsi="Times New Roman" w:hint="eastAsia"/>
          <w:sz w:val="32"/>
          <w:szCs w:val="32"/>
        </w:rPr>
        <w:t>干部和人大代表</w:t>
      </w:r>
      <w:proofErr w:type="gramStart"/>
      <w:r>
        <w:rPr>
          <w:rFonts w:ascii="Times New Roman" w:eastAsia="仿宋_GB2312" w:hAnsi="Times New Roman" w:hint="eastAsia"/>
          <w:sz w:val="32"/>
          <w:szCs w:val="32"/>
        </w:rPr>
        <w:t>履</w:t>
      </w:r>
      <w:proofErr w:type="gramEnd"/>
      <w:r>
        <w:rPr>
          <w:rFonts w:ascii="Times New Roman" w:eastAsia="仿宋_GB2312" w:hAnsi="Times New Roman" w:hint="eastAsia"/>
          <w:sz w:val="32"/>
          <w:szCs w:val="32"/>
        </w:rPr>
        <w:t>职能力培训班等各类培训学习</w:t>
      </w:r>
      <w:proofErr w:type="gramStart"/>
      <w:r>
        <w:rPr>
          <w:rFonts w:ascii="Times New Roman" w:eastAsia="仿宋_GB2312" w:hAnsi="Times New Roman"/>
          <w:sz w:val="32"/>
          <w:szCs w:val="32"/>
        </w:rPr>
        <w:t>15</w:t>
      </w:r>
      <w:r>
        <w:rPr>
          <w:rFonts w:ascii="Times New Roman" w:eastAsia="仿宋_GB2312" w:hAnsi="Times New Roman" w:hint="eastAsia"/>
          <w:sz w:val="32"/>
          <w:szCs w:val="32"/>
        </w:rPr>
        <w:t>余次</w:t>
      </w:r>
      <w:proofErr w:type="gramEnd"/>
      <w:r>
        <w:rPr>
          <w:rFonts w:ascii="Times New Roman" w:eastAsia="仿宋_GB2312" w:hAnsi="Times New Roman" w:hint="eastAsia"/>
          <w:sz w:val="32"/>
          <w:szCs w:val="32"/>
        </w:rPr>
        <w:t>，人数约</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人，内容为通过财政预决算、国民经济及社会发展计划，以及决定全市重大事项等；</w:t>
      </w:r>
      <w:r>
        <w:rPr>
          <w:rFonts w:ascii="Times New Roman" w:eastAsia="仿宋_GB2312" w:hAnsi="Times New Roman" w:cs="Times New Roman" w:hint="eastAsia"/>
          <w:sz w:val="32"/>
          <w:szCs w:val="32"/>
        </w:rPr>
        <w:t>未举办节庆、晚会、论坛、赛事等活动，</w:t>
      </w:r>
      <w:r>
        <w:rPr>
          <w:rFonts w:ascii="Times New Roman" w:eastAsia="仿宋_GB2312" w:hAnsi="Times New Roman" w:cs="Times New Roman" w:hint="eastAsia"/>
          <w:sz w:val="32"/>
          <w:szCs w:val="32"/>
        </w:rPr>
        <w:lastRenderedPageBreak/>
        <w:t>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sz w:val="32"/>
          <w:szCs w:val="32"/>
        </w:rPr>
        <w:t>113.74</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sz w:val="32"/>
          <w:szCs w:val="32"/>
        </w:rPr>
        <w:t xml:space="preserve">113.74 </w:t>
      </w:r>
      <w:r>
        <w:rPr>
          <w:rFonts w:ascii="Times New Roman" w:eastAsia="仿宋_GB2312" w:hAnsi="Times New Roman" w:cs="Times New Roman"/>
          <w:sz w:val="32"/>
          <w:szCs w:val="32"/>
        </w:rPr>
        <w:t>万元、政府采购工程支出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sz w:val="32"/>
          <w:szCs w:val="32"/>
        </w:rPr>
        <w:t>113.74</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sz w:val="32"/>
          <w:szCs w:val="32"/>
        </w:rPr>
        <w:t>113.74</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color w:val="auto"/>
          <w:sz w:val="32"/>
          <w:szCs w:val="32"/>
        </w:rPr>
        <w:t>23.74%</w:t>
      </w:r>
      <w:r>
        <w:rPr>
          <w:rFonts w:ascii="Times New Roman" w:eastAsia="仿宋_GB2312" w:hAnsi="Times New Roman" w:cs="Times New Roman"/>
          <w:color w:val="auto"/>
          <w:sz w:val="32"/>
          <w:szCs w:val="32"/>
        </w:rPr>
        <w:t>。</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58525F"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台（套）。</w:t>
      </w:r>
    </w:p>
    <w:p w:rsidR="0058525F"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58525F"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kern w:val="0"/>
          <w:sz w:val="32"/>
          <w:szCs w:val="32"/>
        </w:rPr>
        <w:t xml:space="preserve">2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，共涉及资金</w:t>
      </w:r>
      <w:r>
        <w:rPr>
          <w:rFonts w:ascii="Times New Roman" w:eastAsia="仿宋_GB2312" w:hAnsi="Times New Roman" w:cs="Times New Roman"/>
          <w:kern w:val="0"/>
          <w:sz w:val="32"/>
          <w:szCs w:val="32"/>
        </w:rPr>
        <w:t>283.84</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kern w:val="0"/>
          <w:sz w:val="32"/>
          <w:szCs w:val="32"/>
        </w:rPr>
        <w:t xml:space="preserve">2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 xml:space="preserve">279.84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kern w:val="0"/>
          <w:sz w:val="32"/>
          <w:szCs w:val="32"/>
        </w:rPr>
        <w:t xml:space="preserve">1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 xml:space="preserve">4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kern w:val="0"/>
          <w:sz w:val="32"/>
          <w:szCs w:val="32"/>
        </w:rPr>
        <w:t>100%</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kern w:val="0"/>
          <w:sz w:val="32"/>
          <w:szCs w:val="32"/>
        </w:rPr>
        <w:t>0</w:t>
      </w:r>
      <w:r>
        <w:rPr>
          <w:rFonts w:ascii="Times New Roman" w:eastAsia="仿宋_GB2312" w:hAnsi="Times New Roman" w:cs="Times New Roman"/>
          <w:kern w:val="0"/>
          <w:sz w:val="32"/>
          <w:szCs w:val="32"/>
        </w:rPr>
        <w:t>万元，；社会保险基</w:t>
      </w:r>
      <w:r>
        <w:rPr>
          <w:rFonts w:ascii="Times New Roman" w:eastAsia="仿宋_GB2312" w:hAnsi="Times New Roman" w:cs="Times New Roman"/>
          <w:kern w:val="0"/>
          <w:sz w:val="32"/>
          <w:szCs w:val="32"/>
        </w:rPr>
        <w:lastRenderedPageBreak/>
        <w:t>金预算项目</w:t>
      </w:r>
      <w:r>
        <w:rPr>
          <w:rFonts w:ascii="Times New Roman" w:eastAsia="仿宋_GB2312" w:hAnsi="Times New Roman" w:cs="Times New Roman"/>
          <w:kern w:val="0"/>
          <w:sz w:val="32"/>
          <w:szCs w:val="32"/>
        </w:rPr>
        <w:t xml:space="preserve">0 </w:t>
      </w:r>
      <w:r>
        <w:rPr>
          <w:rFonts w:ascii="Times New Roman" w:eastAsia="仿宋_GB2312" w:hAnsi="Times New Roman" w:cs="Times New Roman"/>
          <w:kern w:val="0"/>
          <w:sz w:val="32"/>
          <w:szCs w:val="32"/>
        </w:rPr>
        <w:t>万元。</w:t>
      </w:r>
    </w:p>
    <w:p w:rsidR="0058525F"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二是部门评价开展情况（如有，一级预算部门填写）。</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年度一般行政管理事务</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sz w:val="32"/>
          <w:szCs w:val="32"/>
        </w:rPr>
        <w:t>279.84</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sz w:val="32"/>
          <w:szCs w:val="32"/>
        </w:rPr>
        <w:t>4</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p>
    <w:p w:rsidR="0058525F"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仿宋_GB2312" w:hAnsi="Times New Roman" w:cs="Times New Roman"/>
          <w:b/>
          <w:bCs/>
          <w:kern w:val="0"/>
          <w:sz w:val="32"/>
          <w:szCs w:val="32"/>
        </w:rPr>
        <w:t>三是事前绩效评估开展情况（如有，一级预算部门填写）。</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sz w:val="32"/>
          <w:szCs w:val="32"/>
        </w:rPr>
        <w:t>1</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sz w:val="32"/>
          <w:szCs w:val="32"/>
        </w:rPr>
        <w:t>1</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kern w:val="0"/>
          <w:sz w:val="32"/>
          <w:szCs w:val="32"/>
        </w:rPr>
        <w:t>283.84</w:t>
      </w:r>
      <w:r>
        <w:rPr>
          <w:rFonts w:ascii="Times New Roman" w:eastAsia="仿宋_GB2312" w:hAnsi="Times New Roman" w:cs="Times New Roman"/>
          <w:kern w:val="0"/>
          <w:sz w:val="32"/>
          <w:szCs w:val="32"/>
        </w:rPr>
        <w:t>万元。</w:t>
      </w:r>
    </w:p>
    <w:p w:rsidR="0058525F"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年度本部门整体支出</w:t>
      </w:r>
      <w:r>
        <w:rPr>
          <w:rFonts w:ascii="Times New Roman" w:eastAsia="仿宋_GB2312" w:hAnsi="Times New Roman" w:cs="Times New Roman"/>
          <w:sz w:val="32"/>
          <w:szCs w:val="32"/>
        </w:rPr>
        <w:t>全年预算数</w:t>
      </w:r>
      <w:r>
        <w:rPr>
          <w:rFonts w:ascii="Times New Roman" w:eastAsia="仿宋_GB2312" w:hAnsi="Times New Roman" w:cs="Times New Roman"/>
          <w:sz w:val="32"/>
          <w:szCs w:val="32"/>
        </w:rPr>
        <w:t>1008.68</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1181.81</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117.16%</w:t>
      </w:r>
      <w:r>
        <w:rPr>
          <w:rFonts w:ascii="Times New Roman" w:eastAsia="仿宋_GB2312" w:hAnsi="Times New Roman" w:cs="Times New Roman"/>
          <w:kern w:val="0"/>
          <w:sz w:val="32"/>
          <w:szCs w:val="32"/>
        </w:rPr>
        <w:t>，绩效自评得分</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仿宋" w:eastAsia="仿宋" w:hAnsi="仿宋" w:cs="仿宋" w:hint="eastAsia"/>
          <w:kern w:val="0"/>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w:t>
      </w:r>
      <w:r>
        <w:rPr>
          <w:rFonts w:ascii="仿宋" w:eastAsia="仿宋" w:hAnsi="仿宋" w:cs="仿宋" w:hint="eastAsia"/>
          <w:kern w:val="0"/>
          <w:sz w:val="32"/>
          <w:szCs w:val="32"/>
        </w:rPr>
        <w:t>2024年我单位资金运行维护决策正确；二是资金管理规范，项目管理到位，政策执行有力，确保了各项工作顺利进行，保障优化了经济社会发展，有效发挥了财政资金的使用效率；三是在人员经费、公用经费的使用上，严格执行市委市政府的各项制度；在项目经费的使用上，在保证各项任务顺利完成的同时，严格落</w:t>
      </w:r>
      <w:r>
        <w:rPr>
          <w:rFonts w:ascii="仿宋" w:eastAsia="仿宋" w:hAnsi="仿宋" w:cs="仿宋" w:hint="eastAsia"/>
          <w:bCs/>
          <w:kern w:val="0"/>
          <w:sz w:val="32"/>
          <w:szCs w:val="32"/>
          <w:lang w:bidi="ar"/>
        </w:rPr>
        <w:t>实厉行节约的原则</w:t>
      </w:r>
      <w:r>
        <w:rPr>
          <w:rFonts w:ascii="Times New Roman" w:eastAsia="仿宋_GB2312" w:hAnsi="Times New Roman" w:cs="Times New Roman"/>
          <w:kern w:val="0"/>
          <w:sz w:val="32"/>
          <w:szCs w:val="32"/>
        </w:rPr>
        <w:t>。</w:t>
      </w:r>
    </w:p>
    <w:p w:rsidR="0058525F" w:rsidRDefault="00000000">
      <w:pPr>
        <w:overflowPunct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年人大办项目全年预算数</w:t>
      </w:r>
      <w:r>
        <w:rPr>
          <w:rFonts w:ascii="Times New Roman" w:eastAsia="仿宋_GB2312" w:hAnsi="Times New Roman" w:cs="Times New Roman"/>
          <w:sz w:val="32"/>
          <w:szCs w:val="32"/>
        </w:rPr>
        <w:t>234.08</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283.84</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126.26%</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仿宋" w:eastAsia="仿宋" w:hAnsi="仿宋" w:cs="仿宋" w:hint="eastAsia"/>
          <w:kern w:val="0"/>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仿宋" w:eastAsia="仿宋" w:hAnsi="仿宋" w:cs="仿宋" w:hint="eastAsia"/>
          <w:color w:val="333333"/>
          <w:spacing w:val="-2"/>
          <w:sz w:val="32"/>
          <w:szCs w:val="32"/>
          <w:shd w:val="clear" w:color="auto" w:fill="FFFFFF"/>
        </w:rPr>
        <w:t>资金管理规范，项目管理到位，政策执行有力，有效发挥了财政资金的使用效率</w:t>
      </w:r>
      <w:r>
        <w:rPr>
          <w:rFonts w:ascii="Times New Roman" w:eastAsia="仿宋_GB2312" w:hAnsi="Times New Roman" w:cs="Times New Roman"/>
          <w:sz w:val="32"/>
          <w:szCs w:val="32"/>
        </w:rPr>
        <w:t>；二是</w:t>
      </w:r>
      <w:r>
        <w:rPr>
          <w:rFonts w:ascii="Times New Roman" w:eastAsia="仿宋_GB2312" w:hAnsi="Times New Roman" w:cs="Times New Roman" w:hint="eastAsia"/>
          <w:bCs/>
          <w:kern w:val="0"/>
          <w:sz w:val="32"/>
          <w:szCs w:val="32"/>
          <w:lang w:bidi="ar"/>
        </w:rPr>
        <w:t>部门资金的主要用途是确保了各项工作</w:t>
      </w:r>
      <w:r>
        <w:rPr>
          <w:rFonts w:ascii="Times New Roman" w:eastAsia="仿宋_GB2312" w:hAnsi="Times New Roman" w:cs="Times New Roman" w:hint="eastAsia"/>
          <w:bCs/>
          <w:kern w:val="0"/>
          <w:sz w:val="32"/>
          <w:szCs w:val="32"/>
          <w:lang w:bidi="ar"/>
        </w:rPr>
        <w:lastRenderedPageBreak/>
        <w:t>顺利进行，为优化经济社会发展提供了有力保障；在人员经费、公共公用经费的使用上，严格执行市委市政府的各项制度</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在今后的专项经费管理中，我们将进一步细化专项资金预算申报，做到合理安排资金，提高专项资金使用效果</w:t>
      </w:r>
      <w:r>
        <w:rPr>
          <w:rFonts w:ascii="Times New Roman" w:eastAsia="仿宋_GB2312" w:hAnsi="Times New Roman" w:cs="Times New Roman"/>
          <w:sz w:val="32"/>
          <w:szCs w:val="32"/>
        </w:rPr>
        <w:t>；二是</w:t>
      </w:r>
      <w:r>
        <w:rPr>
          <w:rFonts w:ascii="仿宋" w:eastAsia="仿宋" w:hAnsi="仿宋" w:cs="仿宋" w:hint="eastAsia"/>
          <w:color w:val="333333"/>
          <w:spacing w:val="-2"/>
          <w:kern w:val="0"/>
          <w:sz w:val="32"/>
          <w:szCs w:val="32"/>
          <w:shd w:val="clear" w:color="auto" w:fill="FFFFFF"/>
          <w:lang w:bidi="ar"/>
        </w:rPr>
        <w:t>加强项目的运行监管，</w:t>
      </w:r>
      <w:r>
        <w:rPr>
          <w:rFonts w:ascii="Times New Roman" w:eastAsia="仿宋_GB2312" w:hAnsi="Times New Roman" w:cs="Times New Roman" w:hint="eastAsia"/>
          <w:bCs/>
          <w:kern w:val="0"/>
          <w:sz w:val="32"/>
          <w:szCs w:val="32"/>
          <w:lang w:bidi="ar"/>
        </w:rPr>
        <w:t>优先保障固定性的、</w:t>
      </w:r>
      <w:proofErr w:type="gramStart"/>
      <w:r>
        <w:rPr>
          <w:rFonts w:ascii="Times New Roman" w:eastAsia="仿宋_GB2312" w:hAnsi="Times New Roman" w:cs="Times New Roman" w:hint="eastAsia"/>
          <w:bCs/>
          <w:kern w:val="0"/>
          <w:sz w:val="32"/>
          <w:szCs w:val="32"/>
          <w:lang w:bidi="ar"/>
        </w:rPr>
        <w:t>相对刚需的</w:t>
      </w:r>
      <w:proofErr w:type="gramEnd"/>
      <w:r>
        <w:rPr>
          <w:rFonts w:ascii="Times New Roman" w:eastAsia="仿宋_GB2312" w:hAnsi="Times New Roman" w:cs="Times New Roman" w:hint="eastAsia"/>
          <w:bCs/>
          <w:kern w:val="0"/>
          <w:sz w:val="32"/>
          <w:szCs w:val="32"/>
          <w:lang w:bidi="ar"/>
        </w:rPr>
        <w:t>费用支出项目，尽量压缩变动性的、有</w:t>
      </w:r>
      <w:r>
        <w:rPr>
          <w:rFonts w:ascii="仿宋" w:eastAsia="仿宋" w:hAnsi="仿宋" w:cs="仿宋" w:hint="eastAsia"/>
          <w:bCs/>
          <w:kern w:val="0"/>
          <w:sz w:val="32"/>
          <w:szCs w:val="32"/>
          <w:lang w:bidi="ar"/>
        </w:rPr>
        <w:t>控制空间的费用项目，进一步提高预算编制的科学性、严谨性和可控性</w:t>
      </w:r>
      <w:r>
        <w:rPr>
          <w:rFonts w:ascii="Times New Roman" w:eastAsia="仿宋_GB2312" w:hAnsi="Times New Roman" w:cs="Times New Roman"/>
          <w:sz w:val="32"/>
          <w:szCs w:val="32"/>
        </w:rPr>
        <w:t>。</w:t>
      </w:r>
    </w:p>
    <w:p w:rsidR="0058525F"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sz w:val="32"/>
          <w:szCs w:val="32"/>
        </w:rPr>
        <w:t>2</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sz w:val="32"/>
          <w:szCs w:val="32"/>
        </w:rPr>
        <w:t>2</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sz w:val="32"/>
          <w:szCs w:val="32"/>
        </w:rPr>
        <w:t>283.84</w:t>
      </w:r>
      <w:r>
        <w:rPr>
          <w:rFonts w:ascii="Times New Roman" w:eastAsia="仿宋_GB2312" w:hAnsi="Times New Roman" w:cs="Times New Roman"/>
          <w:kern w:val="0"/>
          <w:sz w:val="32"/>
          <w:szCs w:val="32"/>
        </w:rPr>
        <w:t>万元，</w:t>
      </w:r>
      <w:r>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sz w:val="32"/>
          <w:szCs w:val="32"/>
        </w:rPr>
        <w:t>0</w:t>
      </w:r>
      <w:r>
        <w:rPr>
          <w:rFonts w:ascii="Times New Roman" w:eastAsia="仿宋_GB2312" w:hAnsi="Times New Roman" w:cs="Times New Roman"/>
          <w:kern w:val="0"/>
          <w:sz w:val="32"/>
          <w:szCs w:val="32"/>
        </w:rPr>
        <w:t>万元。</w:t>
      </w:r>
    </w:p>
    <w:p w:rsidR="0058525F" w:rsidRDefault="00000000">
      <w:pPr>
        <w:pStyle w:val="Default"/>
        <w:numPr>
          <w:ilvl w:val="0"/>
          <w:numId w:val="2"/>
        </w:numPr>
        <w:overflowPunct w:val="0"/>
        <w:autoSpaceDE/>
        <w:autoSpaceDN/>
        <w:spacing w:line="600" w:lineRule="exact"/>
        <w:ind w:firstLineChars="200" w:firstLine="643"/>
        <w:jc w:val="both"/>
        <w:rPr>
          <w:rFonts w:ascii="仿宋" w:eastAsia="仿宋" w:hAnsi="仿宋" w:cs="仿宋" w:hint="eastAsia"/>
          <w:color w:val="auto"/>
          <w:sz w:val="32"/>
          <w:szCs w:val="32"/>
        </w:rPr>
      </w:pPr>
      <w:r>
        <w:rPr>
          <w:rFonts w:ascii="Times New Roman" w:eastAsia="楷体_GB2312" w:hAnsi="Times New Roman" w:cs="Times New Roman"/>
          <w:b/>
          <w:bCs/>
          <w:color w:val="auto"/>
          <w:kern w:val="2"/>
          <w:sz w:val="32"/>
          <w:szCs w:val="32"/>
        </w:rPr>
        <w:t>评价结果应用情况。</w:t>
      </w:r>
      <w:proofErr w:type="gramStart"/>
      <w:r>
        <w:rPr>
          <w:rFonts w:ascii="仿宋" w:eastAsia="仿宋" w:hAnsi="仿宋" w:cs="仿宋" w:hint="eastAsia"/>
          <w:color w:val="auto"/>
          <w:sz w:val="32"/>
          <w:szCs w:val="32"/>
        </w:rPr>
        <w:t>评价组</w:t>
      </w:r>
      <w:proofErr w:type="gramEnd"/>
      <w:r>
        <w:rPr>
          <w:rFonts w:ascii="仿宋" w:eastAsia="仿宋" w:hAnsi="仿宋" w:cs="仿宋" w:hint="eastAsia"/>
          <w:color w:val="auto"/>
          <w:sz w:val="32"/>
          <w:szCs w:val="32"/>
        </w:rPr>
        <w:t>通过对本部门2024年度绩效进行评价，认为资金使用达到既定目标，实施效果、资金使用绩效较好，促进了全市市场的发展。按照权重指标体系综合评分，本部门整体支出最终得分9</w:t>
      </w:r>
      <w:r>
        <w:rPr>
          <w:rFonts w:ascii="仿宋" w:eastAsia="仿宋" w:hAnsi="仿宋" w:cs="仿宋"/>
          <w:color w:val="auto"/>
          <w:sz w:val="32"/>
          <w:szCs w:val="32"/>
        </w:rPr>
        <w:t>8</w:t>
      </w:r>
      <w:r>
        <w:rPr>
          <w:rFonts w:ascii="仿宋" w:eastAsia="仿宋" w:hAnsi="仿宋" w:cs="仿宋" w:hint="eastAsia"/>
          <w:color w:val="auto"/>
          <w:sz w:val="32"/>
          <w:szCs w:val="32"/>
        </w:rPr>
        <w:t>分，评价结果为“优秀”。</w:t>
      </w:r>
    </w:p>
    <w:p w:rsidR="0058525F" w:rsidRDefault="00000000">
      <w:pPr>
        <w:pStyle w:val="Default"/>
        <w:overflowPunct w:val="0"/>
        <w:autoSpaceDE/>
        <w:autoSpaceDN/>
        <w:spacing w:line="600" w:lineRule="exact"/>
        <w:ind w:firstLineChars="200" w:firstLine="640"/>
        <w:jc w:val="both"/>
        <w:rPr>
          <w:rFonts w:ascii="仿宋" w:eastAsia="仿宋" w:hAnsi="仿宋" w:cs="仿宋" w:hint="eastAsia"/>
          <w:color w:val="auto"/>
          <w:sz w:val="32"/>
          <w:szCs w:val="32"/>
        </w:rPr>
      </w:pPr>
      <w:r>
        <w:rPr>
          <w:rFonts w:ascii="仿宋" w:eastAsia="仿宋" w:hAnsi="仿宋" w:cs="仿宋" w:hint="eastAsia"/>
          <w:color w:val="auto"/>
          <w:sz w:val="32"/>
          <w:szCs w:val="32"/>
        </w:rPr>
        <w:t>改进措施及有关建议：1、完善、规范资金的预算管理和执行，确保资金及时足额到位。2、规范资金管理行为，提高资金使用效益。3、构建资金监管体系，加强对资金的监管检查力度。</w:t>
      </w:r>
    </w:p>
    <w:p w:rsidR="0058525F" w:rsidRDefault="0058525F">
      <w:pPr>
        <w:pStyle w:val="Default"/>
        <w:overflowPunct w:val="0"/>
        <w:autoSpaceDE/>
        <w:autoSpaceDN/>
        <w:spacing w:line="600" w:lineRule="exact"/>
        <w:ind w:firstLineChars="200" w:firstLine="1440"/>
        <w:jc w:val="both"/>
        <w:rPr>
          <w:rFonts w:ascii="Times New Roman" w:eastAsia="仿宋_GB2312" w:hAnsi="Times New Roman" w:cs="Times New Roman"/>
          <w:color w:val="auto"/>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both"/>
        <w:rPr>
          <w:rFonts w:ascii="Times New Roman" w:hAnsi="Times New Roman" w:cs="Times New Roman"/>
          <w:sz w:val="72"/>
          <w:szCs w:val="72"/>
        </w:rPr>
      </w:pP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58525F" w:rsidRDefault="0058525F">
      <w:pPr>
        <w:widowControl/>
        <w:jc w:val="left"/>
        <w:rPr>
          <w:rFonts w:ascii="Times New Roman" w:hAnsi="Times New Roman" w:cs="Times New Roman"/>
          <w:color w:val="000000"/>
          <w:kern w:val="0"/>
          <w:sz w:val="32"/>
          <w:szCs w:val="32"/>
        </w:rPr>
      </w:pPr>
    </w:p>
    <w:p w:rsidR="0058525F"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58525F"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四、“三公”经费科目</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58525F"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both"/>
        <w:rPr>
          <w:rFonts w:ascii="Times New Roman" w:hAnsi="Times New Roman" w:cs="Times New Roman"/>
          <w:sz w:val="72"/>
          <w:szCs w:val="72"/>
        </w:rPr>
      </w:pPr>
    </w:p>
    <w:p w:rsidR="0058525F"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58525F" w:rsidRDefault="0058525F">
      <w:pPr>
        <w:rPr>
          <w:rFonts w:ascii="Times New Roman" w:hAnsi="Times New Roman" w:cs="Times New Roman"/>
          <w:sz w:val="72"/>
          <w:szCs w:val="72"/>
        </w:rPr>
      </w:pPr>
    </w:p>
    <w:p w:rsidR="0058525F" w:rsidRDefault="00000000">
      <w:pPr>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w:t>
      </w:r>
      <w:r>
        <w:rPr>
          <w:rFonts w:ascii="Times New Roman" w:eastAsia="仿宋_GB2312" w:hAnsi="Times New Roman" w:cs="黑体"/>
          <w:b/>
          <w:color w:val="000000"/>
          <w:kern w:val="0"/>
          <w:sz w:val="36"/>
          <w:szCs w:val="36"/>
        </w:rPr>
        <w:t>4</w:t>
      </w:r>
      <w:r>
        <w:rPr>
          <w:rFonts w:ascii="Times New Roman" w:eastAsia="仿宋_GB2312" w:hAnsi="Times New Roman" w:cs="黑体" w:hint="eastAsia"/>
          <w:b/>
          <w:color w:val="000000"/>
          <w:kern w:val="0"/>
          <w:sz w:val="36"/>
          <w:szCs w:val="36"/>
        </w:rPr>
        <w:t>年度部门整体支出绩效自评报告</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为进一步规范财政资金管理，强化部门绩效和责任意识，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切实提高财政资金使用效益，根据《中华人民共和国预算法》关于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各级政府、各部门、各单位应当对预算支出情况开展绩效</w:t>
      </w:r>
      <w:r>
        <w:rPr>
          <w:rFonts w:ascii="Times New Roman" w:eastAsia="仿宋_GB2312" w:hAnsi="Times New Roman" w:cs="Times New Roman"/>
          <w:sz w:val="32"/>
          <w:szCs w:val="32"/>
        </w:rPr>
        <w:lastRenderedPageBreak/>
        <w:t>评价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的规定和《湖南省财政厅关于开展</w:t>
      </w:r>
      <w:r>
        <w:rPr>
          <w:rFonts w:ascii="Times New Roman" w:eastAsia="仿宋_GB2312" w:hAnsi="Times New Roman" w:cs="Times New Roman"/>
          <w:sz w:val="32"/>
          <w:szCs w:val="32"/>
        </w:rPr>
        <w:t xml:space="preserve"> 2024</w:t>
      </w:r>
      <w:r>
        <w:rPr>
          <w:rFonts w:ascii="Times New Roman" w:eastAsia="仿宋_GB2312" w:hAnsi="Times New Roman" w:cs="Times New Roman"/>
          <w:sz w:val="32"/>
          <w:szCs w:val="32"/>
        </w:rPr>
        <w:t>年度部门绩效自评工作的通知》（祁财库〔</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号）文件要求，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祁阳市人民代表大会常务委员会对本单位</w:t>
      </w:r>
      <w:r>
        <w:rPr>
          <w:rFonts w:ascii="Times New Roman" w:eastAsia="仿宋_GB2312" w:hAnsi="Times New Roman" w:cs="Times New Roman"/>
          <w:sz w:val="32"/>
          <w:szCs w:val="32"/>
        </w:rPr>
        <w:t xml:space="preserve"> 2024</w:t>
      </w:r>
      <w:r>
        <w:rPr>
          <w:rFonts w:ascii="Times New Roman" w:eastAsia="仿宋_GB2312" w:hAnsi="Times New Roman" w:cs="Times New Roman"/>
          <w:sz w:val="32"/>
          <w:szCs w:val="32"/>
        </w:rPr>
        <w:t>年度部门整体支出资金开展了绩效评价工作。</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现将绩效评价情况及评价结果报告如下：</w:t>
      </w:r>
      <w:r>
        <w:rPr>
          <w:rFonts w:ascii="Times New Roman" w:eastAsia="仿宋_GB2312" w:hAnsi="Times New Roman" w:cs="Times New Roman"/>
          <w:sz w:val="32"/>
          <w:szCs w:val="32"/>
        </w:rPr>
        <w:t xml:space="preserve"> </w:t>
      </w:r>
    </w:p>
    <w:p w:rsidR="0058525F" w:rsidRDefault="00000000">
      <w:pPr>
        <w:pStyle w:val="Default"/>
        <w:numPr>
          <w:ilvl w:val="0"/>
          <w:numId w:val="3"/>
        </w:numPr>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绩效管理工作开展情况</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根据市财政局文件要求，我办绩效评价领导小组结合本单位实际情况制订了自评方案，范善了评价指标体系。</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年支出预算</w:t>
      </w:r>
      <w:r>
        <w:rPr>
          <w:rFonts w:ascii="Times New Roman" w:eastAsia="仿宋_GB2312" w:hAnsi="Times New Roman" w:cs="Times New Roman"/>
          <w:sz w:val="32"/>
          <w:szCs w:val="32"/>
        </w:rPr>
        <w:t>1008.68</w:t>
      </w:r>
      <w:r>
        <w:rPr>
          <w:rFonts w:ascii="Times New Roman" w:eastAsia="仿宋_GB2312" w:hAnsi="Times New Roman" w:cs="Times New Roman" w:hint="eastAsia"/>
          <w:sz w:val="32"/>
          <w:szCs w:val="32"/>
        </w:rPr>
        <w:t>万元，其中，一般公共服务</w:t>
      </w:r>
      <w:r>
        <w:rPr>
          <w:rFonts w:ascii="Times New Roman" w:eastAsia="仿宋_GB2312" w:hAnsi="Times New Roman" w:cs="Times New Roman"/>
          <w:sz w:val="32"/>
          <w:szCs w:val="32"/>
        </w:rPr>
        <w:t>875.37</w:t>
      </w:r>
      <w:r>
        <w:rPr>
          <w:rFonts w:ascii="Times New Roman" w:eastAsia="仿宋_GB2312" w:hAnsi="Times New Roman" w:cs="Times New Roman" w:hint="eastAsia"/>
          <w:sz w:val="32"/>
          <w:szCs w:val="32"/>
        </w:rPr>
        <w:t>万元、社会保障和就业支出</w:t>
      </w:r>
      <w:r>
        <w:rPr>
          <w:rFonts w:ascii="Times New Roman" w:eastAsia="仿宋_GB2312" w:hAnsi="Times New Roman" w:cs="Times New Roman"/>
          <w:sz w:val="32"/>
          <w:szCs w:val="32"/>
        </w:rPr>
        <w:t>66.75</w:t>
      </w:r>
      <w:r>
        <w:rPr>
          <w:rFonts w:ascii="Times New Roman" w:eastAsia="仿宋_GB2312" w:hAnsi="Times New Roman" w:cs="Times New Roman" w:hint="eastAsia"/>
          <w:sz w:val="32"/>
          <w:szCs w:val="32"/>
        </w:rPr>
        <w:t>万元、卫生健康支出</w:t>
      </w:r>
      <w:r>
        <w:rPr>
          <w:rFonts w:ascii="Times New Roman" w:eastAsia="仿宋_GB2312" w:hAnsi="Times New Roman" w:cs="Times New Roman"/>
          <w:sz w:val="32"/>
          <w:szCs w:val="32"/>
        </w:rPr>
        <w:t>23.9</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年决算支出</w:t>
      </w:r>
      <w:r>
        <w:rPr>
          <w:rFonts w:ascii="Times New Roman" w:eastAsia="仿宋_GB2312" w:hAnsi="Times New Roman" w:cs="Times New Roman"/>
          <w:sz w:val="32"/>
          <w:szCs w:val="32"/>
        </w:rPr>
        <w:t>1185.81</w:t>
      </w:r>
      <w:r>
        <w:rPr>
          <w:rFonts w:ascii="Times New Roman" w:eastAsia="仿宋_GB2312" w:hAnsi="Times New Roman" w:cs="Times New Roman" w:hint="eastAsia"/>
          <w:sz w:val="32"/>
          <w:szCs w:val="32"/>
        </w:rPr>
        <w:t>万元，其中一般公共服务支出</w:t>
      </w:r>
      <w:r>
        <w:rPr>
          <w:rFonts w:ascii="Times New Roman" w:eastAsia="仿宋_GB2312" w:hAnsi="Times New Roman" w:cs="Times New Roman"/>
          <w:sz w:val="32"/>
          <w:szCs w:val="32"/>
        </w:rPr>
        <w:t>963.69</w:t>
      </w:r>
      <w:r>
        <w:rPr>
          <w:rFonts w:ascii="Times New Roman" w:eastAsia="仿宋_GB2312" w:hAnsi="Times New Roman" w:cs="Times New Roman" w:hint="eastAsia"/>
          <w:sz w:val="32"/>
          <w:szCs w:val="32"/>
        </w:rPr>
        <w:t>万元、教育支出</w:t>
      </w:r>
      <w:r>
        <w:rPr>
          <w:rFonts w:ascii="Times New Roman" w:eastAsia="仿宋_GB2312" w:hAnsi="Times New Roman" w:cs="Times New Roman"/>
          <w:sz w:val="32"/>
          <w:szCs w:val="32"/>
        </w:rPr>
        <w:t>12.05</w:t>
      </w:r>
      <w:r>
        <w:rPr>
          <w:rFonts w:ascii="Times New Roman" w:eastAsia="仿宋_GB2312" w:hAnsi="Times New Roman" w:cs="Times New Roman" w:hint="eastAsia"/>
          <w:sz w:val="32"/>
          <w:szCs w:val="32"/>
        </w:rPr>
        <w:t>万元、文化旅游体育与传媒支出</w:t>
      </w:r>
      <w:r>
        <w:rPr>
          <w:rFonts w:ascii="Times New Roman" w:eastAsia="仿宋_GB2312" w:hAnsi="Times New Roman" w:cs="Times New Roman"/>
          <w:sz w:val="32"/>
          <w:szCs w:val="32"/>
        </w:rPr>
        <w:t>5.05</w:t>
      </w:r>
      <w:r>
        <w:rPr>
          <w:rFonts w:ascii="Times New Roman" w:eastAsia="仿宋_GB2312" w:hAnsi="Times New Roman" w:cs="Times New Roman" w:hint="eastAsia"/>
          <w:sz w:val="32"/>
          <w:szCs w:val="32"/>
        </w:rPr>
        <w:t>万元、社会保障和就业支出</w:t>
      </w:r>
      <w:r>
        <w:rPr>
          <w:rFonts w:ascii="Times New Roman" w:eastAsia="仿宋_GB2312" w:hAnsi="Times New Roman" w:cs="Times New Roman"/>
          <w:sz w:val="32"/>
          <w:szCs w:val="32"/>
        </w:rPr>
        <w:t>134.44</w:t>
      </w:r>
      <w:r>
        <w:rPr>
          <w:rFonts w:ascii="Times New Roman" w:eastAsia="仿宋_GB2312" w:hAnsi="Times New Roman" w:cs="Times New Roman" w:hint="eastAsia"/>
          <w:sz w:val="32"/>
          <w:szCs w:val="32"/>
        </w:rPr>
        <w:t>万元、卫生健康支出</w:t>
      </w:r>
      <w:r>
        <w:rPr>
          <w:rFonts w:ascii="Times New Roman" w:eastAsia="仿宋_GB2312" w:hAnsi="Times New Roman" w:cs="Times New Roman"/>
          <w:sz w:val="32"/>
          <w:szCs w:val="32"/>
        </w:rPr>
        <w:t>23.9</w:t>
      </w:r>
      <w:r>
        <w:rPr>
          <w:rFonts w:ascii="Times New Roman" w:eastAsia="仿宋_GB2312" w:hAnsi="Times New Roman" w:cs="Times New Roman" w:hint="eastAsia"/>
          <w:sz w:val="32"/>
          <w:szCs w:val="32"/>
        </w:rPr>
        <w:t>万元。决算比预算支出增加</w:t>
      </w:r>
      <w:r>
        <w:rPr>
          <w:rFonts w:ascii="Times New Roman" w:eastAsia="仿宋_GB2312" w:hAnsi="Times New Roman" w:cs="Times New Roman"/>
          <w:sz w:val="32"/>
          <w:szCs w:val="32"/>
        </w:rPr>
        <w:t>177.13</w:t>
      </w:r>
      <w:r>
        <w:rPr>
          <w:rFonts w:ascii="Times New Roman" w:eastAsia="仿宋_GB2312" w:hAnsi="Times New Roman" w:cs="Times New Roman" w:hint="eastAsia"/>
          <w:sz w:val="32"/>
          <w:szCs w:val="32"/>
        </w:rPr>
        <w:t>万元。决算支出按支出性质分为基本支出</w:t>
      </w:r>
      <w:r>
        <w:rPr>
          <w:rFonts w:ascii="Times New Roman" w:eastAsia="仿宋_GB2312" w:hAnsi="Times New Roman" w:cs="Times New Roman"/>
          <w:sz w:val="32"/>
          <w:szCs w:val="32"/>
        </w:rPr>
        <w:t>901.97</w:t>
      </w:r>
      <w:r>
        <w:rPr>
          <w:rFonts w:ascii="Times New Roman" w:eastAsia="仿宋_GB2312" w:hAnsi="Times New Roman" w:cs="Times New Roman" w:hint="eastAsia"/>
          <w:sz w:val="32"/>
          <w:szCs w:val="32"/>
        </w:rPr>
        <w:t>万元，项目支出</w:t>
      </w:r>
      <w:r>
        <w:rPr>
          <w:rFonts w:ascii="Times New Roman" w:eastAsia="仿宋_GB2312" w:hAnsi="Times New Roman" w:cs="Times New Roman"/>
          <w:sz w:val="32"/>
          <w:szCs w:val="32"/>
        </w:rPr>
        <w:t>283.84</w:t>
      </w:r>
      <w:r>
        <w:rPr>
          <w:rFonts w:ascii="Times New Roman" w:eastAsia="仿宋_GB2312" w:hAnsi="Times New Roman" w:cs="Times New Roman" w:hint="eastAsia"/>
          <w:sz w:val="32"/>
          <w:szCs w:val="32"/>
        </w:rPr>
        <w:t>万元。</w:t>
      </w:r>
    </w:p>
    <w:p w:rsidR="0058525F"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（二）部门整体支出绩效情况</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、基本支出</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基本支出是指为保障单位机构正常运转、完成日常工作任务而发生的各项支出，包括用于基本工资、津贴补贴等人员经费及办公费、印刷费、水电费、办公设备购置等日常公用经费。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年基本支出</w:t>
      </w:r>
      <w:r>
        <w:rPr>
          <w:rFonts w:ascii="Times New Roman" w:eastAsia="仿宋_GB2312" w:hAnsi="Times New Roman" w:cs="Times New Roman"/>
          <w:sz w:val="32"/>
          <w:szCs w:val="32"/>
        </w:rPr>
        <w:t>901.97</w:t>
      </w:r>
      <w:r>
        <w:rPr>
          <w:rFonts w:ascii="Times New Roman" w:eastAsia="仿宋_GB2312" w:hAnsi="Times New Roman" w:cs="Times New Roman"/>
          <w:sz w:val="32"/>
          <w:szCs w:val="32"/>
        </w:rPr>
        <w:t>万元，其中人员经费</w:t>
      </w:r>
      <w:r>
        <w:rPr>
          <w:rFonts w:ascii="Times New Roman" w:eastAsia="仿宋_GB2312" w:hAnsi="Times New Roman" w:cs="Times New Roman"/>
          <w:sz w:val="32"/>
          <w:szCs w:val="32"/>
        </w:rPr>
        <w:t>701.44</w:t>
      </w:r>
      <w:r>
        <w:rPr>
          <w:rFonts w:ascii="Times New Roman" w:eastAsia="仿宋_GB2312" w:hAnsi="Times New Roman" w:cs="Times New Roman"/>
          <w:sz w:val="32"/>
          <w:szCs w:val="32"/>
        </w:rPr>
        <w:t>万元，公用经费</w:t>
      </w:r>
      <w:r>
        <w:rPr>
          <w:rFonts w:ascii="Times New Roman" w:eastAsia="仿宋_GB2312" w:hAnsi="Times New Roman" w:cs="Times New Roman"/>
          <w:sz w:val="32"/>
          <w:szCs w:val="32"/>
        </w:rPr>
        <w:t>200.53</w:t>
      </w:r>
      <w:r>
        <w:rPr>
          <w:rFonts w:ascii="Times New Roman" w:eastAsia="仿宋_GB2312" w:hAnsi="Times New Roman" w:cs="Times New Roman"/>
          <w:sz w:val="32"/>
          <w:szCs w:val="32"/>
        </w:rPr>
        <w:t>万元。公用经费中，</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w:t>
      </w:r>
      <w:r>
        <w:rPr>
          <w:rFonts w:ascii="Times New Roman" w:eastAsia="仿宋_GB2312" w:hAnsi="Times New Roman" w:cs="Times New Roman"/>
          <w:sz w:val="32"/>
          <w:szCs w:val="32"/>
        </w:rPr>
        <w:t>4.58</w:t>
      </w:r>
      <w:r>
        <w:rPr>
          <w:rFonts w:ascii="Times New Roman" w:eastAsia="仿宋_GB2312" w:hAnsi="Times New Roman" w:cs="Times New Roman"/>
          <w:sz w:val="32"/>
          <w:szCs w:val="32"/>
        </w:rPr>
        <w:t>万元，其中公务接待费用</w:t>
      </w:r>
      <w:r>
        <w:rPr>
          <w:rFonts w:ascii="Times New Roman" w:eastAsia="仿宋_GB2312" w:hAnsi="Times New Roman" w:cs="Times New Roman"/>
          <w:sz w:val="32"/>
          <w:szCs w:val="32"/>
        </w:rPr>
        <w:t>4.58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经费严格按照中央八项规定精神要</w:t>
      </w:r>
      <w:r>
        <w:rPr>
          <w:rFonts w:ascii="Times New Roman" w:eastAsia="仿宋_GB2312" w:hAnsi="Times New Roman" w:cs="Times New Roman"/>
          <w:sz w:val="32"/>
          <w:szCs w:val="32"/>
        </w:rPr>
        <w:lastRenderedPageBreak/>
        <w:t>求使用，未超标准、超规格接待。</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项目支出</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年项目支出年初预算数为</w:t>
      </w:r>
      <w:r>
        <w:rPr>
          <w:rFonts w:ascii="Times New Roman" w:eastAsia="仿宋_GB2312" w:hAnsi="Times New Roman" w:cs="Times New Roman"/>
          <w:sz w:val="32"/>
          <w:szCs w:val="32"/>
        </w:rPr>
        <w:t>234.08</w:t>
      </w:r>
      <w:r>
        <w:rPr>
          <w:rFonts w:ascii="Times New Roman" w:eastAsia="仿宋_GB2312" w:hAnsi="Times New Roman" w:cs="Times New Roman"/>
          <w:sz w:val="32"/>
          <w:szCs w:val="32"/>
        </w:rPr>
        <w:t>万元，决算数为</w:t>
      </w:r>
      <w:r>
        <w:rPr>
          <w:rFonts w:ascii="Times New Roman" w:eastAsia="仿宋_GB2312" w:hAnsi="Times New Roman" w:cs="Times New Roman"/>
          <w:sz w:val="32"/>
          <w:szCs w:val="32"/>
        </w:rPr>
        <w:t>279.84</w:t>
      </w:r>
      <w:r>
        <w:rPr>
          <w:rFonts w:ascii="Times New Roman" w:eastAsia="仿宋_GB2312" w:hAnsi="Times New Roman" w:cs="Times New Roman"/>
          <w:sz w:val="32"/>
          <w:szCs w:val="32"/>
        </w:rPr>
        <w:t>万，财政资金一般公共预算拨款为</w:t>
      </w:r>
      <w:r>
        <w:rPr>
          <w:rFonts w:ascii="Times New Roman" w:eastAsia="仿宋_GB2312" w:hAnsi="Times New Roman" w:cs="Times New Roman"/>
          <w:sz w:val="32"/>
          <w:szCs w:val="32"/>
        </w:rPr>
        <w:t>1181.81</w:t>
      </w:r>
      <w:r>
        <w:rPr>
          <w:rFonts w:ascii="Times New Roman" w:eastAsia="仿宋_GB2312" w:hAnsi="Times New Roman" w:cs="Times New Roman"/>
          <w:sz w:val="32"/>
          <w:szCs w:val="32"/>
        </w:rPr>
        <w:t>万元，主要包括市第一届次三次会议经费</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万元，一般行政管理事务支出</w:t>
      </w:r>
      <w:r>
        <w:rPr>
          <w:rFonts w:ascii="Times New Roman" w:eastAsia="仿宋_GB2312" w:hAnsi="Times New Roman" w:cs="Times New Roman"/>
          <w:sz w:val="32"/>
          <w:szCs w:val="32"/>
        </w:rPr>
        <w:t>269.18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部门项目组织实施情况</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我办的所有项目严格按照市财政采控办的要求进行了招投标、实施过程严格按照采购合同实行，未随意调整、更改合同内容，项目完工后严格按要求进行验收，验收合格后按合同要求办理支付手续。</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我办每一个项目的实施都严格按照采购法和单位财务制度执行，谁经手谁负责，同时由单位纪检、内审、财务相关人员全程监管，确保资金的有效利用。</w:t>
      </w:r>
    </w:p>
    <w:p w:rsidR="0058525F" w:rsidRDefault="00000000">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rsidR="0058525F" w:rsidRDefault="00000000">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预算执行进度有待加快。由于单位</w:t>
      </w:r>
      <w:proofErr w:type="gramStart"/>
      <w:r>
        <w:rPr>
          <w:rFonts w:ascii="Times New Roman" w:eastAsia="仿宋_GB2312" w:hAnsi="Times New Roman" w:cs="Times New Roman" w:hint="eastAsia"/>
          <w:sz w:val="32"/>
          <w:szCs w:val="32"/>
        </w:rPr>
        <w:t>智慧人大</w:t>
      </w:r>
      <w:proofErr w:type="gramEnd"/>
      <w:r>
        <w:rPr>
          <w:rFonts w:ascii="Times New Roman" w:eastAsia="仿宋_GB2312" w:hAnsi="Times New Roman" w:cs="Times New Roman" w:hint="eastAsia"/>
          <w:sz w:val="32"/>
          <w:szCs w:val="32"/>
        </w:rPr>
        <w:t>项目建设未达到合同要求，尚未达到全部付款条件，导致该项目只执行了预算的</w:t>
      </w:r>
      <w:r>
        <w:rPr>
          <w:rFonts w:ascii="Times New Roman" w:eastAsia="仿宋_GB2312" w:hAnsi="Times New Roman" w:cs="Times New Roman" w:hint="eastAsia"/>
          <w:sz w:val="32"/>
          <w:szCs w:val="32"/>
        </w:rPr>
        <w:t>60%</w:t>
      </w:r>
      <w:r>
        <w:rPr>
          <w:rFonts w:ascii="Times New Roman" w:eastAsia="仿宋_GB2312" w:hAnsi="Times New Roman" w:cs="Times New Roman" w:hint="eastAsia"/>
          <w:sz w:val="32"/>
          <w:szCs w:val="32"/>
        </w:rPr>
        <w:t>。进一步严格执行国家财经法律法规和内部财务财产管理制度，控制和规范管理经费支出，增强经费预算刚性，提高资金使用效益。</w:t>
      </w:r>
    </w:p>
    <w:p w:rsidR="0058525F" w:rsidRDefault="0058525F">
      <w:pPr>
        <w:pStyle w:val="Default"/>
        <w:spacing w:line="600" w:lineRule="exact"/>
        <w:ind w:firstLineChars="200" w:firstLine="640"/>
        <w:rPr>
          <w:rFonts w:ascii="Times New Roman" w:eastAsia="仿宋_GB2312" w:hAnsi="Times New Roman" w:cs="Times New Roman"/>
          <w:sz w:val="32"/>
          <w:szCs w:val="32"/>
        </w:rPr>
      </w:pPr>
    </w:p>
    <w:p w:rsidR="0058525F" w:rsidRDefault="0058525F">
      <w:pPr>
        <w:pStyle w:val="Default"/>
        <w:spacing w:line="580" w:lineRule="exact"/>
        <w:rPr>
          <w:rFonts w:ascii="Times New Roman" w:eastAsia="仿宋_GB2312" w:hAnsi="Times New Roman"/>
          <w:sz w:val="32"/>
          <w:szCs w:val="32"/>
        </w:rPr>
      </w:pPr>
    </w:p>
    <w:p w:rsidR="0058525F" w:rsidRDefault="0058525F"/>
    <w:p w:rsidR="0058525F" w:rsidRDefault="0058525F"/>
    <w:p w:rsidR="0058525F" w:rsidRDefault="0058525F">
      <w:pPr>
        <w:pStyle w:val="Default"/>
        <w:spacing w:line="600" w:lineRule="exact"/>
        <w:ind w:firstLineChars="200" w:firstLine="640"/>
        <w:rPr>
          <w:rFonts w:ascii="Times New Roman" w:eastAsia="仿宋_GB2312" w:hAnsi="Times New Roman" w:cs="Times New Roman"/>
          <w:sz w:val="32"/>
          <w:szCs w:val="32"/>
        </w:rPr>
      </w:pPr>
    </w:p>
    <w:p w:rsidR="0058525F" w:rsidRDefault="0058525F">
      <w:pPr>
        <w:pStyle w:val="Default"/>
        <w:jc w:val="center"/>
        <w:rPr>
          <w:rFonts w:ascii="Times New Roman" w:hAnsi="Times New Roman" w:cs="Times New Roman"/>
          <w:sz w:val="72"/>
          <w:szCs w:val="72"/>
        </w:rPr>
      </w:pPr>
    </w:p>
    <w:p w:rsidR="0058525F" w:rsidRDefault="0058525F">
      <w:pPr>
        <w:pStyle w:val="Default"/>
        <w:jc w:val="center"/>
        <w:rPr>
          <w:rFonts w:ascii="Times New Roman" w:hAnsi="Times New Roman" w:cs="Times New Roman"/>
          <w:sz w:val="72"/>
          <w:szCs w:val="72"/>
        </w:rPr>
      </w:pPr>
    </w:p>
    <w:p w:rsidR="0058525F" w:rsidRDefault="0058525F">
      <w:pPr>
        <w:jc w:val="left"/>
        <w:rPr>
          <w:rFonts w:ascii="Times New Roman" w:hAnsi="Times New Roman" w:cs="Times New Roman"/>
          <w:color w:val="000000"/>
          <w:kern w:val="0"/>
          <w:sz w:val="32"/>
          <w:szCs w:val="32"/>
        </w:rPr>
      </w:pPr>
    </w:p>
    <w:sectPr w:rsidR="0058525F">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64C" w:rsidRDefault="00D7464C">
      <w:r>
        <w:separator/>
      </w:r>
    </w:p>
  </w:endnote>
  <w:endnote w:type="continuationSeparator" w:id="0">
    <w:p w:rsidR="00D7464C" w:rsidRDefault="00D7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DCC92E8-BD33-4005-AE32-A208294DBCE4}"/>
  </w:font>
  <w:font w:name="黑体">
    <w:altName w:val="SimHei"/>
    <w:panose1 w:val="02010609060101010101"/>
    <w:charset w:val="86"/>
    <w:family w:val="modern"/>
    <w:pitch w:val="fixed"/>
    <w:sig w:usb0="800002BF" w:usb1="38CF7CFA" w:usb2="00000016" w:usb3="00000000" w:csb0="00040001" w:csb1="00000000"/>
    <w:embedRegular r:id="rId2" w:subsetted="1" w:fontKey="{D63E553D-3B75-4D96-A07E-6AC35EB8C9B7}"/>
  </w:font>
  <w:font w:name="方正小标宋简体">
    <w:panose1 w:val="03000509000000000000"/>
    <w:charset w:val="86"/>
    <w:family w:val="script"/>
    <w:pitch w:val="fixed"/>
    <w:sig w:usb0="00000001" w:usb1="080E0000" w:usb2="00000010" w:usb3="00000000" w:csb0="00040000" w:csb1="00000000"/>
    <w:embedRegular r:id="rId3" w:subsetted="1" w:fontKey="{11EB6B0C-C768-43F1-A99B-289BA27B4964}"/>
  </w:font>
  <w:font w:name="方正小标宋_GBK">
    <w:altName w:val="微软雅黑"/>
    <w:panose1 w:val="03000509000000000000"/>
    <w:charset w:val="86"/>
    <w:family w:val="script"/>
    <w:pitch w:val="fixed"/>
    <w:sig w:usb0="00000001" w:usb1="080E0000" w:usb2="00000010" w:usb3="00000000" w:csb0="00040000" w:csb1="00000000"/>
    <w:embedRegular r:id="rId4" w:subsetted="1" w:fontKey="{08F70966-B9E0-420D-8A31-D2DD2D2A9C1B}"/>
  </w:font>
  <w:font w:name="仿宋_GB2312">
    <w:altName w:val="仿宋"/>
    <w:panose1 w:val="02010609030101010101"/>
    <w:charset w:val="86"/>
    <w:family w:val="modern"/>
    <w:pitch w:val="fixed"/>
    <w:sig w:usb0="00000001" w:usb1="080E0000" w:usb2="00000010" w:usb3="00000000" w:csb0="00040000" w:csb1="00000000"/>
    <w:embedRegular r:id="rId5" w:subsetted="1" w:fontKey="{1D1A0984-9D54-42D8-855B-85AD9E3ED83F}"/>
    <w:embedBold r:id="rId6" w:subsetted="1" w:fontKey="{59CB0321-1D0E-48AD-BCE1-68CFE486D27A}"/>
  </w:font>
  <w:font w:name="华文中宋">
    <w:panose1 w:val="02010600040101010101"/>
    <w:charset w:val="86"/>
    <w:family w:val="auto"/>
    <w:pitch w:val="variable"/>
    <w:sig w:usb0="00000287" w:usb1="080F0000" w:usb2="00000010" w:usb3="00000000" w:csb0="0004009F" w:csb1="00000000"/>
    <w:embedRegular r:id="rId7" w:subsetted="1" w:fontKey="{77A2B158-2CAF-42B7-80D4-E2AD6092BCEB}"/>
  </w:font>
  <w:font w:name="楷体_GB2312">
    <w:altName w:val="楷体"/>
    <w:panose1 w:val="02010609030101010101"/>
    <w:charset w:val="86"/>
    <w:family w:val="modern"/>
    <w:pitch w:val="fixed"/>
    <w:sig w:usb0="00000001" w:usb1="080E0000" w:usb2="00000010" w:usb3="00000000" w:csb0="00040000" w:csb1="00000000"/>
    <w:embedRegular r:id="rId8" w:subsetted="1" w:fontKey="{F2B7253C-A3A4-4418-81EA-E909B5493EDB}"/>
    <w:embedBold r:id="rId9" w:subsetted="1" w:fontKey="{0576E42B-D547-4DA1-BEA2-58B860C5C35E}"/>
    <w:embedBoldItalic r:id="rId10" w:subsetted="1" w:fontKey="{45E48514-7375-4952-BA36-3B97DD629EAE}"/>
  </w:font>
  <w:font w:name="楷体">
    <w:panose1 w:val="02010609060101010101"/>
    <w:charset w:val="86"/>
    <w:family w:val="modern"/>
    <w:pitch w:val="fixed"/>
    <w:sig w:usb0="800002BF" w:usb1="38CF7CFA" w:usb2="00000016" w:usb3="00000000" w:csb0="00040001" w:csb1="00000000"/>
    <w:embedBold r:id="rId11" w:subsetted="1" w:fontKey="{DFA47A7D-A85E-42A9-8725-25BE32D75FFA}"/>
  </w:font>
  <w:font w:name="仿宋">
    <w:panose1 w:val="02010609060101010101"/>
    <w:charset w:val="86"/>
    <w:family w:val="modern"/>
    <w:pitch w:val="fixed"/>
    <w:sig w:usb0="800002BF" w:usb1="38CF7CFA" w:usb2="00000016" w:usb3="00000000" w:csb0="00040001" w:csb1="00000000"/>
    <w:embedRegular r:id="rId12" w:subsetted="1" w:fontKey="{C47822DA-EA35-43AD-8845-CFCEE670866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5F" w:rsidRDefault="005852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5F" w:rsidRDefault="0058525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25F"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525F"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8525F"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64C" w:rsidRDefault="00D7464C">
      <w:r>
        <w:separator/>
      </w:r>
    </w:p>
  </w:footnote>
  <w:footnote w:type="continuationSeparator" w:id="0">
    <w:p w:rsidR="00D7464C" w:rsidRDefault="00D7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794791"/>
    <w:multiLevelType w:val="singleLevel"/>
    <w:tmpl w:val="D0794791"/>
    <w:lvl w:ilvl="0">
      <w:start w:val="5"/>
      <w:numFmt w:val="decimal"/>
      <w:suff w:val="nothing"/>
      <w:lvlText w:val="%1、"/>
      <w:lvlJc w:val="left"/>
    </w:lvl>
  </w:abstractNum>
  <w:abstractNum w:abstractNumId="1" w15:restartNumberingAfterBreak="0">
    <w:nsid w:val="E2668196"/>
    <w:multiLevelType w:val="singleLevel"/>
    <w:tmpl w:val="E2668196"/>
    <w:lvl w:ilvl="0">
      <w:start w:val="1"/>
      <w:numFmt w:val="chineseCounting"/>
      <w:suff w:val="nothing"/>
      <w:lvlText w:val="（%1）"/>
      <w:lvlJc w:val="left"/>
      <w:rPr>
        <w:rFonts w:hint="eastAsia"/>
      </w:rPr>
    </w:lvl>
  </w:abstractNum>
  <w:abstractNum w:abstractNumId="2" w15:restartNumberingAfterBreak="0">
    <w:nsid w:val="749F0302"/>
    <w:multiLevelType w:val="singleLevel"/>
    <w:tmpl w:val="749F0302"/>
    <w:lvl w:ilvl="0">
      <w:start w:val="3"/>
      <w:numFmt w:val="chineseCounting"/>
      <w:suff w:val="nothing"/>
      <w:lvlText w:val="（%1）"/>
      <w:lvlJc w:val="left"/>
      <w:rPr>
        <w:rFonts w:hint="eastAsia"/>
      </w:rPr>
    </w:lvl>
  </w:abstractNum>
  <w:num w:numId="1" w16cid:durableId="1896506659">
    <w:abstractNumId w:val="0"/>
  </w:num>
  <w:num w:numId="2" w16cid:durableId="1796752366">
    <w:abstractNumId w:val="2"/>
  </w:num>
  <w:num w:numId="3" w16cid:durableId="118459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8525F"/>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E4B96"/>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7464C"/>
    <w:rsid w:val="00DD06FF"/>
    <w:rsid w:val="00DD5FE9"/>
    <w:rsid w:val="00E00C7A"/>
    <w:rsid w:val="00E37D6C"/>
    <w:rsid w:val="00E55B68"/>
    <w:rsid w:val="00E561AE"/>
    <w:rsid w:val="00E67BE6"/>
    <w:rsid w:val="00E8683C"/>
    <w:rsid w:val="00EA2B72"/>
    <w:rsid w:val="00F74360"/>
    <w:rsid w:val="00F87BF7"/>
    <w:rsid w:val="00FB462F"/>
    <w:rsid w:val="00FE16FA"/>
    <w:rsid w:val="00FE328A"/>
    <w:rsid w:val="00FE6269"/>
    <w:rsid w:val="00FF5CD6"/>
    <w:rsid w:val="0DCE009D"/>
    <w:rsid w:val="15CE5E02"/>
    <w:rsid w:val="1D97DEFF"/>
    <w:rsid w:val="1DFF72E5"/>
    <w:rsid w:val="1EFC6F07"/>
    <w:rsid w:val="21F35990"/>
    <w:rsid w:val="2FDF85B8"/>
    <w:rsid w:val="2FFFEE04"/>
    <w:rsid w:val="34DF85B0"/>
    <w:rsid w:val="3AF015C7"/>
    <w:rsid w:val="3B8F36BC"/>
    <w:rsid w:val="491FF225"/>
    <w:rsid w:val="4E2A241D"/>
    <w:rsid w:val="4FFD214C"/>
    <w:rsid w:val="5777D4F5"/>
    <w:rsid w:val="59DD8326"/>
    <w:rsid w:val="5DEF592A"/>
    <w:rsid w:val="5FC6BB1E"/>
    <w:rsid w:val="5FF720F1"/>
    <w:rsid w:val="63D850BA"/>
    <w:rsid w:val="671E7A2D"/>
    <w:rsid w:val="67FF5C0B"/>
    <w:rsid w:val="6EFC0924"/>
    <w:rsid w:val="6F4F288F"/>
    <w:rsid w:val="6FB74722"/>
    <w:rsid w:val="6FEF8B7E"/>
    <w:rsid w:val="71A6591B"/>
    <w:rsid w:val="737D59BA"/>
    <w:rsid w:val="73A72FA6"/>
    <w:rsid w:val="740924A3"/>
    <w:rsid w:val="77C37683"/>
    <w:rsid w:val="78125621"/>
    <w:rsid w:val="78CF09ED"/>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7D8B"/>
  <w15:docId w15:val="{C4704140-837C-4DD0-A90B-20EE426C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2360</Words>
  <Characters>13457</Characters>
  <Application>Microsoft Office Word</Application>
  <DocSecurity>0</DocSecurity>
  <Lines>112</Lines>
  <Paragraphs>31</Paragraphs>
  <ScaleCrop>false</ScaleCrop>
  <Company>Microsoft</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2025-09-26T07:20:00Z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eyJoZGlkIjoiYWRhMzkxMGM4Mzc3YTlkZjRiZWZmMjMwMDkxMTU0NTkiLCJ1c2VySWQiOiI0MjczNDYyNjAifQ==</vt:lpwstr>
  </property>
</Properties>
</file>