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eastAsia" w:asciiTheme="majorEastAsia" w:hAnsiTheme="majorEastAsia" w:eastAsiaTheme="majorEastAsia" w:cstheme="majorEastAsia"/>
          <w:sz w:val="84"/>
          <w:szCs w:val="84"/>
          <w:highlight w:val="none"/>
        </w:rPr>
      </w:pPr>
      <w:r>
        <w:rPr>
          <w:rFonts w:hint="eastAsia" w:asciiTheme="majorEastAsia" w:hAnsiTheme="majorEastAsia" w:eastAsiaTheme="majorEastAsia" w:cstheme="majorEastAsia"/>
          <w:sz w:val="84"/>
          <w:szCs w:val="84"/>
          <w:highlight w:val="none"/>
        </w:rPr>
        <w:t>2021年度</w:t>
      </w:r>
      <w:bookmarkStart w:id="3" w:name="_GoBack"/>
      <w:bookmarkEnd w:id="3"/>
    </w:p>
    <w:p>
      <w:pPr>
        <w:pStyle w:val="13"/>
        <w:jc w:val="center"/>
        <w:rPr>
          <w:rFonts w:hint="eastAsia" w:asciiTheme="majorEastAsia" w:hAnsiTheme="majorEastAsia" w:eastAsiaTheme="majorEastAsia" w:cstheme="majorEastAsia"/>
          <w:sz w:val="84"/>
          <w:szCs w:val="84"/>
          <w:highlight w:val="none"/>
        </w:rPr>
      </w:pPr>
      <w:r>
        <w:rPr>
          <w:rFonts w:hint="eastAsia" w:asciiTheme="majorEastAsia" w:hAnsiTheme="majorEastAsia" w:eastAsiaTheme="majorEastAsia" w:cstheme="majorEastAsia"/>
          <w:sz w:val="84"/>
          <w:szCs w:val="84"/>
          <w:highlight w:val="none"/>
        </w:rPr>
        <w:t>祁阳市公安局部门决算</w:t>
      </w: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sz w:val="32"/>
          <w:szCs w:val="32"/>
          <w:highlight w:val="none"/>
        </w:rPr>
      </w:pPr>
    </w:p>
    <w:p>
      <w:pPr>
        <w:pStyle w:val="13"/>
        <w:spacing w:line="540" w:lineRule="exact"/>
        <w:jc w:val="center"/>
        <w:rPr>
          <w:rFonts w:hint="default" w:ascii="Times New Roman" w:hAnsi="Times New Roman" w:eastAsia="宋体" w:cs="Times New Roman"/>
          <w:sz w:val="32"/>
          <w:szCs w:val="32"/>
          <w:highlight w:val="none"/>
        </w:rPr>
      </w:pPr>
    </w:p>
    <w:p>
      <w:pPr>
        <w:pStyle w:val="13"/>
        <w:spacing w:line="500" w:lineRule="exact"/>
        <w:jc w:val="center"/>
        <w:rPr>
          <w:rFonts w:hint="default" w:ascii="Times New Roman" w:hAnsi="Times New Roman" w:eastAsia="宋体" w:cs="Times New Roman"/>
          <w:b/>
          <w:sz w:val="32"/>
          <w:szCs w:val="32"/>
          <w:highlight w:val="none"/>
        </w:rPr>
      </w:pPr>
    </w:p>
    <w:p>
      <w:pPr>
        <w:pStyle w:val="13"/>
        <w:spacing w:line="500" w:lineRule="exact"/>
        <w:jc w:val="center"/>
        <w:rPr>
          <w:rFonts w:hint="default" w:ascii="Times New Roman" w:hAnsi="Times New Roman" w:eastAsia="宋体" w:cs="Times New Roman"/>
          <w:b/>
          <w:sz w:val="32"/>
          <w:szCs w:val="32"/>
          <w:highlight w:val="none"/>
        </w:rPr>
      </w:pPr>
    </w:p>
    <w:p>
      <w:pPr>
        <w:pStyle w:val="13"/>
        <w:spacing w:line="500" w:lineRule="exact"/>
        <w:jc w:val="center"/>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目录</w:t>
      </w:r>
    </w:p>
    <w:p>
      <w:pPr>
        <w:pStyle w:val="13"/>
        <w:keepNext w:val="0"/>
        <w:keepLines w:val="0"/>
        <w:pageBreakBefore w:val="0"/>
        <w:widowControl w:val="0"/>
        <w:kinsoku/>
        <w:wordWrap/>
        <w:overflowPunct/>
        <w:topLinePunct w:val="0"/>
        <w:bidi w:val="0"/>
        <w:snapToGrid/>
        <w:spacing w:line="480" w:lineRule="exact"/>
        <w:textAlignment w:val="auto"/>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第一部分祁阳市公安局</w:t>
      </w:r>
      <w:r>
        <w:rPr>
          <w:rFonts w:hint="default" w:ascii="Times New Roman" w:hAnsi="Times New Roman" w:eastAsia="宋体" w:cs="Times New Roman"/>
          <w:b/>
          <w:sz w:val="32"/>
          <w:szCs w:val="32"/>
          <w:highlight w:val="none"/>
          <w:lang w:eastAsia="zh-CN"/>
        </w:rPr>
        <w:t>单位</w:t>
      </w:r>
      <w:r>
        <w:rPr>
          <w:rFonts w:hint="default" w:ascii="Times New Roman" w:hAnsi="Times New Roman" w:eastAsia="宋体" w:cs="Times New Roman"/>
          <w:b/>
          <w:sz w:val="32"/>
          <w:szCs w:val="32"/>
          <w:highlight w:val="none"/>
        </w:rPr>
        <w:t>概况</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一、部门职责</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二、机构设置及决算单位构成</w:t>
      </w:r>
    </w:p>
    <w:p>
      <w:pPr>
        <w:pStyle w:val="13"/>
        <w:keepNext w:val="0"/>
        <w:keepLines w:val="0"/>
        <w:pageBreakBefore w:val="0"/>
        <w:widowControl w:val="0"/>
        <w:kinsoku/>
        <w:wordWrap/>
        <w:overflowPunct/>
        <w:topLinePunct w:val="0"/>
        <w:bidi w:val="0"/>
        <w:snapToGrid/>
        <w:spacing w:line="480" w:lineRule="exact"/>
        <w:textAlignment w:val="auto"/>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第二部分 2021年度部门决算表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一、收入支出决算总表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二、收入决算表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三、支出决算表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四、财政拨款收入支出决算总表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五、一般公共预算财政拨款支出决算表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六、一般公共预算财政拨款基本支出决算明细表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七、一般公共预算财政拨款“三公”经费支出决算表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八、政府性基金预算财政拨款收入支出决算表</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九、国有资本经营预算财政拨款支出决算表</w:t>
      </w:r>
    </w:p>
    <w:p>
      <w:pPr>
        <w:pStyle w:val="13"/>
        <w:keepNext w:val="0"/>
        <w:keepLines w:val="0"/>
        <w:pageBreakBefore w:val="0"/>
        <w:widowControl w:val="0"/>
        <w:kinsoku/>
        <w:wordWrap/>
        <w:overflowPunct/>
        <w:topLinePunct w:val="0"/>
        <w:bidi w:val="0"/>
        <w:snapToGrid/>
        <w:spacing w:line="480" w:lineRule="exact"/>
        <w:textAlignment w:val="auto"/>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第三部分 2021年度部门决算情况说明</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一、收入支出决算总体情况说明</w:t>
      </w:r>
    </w:p>
    <w:p>
      <w:pPr>
        <w:keepNext w:val="0"/>
        <w:keepLines w:val="0"/>
        <w:pageBreakBefore w:val="0"/>
        <w:widowControl w:val="0"/>
        <w:kinsoku/>
        <w:wordWrap/>
        <w:overflowPunct/>
        <w:topLinePunct w:val="0"/>
        <w:bidi w:val="0"/>
        <w:snapToGrid/>
        <w:spacing w:line="480" w:lineRule="exact"/>
        <w:ind w:firstLine="800" w:firstLineChars="250"/>
        <w:jc w:val="left"/>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九、机关运行经费支出说明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800" w:firstLineChars="250"/>
        <w:jc w:val="left"/>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十一、政府采购支出说明</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十二、国有资产占用情况说明</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十三、国有资本经营预算财政拨款支出决算情况</w:t>
      </w:r>
    </w:p>
    <w:p>
      <w:pPr>
        <w:pStyle w:val="13"/>
        <w:keepNext w:val="0"/>
        <w:keepLines w:val="0"/>
        <w:pageBreakBefore w:val="0"/>
        <w:widowControl w:val="0"/>
        <w:kinsoku/>
        <w:wordWrap/>
        <w:overflowPunct/>
        <w:topLinePunct w:val="0"/>
        <w:bidi w:val="0"/>
        <w:snapToGrid/>
        <w:spacing w:line="480" w:lineRule="exact"/>
        <w:ind w:firstLine="800" w:firstLineChars="25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lang w:val="en-US" w:eastAsia="zh-CN"/>
        </w:rPr>
        <w:t>十四、</w:t>
      </w:r>
      <w:r>
        <w:rPr>
          <w:rFonts w:hint="default" w:ascii="Times New Roman" w:hAnsi="Times New Roman" w:eastAsia="宋体" w:cs="Times New Roman"/>
          <w:sz w:val="32"/>
          <w:szCs w:val="32"/>
          <w:highlight w:val="none"/>
        </w:rPr>
        <w:t>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default" w:ascii="Times New Roman" w:hAnsi="Times New Roman" w:eastAsia="宋体" w:cs="Times New Roman"/>
          <w:b/>
          <w:color w:val="000000"/>
          <w:kern w:val="0"/>
          <w:sz w:val="32"/>
          <w:szCs w:val="32"/>
          <w:highlight w:val="none"/>
        </w:rPr>
      </w:pPr>
      <w:r>
        <w:rPr>
          <w:rFonts w:hint="default" w:ascii="Times New Roman" w:hAnsi="Times New Roman" w:eastAsia="宋体" w:cs="Times New Roman"/>
          <w:b/>
          <w:color w:val="000000"/>
          <w:kern w:val="0"/>
          <w:sz w:val="32"/>
          <w:szCs w:val="32"/>
          <w:highlight w:val="none"/>
        </w:rPr>
        <w:t>第四部分名词解释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default" w:ascii="Times New Roman" w:hAnsi="Times New Roman" w:eastAsia="宋体" w:cs="Times New Roman"/>
          <w:b/>
          <w:color w:val="000000"/>
          <w:kern w:val="0"/>
          <w:sz w:val="32"/>
          <w:szCs w:val="32"/>
          <w:highlight w:val="none"/>
        </w:rPr>
      </w:pPr>
      <w:r>
        <w:rPr>
          <w:rFonts w:hint="default" w:ascii="Times New Roman" w:hAnsi="Times New Roman" w:eastAsia="宋体" w:cs="Times New Roman"/>
          <w:b/>
          <w:color w:val="000000"/>
          <w:kern w:val="0"/>
          <w:sz w:val="32"/>
          <w:szCs w:val="32"/>
          <w:highlight w:val="none"/>
        </w:rPr>
        <w:t>第五部分附件</w:t>
      </w:r>
    </w:p>
    <w:p>
      <w:pPr>
        <w:rPr>
          <w:rFonts w:hint="default" w:ascii="Times New Roman" w:hAnsi="Times New Roman" w:eastAsia="宋体" w:cs="Times New Roman"/>
          <w:sz w:val="32"/>
          <w:szCs w:val="3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r>
        <w:rPr>
          <w:rFonts w:hint="default" w:ascii="Times New Roman" w:hAnsi="Times New Roman" w:eastAsia="宋体" w:cs="Times New Roman"/>
          <w:b w:val="0"/>
          <w:bCs w:val="0"/>
          <w:sz w:val="72"/>
          <w:szCs w:val="72"/>
          <w:highlight w:val="none"/>
        </w:rPr>
        <w:t>第一部分</w:t>
      </w: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r>
        <w:rPr>
          <w:rFonts w:hint="default" w:ascii="Times New Roman" w:hAnsi="Times New Roman" w:eastAsia="宋体" w:cs="Times New Roman"/>
          <w:b w:val="0"/>
          <w:bCs w:val="0"/>
          <w:sz w:val="72"/>
          <w:szCs w:val="72"/>
          <w:highlight w:val="none"/>
        </w:rPr>
        <w:t>祁阳市公安局</w:t>
      </w:r>
      <w:r>
        <w:rPr>
          <w:rFonts w:hint="default" w:ascii="Times New Roman" w:hAnsi="Times New Roman" w:eastAsia="宋体" w:cs="Times New Roman"/>
          <w:b w:val="0"/>
          <w:bCs w:val="0"/>
          <w:sz w:val="72"/>
          <w:szCs w:val="72"/>
          <w:highlight w:val="none"/>
          <w:lang w:eastAsia="zh-CN"/>
        </w:rPr>
        <w:t>单位</w:t>
      </w:r>
      <w:r>
        <w:rPr>
          <w:rFonts w:hint="default" w:ascii="Times New Roman" w:hAnsi="Times New Roman" w:eastAsia="宋体" w:cs="Times New Roman"/>
          <w:b w:val="0"/>
          <w:bCs w:val="0"/>
          <w:sz w:val="72"/>
          <w:szCs w:val="72"/>
          <w:highlight w:val="none"/>
        </w:rPr>
        <w:t>概况</w:t>
      </w: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3"/>
        <w:jc w:val="center"/>
        <w:rPr>
          <w:rFonts w:hint="default" w:ascii="Times New Roman" w:hAnsi="Times New Roman" w:eastAsia="宋体" w:cs="Times New Roman"/>
          <w:b w:val="0"/>
          <w:bCs w:val="0"/>
          <w:sz w:val="72"/>
          <w:szCs w:val="72"/>
          <w:highlight w:val="none"/>
        </w:rPr>
      </w:pPr>
    </w:p>
    <w:p>
      <w:pPr>
        <w:pStyle w:val="14"/>
        <w:ind w:left="0" w:leftChars="0" w:firstLine="0" w:firstLineChars="0"/>
        <w:jc w:val="left"/>
        <w:rPr>
          <w:rFonts w:hint="default" w:ascii="Times New Roman" w:hAnsi="Times New Roman" w:eastAsia="宋体" w:cs="Times New Roman"/>
          <w:sz w:val="32"/>
          <w:szCs w:val="32"/>
          <w:highlight w:val="none"/>
        </w:rPr>
      </w:pPr>
    </w:p>
    <w:p>
      <w:pPr>
        <w:pStyle w:val="14"/>
        <w:ind w:left="0" w:leftChars="0" w:firstLine="0" w:firstLineChars="0"/>
        <w:jc w:val="left"/>
        <w:rPr>
          <w:rFonts w:hint="default" w:ascii="Times New Roman" w:hAnsi="Times New Roman" w:eastAsia="宋体" w:cs="Times New Roman"/>
          <w:sz w:val="32"/>
          <w:szCs w:val="32"/>
          <w:highlight w:val="none"/>
        </w:rPr>
      </w:pPr>
    </w:p>
    <w:p>
      <w:pPr>
        <w:pStyle w:val="14"/>
        <w:numPr>
          <w:ilvl w:val="0"/>
          <w:numId w:val="0"/>
        </w:numPr>
        <w:ind w:left="800" w:leftChars="0"/>
        <w:jc w:val="left"/>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lang w:eastAsia="zh-CN"/>
        </w:rPr>
        <w:t>一、</w:t>
      </w:r>
      <w:r>
        <w:rPr>
          <w:rFonts w:hint="default" w:ascii="Times New Roman" w:hAnsi="Times New Roman" w:eastAsia="宋体" w:cs="Times New Roman"/>
          <w:b/>
          <w:bCs/>
          <w:sz w:val="32"/>
          <w:szCs w:val="32"/>
          <w:highlight w:val="none"/>
        </w:rPr>
        <w:t>部门职责</w:t>
      </w:r>
    </w:p>
    <w:p>
      <w:pPr>
        <w:shd w:val="clear" w:color="auto" w:fill="FFFFFF"/>
        <w:spacing w:line="600" w:lineRule="atLeast"/>
        <w:ind w:firstLine="640" w:firstLineChars="200"/>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（一）贯彻国家有关公安的工作方针，政策和法律、法规，起草全市公安规范性文件；指导、监督、检查全市公安工作。</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（二）掌握影响稳定、危害国内安危和社会治安的情况，分析实时，拟定对策。</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（三）承办案件的侦查工作，协调、处置重大案件（事件）、治安事故和骚乱。</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（四）依法查处危害社会治安秩序的行为；依法管理户口、居民身份证、枪支弹药、危险爆炸物品、特种行业和公共场所等工作。</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（五）负责全市处境、入境和外国人在境内居留、旅行的有关管理工作。</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（六）指导、监督全市公安机关维护全市道路交通安全、交通秩序以及机动车辆、驾驶员管理工作；指导、参与重大交通事故的处查；管理市公安局交通警察大队。</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（七）指导、监督全市公安机关对国家机关、社会团体、企事业单位和重点建设工程的治安保卫工作以及群众性治安保卫组织的治安防范工作。</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（八）负责全市公共信息网络的安全监督、通信工作和缉毒工作。依法承担的执行刑罚和监督、考察工作；直接管理看守所、治安拘留所、戒毒教育所。</w:t>
      </w:r>
    </w:p>
    <w:p>
      <w:pPr>
        <w:widowControl/>
        <w:spacing w:line="600" w:lineRule="exact"/>
        <w:ind w:firstLine="643" w:firstLineChars="200"/>
        <w:rPr>
          <w:rFonts w:hint="default" w:ascii="Times New Roman" w:hAnsi="Times New Roman" w:eastAsia="宋体" w:cs="Times New Roman"/>
          <w:b/>
          <w:bCs/>
          <w:kern w:val="2"/>
          <w:sz w:val="32"/>
          <w:szCs w:val="32"/>
          <w:highlight w:val="none"/>
          <w:lang w:val="en-US" w:eastAsia="zh-CN" w:bidi="ar-SA"/>
        </w:rPr>
      </w:pPr>
      <w:r>
        <w:rPr>
          <w:rFonts w:hint="default" w:ascii="Times New Roman" w:hAnsi="Times New Roman" w:eastAsia="宋体" w:cs="Times New Roman"/>
          <w:b/>
          <w:bCs/>
          <w:kern w:val="2"/>
          <w:sz w:val="32"/>
          <w:szCs w:val="32"/>
          <w:highlight w:val="none"/>
          <w:lang w:val="en-US" w:eastAsia="zh-CN" w:bidi="ar-SA"/>
        </w:rPr>
        <w:t>二、机构设置及决算单位构成</w:t>
      </w:r>
    </w:p>
    <w:p>
      <w:pPr>
        <w:shd w:val="clear" w:color="auto" w:fill="FFFFFF"/>
        <w:spacing w:line="600" w:lineRule="atLeast"/>
        <w:ind w:firstLine="640" w:firstLineChars="200"/>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一）内设机构设置。内设48个下属单位，其中刑侦大队、治安大队等19个实战大队，政工监督室、警务保障室等2个股室，民生路、黎阳路等4个城区派出所，白水、观音滩等21个农村派出所，所属单位2个:看守所、拘留所。</w:t>
      </w:r>
    </w:p>
    <w:p>
      <w:pPr>
        <w:shd w:val="clear" w:color="auto" w:fill="FFFFFF"/>
        <w:spacing w:line="600" w:lineRule="atLeast"/>
        <w:ind w:firstLine="640" w:firstLineChars="200"/>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2、人员（不含临聘人员）：市公安局现有在职在编干部职工399人。</w:t>
      </w:r>
    </w:p>
    <w:p>
      <w:pPr>
        <w:widowControl/>
        <w:shd w:val="clear" w:color="auto" w:fill="FFFFFF"/>
        <w:spacing w:line="600" w:lineRule="atLeast"/>
        <w:ind w:firstLine="640" w:firstLineChars="200"/>
        <w:jc w:val="left"/>
        <w:rPr>
          <w:rFonts w:hint="default" w:ascii="Times New Roman" w:hAnsi="Times New Roman" w:eastAsia="宋体" w:cs="Times New Roman"/>
          <w:kern w:val="2"/>
          <w:sz w:val="32"/>
          <w:szCs w:val="32"/>
          <w:highlight w:val="none"/>
          <w:lang w:val="en-US" w:eastAsia="zh-CN" w:bidi="ar-SA"/>
        </w:rPr>
      </w:pPr>
      <w:r>
        <w:rPr>
          <w:rFonts w:hint="default" w:ascii="Times New Roman" w:hAnsi="Times New Roman" w:eastAsia="宋体" w:cs="Times New Roman"/>
          <w:kern w:val="2"/>
          <w:sz w:val="32"/>
          <w:szCs w:val="32"/>
          <w:highlight w:val="none"/>
          <w:lang w:val="en-US" w:eastAsia="zh-CN" w:bidi="ar-SA"/>
        </w:rPr>
        <w:t>3、包含市应急处突大队及协警323人的工资及各类保险经费、看守所拘留所关押的违法人员和犯罪嫌疑人的给养及基本生活保障费在本预算的项目资金里列支。</w:t>
      </w:r>
    </w:p>
    <w:p>
      <w:pPr>
        <w:widowControl/>
        <w:spacing w:line="600" w:lineRule="exact"/>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kern w:val="2"/>
          <w:sz w:val="32"/>
          <w:szCs w:val="32"/>
          <w:highlight w:val="none"/>
          <w:lang w:val="en-US" w:eastAsia="zh-CN" w:bidi="ar-SA"/>
        </w:rPr>
        <w:t>（二）决算单位构成。祁阳市公安局2020年部门决算汇总公开单位构成包括：祁阳市公安局本级和所属下属单位及其他单位汇总公开。</w:t>
      </w:r>
    </w:p>
    <w:p>
      <w:pPr>
        <w:jc w:val="center"/>
        <w:rPr>
          <w:rFonts w:hint="default" w:ascii="Times New Roman" w:hAnsi="Times New Roman" w:eastAsia="宋体" w:cs="Times New Roman"/>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default" w:ascii="Times New Roman" w:hAnsi="Times New Roman" w:eastAsia="宋体" w:cs="Times New Roman"/>
          <w:b/>
          <w:bCs/>
          <w:sz w:val="32"/>
          <w:szCs w:val="32"/>
          <w:highlight w:val="none"/>
        </w:rPr>
      </w:pPr>
    </w:p>
    <w:p>
      <w:pPr>
        <w:jc w:val="center"/>
        <w:rPr>
          <w:rFonts w:hint="eastAsia" w:asciiTheme="majorEastAsia" w:hAnsiTheme="majorEastAsia" w:eastAsiaTheme="majorEastAsia" w:cstheme="majorEastAsia"/>
          <w:b w:val="0"/>
          <w:bCs w:val="0"/>
          <w:sz w:val="72"/>
          <w:szCs w:val="72"/>
          <w:highlight w:val="none"/>
        </w:rPr>
      </w:pPr>
    </w:p>
    <w:p>
      <w:pPr>
        <w:jc w:val="center"/>
        <w:rPr>
          <w:rFonts w:hint="eastAsia" w:asciiTheme="majorEastAsia" w:hAnsiTheme="majorEastAsia" w:eastAsiaTheme="majorEastAsia" w:cstheme="majorEastAsia"/>
          <w:b w:val="0"/>
          <w:bCs w:val="0"/>
          <w:sz w:val="72"/>
          <w:szCs w:val="72"/>
          <w:highlight w:val="none"/>
        </w:rPr>
      </w:pPr>
    </w:p>
    <w:p>
      <w:pPr>
        <w:jc w:val="center"/>
        <w:rPr>
          <w:rFonts w:hint="eastAsia" w:asciiTheme="majorEastAsia" w:hAnsiTheme="majorEastAsia" w:eastAsiaTheme="majorEastAsia" w:cstheme="majorEastAsia"/>
          <w:b w:val="0"/>
          <w:bCs w:val="0"/>
          <w:sz w:val="72"/>
          <w:szCs w:val="72"/>
          <w:highlight w:val="none"/>
        </w:rPr>
      </w:pPr>
    </w:p>
    <w:p>
      <w:pPr>
        <w:jc w:val="center"/>
        <w:rPr>
          <w:rFonts w:hint="eastAsia" w:asciiTheme="majorEastAsia" w:hAnsiTheme="majorEastAsia" w:eastAsiaTheme="majorEastAsia" w:cstheme="majorEastAsia"/>
          <w:b w:val="0"/>
          <w:bCs w:val="0"/>
          <w:sz w:val="72"/>
          <w:szCs w:val="72"/>
          <w:highlight w:val="none"/>
        </w:rPr>
      </w:pPr>
    </w:p>
    <w:p>
      <w:pPr>
        <w:jc w:val="center"/>
        <w:rPr>
          <w:rFonts w:hint="eastAsia" w:asciiTheme="majorEastAsia" w:hAnsiTheme="majorEastAsia" w:eastAsiaTheme="majorEastAsia" w:cstheme="majorEastAsia"/>
          <w:b w:val="0"/>
          <w:bCs w:val="0"/>
          <w:sz w:val="72"/>
          <w:szCs w:val="72"/>
          <w:highlight w:val="none"/>
        </w:rPr>
      </w:pPr>
    </w:p>
    <w:p>
      <w:pPr>
        <w:jc w:val="center"/>
        <w:rPr>
          <w:rFonts w:hint="eastAsia" w:asciiTheme="majorEastAsia" w:hAnsiTheme="majorEastAsia" w:eastAsiaTheme="majorEastAsia" w:cstheme="majorEastAsia"/>
          <w:b w:val="0"/>
          <w:bCs w:val="0"/>
          <w:sz w:val="72"/>
          <w:szCs w:val="72"/>
          <w:highlight w:val="none"/>
        </w:rPr>
      </w:pPr>
    </w:p>
    <w:p>
      <w:pPr>
        <w:jc w:val="center"/>
        <w:rPr>
          <w:rFonts w:hint="eastAsia" w:asciiTheme="majorEastAsia" w:hAnsiTheme="majorEastAsia" w:eastAsiaTheme="majorEastAsia" w:cstheme="majorEastAsia"/>
          <w:b w:val="0"/>
          <w:bCs w:val="0"/>
          <w:sz w:val="72"/>
          <w:szCs w:val="72"/>
          <w:highlight w:val="none"/>
        </w:rPr>
      </w:pPr>
      <w:r>
        <w:rPr>
          <w:rFonts w:hint="eastAsia" w:asciiTheme="majorEastAsia" w:hAnsiTheme="majorEastAsia" w:eastAsiaTheme="majorEastAsia" w:cstheme="majorEastAsia"/>
          <w:b w:val="0"/>
          <w:bCs w:val="0"/>
          <w:sz w:val="72"/>
          <w:szCs w:val="72"/>
          <w:highlight w:val="none"/>
        </w:rPr>
        <w:t>第二部分</w:t>
      </w:r>
    </w:p>
    <w:p>
      <w:pPr>
        <w:jc w:val="center"/>
        <w:rPr>
          <w:rFonts w:hint="eastAsia" w:asciiTheme="majorEastAsia" w:hAnsiTheme="majorEastAsia" w:eastAsiaTheme="majorEastAsia" w:cstheme="majorEastAsia"/>
          <w:b w:val="0"/>
          <w:bCs w:val="0"/>
          <w:sz w:val="72"/>
          <w:szCs w:val="72"/>
          <w:highlight w:val="none"/>
        </w:rPr>
      </w:pPr>
    </w:p>
    <w:p>
      <w:pPr>
        <w:jc w:val="center"/>
        <w:rPr>
          <w:rFonts w:hint="default" w:ascii="Times New Roman" w:hAnsi="Times New Roman" w:eastAsia="宋体" w:cs="Times New Roman"/>
          <w:b/>
          <w:bCs/>
          <w:sz w:val="32"/>
          <w:szCs w:val="32"/>
          <w:highlight w:val="none"/>
        </w:rPr>
      </w:pPr>
      <w:r>
        <w:rPr>
          <w:rFonts w:hint="eastAsia" w:asciiTheme="majorEastAsia" w:hAnsiTheme="majorEastAsia" w:eastAsiaTheme="majorEastAsia" w:cstheme="majorEastAsia"/>
          <w:b w:val="0"/>
          <w:bCs w:val="0"/>
          <w:sz w:val="72"/>
          <w:szCs w:val="72"/>
          <w:highlight w:val="none"/>
        </w:rPr>
        <w:t>2021年度部门决算表</w:t>
      </w:r>
    </w:p>
    <w:p>
      <w:pPr>
        <w:jc w:val="left"/>
        <w:rPr>
          <w:rFonts w:hint="default" w:ascii="Times New Roman" w:hAnsi="Times New Roman" w:eastAsia="宋体" w:cs="Times New Roman"/>
          <w:sz w:val="32"/>
          <w:szCs w:val="32"/>
          <w:highlight w:val="none"/>
        </w:rPr>
      </w:pPr>
    </w:p>
    <w:p>
      <w:pPr>
        <w:pStyle w:val="2"/>
        <w:rPr>
          <w:rFonts w:hint="default"/>
          <w:highlight w:val="none"/>
        </w:rPr>
        <w:sectPr>
          <w:pgSz w:w="11906" w:h="16838"/>
          <w:pgMar w:top="720" w:right="720" w:bottom="720" w:left="720"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515"/>
        <w:gridCol w:w="736"/>
        <w:gridCol w:w="2537"/>
        <w:gridCol w:w="4174"/>
        <w:gridCol w:w="886"/>
        <w:gridCol w:w="2488"/>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b/>
                <w:bCs/>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40"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部门：祁阳市公安局</w:t>
            </w:r>
          </w:p>
        </w:tc>
        <w:tc>
          <w:tcPr>
            <w:tcW w:w="240"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13582.88</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12280.54</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38</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39</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497.03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40</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199.97</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300.00</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47</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48</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9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49</w:t>
            </w:r>
          </w:p>
        </w:tc>
        <w:tc>
          <w:tcPr>
            <w:tcW w:w="8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295.34</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55</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56</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二十六、抗疫特别国债安排的支出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57</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本年收入合计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13582.88</w:t>
            </w:r>
          </w:p>
        </w:tc>
        <w:tc>
          <w:tcPr>
            <w:tcW w:w="136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本年支出合计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58</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13582.88</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结余分配</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59</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13582.88</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13582.88</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widowControl/>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rPr>
              <w:t>注：1.本表反映部门本年度的总收支和年末结转结余情况。</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 2.本套报表金额单位转换时可能存在尾数误差。</w:t>
            </w:r>
          </w:p>
        </w:tc>
      </w:tr>
    </w:tbl>
    <w:p>
      <w:pPr>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69"/>
        <w:gridCol w:w="4477"/>
        <w:gridCol w:w="1450"/>
        <w:gridCol w:w="1453"/>
        <w:gridCol w:w="1327"/>
        <w:gridCol w:w="1342"/>
        <w:gridCol w:w="1342"/>
        <w:gridCol w:w="1355"/>
        <w:gridCol w:w="1413"/>
      </w:tblGrid>
      <w:tr>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收入决算表</w:t>
            </w:r>
          </w:p>
        </w:tc>
      </w:tr>
      <w:tr>
        <w:tblPrEx>
          <w:tblCellMar>
            <w:top w:w="0" w:type="dxa"/>
            <w:left w:w="0" w:type="dxa"/>
            <w:bottom w:w="0" w:type="dxa"/>
            <w:right w:w="0" w:type="dxa"/>
          </w:tblCellMar>
        </w:tblPrEx>
        <w:trPr>
          <w:trHeight w:val="9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7"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公开02表</w:t>
            </w:r>
          </w:p>
        </w:tc>
      </w:tr>
      <w:tr>
        <w:tblPrEx>
          <w:tblCellMar>
            <w:top w:w="0" w:type="dxa"/>
            <w:left w:w="0" w:type="dxa"/>
            <w:bottom w:w="0" w:type="dxa"/>
            <w:right w:w="0" w:type="dxa"/>
          </w:tblCellMar>
        </w:tblPrEx>
        <w:trPr>
          <w:trHeight w:val="24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部门：</w:t>
            </w:r>
            <w:r>
              <w:rPr>
                <w:rFonts w:hint="eastAsia" w:ascii="宋体" w:hAnsi="宋体" w:eastAsia="宋体" w:cs="宋体"/>
                <w:color w:val="000000"/>
                <w:kern w:val="0"/>
                <w:sz w:val="20"/>
                <w:szCs w:val="20"/>
                <w:highlight w:val="none"/>
              </w:rPr>
              <w:t>祁阳市公安局</w:t>
            </w:r>
            <w:r>
              <w:rPr>
                <w:rFonts w:hint="eastAsia" w:ascii="宋体" w:hAnsi="宋体" w:eastAsia="宋体" w:cs="宋体"/>
                <w:sz w:val="20"/>
                <w:szCs w:val="20"/>
                <w:highlight w:val="none"/>
              </w:rPr>
              <w:t>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7"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单位：万元</w:t>
            </w:r>
          </w:p>
        </w:tc>
      </w:tr>
      <w:tr>
        <w:tblPrEx>
          <w:tblCellMar>
            <w:top w:w="0" w:type="dxa"/>
            <w:left w:w="0" w:type="dxa"/>
            <w:bottom w:w="0" w:type="dxa"/>
            <w:right w:w="0" w:type="dxa"/>
          </w:tblCellMar>
        </w:tblPrEx>
        <w:trPr>
          <w:trHeight w:val="168"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    目</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本年收入合计</w:t>
            </w:r>
          </w:p>
        </w:tc>
        <w:tc>
          <w:tcPr>
            <w:tcW w:w="47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上级补助收入</w:t>
            </w:r>
          </w:p>
        </w:tc>
        <w:tc>
          <w:tcPr>
            <w:tcW w:w="43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事业收入</w:t>
            </w:r>
          </w:p>
        </w:tc>
        <w:tc>
          <w:tcPr>
            <w:tcW w:w="43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附属单位上缴收入</w:t>
            </w:r>
          </w:p>
        </w:tc>
        <w:tc>
          <w:tcPr>
            <w:tcW w:w="457"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功能分类</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科目名称</w:t>
            </w: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栏次</w:t>
            </w:r>
          </w:p>
        </w:tc>
        <w:tc>
          <w:tcPr>
            <w:tcW w:w="46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3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43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45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r>
      <w:tr>
        <w:tblPrEx>
          <w:tblCellMar>
            <w:top w:w="0" w:type="dxa"/>
            <w:left w:w="0" w:type="dxa"/>
            <w:bottom w:w="0" w:type="dxa"/>
            <w:right w:w="0" w:type="dxa"/>
          </w:tblCellMar>
        </w:tblPrEx>
        <w:trPr>
          <w:trHeight w:val="31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13</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582.88</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13</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582.88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公共安全支出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280.54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280.54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公安</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210.54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210.54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行政运行</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407.13</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407.13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2040220</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执法办案</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48.10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48.10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其他公安支出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620.00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620.00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20407</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监狱</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2040702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其他公共安全支出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47.00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47.00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国家司法救助支出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其他公共安全支出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社会保障和就业支出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行政事业单位养老支出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机关事业单位基本养老保险缴费支出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抚恤</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2080801</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死亡抚恤</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w:t>
            </w:r>
          </w:p>
        </w:tc>
        <w:tc>
          <w:tcPr>
            <w:tcW w:w="1450"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卫生健康支出</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4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行政事业单位医疗</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行政单位医疗</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农林水支出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21307</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农村综合改革</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2130705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对村民委员会和村党支部的补助</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住房保障支出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住房改革支出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2210201</w:t>
            </w:r>
          </w:p>
        </w:tc>
        <w:tc>
          <w:tcPr>
            <w:tcW w:w="1450"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住房公积金</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43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粮油物资储备支出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粮油物资事务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2220199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其他粮油物资事务支出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c>
          <w:tcPr>
            <w:tcW w:w="45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eastAsia="宋体" w:cs="Times New Roman"/>
                <w:sz w:val="32"/>
                <w:szCs w:val="32"/>
                <w:highlight w:val="none"/>
              </w:rPr>
            </w:pPr>
            <w:r>
              <w:rPr>
                <w:rFonts w:hint="default" w:ascii="Times New Roman" w:hAnsi="Times New Roman" w:eastAsia="宋体" w:cs="Times New Roman"/>
                <w:sz w:val="21"/>
                <w:szCs w:val="21"/>
                <w:highlight w:val="none"/>
              </w:rPr>
              <w:t>注：本表反映部门本年度取得的各项收入情况。</w:t>
            </w:r>
          </w:p>
        </w:tc>
      </w:tr>
    </w:tbl>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br w:type="page"/>
      </w:r>
    </w:p>
    <w:tbl>
      <w:tblPr>
        <w:tblStyle w:val="9"/>
        <w:tblW w:w="4936" w:type="pct"/>
        <w:tblInd w:w="93" w:type="dxa"/>
        <w:tblLayout w:type="fixed"/>
        <w:tblCellMar>
          <w:top w:w="0" w:type="dxa"/>
          <w:left w:w="108" w:type="dxa"/>
          <w:bottom w:w="0" w:type="dxa"/>
          <w:right w:w="108" w:type="dxa"/>
        </w:tblCellMar>
      </w:tblPr>
      <w:tblGrid>
        <w:gridCol w:w="1145"/>
        <w:gridCol w:w="4600"/>
        <w:gridCol w:w="1693"/>
        <w:gridCol w:w="1662"/>
        <w:gridCol w:w="1557"/>
        <w:gridCol w:w="1579"/>
        <w:gridCol w:w="1579"/>
        <w:gridCol w:w="1600"/>
      </w:tblGrid>
      <w:tr>
        <w:tblPrEx>
          <w:tblCellMar>
            <w:top w:w="0" w:type="dxa"/>
            <w:left w:w="108" w:type="dxa"/>
            <w:bottom w:w="0" w:type="dxa"/>
            <w:right w:w="108" w:type="dxa"/>
          </w:tblCellMar>
        </w:tblPrEx>
        <w:trPr>
          <w:trHeight w:val="174" w:hRule="atLeast"/>
        </w:trPr>
        <w:tc>
          <w:tcPr>
            <w:tcW w:w="5000" w:type="pct"/>
            <w:gridSpan w:val="8"/>
            <w:tcBorders>
              <w:top w:val="nil"/>
              <w:left w:val="nil"/>
              <w:bottom w:val="nil"/>
              <w:right w:val="nil"/>
            </w:tcBorders>
            <w:shd w:val="clear" w:color="auto" w:fill="auto"/>
            <w:noWrap/>
            <w:vAlign w:val="center"/>
          </w:tcPr>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支出决算表</w:t>
            </w:r>
          </w:p>
        </w:tc>
      </w:tr>
      <w:tr>
        <w:tblPrEx>
          <w:tblCellMar>
            <w:top w:w="0" w:type="dxa"/>
            <w:left w:w="108" w:type="dxa"/>
            <w:bottom w:w="0" w:type="dxa"/>
            <w:right w:w="108" w:type="dxa"/>
          </w:tblCellMar>
        </w:tblPrEx>
        <w:trPr>
          <w:trHeight w:val="285" w:hRule="atLeast"/>
        </w:trPr>
        <w:tc>
          <w:tcPr>
            <w:tcW w:w="1863"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5"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公开03表</w:t>
            </w:r>
          </w:p>
        </w:tc>
      </w:tr>
      <w:tr>
        <w:tblPrEx>
          <w:tblCellMar>
            <w:top w:w="0" w:type="dxa"/>
            <w:left w:w="108" w:type="dxa"/>
            <w:bottom w:w="0" w:type="dxa"/>
            <w:right w:w="108" w:type="dxa"/>
          </w:tblCellMar>
        </w:tblPrEx>
        <w:trPr>
          <w:trHeight w:val="285" w:hRule="atLeast"/>
        </w:trPr>
        <w:tc>
          <w:tcPr>
            <w:tcW w:w="1863" w:type="pct"/>
            <w:gridSpan w:val="2"/>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部门：祁阳市公安局</w:t>
            </w:r>
            <w:r>
              <w:rPr>
                <w:rFonts w:hint="eastAsia" w:ascii="宋体" w:hAnsi="宋体" w:eastAsia="宋体" w:cs="宋体"/>
                <w:kern w:val="0"/>
                <w:sz w:val="20"/>
                <w:szCs w:val="20"/>
                <w:highlight w:val="none"/>
              </w:rPr>
              <w:t>　　</w:t>
            </w:r>
          </w:p>
        </w:tc>
        <w:tc>
          <w:tcPr>
            <w:tcW w:w="5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5" w:type="pct"/>
            <w:tcBorders>
              <w:top w:val="nil"/>
              <w:left w:val="nil"/>
              <w:bottom w:val="nil"/>
              <w:right w:val="nil"/>
            </w:tcBorders>
            <w:shd w:val="clear" w:color="000000" w:fill="FFFFFF"/>
            <w:noWrap/>
            <w:vAlign w:val="center"/>
          </w:tcPr>
          <w:p>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90"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经营支出</w:t>
            </w:r>
          </w:p>
        </w:tc>
        <w:tc>
          <w:tcPr>
            <w:tcW w:w="51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对附属单位补助支出</w:t>
            </w:r>
          </w:p>
        </w:tc>
      </w:tr>
      <w:tr>
        <w:tblPrEx>
          <w:tblCellMar>
            <w:top w:w="0" w:type="dxa"/>
            <w:left w:w="108" w:type="dxa"/>
            <w:bottom w:w="0" w:type="dxa"/>
            <w:right w:w="108" w:type="dxa"/>
          </w:tblCellMar>
        </w:tblPrEx>
        <w:trPr>
          <w:trHeight w:val="450" w:hRule="atLeast"/>
        </w:trPr>
        <w:tc>
          <w:tcPr>
            <w:tcW w:w="3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功能分类科目编码</w:t>
            </w:r>
          </w:p>
        </w:tc>
        <w:tc>
          <w:tcPr>
            <w:tcW w:w="1492"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492"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CellMar>
            <w:top w:w="0" w:type="dxa"/>
            <w:left w:w="108" w:type="dxa"/>
            <w:bottom w:w="0" w:type="dxa"/>
            <w:right w:w="108" w:type="dxa"/>
          </w:tblCellMar>
        </w:tblPrEx>
        <w:trPr>
          <w:trHeight w:val="312"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13</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582.88</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8</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424.5</w:t>
            </w:r>
            <w:r>
              <w:rPr>
                <w:rFonts w:hint="eastAsia" w:ascii="宋体" w:hAnsi="宋体" w:eastAsia="宋体" w:cs="宋体"/>
                <w:b/>
                <w:bCs/>
                <w:color w:val="000000"/>
                <w:sz w:val="21"/>
                <w:szCs w:val="21"/>
                <w:highlight w:val="none"/>
                <w:lang w:val="en-US" w:eastAsia="zh-CN"/>
              </w:rPr>
              <w:t>7</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5</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158.31</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公共安全支出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280.54</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122.23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158.31</w:t>
            </w: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公安</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210.54</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075.23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2040201</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407.13</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407.13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2040202</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2040220</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执法办案</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48.10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48.10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2040299</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其他公安支出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620.00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620.00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20407</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监狱</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2040702</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其他公共安全支出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47.00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47.00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2049902</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国家司法救助支出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2049999</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其他公共安全支出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2080505</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20808</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抚恤</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2080801</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死亡抚恤</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2101101</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行政单位医疗</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农林水支出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21307</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农村综合改革</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2130705</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对村民委员会和村党支部的补助</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2210201</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住房公积金</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粮油物资储备支出</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22201</w:t>
            </w:r>
          </w:p>
        </w:tc>
        <w:tc>
          <w:tcPr>
            <w:tcW w:w="1492" w:type="pct"/>
            <w:tcBorders>
              <w:top w:val="single" w:color="auto" w:sz="4" w:space="0"/>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粮油物资事务</w:t>
            </w:r>
          </w:p>
        </w:tc>
        <w:tc>
          <w:tcPr>
            <w:tcW w:w="54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3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05"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2220199</w:t>
            </w:r>
          </w:p>
        </w:tc>
        <w:tc>
          <w:tcPr>
            <w:tcW w:w="1492" w:type="pct"/>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其他粮油物资事务支出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000000"/>
                <w:sz w:val="21"/>
                <w:szCs w:val="21"/>
                <w:highlight w:val="none"/>
              </w:rPr>
            </w:pPr>
          </w:p>
        </w:tc>
        <w:tc>
          <w:tcPr>
            <w:tcW w:w="51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5000" w:type="pct"/>
            <w:gridSpan w:val="8"/>
            <w:tcBorders>
              <w:top w:val="nil"/>
              <w:left w:val="nil"/>
              <w:bottom w:val="nil"/>
              <w:right w:val="nil"/>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注：本表反映部门本年度各项支出情况。</w:t>
            </w:r>
          </w:p>
        </w:tc>
      </w:tr>
    </w:tbl>
    <w:p>
      <w:pPr>
        <w:widowControl/>
        <w:jc w:val="center"/>
        <w:rPr>
          <w:rFonts w:hint="default" w:ascii="Times New Roman" w:hAnsi="Times New Roman" w:eastAsia="宋体" w:cs="Times New Roman"/>
          <w:color w:val="000000"/>
          <w:kern w:val="0"/>
          <w:sz w:val="32"/>
          <w:szCs w:val="32"/>
          <w:highlight w:val="none"/>
        </w:rPr>
      </w:pPr>
      <w:bookmarkStart w:id="0" w:name="RANGE!A1:I22"/>
      <w:bookmarkEnd w:id="0"/>
      <w:bookmarkStart w:id="1" w:name="RANGE!A1:F16"/>
      <w:r>
        <w:rPr>
          <w:rFonts w:hint="default" w:ascii="Times New Roman" w:hAnsi="Times New Roman" w:eastAsia="宋体" w:cs="Times New Roman"/>
          <w:color w:val="000000"/>
          <w:kern w:val="0"/>
          <w:sz w:val="32"/>
          <w:szCs w:val="32"/>
          <w:highlight w:val="none"/>
        </w:rPr>
        <w:br w:type="page"/>
      </w:r>
    </w:p>
    <w:tbl>
      <w:tblPr>
        <w:tblStyle w:val="9"/>
        <w:tblW w:w="4958" w:type="pct"/>
        <w:tblInd w:w="126" w:type="dxa"/>
        <w:tblLayout w:type="fixed"/>
        <w:tblCellMar>
          <w:top w:w="0" w:type="dxa"/>
          <w:left w:w="108" w:type="dxa"/>
          <w:bottom w:w="0" w:type="dxa"/>
          <w:right w:w="108" w:type="dxa"/>
        </w:tblCellMar>
      </w:tblPr>
      <w:tblGrid>
        <w:gridCol w:w="3360"/>
        <w:gridCol w:w="623"/>
        <w:gridCol w:w="1155"/>
        <w:gridCol w:w="3599"/>
        <w:gridCol w:w="648"/>
        <w:gridCol w:w="1174"/>
        <w:gridCol w:w="1512"/>
        <w:gridCol w:w="1724"/>
        <w:gridCol w:w="1690"/>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90" w:hRule="atLeast"/>
        </w:trPr>
        <w:tc>
          <w:tcPr>
            <w:tcW w:w="1084"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1"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5"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公开04表</w:t>
            </w:r>
          </w:p>
        </w:tc>
      </w:tr>
      <w:tr>
        <w:tblPrEx>
          <w:tblCellMar>
            <w:top w:w="0" w:type="dxa"/>
            <w:left w:w="108" w:type="dxa"/>
            <w:bottom w:w="0" w:type="dxa"/>
            <w:right w:w="108" w:type="dxa"/>
          </w:tblCellMar>
        </w:tblPrEx>
        <w:trPr>
          <w:trHeight w:val="99" w:hRule="atLeast"/>
        </w:trPr>
        <w:tc>
          <w:tcPr>
            <w:tcW w:w="1659" w:type="pct"/>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部门：祁阳市公安局</w:t>
            </w:r>
            <w:r>
              <w:rPr>
                <w:rFonts w:hint="eastAsia" w:ascii="宋体" w:hAnsi="宋体" w:eastAsia="宋体" w:cs="宋体"/>
                <w:kern w:val="0"/>
                <w:sz w:val="20"/>
                <w:szCs w:val="20"/>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5"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90" w:hRule="atLeast"/>
        </w:trPr>
        <w:tc>
          <w:tcPr>
            <w:tcW w:w="165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收入</w:t>
            </w:r>
          </w:p>
        </w:tc>
        <w:tc>
          <w:tcPr>
            <w:tcW w:w="3340"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支出</w:t>
            </w:r>
          </w:p>
        </w:tc>
      </w:tr>
      <w:tr>
        <w:tblPrEx>
          <w:tblCellMar>
            <w:top w:w="0" w:type="dxa"/>
            <w:left w:w="108" w:type="dxa"/>
            <w:bottom w:w="0" w:type="dxa"/>
            <w:right w:w="108" w:type="dxa"/>
          </w:tblCellMar>
        </w:tblPrEx>
        <w:trPr>
          <w:trHeight w:val="630"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37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金额</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    目</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政府性基金预算财政拨款</w:t>
            </w:r>
          </w:p>
        </w:tc>
        <w:tc>
          <w:tcPr>
            <w:tcW w:w="54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国有资本经营预算财政拨款</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7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    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4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13582.88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二、外交支出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280.54</w:t>
            </w: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280.54</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五、教育支出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40</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十二、农林水支出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37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二十五、债务付息支出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二十六、抗疫特别国债安排的支出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p>
        </w:tc>
        <w:tc>
          <w:tcPr>
            <w:tcW w:w="545"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本年收入合计</w:t>
            </w: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13582.88　</w:t>
            </w: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本年支出合计</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59</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582.88</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582.88</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年初财政拨款结转和结余</w:t>
            </w: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w:t>
            </w:r>
          </w:p>
        </w:tc>
        <w:tc>
          <w:tcPr>
            <w:tcW w:w="37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年末财政拨款结转和结余</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62</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12" w:hRule="atLeast"/>
        </w:trPr>
        <w:tc>
          <w:tcPr>
            <w:tcW w:w="1084"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01"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37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13582.88</w:t>
            </w:r>
            <w:r>
              <w:rPr>
                <w:rFonts w:hint="eastAsia" w:ascii="宋体" w:hAnsi="宋体" w:eastAsia="宋体" w:cs="宋体"/>
                <w:kern w:val="0"/>
                <w:sz w:val="21"/>
                <w:szCs w:val="21"/>
                <w:highlight w:val="none"/>
              </w:rPr>
              <w:t>　</w:t>
            </w:r>
          </w:p>
        </w:tc>
        <w:tc>
          <w:tcPr>
            <w:tcW w:w="116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0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64</w:t>
            </w:r>
          </w:p>
        </w:tc>
        <w:tc>
          <w:tcPr>
            <w:tcW w:w="379" w:type="pct"/>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13</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582.88</w:t>
            </w:r>
          </w:p>
        </w:tc>
        <w:tc>
          <w:tcPr>
            <w:tcW w:w="488" w:type="pct"/>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13</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582.88</w:t>
            </w:r>
          </w:p>
        </w:tc>
        <w:tc>
          <w:tcPr>
            <w:tcW w:w="5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c>
          <w:tcPr>
            <w:tcW w:w="545"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tblPrEx>
          <w:tblCellMar>
            <w:top w:w="0" w:type="dxa"/>
            <w:left w:w="108" w:type="dxa"/>
            <w:bottom w:w="0" w:type="dxa"/>
            <w:right w:w="108" w:type="dxa"/>
          </w:tblCellMar>
        </w:tblPrEx>
        <w:trPr>
          <w:trHeight w:val="312" w:hRule="atLeast"/>
        </w:trPr>
        <w:tc>
          <w:tcPr>
            <w:tcW w:w="5000" w:type="pct"/>
            <w:gridSpan w:val="9"/>
            <w:tcBorders>
              <w:top w:val="nil"/>
              <w:left w:val="nil"/>
              <w:bottom w:val="nil"/>
              <w:right w:val="nil"/>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注：本表反映部门本年度一般公共预算财政拨款、政府性基金预算财政拨款和国有资本经营预算财政拨款的总收支和年末结转结余情况。</w:t>
            </w:r>
          </w:p>
        </w:tc>
      </w:tr>
    </w:tbl>
    <w:p>
      <w:pPr>
        <w:rPr>
          <w:rFonts w:hint="default" w:ascii="Times New Roman" w:hAnsi="Times New Roman" w:eastAsia="宋体" w:cs="Times New Roman"/>
          <w:kern w:val="0"/>
          <w:sz w:val="32"/>
          <w:szCs w:val="32"/>
          <w:highlight w:val="none"/>
        </w:rPr>
      </w:pPr>
      <w:r>
        <w:rPr>
          <w:rFonts w:hint="default" w:ascii="Times New Roman" w:hAnsi="Times New Roman" w:eastAsia="宋体" w:cs="Times New Roman"/>
          <w:kern w:val="0"/>
          <w:sz w:val="32"/>
          <w:szCs w:val="32"/>
          <w:highlight w:val="none"/>
        </w:rPr>
        <w:br w:type="page"/>
      </w:r>
    </w:p>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kern w:val="0"/>
          <w:sz w:val="32"/>
          <w:szCs w:val="32"/>
          <w:highlight w:val="none"/>
        </w:rPr>
        <w:t>一般公共预算财政拨款支出决算表</w:t>
      </w:r>
      <w:bookmarkEnd w:id="1"/>
      <w:r>
        <w:rPr>
          <w:rFonts w:hint="default" w:ascii="Times New Roman" w:hAnsi="Times New Roman" w:eastAsia="宋体" w:cs="Times New Roman"/>
          <w:color w:val="000000"/>
          <w:kern w:val="0"/>
          <w:sz w:val="32"/>
          <w:szCs w:val="32"/>
          <w:highlight w:val="none"/>
        </w:rPr>
        <w:t xml:space="preserve">                                                                                                                                                                                                                                                                </w:t>
      </w:r>
    </w:p>
    <w:tbl>
      <w:tblPr>
        <w:tblStyle w:val="9"/>
        <w:tblW w:w="4919" w:type="pct"/>
        <w:jc w:val="center"/>
        <w:tblLayout w:type="autofit"/>
        <w:tblCellMar>
          <w:top w:w="0" w:type="dxa"/>
          <w:left w:w="108" w:type="dxa"/>
          <w:bottom w:w="0" w:type="dxa"/>
          <w:right w:w="108" w:type="dxa"/>
        </w:tblCellMar>
      </w:tblPr>
      <w:tblGrid>
        <w:gridCol w:w="1137"/>
        <w:gridCol w:w="4627"/>
        <w:gridCol w:w="2783"/>
        <w:gridCol w:w="3158"/>
        <w:gridCol w:w="3656"/>
      </w:tblGrid>
      <w:tr>
        <w:tblPrEx>
          <w:tblCellMar>
            <w:top w:w="0" w:type="dxa"/>
            <w:left w:w="108" w:type="dxa"/>
            <w:bottom w:w="0" w:type="dxa"/>
            <w:right w:w="108" w:type="dxa"/>
          </w:tblCellMar>
        </w:tblPrEx>
        <w:trPr>
          <w:trHeight w:val="297" w:hRule="atLeast"/>
          <w:jc w:val="center"/>
        </w:trPr>
        <w:tc>
          <w:tcPr>
            <w:tcW w:w="1876" w:type="pct"/>
            <w:gridSpan w:val="2"/>
            <w:tcBorders>
              <w:top w:val="nil"/>
              <w:left w:val="nil"/>
              <w:bottom w:val="nil"/>
              <w:right w:val="nil"/>
            </w:tcBorders>
            <w:shd w:val="clear" w:color="auto" w:fill="auto"/>
            <w:vAlign w:val="center"/>
          </w:tcPr>
          <w:p>
            <w:pPr>
              <w:widowControl/>
              <w:jc w:val="left"/>
              <w:rPr>
                <w:rFonts w:hint="eastAsia" w:ascii="宋体" w:hAnsi="宋体" w:eastAsia="宋体" w:cs="宋体"/>
                <w:color w:val="000000"/>
                <w:kern w:val="0"/>
                <w:sz w:val="20"/>
                <w:szCs w:val="20"/>
                <w:highlight w:val="none"/>
              </w:rPr>
            </w:pPr>
          </w:p>
        </w:tc>
        <w:tc>
          <w:tcPr>
            <w:tcW w:w="3123" w:type="pct"/>
            <w:gridSpan w:val="3"/>
            <w:tcBorders>
              <w:top w:val="nil"/>
              <w:left w:val="nil"/>
              <w:bottom w:val="nil"/>
              <w:right w:val="nil"/>
            </w:tcBorders>
            <w:shd w:val="clear" w:color="auto" w:fill="auto"/>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公开05表</w:t>
            </w:r>
          </w:p>
        </w:tc>
      </w:tr>
      <w:tr>
        <w:tblPrEx>
          <w:tblCellMar>
            <w:top w:w="0" w:type="dxa"/>
            <w:left w:w="108" w:type="dxa"/>
            <w:bottom w:w="0" w:type="dxa"/>
            <w:right w:w="108" w:type="dxa"/>
          </w:tblCellMar>
        </w:tblPrEx>
        <w:trPr>
          <w:trHeight w:val="90" w:hRule="atLeast"/>
          <w:jc w:val="center"/>
        </w:trPr>
        <w:tc>
          <w:tcPr>
            <w:tcW w:w="1876" w:type="pct"/>
            <w:gridSpan w:val="2"/>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部门：祁阳市公安局</w:t>
            </w:r>
          </w:p>
        </w:tc>
        <w:tc>
          <w:tcPr>
            <w:tcW w:w="3123" w:type="pct"/>
            <w:gridSpan w:val="3"/>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90" w:hRule="atLeast"/>
          <w:jc w:val="center"/>
        </w:trPr>
        <w:tc>
          <w:tcPr>
            <w:tcW w:w="18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 xml:space="preserve">项 </w:t>
            </w:r>
            <w:r>
              <w:rPr>
                <w:rFonts w:hint="eastAsia" w:ascii="宋体" w:hAnsi="宋体" w:eastAsia="宋体" w:cs="宋体"/>
                <w:b w:val="0"/>
                <w:bCs/>
                <w:color w:val="000000"/>
                <w:kern w:val="0"/>
                <w:sz w:val="21"/>
                <w:szCs w:val="21"/>
                <w:highlight w:val="none"/>
              </w:rPr>
              <w:t xml:space="preserve">   </w:t>
            </w:r>
            <w:r>
              <w:rPr>
                <w:rFonts w:hint="eastAsia" w:ascii="宋体" w:hAnsi="宋体" w:eastAsia="宋体" w:cs="宋体"/>
                <w:b w:val="0"/>
                <w:bCs/>
                <w:kern w:val="0"/>
                <w:sz w:val="21"/>
                <w:szCs w:val="21"/>
                <w:highlight w:val="none"/>
              </w:rPr>
              <w:t>目</w:t>
            </w:r>
          </w:p>
        </w:tc>
        <w:tc>
          <w:tcPr>
            <w:tcW w:w="31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本年支出</w:t>
            </w:r>
          </w:p>
        </w:tc>
      </w:tr>
      <w:tr>
        <w:tblPrEx>
          <w:tblCellMar>
            <w:top w:w="0" w:type="dxa"/>
            <w:left w:w="108" w:type="dxa"/>
            <w:bottom w:w="0" w:type="dxa"/>
            <w:right w:w="108" w:type="dxa"/>
          </w:tblCellMar>
        </w:tblPrEx>
        <w:trPr>
          <w:trHeight w:val="495" w:hRule="atLeast"/>
          <w:jc w:val="center"/>
        </w:trPr>
        <w:tc>
          <w:tcPr>
            <w:tcW w:w="370"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功能分类科目编码</w:t>
            </w:r>
          </w:p>
        </w:tc>
        <w:tc>
          <w:tcPr>
            <w:tcW w:w="15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科目名称</w:t>
            </w:r>
          </w:p>
        </w:tc>
        <w:tc>
          <w:tcPr>
            <w:tcW w:w="9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小计</w:t>
            </w:r>
          </w:p>
        </w:tc>
        <w:tc>
          <w:tcPr>
            <w:tcW w:w="10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基本支出</w:t>
            </w:r>
          </w:p>
        </w:tc>
        <w:tc>
          <w:tcPr>
            <w:tcW w:w="1189"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项目支出</w:t>
            </w:r>
          </w:p>
        </w:tc>
      </w:tr>
      <w:tr>
        <w:tblPrEx>
          <w:tblCellMar>
            <w:top w:w="0" w:type="dxa"/>
            <w:left w:w="108" w:type="dxa"/>
            <w:bottom w:w="0" w:type="dxa"/>
            <w:right w:w="108" w:type="dxa"/>
          </w:tblCellMar>
        </w:tblPrEx>
        <w:trPr>
          <w:trHeight w:val="360" w:hRule="atLeast"/>
          <w:jc w:val="center"/>
        </w:trPr>
        <w:tc>
          <w:tcPr>
            <w:tcW w:w="370"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9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189" w:type="pct"/>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9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189" w:type="pct"/>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jc w:val="center"/>
        </w:trPr>
        <w:tc>
          <w:tcPr>
            <w:tcW w:w="187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9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0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189" w:type="pct"/>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tblPrEx>
          <w:tblCellMar>
            <w:top w:w="0" w:type="dxa"/>
            <w:left w:w="108" w:type="dxa"/>
            <w:bottom w:w="0" w:type="dxa"/>
            <w:right w:w="108" w:type="dxa"/>
          </w:tblCellMar>
        </w:tblPrEx>
        <w:trPr>
          <w:trHeight w:val="312" w:hRule="atLeast"/>
          <w:jc w:val="center"/>
        </w:trPr>
        <w:tc>
          <w:tcPr>
            <w:tcW w:w="187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90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13，582.88</w:t>
            </w:r>
          </w:p>
        </w:tc>
        <w:tc>
          <w:tcPr>
            <w:tcW w:w="10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8，424.57</w:t>
            </w:r>
          </w:p>
        </w:tc>
        <w:tc>
          <w:tcPr>
            <w:tcW w:w="1189"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5，158.31</w:t>
            </w: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w:t>
            </w:r>
          </w:p>
        </w:tc>
        <w:tc>
          <w:tcPr>
            <w:tcW w:w="150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公共安全支出</w:t>
            </w:r>
          </w:p>
        </w:tc>
        <w:tc>
          <w:tcPr>
            <w:tcW w:w="90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280.54</w:t>
            </w:r>
          </w:p>
        </w:tc>
        <w:tc>
          <w:tcPr>
            <w:tcW w:w="10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122.23</w:t>
            </w:r>
          </w:p>
        </w:tc>
        <w:tc>
          <w:tcPr>
            <w:tcW w:w="1189" w:type="pct"/>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158.31</w:t>
            </w: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w:t>
            </w:r>
          </w:p>
        </w:tc>
        <w:tc>
          <w:tcPr>
            <w:tcW w:w="150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公安</w:t>
            </w:r>
          </w:p>
        </w:tc>
        <w:tc>
          <w:tcPr>
            <w:tcW w:w="90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210.54</w:t>
            </w:r>
          </w:p>
        </w:tc>
        <w:tc>
          <w:tcPr>
            <w:tcW w:w="10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075.23</w:t>
            </w:r>
          </w:p>
        </w:tc>
        <w:tc>
          <w:tcPr>
            <w:tcW w:w="1189" w:type="pct"/>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2040201</w:t>
            </w:r>
          </w:p>
        </w:tc>
        <w:tc>
          <w:tcPr>
            <w:tcW w:w="150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行政运行</w:t>
            </w:r>
          </w:p>
        </w:tc>
        <w:tc>
          <w:tcPr>
            <w:tcW w:w="90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407.13</w:t>
            </w:r>
          </w:p>
        </w:tc>
        <w:tc>
          <w:tcPr>
            <w:tcW w:w="10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407.13</w:t>
            </w:r>
          </w:p>
        </w:tc>
        <w:tc>
          <w:tcPr>
            <w:tcW w:w="1189" w:type="pct"/>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2040202</w:t>
            </w:r>
          </w:p>
        </w:tc>
        <w:tc>
          <w:tcPr>
            <w:tcW w:w="150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90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c>
          <w:tcPr>
            <w:tcW w:w="10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p>
        </w:tc>
        <w:tc>
          <w:tcPr>
            <w:tcW w:w="1189" w:type="pct"/>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135.31</w:t>
            </w: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2040220</w:t>
            </w:r>
          </w:p>
        </w:tc>
        <w:tc>
          <w:tcPr>
            <w:tcW w:w="150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执法办案</w:t>
            </w:r>
          </w:p>
        </w:tc>
        <w:tc>
          <w:tcPr>
            <w:tcW w:w="90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48.10</w:t>
            </w:r>
          </w:p>
        </w:tc>
        <w:tc>
          <w:tcPr>
            <w:tcW w:w="10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48.10</w:t>
            </w:r>
          </w:p>
        </w:tc>
        <w:tc>
          <w:tcPr>
            <w:tcW w:w="1189" w:type="pct"/>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2040299</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其他公安支出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620.00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620.00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20407</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监狱</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2040702</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一般行政管理事务</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23.00</w:t>
            </w: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其他公共安全支出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47.00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47.00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2049902</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国家司法救助支出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2049999</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其他公共安全支出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社会保障和就业支出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497.03</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行政事业单位养老支出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2080505</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机关事业单位基本养老保险缴费支出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433.24</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20808</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抚恤</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2080801</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死亡抚恤</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63.79</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卫生健康支出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行政事业单位医疗</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2101101</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行政单位医疗</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199.97</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农林水支出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21307</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农村综合改革</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2130705</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对村民委员会和村党支部的补助</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506" w:type="pct"/>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住房保障支出</w:t>
            </w:r>
          </w:p>
        </w:tc>
        <w:tc>
          <w:tcPr>
            <w:tcW w:w="90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10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1189" w:type="pct"/>
            <w:tcBorders>
              <w:top w:val="nil"/>
              <w:left w:val="nil"/>
              <w:bottom w:val="single" w:color="auto" w:sz="4"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w:t>
            </w:r>
          </w:p>
        </w:tc>
        <w:tc>
          <w:tcPr>
            <w:tcW w:w="150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住房改革支出</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102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2210201</w:t>
            </w:r>
          </w:p>
        </w:tc>
        <w:tc>
          <w:tcPr>
            <w:tcW w:w="1506" w:type="pct"/>
            <w:tcBorders>
              <w:top w:val="single" w:color="auto" w:sz="4" w:space="0"/>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住房公积金</w:t>
            </w:r>
          </w:p>
        </w:tc>
        <w:tc>
          <w:tcPr>
            <w:tcW w:w="906" w:type="pct"/>
            <w:tcBorders>
              <w:top w:val="single" w:color="auto" w:sz="4" w:space="0"/>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1028" w:type="pct"/>
            <w:tcBorders>
              <w:top w:val="single" w:color="auto" w:sz="4" w:space="0"/>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295.34</w:t>
            </w:r>
          </w:p>
        </w:tc>
        <w:tc>
          <w:tcPr>
            <w:tcW w:w="1189" w:type="pct"/>
            <w:tcBorders>
              <w:top w:val="single" w:color="auto" w:sz="4"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粮油物资储备支出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22201</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粮油物资事务</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370" w:type="pct"/>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2220199</w:t>
            </w:r>
          </w:p>
        </w:tc>
        <w:tc>
          <w:tcPr>
            <w:tcW w:w="1506" w:type="pct"/>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其他粮油物资事务支出</w:t>
            </w:r>
          </w:p>
        </w:tc>
        <w:tc>
          <w:tcPr>
            <w:tcW w:w="906"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028" w:type="pct"/>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w:t>
            </w:r>
          </w:p>
        </w:tc>
        <w:tc>
          <w:tcPr>
            <w:tcW w:w="1189"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5000" w:type="pct"/>
            <w:gridSpan w:val="5"/>
            <w:tcBorders>
              <w:top w:val="nil"/>
              <w:left w:val="nil"/>
              <w:bottom w:val="nil"/>
              <w:right w:val="nil"/>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注：本表反映部门本年度一般公共预算财政拨款支出情况。</w:t>
            </w:r>
          </w:p>
        </w:tc>
      </w:tr>
    </w:tbl>
    <w:p>
      <w:pPr>
        <w:widowControl/>
        <w:jc w:val="center"/>
        <w:rPr>
          <w:rFonts w:hint="default" w:ascii="Times New Roman" w:hAnsi="Times New Roman" w:eastAsia="宋体" w:cs="Times New Roman"/>
          <w:color w:val="000000"/>
          <w:kern w:val="0"/>
          <w:sz w:val="32"/>
          <w:szCs w:val="32"/>
          <w:highlight w:val="none"/>
        </w:rPr>
      </w:pPr>
      <w:bookmarkStart w:id="2" w:name="RANGE!A1:I34"/>
      <w:r>
        <w:rPr>
          <w:rFonts w:hint="default" w:ascii="Times New Roman" w:hAnsi="Times New Roman" w:eastAsia="宋体" w:cs="Times New Roman"/>
          <w:color w:val="000000"/>
          <w:kern w:val="0"/>
          <w:sz w:val="32"/>
          <w:szCs w:val="32"/>
          <w:highlight w:val="none"/>
        </w:rPr>
        <w:br w:type="page"/>
      </w:r>
    </w:p>
    <w:tbl>
      <w:tblPr>
        <w:tblStyle w:val="9"/>
        <w:tblW w:w="5000" w:type="pct"/>
        <w:jc w:val="center"/>
        <w:tblLayout w:type="fixed"/>
        <w:tblCellMar>
          <w:top w:w="0" w:type="dxa"/>
          <w:left w:w="108" w:type="dxa"/>
          <w:bottom w:w="0" w:type="dxa"/>
          <w:right w:w="108" w:type="dxa"/>
        </w:tblCellMar>
      </w:tblPr>
      <w:tblGrid>
        <w:gridCol w:w="1063"/>
        <w:gridCol w:w="2619"/>
        <w:gridCol w:w="1656"/>
        <w:gridCol w:w="1088"/>
        <w:gridCol w:w="2050"/>
        <w:gridCol w:w="1037"/>
        <w:gridCol w:w="1063"/>
        <w:gridCol w:w="3531"/>
        <w:gridCol w:w="1507"/>
      </w:tblGrid>
      <w:tr>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公开06表</w:t>
            </w:r>
          </w:p>
        </w:tc>
      </w:tr>
      <w:tr>
        <w:tblPrEx>
          <w:tblCellMar>
            <w:top w:w="0" w:type="dxa"/>
            <w:left w:w="108" w:type="dxa"/>
            <w:bottom w:w="0" w:type="dxa"/>
            <w:right w:w="108" w:type="dxa"/>
          </w:tblCellMar>
        </w:tblPrEx>
        <w:trPr>
          <w:trHeight w:val="113" w:hRule="atLeast"/>
          <w:jc w:val="center"/>
        </w:trPr>
        <w:tc>
          <w:tcPr>
            <w:tcW w:w="1709" w:type="pct"/>
            <w:gridSpan w:val="3"/>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部门：祁阳市公安局</w:t>
            </w:r>
          </w:p>
        </w:tc>
        <w:tc>
          <w:tcPr>
            <w:tcW w:w="348"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656"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332"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340"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highlight w:val="none"/>
              </w:rPr>
            </w:pPr>
          </w:p>
        </w:tc>
        <w:tc>
          <w:tcPr>
            <w:tcW w:w="1613" w:type="pct"/>
            <w:gridSpan w:val="2"/>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2306" w:hRule="atLeast"/>
          <w:jc w:val="center"/>
        </w:trPr>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r>
      <w:tr>
        <w:tblPrEx>
          <w:tblCellMar>
            <w:top w:w="0" w:type="dxa"/>
            <w:left w:w="108" w:type="dxa"/>
            <w:bottom w:w="0" w:type="dxa"/>
            <w:right w:w="108" w:type="dxa"/>
          </w:tblCellMar>
        </w:tblPrEx>
        <w:trPr>
          <w:trHeight w:val="549" w:hRule="exact"/>
          <w:jc w:val="center"/>
        </w:trPr>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w:t>
            </w:r>
          </w:p>
        </w:tc>
        <w:tc>
          <w:tcPr>
            <w:tcW w:w="83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工资福利支出</w:t>
            </w:r>
          </w:p>
        </w:tc>
        <w:tc>
          <w:tcPr>
            <w:tcW w:w="53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6，873.42</w:t>
            </w:r>
          </w:p>
        </w:tc>
        <w:tc>
          <w:tcPr>
            <w:tcW w:w="34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w:t>
            </w:r>
          </w:p>
        </w:tc>
        <w:tc>
          <w:tcPr>
            <w:tcW w:w="65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商品和服务支出</w:t>
            </w:r>
          </w:p>
        </w:tc>
        <w:tc>
          <w:tcPr>
            <w:tcW w:w="33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925.62</w:t>
            </w:r>
          </w:p>
        </w:tc>
        <w:tc>
          <w:tcPr>
            <w:tcW w:w="34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w:t>
            </w:r>
          </w:p>
        </w:tc>
        <w:tc>
          <w:tcPr>
            <w:tcW w:w="1130"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债务利息及费用支出</w:t>
            </w:r>
          </w:p>
        </w:tc>
        <w:tc>
          <w:tcPr>
            <w:tcW w:w="48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4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30101</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基本工资</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1，906.56</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30201</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办公费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30701</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国内债务付息</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2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30102</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津贴补贴</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2，043.30</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30202</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印刷费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30702</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国外债务付息</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6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30103</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奖金</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618.01</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30203</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咨询费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资本性支出</w:t>
            </w:r>
          </w:p>
        </w:tc>
        <w:tc>
          <w:tcPr>
            <w:tcW w:w="4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210.00</w:t>
            </w:r>
          </w:p>
        </w:tc>
      </w:tr>
      <w:tr>
        <w:tblPrEx>
          <w:tblCellMar>
            <w:top w:w="0" w:type="dxa"/>
            <w:left w:w="108" w:type="dxa"/>
            <w:bottom w:w="0" w:type="dxa"/>
            <w:right w:w="108" w:type="dxa"/>
          </w:tblCellMar>
        </w:tblPrEx>
        <w:trPr>
          <w:trHeight w:val="45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30106</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伙食补助费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30204</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手续费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31001</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房屋建筑物购建</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4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30107</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绩效工资</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733.00</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30205</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水费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3.60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31002</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办公设备购置</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71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30108</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机关事业单位基本养老保险缴费</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433.24</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30206</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电费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31003</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专用设备购置</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5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30109</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职业年金缴费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30207</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邮电费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19.80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31005</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基础设施建设</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5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30110</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职工基本医疗保险缴费</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199.97</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30208</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取暖费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31006</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大型修缮</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3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30111</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公务员医疗补助缴费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物业管理费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31007</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信息网络及软件购置更新</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1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30112</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其他社会保障缴费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30211</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差旅费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328.10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31008</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物资储备</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2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30113</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住房公积金</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295.34</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30212</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因公出国（境）费用</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31009</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土地补偿</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1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30114</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医疗费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30213</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维修（护）费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31010</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安置补助</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63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30199</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其他工资福利支出</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644.00</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30214</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租赁费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31011</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地上附着物和青苗补偿</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2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对个人和家庭的补助</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415.53</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30215</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会议费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31012</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拆迁补偿</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1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30301</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离休费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30216</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培训费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31013</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公务用车购置</w:t>
            </w:r>
          </w:p>
        </w:tc>
        <w:tc>
          <w:tcPr>
            <w:tcW w:w="4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210.00</w:t>
            </w:r>
          </w:p>
        </w:tc>
      </w:tr>
      <w:tr>
        <w:tblPrEx>
          <w:tblCellMar>
            <w:top w:w="0" w:type="dxa"/>
            <w:left w:w="108" w:type="dxa"/>
            <w:bottom w:w="0" w:type="dxa"/>
            <w:right w:w="108" w:type="dxa"/>
          </w:tblCellMar>
        </w:tblPrEx>
        <w:trPr>
          <w:trHeight w:val="43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30302</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退休费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30217</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公务接待费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12.00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31019</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其他交通工具购置</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8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30303</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退职（役）费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30218</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专用材料费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31021</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文物和陈列品购置</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4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30304</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抚恤金</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63.79</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30224</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被装购置费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31022</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无形资产购置</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55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30305</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生活补助</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300.00</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30225</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专用燃料费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96.00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31099</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其他资本性支出</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9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30306</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救济费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30226</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劳务费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15.72</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其他支出</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3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30307</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医疗费补助</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30227</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委托业务费</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39906</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赠与</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3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30308</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助学金</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30228</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工会经费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78.40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39907</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国家赔偿费用支出</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60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30309</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奖励金</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福利费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144.00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39908</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对民间非营利组织和群众性自治组织补贴</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75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30310</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个人农业生产补贴</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30231</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公务用车运行维护费</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105.00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39999</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其他支出</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9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30311</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代缴社会保险费</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30239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其他交通费用</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699"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30399</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其他对个人和家庭的补助</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51.74</w:t>
            </w: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30240</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税金及附加费用</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7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8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530"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1"/>
                <w:szCs w:val="21"/>
                <w:highlight w:val="none"/>
              </w:rPr>
            </w:pPr>
          </w:p>
        </w:tc>
        <w:tc>
          <w:tcPr>
            <w:tcW w:w="3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30299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其他商品和服务支出</w:t>
            </w:r>
          </w:p>
        </w:tc>
        <w:tc>
          <w:tcPr>
            <w:tcW w:w="33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37.00</w:t>
            </w:r>
          </w:p>
        </w:tc>
        <w:tc>
          <w:tcPr>
            <w:tcW w:w="34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13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4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84" w:hRule="exact"/>
          <w:jc w:val="center"/>
        </w:trPr>
        <w:tc>
          <w:tcPr>
            <w:tcW w:w="117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人员经费合计</w:t>
            </w:r>
          </w:p>
        </w:tc>
        <w:tc>
          <w:tcPr>
            <w:tcW w:w="5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7，288.95</w:t>
            </w:r>
          </w:p>
        </w:tc>
        <w:tc>
          <w:tcPr>
            <w:tcW w:w="2808"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公用经费合计</w:t>
            </w:r>
          </w:p>
        </w:tc>
        <w:tc>
          <w:tcPr>
            <w:tcW w:w="48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1，135.62</w:t>
            </w:r>
          </w:p>
        </w:tc>
      </w:tr>
      <w:tr>
        <w:tblPrEx>
          <w:tblCellMar>
            <w:top w:w="0" w:type="dxa"/>
            <w:left w:w="108" w:type="dxa"/>
            <w:bottom w:w="0" w:type="dxa"/>
            <w:right w:w="108" w:type="dxa"/>
          </w:tblCellMar>
        </w:tblPrEx>
        <w:trPr>
          <w:trHeight w:val="854" w:hRule="exact"/>
          <w:jc w:val="center"/>
        </w:trPr>
        <w:tc>
          <w:tcPr>
            <w:tcW w:w="5000" w:type="pct"/>
            <w:gridSpan w:val="9"/>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注：本表反映部门本年度一般公共预算财政拨款基本支出明细情况。</w:t>
            </w:r>
          </w:p>
        </w:tc>
      </w:tr>
      <w:tr>
        <w:tblPrEx>
          <w:tblCellMar>
            <w:top w:w="0" w:type="dxa"/>
            <w:left w:w="108" w:type="dxa"/>
            <w:bottom w:w="0" w:type="dxa"/>
            <w:right w:w="108" w:type="dxa"/>
          </w:tblCellMar>
        </w:tblPrEx>
        <w:trPr>
          <w:trHeight w:val="284" w:hRule="exact"/>
          <w:jc w:val="center"/>
        </w:trPr>
        <w:tc>
          <w:tcPr>
            <w:tcW w:w="5000" w:type="pct"/>
            <w:gridSpan w:val="9"/>
            <w:tcBorders>
              <w:top w:val="nil"/>
              <w:left w:val="nil"/>
              <w:bottom w:val="nil"/>
              <w:right w:val="nil"/>
            </w:tcBorders>
            <w:shd w:val="clear" w:color="auto" w:fill="auto"/>
            <w:noWrap/>
            <w:vAlign w:val="center"/>
          </w:tcPr>
          <w:p>
            <w:pPr>
              <w:widowControl/>
              <w:jc w:val="left"/>
              <w:rPr>
                <w:rFonts w:hint="default" w:ascii="Times New Roman" w:hAnsi="Times New Roman" w:eastAsia="宋体" w:cs="Times New Roman"/>
                <w:color w:val="000000"/>
                <w:kern w:val="0"/>
                <w:sz w:val="32"/>
                <w:szCs w:val="32"/>
                <w:highlight w:val="none"/>
              </w:rPr>
            </w:pPr>
          </w:p>
        </w:tc>
      </w:tr>
      <w:tr>
        <w:tblPrEx>
          <w:tblCellMar>
            <w:top w:w="0" w:type="dxa"/>
            <w:left w:w="108" w:type="dxa"/>
            <w:bottom w:w="0" w:type="dxa"/>
            <w:right w:w="108" w:type="dxa"/>
          </w:tblCellMar>
        </w:tblPrEx>
        <w:trPr>
          <w:trHeight w:val="284" w:hRule="exact"/>
          <w:jc w:val="center"/>
        </w:trPr>
        <w:tc>
          <w:tcPr>
            <w:tcW w:w="5000" w:type="pct"/>
            <w:gridSpan w:val="9"/>
            <w:tcBorders>
              <w:top w:val="nil"/>
              <w:left w:val="nil"/>
              <w:bottom w:val="nil"/>
              <w:right w:val="nil"/>
            </w:tcBorders>
            <w:shd w:val="clear" w:color="auto" w:fill="auto"/>
            <w:noWrap/>
            <w:vAlign w:val="center"/>
          </w:tcPr>
          <w:p>
            <w:pPr>
              <w:widowControl/>
              <w:jc w:val="left"/>
              <w:rPr>
                <w:rFonts w:hint="default" w:ascii="Times New Roman" w:hAnsi="Times New Roman" w:eastAsia="宋体" w:cs="Times New Roman"/>
                <w:color w:val="000000"/>
                <w:kern w:val="0"/>
                <w:sz w:val="32"/>
                <w:szCs w:val="32"/>
                <w:highlight w:val="none"/>
              </w:rPr>
            </w:pPr>
          </w:p>
        </w:tc>
      </w:tr>
    </w:tbl>
    <w:p>
      <w:pP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br w:type="page"/>
      </w:r>
    </w:p>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t xml:space="preserve">一般公共预算财政拨款“三公”经费支出决算表                                                                                                                              </w:t>
      </w:r>
    </w:p>
    <w:tbl>
      <w:tblPr>
        <w:tblStyle w:val="9"/>
        <w:tblW w:w="4941" w:type="pct"/>
        <w:jc w:val="center"/>
        <w:tblLayout w:type="autofit"/>
        <w:tblCellMar>
          <w:top w:w="0" w:type="dxa"/>
          <w:left w:w="108" w:type="dxa"/>
          <w:bottom w:w="0" w:type="dxa"/>
          <w:right w:w="108" w:type="dxa"/>
        </w:tblCellMar>
      </w:tblPr>
      <w:tblGrid>
        <w:gridCol w:w="1182"/>
        <w:gridCol w:w="1296"/>
        <w:gridCol w:w="1296"/>
        <w:gridCol w:w="1296"/>
        <w:gridCol w:w="1305"/>
        <w:gridCol w:w="1321"/>
        <w:gridCol w:w="1296"/>
        <w:gridCol w:w="1296"/>
        <w:gridCol w:w="1296"/>
        <w:gridCol w:w="1296"/>
        <w:gridCol w:w="1305"/>
        <w:gridCol w:w="1245"/>
      </w:tblGrid>
      <w:tr>
        <w:tblPrEx>
          <w:tblCellMar>
            <w:top w:w="0" w:type="dxa"/>
            <w:left w:w="108" w:type="dxa"/>
            <w:bottom w:w="0" w:type="dxa"/>
            <w:right w:w="108" w:type="dxa"/>
          </w:tblCellMar>
        </w:tblPrEx>
        <w:trPr>
          <w:trHeight w:val="397" w:hRule="atLeast"/>
          <w:jc w:val="center"/>
        </w:trPr>
        <w:tc>
          <w:tcPr>
            <w:tcW w:w="2494" w:type="pct"/>
            <w:gridSpan w:val="6"/>
            <w:tcBorders>
              <w:top w:val="nil"/>
              <w:left w:val="nil"/>
              <w:bottom w:val="nil"/>
              <w:right w:val="nil"/>
            </w:tcBorders>
            <w:shd w:val="clear" w:color="auto" w:fill="auto"/>
            <w:vAlign w:val="center"/>
          </w:tcPr>
          <w:p>
            <w:pPr>
              <w:widowControl/>
              <w:jc w:val="center"/>
              <w:rPr>
                <w:rFonts w:hint="eastAsia" w:ascii="宋体" w:hAnsi="宋体" w:eastAsia="宋体" w:cs="宋体"/>
                <w:kern w:val="0"/>
                <w:sz w:val="20"/>
                <w:szCs w:val="20"/>
                <w:highlight w:val="none"/>
              </w:rPr>
            </w:pPr>
          </w:p>
        </w:tc>
        <w:tc>
          <w:tcPr>
            <w:tcW w:w="2506" w:type="pct"/>
            <w:gridSpan w:val="6"/>
            <w:tcBorders>
              <w:top w:val="nil"/>
              <w:left w:val="nil"/>
              <w:bottom w:val="nil"/>
              <w:right w:val="nil"/>
            </w:tcBorders>
            <w:shd w:val="clear" w:color="auto" w:fill="auto"/>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公开07表</w:t>
            </w:r>
          </w:p>
        </w:tc>
      </w:tr>
      <w:tr>
        <w:tblPrEx>
          <w:tblCellMar>
            <w:top w:w="0" w:type="dxa"/>
            <w:left w:w="108" w:type="dxa"/>
            <w:bottom w:w="0" w:type="dxa"/>
            <w:right w:w="108" w:type="dxa"/>
          </w:tblCellMar>
        </w:tblPrEx>
        <w:trPr>
          <w:trHeight w:val="397" w:hRule="atLeast"/>
          <w:jc w:val="center"/>
        </w:trPr>
        <w:tc>
          <w:tcPr>
            <w:tcW w:w="2494" w:type="pct"/>
            <w:gridSpan w:val="6"/>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部门：祁阳市公安局</w:t>
            </w:r>
          </w:p>
        </w:tc>
        <w:tc>
          <w:tcPr>
            <w:tcW w:w="2506" w:type="pct"/>
            <w:gridSpan w:val="6"/>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97" w:hRule="atLeast"/>
          <w:jc w:val="center"/>
        </w:trPr>
        <w:tc>
          <w:tcPr>
            <w:tcW w:w="2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03"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购置费</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运行费</w:t>
            </w:r>
          </w:p>
        </w:tc>
        <w:tc>
          <w:tcPr>
            <w:tcW w:w="4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vMerge w:val="continue"/>
            <w:tcBorders>
              <w:top w:val="single" w:color="auto" w:sz="4" w:space="0"/>
              <w:left w:val="nil"/>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购置费</w:t>
            </w:r>
          </w:p>
        </w:tc>
        <w:tc>
          <w:tcPr>
            <w:tcW w:w="42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运行费</w:t>
            </w:r>
          </w:p>
        </w:tc>
        <w:tc>
          <w:tcPr>
            <w:tcW w:w="403"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42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42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403" w:type="pct"/>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354.00</w:t>
            </w:r>
          </w:p>
        </w:tc>
        <w:tc>
          <w:tcPr>
            <w:tcW w:w="420"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w:t>
            </w:r>
          </w:p>
        </w:tc>
        <w:tc>
          <w:tcPr>
            <w:tcW w:w="420"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340.00</w:t>
            </w:r>
          </w:p>
        </w:tc>
        <w:tc>
          <w:tcPr>
            <w:tcW w:w="420"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170.00</w:t>
            </w:r>
          </w:p>
        </w:tc>
        <w:tc>
          <w:tcPr>
            <w:tcW w:w="423"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170.00</w:t>
            </w:r>
          </w:p>
        </w:tc>
        <w:tc>
          <w:tcPr>
            <w:tcW w:w="427"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14.00</w:t>
            </w:r>
          </w:p>
        </w:tc>
        <w:tc>
          <w:tcPr>
            <w:tcW w:w="420"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349.83</w:t>
            </w:r>
          </w:p>
        </w:tc>
        <w:tc>
          <w:tcPr>
            <w:tcW w:w="420"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w:t>
            </w:r>
          </w:p>
        </w:tc>
        <w:tc>
          <w:tcPr>
            <w:tcW w:w="420"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336.83</w:t>
            </w:r>
          </w:p>
        </w:tc>
        <w:tc>
          <w:tcPr>
            <w:tcW w:w="420"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166.83</w:t>
            </w:r>
          </w:p>
        </w:tc>
        <w:tc>
          <w:tcPr>
            <w:tcW w:w="423" w:type="pct"/>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170.00</w:t>
            </w:r>
          </w:p>
        </w:tc>
        <w:tc>
          <w:tcPr>
            <w:tcW w:w="403" w:type="pct"/>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13.00</w:t>
            </w:r>
          </w:p>
        </w:tc>
      </w:tr>
    </w:tbl>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default" w:ascii="Times New Roman" w:hAnsi="Times New Roman" w:eastAsia="宋体" w:cs="Times New Roman"/>
          <w:kern w:val="0"/>
          <w:sz w:val="32"/>
          <w:szCs w:val="32"/>
          <w:highlight w:val="none"/>
        </w:rPr>
      </w:pPr>
      <w:r>
        <w:rPr>
          <w:rFonts w:hint="default" w:ascii="Times New Roman" w:hAnsi="Times New Roman" w:eastAsia="宋体" w:cs="Times New Roman"/>
          <w:kern w:val="0"/>
          <w:sz w:val="32"/>
          <w:szCs w:val="32"/>
          <w:highlight w:val="none"/>
        </w:rPr>
        <w:br w:type="page"/>
      </w:r>
    </w:p>
    <w:p>
      <w:pPr>
        <w:autoSpaceDE w:val="0"/>
        <w:autoSpaceDN w:val="0"/>
        <w:adjustRightInd w:val="0"/>
        <w:ind w:left="315" w:leftChars="150"/>
        <w:jc w:val="left"/>
        <w:rPr>
          <w:rFonts w:hint="default" w:ascii="Times New Roman" w:hAnsi="Times New Roman" w:eastAsia="宋体" w:cs="Times New Roman"/>
          <w:kern w:val="0"/>
          <w:sz w:val="32"/>
          <w:szCs w:val="32"/>
          <w:highlight w:val="none"/>
        </w:rPr>
      </w:pPr>
    </w:p>
    <w:p>
      <w:pPr>
        <w:widowControl/>
        <w:jc w:val="center"/>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kern w:val="0"/>
          <w:sz w:val="32"/>
          <w:szCs w:val="32"/>
          <w:highlight w:val="none"/>
        </w:rPr>
        <w:t>政府性基金预算财政拨款收入支出决算表</w:t>
      </w:r>
      <w:r>
        <w:rPr>
          <w:rFonts w:hint="default" w:ascii="Times New Roman" w:hAnsi="Times New Roman" w:eastAsia="宋体" w:cs="Times New Roman"/>
          <w:color w:val="000000"/>
          <w:kern w:val="0"/>
          <w:sz w:val="32"/>
          <w:szCs w:val="32"/>
          <w:highlight w:val="none"/>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3"/>
        <w:gridCol w:w="1713"/>
        <w:gridCol w:w="1710"/>
        <w:gridCol w:w="1713"/>
        <w:gridCol w:w="1741"/>
        <w:gridCol w:w="17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highlight w:val="none"/>
              </w:rPr>
            </w:pPr>
          </w:p>
        </w:tc>
        <w:tc>
          <w:tcPr>
            <w:tcW w:w="555" w:type="pct"/>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highlight w:val="none"/>
              </w:rPr>
            </w:pPr>
          </w:p>
        </w:tc>
        <w:tc>
          <w:tcPr>
            <w:tcW w:w="555" w:type="pct"/>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highlight w:val="none"/>
              </w:rPr>
            </w:pPr>
          </w:p>
        </w:tc>
        <w:tc>
          <w:tcPr>
            <w:tcW w:w="1673" w:type="pct"/>
            <w:gridSpan w:val="3"/>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highlight w:val="none"/>
              </w:rPr>
            </w:pPr>
          </w:p>
        </w:tc>
        <w:tc>
          <w:tcPr>
            <w:tcW w:w="564" w:type="pct"/>
            <w:tcBorders>
              <w:top w:val="nil"/>
              <w:left w:val="nil"/>
              <w:bottom w:val="nil"/>
              <w:right w:val="nil"/>
            </w:tcBorders>
            <w:shd w:val="clear" w:color="auto" w:fill="auto"/>
            <w:vAlign w:val="center"/>
          </w:tcPr>
          <w:p>
            <w:pPr>
              <w:widowControl/>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部门：祁阳市公安局</w:t>
            </w:r>
          </w:p>
        </w:tc>
        <w:tc>
          <w:tcPr>
            <w:tcW w:w="555"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 w:val="20"/>
                <w:szCs w:val="20"/>
                <w:highlight w:val="none"/>
              </w:rPr>
            </w:pPr>
          </w:p>
        </w:tc>
        <w:tc>
          <w:tcPr>
            <w:tcW w:w="555"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 w:val="20"/>
                <w:szCs w:val="20"/>
                <w:highlight w:val="none"/>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 w:val="20"/>
                <w:szCs w:val="20"/>
                <w:highlight w:val="none"/>
              </w:rPr>
            </w:pPr>
          </w:p>
        </w:tc>
        <w:tc>
          <w:tcPr>
            <w:tcW w:w="564" w:type="pct"/>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 xml:space="preserve">项 </w:t>
            </w:r>
            <w:r>
              <w:rPr>
                <w:rFonts w:hint="eastAsia" w:ascii="宋体" w:hAnsi="宋体" w:eastAsia="宋体" w:cs="宋体"/>
                <w:b w:val="0"/>
                <w:bCs/>
                <w:color w:val="000000"/>
                <w:kern w:val="0"/>
                <w:sz w:val="21"/>
                <w:szCs w:val="21"/>
                <w:highlight w:val="none"/>
              </w:rPr>
              <w:t xml:space="preserve">   </w:t>
            </w:r>
            <w:r>
              <w:rPr>
                <w:rFonts w:hint="eastAsia" w:ascii="宋体" w:hAnsi="宋体" w:eastAsia="宋体" w:cs="宋体"/>
                <w:b w:val="0"/>
                <w:bCs/>
                <w:kern w:val="0"/>
                <w:sz w:val="21"/>
                <w:szCs w:val="21"/>
                <w:highlight w:val="none"/>
              </w:rPr>
              <w:t>目</w:t>
            </w:r>
          </w:p>
        </w:tc>
        <w:tc>
          <w:tcPr>
            <w:tcW w:w="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年初结转和结余</w:t>
            </w:r>
          </w:p>
        </w:tc>
        <w:tc>
          <w:tcPr>
            <w:tcW w:w="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本年支出</w:t>
            </w:r>
          </w:p>
        </w:tc>
        <w:tc>
          <w:tcPr>
            <w:tcW w:w="5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科目名称</w:t>
            </w: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b w:val="0"/>
                <w:bCs/>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b w:val="0"/>
                <w:bCs/>
                <w:kern w:val="0"/>
                <w:sz w:val="21"/>
                <w:szCs w:val="21"/>
                <w:highlight w:val="none"/>
              </w:rPr>
            </w:pPr>
          </w:p>
        </w:tc>
        <w:tc>
          <w:tcPr>
            <w:tcW w:w="554"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小计</w:t>
            </w:r>
          </w:p>
        </w:tc>
        <w:tc>
          <w:tcPr>
            <w:tcW w:w="555"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 xml:space="preserve">基本支出  </w:t>
            </w:r>
          </w:p>
        </w:tc>
        <w:tc>
          <w:tcPr>
            <w:tcW w:w="563"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项目支出</w:t>
            </w:r>
          </w:p>
        </w:tc>
        <w:tc>
          <w:tcPr>
            <w:tcW w:w="564"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4"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4"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4"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3" w:type="pct"/>
            <w:vMerge w:val="continue"/>
            <w:tcBorders>
              <w:top w:val="single" w:color="auto" w:sz="4" w:space="0"/>
              <w:bottom w:val="single" w:color="auto" w:sz="4" w:space="0"/>
            </w:tcBorders>
            <w:vAlign w:val="center"/>
          </w:tcPr>
          <w:p>
            <w:pPr>
              <w:widowControl/>
              <w:jc w:val="left"/>
              <w:rPr>
                <w:rFonts w:hint="eastAsia" w:ascii="宋体" w:hAnsi="宋体" w:eastAsia="宋体" w:cs="宋体"/>
                <w:kern w:val="0"/>
                <w:sz w:val="21"/>
                <w:szCs w:val="21"/>
                <w:highlight w:val="none"/>
              </w:rPr>
            </w:pPr>
          </w:p>
        </w:tc>
        <w:tc>
          <w:tcPr>
            <w:tcW w:w="564"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55"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55"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54"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55"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63"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64" w:type="pct"/>
            <w:tcBorders>
              <w:top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3348" w:type="pct"/>
            <w:gridSpan w:val="6"/>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lang w:eastAsia="zh-CN"/>
              </w:rPr>
              <w:t>本</w:t>
            </w:r>
            <w:r>
              <w:rPr>
                <w:rFonts w:hint="eastAsia" w:ascii="宋体" w:hAnsi="宋体" w:eastAsia="宋体" w:cs="宋体"/>
                <w:color w:val="auto"/>
                <w:kern w:val="0"/>
                <w:sz w:val="21"/>
                <w:szCs w:val="21"/>
                <w:highlight w:val="none"/>
              </w:rPr>
              <w:t>单位没有政府性基金收入，也没有使用政府性基金安排的支出，故本表无数据</w:t>
            </w:r>
            <w:r>
              <w:rPr>
                <w:rFonts w:hint="eastAsia" w:ascii="宋体" w:hAnsi="宋体" w:eastAsia="宋体" w:cs="宋体"/>
                <w:color w:val="auto"/>
                <w:kern w:val="0"/>
                <w:sz w:val="21"/>
                <w:szCs w:val="21"/>
                <w:highlight w:val="none"/>
                <w:lang w:eastAsia="zh-CN"/>
              </w:rPr>
              <w:t>。</w:t>
            </w: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5"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3"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4" w:type="pct"/>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bl>
    <w:p>
      <w:pPr>
        <w:widowControl/>
        <w:jc w:val="left"/>
        <w:rPr>
          <w:rFonts w:hint="default" w:ascii="Times New Roman" w:hAnsi="Times New Roman" w:eastAsia="宋体" w:cs="Times New Roman"/>
          <w:kern w:val="0"/>
          <w:sz w:val="32"/>
          <w:szCs w:val="32"/>
          <w:highlight w:val="none"/>
          <w:lang w:eastAsia="zh-CN"/>
        </w:rPr>
      </w:pPr>
      <w:r>
        <w:rPr>
          <w:rFonts w:hint="eastAsia" w:ascii="宋体" w:hAnsi="宋体" w:eastAsia="宋体" w:cs="宋体"/>
          <w:kern w:val="0"/>
          <w:sz w:val="21"/>
          <w:szCs w:val="21"/>
          <w:highlight w:val="none"/>
        </w:rPr>
        <w:t>注：本表反映部门本年度政府性基金预算财政拨款收入、支出及结转和结余情况</w:t>
      </w:r>
      <w:r>
        <w:rPr>
          <w:rFonts w:hint="eastAsia" w:ascii="宋体" w:hAnsi="宋体" w:eastAsia="宋体" w:cs="宋体"/>
          <w:kern w:val="0"/>
          <w:sz w:val="21"/>
          <w:szCs w:val="21"/>
          <w:highlight w:val="none"/>
          <w:lang w:eastAsia="zh-CN"/>
        </w:rPr>
        <w:t>。</w:t>
      </w:r>
    </w:p>
    <w:p>
      <w:pPr>
        <w:widowControl/>
        <w:jc w:val="left"/>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br w:type="page"/>
      </w:r>
    </w:p>
    <w:tbl>
      <w:tblPr>
        <w:tblStyle w:val="9"/>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hint="default" w:ascii="Times New Roman" w:hAnsi="Times New Roman" w:eastAsia="宋体" w:cs="Times New Roman"/>
                <w:kern w:val="0"/>
                <w:sz w:val="32"/>
                <w:szCs w:val="32"/>
                <w:highlight w:val="none"/>
              </w:rPr>
            </w:pPr>
            <w:r>
              <w:rPr>
                <w:rFonts w:hint="default" w:ascii="Times New Roman" w:hAnsi="Times New Roman" w:eastAsia="宋体" w:cs="Times New Roman"/>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81" w:type="pct"/>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81" w:type="pct"/>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部门：祁阳市公安局</w:t>
            </w:r>
          </w:p>
        </w:tc>
        <w:tc>
          <w:tcPr>
            <w:tcW w:w="1081" w:type="pct"/>
            <w:tcBorders>
              <w:top w:val="nil"/>
              <w:left w:val="nil"/>
              <w:bottom w:val="single" w:color="auto" w:sz="8" w:space="0"/>
              <w:right w:val="nil"/>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81" w:type="pct"/>
            <w:tcBorders>
              <w:top w:val="nil"/>
              <w:left w:val="nil"/>
              <w:bottom w:val="single" w:color="auto" w:sz="8" w:space="0"/>
              <w:right w:val="nil"/>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项 </w:t>
            </w:r>
            <w:r>
              <w:rPr>
                <w:rFonts w:hint="eastAsia" w:ascii="宋体" w:hAnsi="宋体" w:eastAsia="宋体" w:cs="宋体"/>
                <w:color w:val="000000"/>
                <w:kern w:val="0"/>
                <w:sz w:val="21"/>
                <w:szCs w:val="21"/>
                <w:highlight w:val="none"/>
              </w:rPr>
              <w:t xml:space="preserve">   </w:t>
            </w:r>
            <w:r>
              <w:rPr>
                <w:rFonts w:hint="eastAsia" w:ascii="宋体" w:hAnsi="宋体" w:eastAsia="宋体" w:cs="宋体"/>
                <w:kern w:val="0"/>
                <w:sz w:val="21"/>
                <w:szCs w:val="21"/>
                <w:highlight w:val="none"/>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本年支出</w:t>
            </w:r>
          </w:p>
        </w:tc>
      </w:tr>
      <w:tr>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项目支出</w:t>
            </w: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3210"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本单位无国有资本经营预算财政拨款支出，故本表无数据</w:t>
            </w:r>
            <w:r>
              <w:rPr>
                <w:rFonts w:hint="eastAsia" w:ascii="宋体" w:hAnsi="宋体" w:eastAsia="宋体" w:cs="宋体"/>
                <w:kern w:val="0"/>
                <w:sz w:val="21"/>
                <w:szCs w:val="21"/>
                <w:highlight w:val="none"/>
                <w:lang w:eastAsia="zh-CN"/>
              </w:rPr>
              <w:t>。</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356"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046"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注：本表反映部门本年度国有资本经营预算财政拨款支出情况。</w:t>
            </w:r>
          </w:p>
          <w:p>
            <w:pPr>
              <w:widowControl/>
              <w:ind w:firstLine="420" w:firstLineChars="20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本单位无国有资本经营预算财政拨款支出，故本表无数据</w:t>
            </w:r>
            <w:r>
              <w:rPr>
                <w:rFonts w:hint="eastAsia" w:ascii="宋体" w:hAnsi="宋体" w:eastAsia="宋体" w:cs="宋体"/>
                <w:kern w:val="0"/>
                <w:sz w:val="21"/>
                <w:szCs w:val="21"/>
                <w:highlight w:val="none"/>
                <w:lang w:eastAsia="zh-CN"/>
              </w:rPr>
              <w:t>。</w:t>
            </w:r>
          </w:p>
        </w:tc>
      </w:tr>
    </w:tbl>
    <w:p>
      <w:pPr>
        <w:pStyle w:val="13"/>
        <w:rPr>
          <w:rFonts w:hint="default" w:ascii="Times New Roman" w:hAnsi="Times New Roman" w:eastAsia="宋体" w:cs="Times New Roman"/>
          <w:sz w:val="32"/>
          <w:szCs w:val="32"/>
          <w:highlight w:val="none"/>
        </w:rPr>
        <w:sectPr>
          <w:pgSz w:w="16838" w:h="11906" w:orient="landscape"/>
          <w:pgMar w:top="397" w:right="720" w:bottom="397" w:left="720" w:header="851" w:footer="992" w:gutter="0"/>
          <w:cols w:space="425" w:num="1"/>
          <w:docGrid w:type="lines" w:linePitch="312" w:charSpace="0"/>
        </w:sectPr>
      </w:pPr>
    </w:p>
    <w:p>
      <w:pPr>
        <w:pStyle w:val="13"/>
        <w:jc w:val="both"/>
        <w:rPr>
          <w:rFonts w:hint="default" w:ascii="Times New Roman" w:hAnsi="Times New Roman" w:eastAsia="宋体" w:cs="Times New Roman"/>
          <w:sz w:val="32"/>
          <w:szCs w:val="32"/>
          <w:highlight w:val="none"/>
        </w:rPr>
      </w:pPr>
    </w:p>
    <w:p>
      <w:pPr>
        <w:pStyle w:val="13"/>
        <w:jc w:val="center"/>
        <w:rPr>
          <w:rFonts w:hint="eastAsia" w:asciiTheme="majorEastAsia" w:hAnsiTheme="majorEastAsia" w:eastAsiaTheme="majorEastAsia" w:cstheme="majorEastAsia"/>
          <w:b w:val="0"/>
          <w:bCs w:val="0"/>
          <w:sz w:val="72"/>
          <w:szCs w:val="72"/>
          <w:highlight w:val="none"/>
        </w:rPr>
      </w:pPr>
    </w:p>
    <w:p>
      <w:pPr>
        <w:pStyle w:val="13"/>
        <w:jc w:val="center"/>
        <w:rPr>
          <w:rFonts w:hint="eastAsia" w:asciiTheme="majorEastAsia" w:hAnsiTheme="majorEastAsia" w:eastAsiaTheme="majorEastAsia" w:cstheme="majorEastAsia"/>
          <w:b w:val="0"/>
          <w:bCs w:val="0"/>
          <w:sz w:val="72"/>
          <w:szCs w:val="72"/>
          <w:highlight w:val="none"/>
        </w:rPr>
      </w:pPr>
    </w:p>
    <w:p>
      <w:pPr>
        <w:pStyle w:val="13"/>
        <w:jc w:val="center"/>
        <w:rPr>
          <w:rFonts w:hint="eastAsia" w:asciiTheme="majorEastAsia" w:hAnsiTheme="majorEastAsia" w:eastAsiaTheme="majorEastAsia" w:cstheme="majorEastAsia"/>
          <w:b w:val="0"/>
          <w:bCs w:val="0"/>
          <w:sz w:val="72"/>
          <w:szCs w:val="72"/>
          <w:highlight w:val="none"/>
        </w:rPr>
      </w:pPr>
    </w:p>
    <w:p>
      <w:pPr>
        <w:pStyle w:val="13"/>
        <w:jc w:val="center"/>
        <w:rPr>
          <w:rFonts w:hint="eastAsia" w:asciiTheme="majorEastAsia" w:hAnsiTheme="majorEastAsia" w:eastAsiaTheme="majorEastAsia" w:cstheme="majorEastAsia"/>
          <w:b w:val="0"/>
          <w:bCs w:val="0"/>
          <w:sz w:val="72"/>
          <w:szCs w:val="72"/>
          <w:highlight w:val="none"/>
        </w:rPr>
      </w:pPr>
    </w:p>
    <w:p>
      <w:pPr>
        <w:pStyle w:val="13"/>
        <w:jc w:val="center"/>
        <w:rPr>
          <w:rFonts w:hint="eastAsia" w:asciiTheme="majorEastAsia" w:hAnsiTheme="majorEastAsia" w:eastAsiaTheme="majorEastAsia" w:cstheme="majorEastAsia"/>
          <w:b w:val="0"/>
          <w:bCs w:val="0"/>
          <w:sz w:val="72"/>
          <w:szCs w:val="72"/>
          <w:highlight w:val="none"/>
        </w:rPr>
      </w:pPr>
    </w:p>
    <w:p>
      <w:pPr>
        <w:pStyle w:val="13"/>
        <w:jc w:val="center"/>
        <w:rPr>
          <w:rFonts w:hint="eastAsia" w:asciiTheme="majorEastAsia" w:hAnsiTheme="majorEastAsia" w:eastAsiaTheme="majorEastAsia" w:cstheme="majorEastAsia"/>
          <w:b w:val="0"/>
          <w:bCs w:val="0"/>
          <w:sz w:val="72"/>
          <w:szCs w:val="72"/>
          <w:highlight w:val="none"/>
        </w:rPr>
      </w:pPr>
    </w:p>
    <w:p>
      <w:pPr>
        <w:pStyle w:val="13"/>
        <w:jc w:val="center"/>
        <w:rPr>
          <w:rFonts w:hint="eastAsia" w:asciiTheme="majorEastAsia" w:hAnsiTheme="majorEastAsia" w:eastAsiaTheme="majorEastAsia" w:cstheme="majorEastAsia"/>
          <w:b w:val="0"/>
          <w:bCs w:val="0"/>
          <w:sz w:val="72"/>
          <w:szCs w:val="72"/>
          <w:highlight w:val="none"/>
        </w:rPr>
      </w:pPr>
      <w:r>
        <w:rPr>
          <w:rFonts w:hint="eastAsia" w:asciiTheme="majorEastAsia" w:hAnsiTheme="majorEastAsia" w:eastAsiaTheme="majorEastAsia" w:cstheme="majorEastAsia"/>
          <w:b w:val="0"/>
          <w:bCs w:val="0"/>
          <w:sz w:val="72"/>
          <w:szCs w:val="72"/>
          <w:highlight w:val="none"/>
        </w:rPr>
        <w:t>第三部分</w:t>
      </w:r>
    </w:p>
    <w:p>
      <w:pPr>
        <w:pStyle w:val="13"/>
        <w:jc w:val="center"/>
        <w:rPr>
          <w:rFonts w:hint="eastAsia" w:asciiTheme="majorEastAsia" w:hAnsiTheme="majorEastAsia" w:eastAsiaTheme="majorEastAsia" w:cstheme="majorEastAsia"/>
          <w:b w:val="0"/>
          <w:bCs w:val="0"/>
          <w:sz w:val="72"/>
          <w:szCs w:val="72"/>
          <w:highlight w:val="none"/>
        </w:rPr>
      </w:pPr>
    </w:p>
    <w:p>
      <w:pPr>
        <w:pStyle w:val="13"/>
        <w:jc w:val="center"/>
        <w:rPr>
          <w:rFonts w:hint="eastAsia" w:asciiTheme="majorEastAsia" w:hAnsiTheme="majorEastAsia" w:eastAsiaTheme="majorEastAsia" w:cstheme="majorEastAsia"/>
          <w:b w:val="0"/>
          <w:bCs w:val="0"/>
          <w:sz w:val="72"/>
          <w:szCs w:val="72"/>
          <w:highlight w:val="none"/>
        </w:rPr>
      </w:pPr>
      <w:r>
        <w:rPr>
          <w:rFonts w:hint="eastAsia" w:asciiTheme="majorEastAsia" w:hAnsiTheme="majorEastAsia" w:eastAsiaTheme="majorEastAsia" w:cstheme="majorEastAsia"/>
          <w:b w:val="0"/>
          <w:bCs w:val="0"/>
          <w:sz w:val="72"/>
          <w:szCs w:val="72"/>
          <w:highlight w:val="none"/>
        </w:rPr>
        <w:t>2021年度部门决算情况说明</w:t>
      </w:r>
    </w:p>
    <w:p>
      <w:pPr>
        <w:widowControl/>
        <w:jc w:val="left"/>
        <w:rPr>
          <w:rFonts w:hint="eastAsia" w:asciiTheme="majorEastAsia" w:hAnsiTheme="majorEastAsia" w:eastAsiaTheme="majorEastAsia" w:cstheme="majorEastAsia"/>
          <w:b w:val="0"/>
          <w:bCs w:val="0"/>
          <w:color w:val="000000"/>
          <w:kern w:val="0"/>
          <w:sz w:val="72"/>
          <w:szCs w:val="72"/>
          <w:highlight w:val="none"/>
        </w:rPr>
      </w:pPr>
      <w:r>
        <w:rPr>
          <w:rFonts w:hint="eastAsia" w:asciiTheme="majorEastAsia" w:hAnsiTheme="majorEastAsia" w:eastAsiaTheme="majorEastAsia" w:cstheme="majorEastAsia"/>
          <w:b w:val="0"/>
          <w:bCs w:val="0"/>
          <w:sz w:val="72"/>
          <w:szCs w:val="72"/>
          <w:highlight w:val="none"/>
        </w:rPr>
        <w:br w:type="page"/>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一、收入支出决算总体情况说明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2021年度收、支总计13582.88万元。与上年相比，减少1500.25万元，减少</w:t>
      </w:r>
      <w:r>
        <w:rPr>
          <w:rFonts w:hint="default" w:ascii="Times New Roman" w:hAnsi="Times New Roman" w:eastAsia="宋体" w:cs="Times New Roman"/>
          <w:sz w:val="32"/>
          <w:szCs w:val="32"/>
          <w:highlight w:val="none"/>
          <w:lang w:val="en-US" w:eastAsia="zh-CN"/>
        </w:rPr>
        <w:t>9.95</w:t>
      </w:r>
      <w:r>
        <w:rPr>
          <w:rFonts w:hint="default" w:ascii="Times New Roman" w:hAnsi="Times New Roman" w:eastAsia="宋体" w:cs="Times New Roman"/>
          <w:sz w:val="32"/>
          <w:szCs w:val="32"/>
          <w:highlight w:val="none"/>
        </w:rPr>
        <w:t>%，主要是因为根据国家相关政策指示，开源节流，节约部分开支。</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二、收入决算情况说明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2021年度收入合计13582.88万元，其中：财政拨款收入13582.88万元，占100%；上级补助收入0万元，占0%；事业收入0万元，占0%；经营收入0万元，占0%；附属单位上缴收入0万元，占0%；其他收入0万元，占0%。</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三、支出决算情况说明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2021年度支出合计13582.88万元，其中：基本支出8424.5</w:t>
      </w:r>
      <w:r>
        <w:rPr>
          <w:rFonts w:hint="default" w:ascii="Times New Roman" w:hAnsi="Times New Roman" w:eastAsia="宋体" w:cs="Times New Roman"/>
          <w:sz w:val="32"/>
          <w:szCs w:val="32"/>
          <w:highlight w:val="none"/>
          <w:lang w:val="en-US" w:eastAsia="zh-CN"/>
        </w:rPr>
        <w:t>7</w:t>
      </w:r>
      <w:r>
        <w:rPr>
          <w:rFonts w:hint="default" w:ascii="Times New Roman" w:hAnsi="Times New Roman" w:eastAsia="宋体" w:cs="Times New Roman"/>
          <w:sz w:val="32"/>
          <w:szCs w:val="32"/>
          <w:highlight w:val="none"/>
        </w:rPr>
        <w:t>万元，占62</w:t>
      </w:r>
      <w:r>
        <w:rPr>
          <w:rFonts w:hint="default" w:ascii="Times New Roman" w:hAnsi="Times New Roman" w:eastAsia="宋体" w:cs="Times New Roman"/>
          <w:sz w:val="32"/>
          <w:szCs w:val="32"/>
          <w:highlight w:val="none"/>
          <w:lang w:val="en-US" w:eastAsia="zh-CN"/>
        </w:rPr>
        <w:t>.02</w:t>
      </w:r>
      <w:r>
        <w:rPr>
          <w:rFonts w:hint="default" w:ascii="Times New Roman" w:hAnsi="Times New Roman" w:eastAsia="宋体" w:cs="Times New Roman"/>
          <w:sz w:val="32"/>
          <w:szCs w:val="32"/>
          <w:highlight w:val="none"/>
        </w:rPr>
        <w:t>%；项目支出5158.31万元，占3</w:t>
      </w:r>
      <w:r>
        <w:rPr>
          <w:rFonts w:hint="default" w:ascii="Times New Roman" w:hAnsi="Times New Roman" w:eastAsia="宋体" w:cs="Times New Roman"/>
          <w:sz w:val="32"/>
          <w:szCs w:val="32"/>
          <w:highlight w:val="none"/>
          <w:lang w:val="en-US" w:eastAsia="zh-CN"/>
        </w:rPr>
        <w:t>7.98</w:t>
      </w:r>
      <w:r>
        <w:rPr>
          <w:rFonts w:hint="default" w:ascii="Times New Roman" w:hAnsi="Times New Roman" w:eastAsia="宋体" w:cs="Times New Roman"/>
          <w:sz w:val="32"/>
          <w:szCs w:val="32"/>
          <w:highlight w:val="none"/>
        </w:rPr>
        <w:t>%；上缴上级支出0万元，占0%；经营支出0万元，占0%；对附属单位补助支出0万元，占0%。</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四、财政拨款收入支出决算总体情况说明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2021年度财政拨款收、支总计13582.88万元，与上年相比，减少1500.25万元，减少</w:t>
      </w:r>
      <w:r>
        <w:rPr>
          <w:rFonts w:hint="default" w:ascii="Times New Roman" w:hAnsi="Times New Roman" w:eastAsia="宋体" w:cs="Times New Roman"/>
          <w:sz w:val="32"/>
          <w:szCs w:val="32"/>
          <w:highlight w:val="none"/>
          <w:lang w:val="en-US" w:eastAsia="zh-CN"/>
        </w:rPr>
        <w:t>9.95</w:t>
      </w:r>
      <w:r>
        <w:rPr>
          <w:rFonts w:hint="default" w:ascii="Times New Roman" w:hAnsi="Times New Roman" w:eastAsia="宋体" w:cs="Times New Roman"/>
          <w:sz w:val="32"/>
          <w:szCs w:val="32"/>
          <w:highlight w:val="none"/>
        </w:rPr>
        <w:t>%，主要是因为根据国家相关政策指示，开源节流，节约部分开支。</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五、一般公共预算财政拨款支出决算情况说明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（一）财政拨款支出决算总体情况</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2021年度财政拨款支出13582.88万元，占本年支出合计的100%，与上年相比，财政拨款支出增加减少1500.25万元，减少</w:t>
      </w:r>
      <w:r>
        <w:rPr>
          <w:rFonts w:hint="default" w:ascii="Times New Roman" w:hAnsi="Times New Roman" w:eastAsia="宋体" w:cs="Times New Roman"/>
          <w:sz w:val="32"/>
          <w:szCs w:val="32"/>
          <w:highlight w:val="none"/>
          <w:lang w:val="en-US" w:eastAsia="zh-CN"/>
        </w:rPr>
        <w:t>9.95</w:t>
      </w:r>
      <w:r>
        <w:rPr>
          <w:rFonts w:hint="default" w:ascii="Times New Roman" w:hAnsi="Times New Roman" w:eastAsia="宋体" w:cs="Times New Roman"/>
          <w:sz w:val="32"/>
          <w:szCs w:val="32"/>
          <w:highlight w:val="none"/>
        </w:rPr>
        <w:t>%，主要是因为根据国家相关政策指示，开源节流，节约部分开支。</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（二）财政拨款支出决算结构情况</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财政拨款支出13582.88万元，主要用于以下方面：公共安全（204）支出12280.54万元，占90.41%；社会保障和就业（208）支出497.03万元，占3.66%；卫生健康（210）支出199.97万元，占1.47%；农林水（213）支出300万元，占2.21%；住房保障（221）支出295.34万元，占2.17%；粮油物资储备（222）支出10万元，占0.08%。</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（三）财政拨款支出决算具体情况</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2021年度财政拨款支出年初预算数为8818.31万元，支出决算数为13582.88万元，完成年初预算的154.03%，其中：</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1、公共安全支出（204）公安（20402）行政运行（2040201）。</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年初预算为500</w:t>
      </w:r>
      <w:r>
        <w:rPr>
          <w:rFonts w:hint="default" w:ascii="Times New Roman" w:hAnsi="Times New Roman" w:eastAsia="宋体" w:cs="Times New Roman"/>
          <w:color w:val="000000"/>
          <w:sz w:val="32"/>
          <w:szCs w:val="32"/>
          <w:highlight w:val="none"/>
          <w:lang w:val="en-US" w:eastAsia="zh-CN"/>
        </w:rPr>
        <w:t>5.72</w:t>
      </w:r>
      <w:r>
        <w:rPr>
          <w:rFonts w:hint="default" w:ascii="Times New Roman" w:hAnsi="Times New Roman" w:eastAsia="宋体" w:cs="Times New Roman"/>
          <w:color w:val="000000"/>
          <w:sz w:val="32"/>
          <w:szCs w:val="32"/>
          <w:highlight w:val="none"/>
        </w:rPr>
        <w:t>万元，支出决算为5407.13万元，完成年初预算的108.0</w:t>
      </w:r>
      <w:r>
        <w:rPr>
          <w:rFonts w:hint="default" w:ascii="Times New Roman" w:hAnsi="Times New Roman" w:eastAsia="宋体" w:cs="Times New Roman"/>
          <w:color w:val="000000"/>
          <w:sz w:val="32"/>
          <w:szCs w:val="32"/>
          <w:highlight w:val="none"/>
          <w:lang w:val="en-US" w:eastAsia="zh-CN"/>
        </w:rPr>
        <w:t>2</w:t>
      </w:r>
      <w:r>
        <w:rPr>
          <w:rFonts w:hint="default" w:ascii="Times New Roman" w:hAnsi="Times New Roman" w:eastAsia="宋体" w:cs="Times New Roman"/>
          <w:color w:val="000000"/>
          <w:sz w:val="32"/>
          <w:szCs w:val="32"/>
          <w:highlight w:val="none"/>
        </w:rPr>
        <w:t>%，决算数大于年初预算数的主要原因是</w:t>
      </w:r>
      <w:r>
        <w:rPr>
          <w:rFonts w:hint="default" w:ascii="Times New Roman" w:hAnsi="Times New Roman" w:eastAsia="宋体" w:cs="Times New Roman"/>
          <w:color w:val="000000"/>
          <w:sz w:val="32"/>
          <w:szCs w:val="32"/>
          <w:highlight w:val="none"/>
          <w:lang w:eastAsia="zh-CN"/>
        </w:rPr>
        <w:t>：</w:t>
      </w:r>
      <w:r>
        <w:rPr>
          <w:rFonts w:hint="default" w:ascii="Times New Roman" w:hAnsi="Times New Roman" w:eastAsia="宋体" w:cs="Times New Roman"/>
          <w:color w:val="000000"/>
          <w:sz w:val="32"/>
          <w:szCs w:val="32"/>
          <w:highlight w:val="none"/>
        </w:rPr>
        <w:t>有部分行政运行经费未纳入年初预算，为本年财政追加。</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2、公共安全支出（204）公安（20402）一般行政管理事务（2040202）。</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年初预算为186</w:t>
      </w:r>
      <w:r>
        <w:rPr>
          <w:rFonts w:hint="default" w:ascii="Times New Roman" w:hAnsi="Times New Roman" w:eastAsia="宋体" w:cs="Times New Roman"/>
          <w:color w:val="000000"/>
          <w:sz w:val="32"/>
          <w:szCs w:val="32"/>
          <w:highlight w:val="none"/>
          <w:lang w:val="en-US" w:eastAsia="zh-CN"/>
        </w:rPr>
        <w:t>1</w:t>
      </w:r>
      <w:r>
        <w:rPr>
          <w:rFonts w:hint="default" w:ascii="Times New Roman" w:hAnsi="Times New Roman" w:eastAsia="宋体" w:cs="Times New Roman"/>
          <w:color w:val="000000"/>
          <w:sz w:val="32"/>
          <w:szCs w:val="32"/>
          <w:highlight w:val="none"/>
        </w:rPr>
        <w:t>万元，支出决算为51</w:t>
      </w:r>
      <w:r>
        <w:rPr>
          <w:rFonts w:hint="default" w:ascii="Times New Roman" w:hAnsi="Times New Roman" w:eastAsia="宋体" w:cs="Times New Roman"/>
          <w:color w:val="000000"/>
          <w:sz w:val="32"/>
          <w:szCs w:val="32"/>
          <w:highlight w:val="none"/>
          <w:lang w:val="en-US" w:eastAsia="zh-CN"/>
        </w:rPr>
        <w:t>35.31</w:t>
      </w:r>
      <w:r>
        <w:rPr>
          <w:rFonts w:hint="default" w:ascii="Times New Roman" w:hAnsi="Times New Roman" w:eastAsia="宋体" w:cs="Times New Roman"/>
          <w:color w:val="000000"/>
          <w:sz w:val="32"/>
          <w:szCs w:val="32"/>
          <w:highlight w:val="none"/>
        </w:rPr>
        <w:t>万元，完成年初预算的278.</w:t>
      </w:r>
      <w:r>
        <w:rPr>
          <w:rFonts w:hint="default" w:ascii="Times New Roman" w:hAnsi="Times New Roman" w:eastAsia="宋体" w:cs="Times New Roman"/>
          <w:color w:val="000000"/>
          <w:sz w:val="32"/>
          <w:szCs w:val="32"/>
          <w:highlight w:val="none"/>
          <w:lang w:val="en-US" w:eastAsia="zh-CN"/>
        </w:rPr>
        <w:t>53</w:t>
      </w:r>
      <w:r>
        <w:rPr>
          <w:rFonts w:hint="default" w:ascii="Times New Roman" w:hAnsi="Times New Roman" w:eastAsia="宋体" w:cs="Times New Roman"/>
          <w:color w:val="000000"/>
          <w:sz w:val="32"/>
          <w:szCs w:val="32"/>
          <w:highlight w:val="none"/>
        </w:rPr>
        <w:t>%，决算数大于年初预算数的主要原因是</w:t>
      </w:r>
      <w:r>
        <w:rPr>
          <w:rFonts w:hint="default" w:ascii="Times New Roman" w:hAnsi="Times New Roman" w:eastAsia="宋体" w:cs="Times New Roman"/>
          <w:color w:val="000000"/>
          <w:sz w:val="32"/>
          <w:szCs w:val="32"/>
          <w:highlight w:val="none"/>
          <w:lang w:eastAsia="zh-CN"/>
        </w:rPr>
        <w:t>：</w:t>
      </w:r>
      <w:r>
        <w:rPr>
          <w:rFonts w:hint="default" w:ascii="Times New Roman" w:hAnsi="Times New Roman" w:eastAsia="宋体" w:cs="Times New Roman"/>
          <w:color w:val="000000"/>
          <w:sz w:val="32"/>
          <w:szCs w:val="32"/>
          <w:highlight w:val="none"/>
        </w:rPr>
        <w:t>有部分项目资金未纳入年初预算，为本年财政追加。</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lang w:val="en-US" w:eastAsia="zh-CN"/>
        </w:rPr>
        <w:t>3、公共安全支出（204）公安（20402）执法办案（2040220）。</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rPr>
        <w:t>年初预算为0万元，支出决算为</w:t>
      </w:r>
      <w:r>
        <w:rPr>
          <w:rFonts w:hint="default" w:ascii="Times New Roman" w:hAnsi="Times New Roman" w:eastAsia="宋体" w:cs="Times New Roman"/>
          <w:color w:val="000000"/>
          <w:sz w:val="32"/>
          <w:szCs w:val="32"/>
          <w:highlight w:val="none"/>
          <w:lang w:val="en-US" w:eastAsia="zh-CN"/>
        </w:rPr>
        <w:t>48.1</w:t>
      </w:r>
      <w:r>
        <w:rPr>
          <w:rFonts w:hint="default" w:ascii="Times New Roman" w:hAnsi="Times New Roman" w:eastAsia="宋体" w:cs="Times New Roman"/>
          <w:color w:val="000000"/>
          <w:sz w:val="32"/>
          <w:szCs w:val="32"/>
          <w:highlight w:val="none"/>
        </w:rPr>
        <w:t>万元，由于预算数为0，无法计算百分比，决算数大于年初预算数的主要原因是：财政追加预算。</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lang w:val="en-US" w:eastAsia="zh-CN"/>
        </w:rPr>
        <w:t>4</w:t>
      </w:r>
      <w:r>
        <w:rPr>
          <w:rFonts w:hint="default" w:ascii="Times New Roman" w:hAnsi="Times New Roman" w:eastAsia="宋体" w:cs="Times New Roman"/>
          <w:color w:val="000000"/>
          <w:sz w:val="32"/>
          <w:szCs w:val="32"/>
          <w:highlight w:val="none"/>
        </w:rPr>
        <w:t>、公共安全支出（204）公安（20402）其他公安支出（2040299）。</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年初预算为1318.38万元，支出决算为1620万元，完成年初预算的122.88%，决算数大于年初预算数的主要原因是：财政追加预算。</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、公共安全支出（204）监狱（20407）一般行政管理事务（2040702）。</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年初预算为0万元，支出决算为23万元，由于预算数为0，无法计算百分比，决算数大于年初预算数的主要原因是：财政追加预算。</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lang w:val="en-US" w:eastAsia="zh-CN"/>
        </w:rPr>
        <w:t>6</w:t>
      </w:r>
      <w:r>
        <w:rPr>
          <w:rFonts w:hint="default" w:ascii="Times New Roman" w:hAnsi="Times New Roman" w:eastAsia="宋体" w:cs="Times New Roman"/>
          <w:color w:val="000000"/>
          <w:sz w:val="32"/>
          <w:szCs w:val="32"/>
          <w:highlight w:val="none"/>
        </w:rPr>
        <w:t>、公共安全支出（204）其他公共安全支出（20499）国家司法救助支出（2049902）。</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年初预算为0万元，支出决算为10万元，由于预算数为0，无法计算百分比，决算数大于年初预算数的主要原因是：财政追加预算。</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lang w:val="en-US" w:eastAsia="zh-CN"/>
        </w:rPr>
        <w:t>7</w:t>
      </w:r>
      <w:r>
        <w:rPr>
          <w:rFonts w:hint="default" w:ascii="Times New Roman" w:hAnsi="Times New Roman" w:eastAsia="宋体" w:cs="Times New Roman"/>
          <w:color w:val="000000"/>
          <w:sz w:val="32"/>
          <w:szCs w:val="32"/>
          <w:highlight w:val="none"/>
        </w:rPr>
        <w:t>、公共安全支出（204）其他公共安全支出（20499）其他公共安全支出（2049999）。</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年初预算为0万元，支出决算为37万元，由于预算数为0，无法计算百分比，决算数大于年初预算数的主要原因是：财政追加预算。</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lang w:val="en-US" w:eastAsia="zh-CN"/>
        </w:rPr>
        <w:t>8</w:t>
      </w:r>
      <w:r>
        <w:rPr>
          <w:rFonts w:hint="default" w:ascii="Times New Roman" w:hAnsi="Times New Roman" w:eastAsia="宋体" w:cs="Times New Roman"/>
          <w:color w:val="000000"/>
          <w:sz w:val="32"/>
          <w:szCs w:val="32"/>
          <w:highlight w:val="none"/>
        </w:rPr>
        <w:t>、社会保障和就业支出（208）行政事业单位养老支出（20805）机关事业单位基本养老保险缴费支出（2080505）。 </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年初预算为433.24万元，支出决算为433.24万元，完成年初预算的100%，决算数与年初预算数持平的主要原因是</w:t>
      </w:r>
      <w:r>
        <w:rPr>
          <w:rFonts w:hint="default" w:ascii="Times New Roman" w:hAnsi="Times New Roman" w:eastAsia="宋体" w:cs="Times New Roman"/>
          <w:color w:val="000000"/>
          <w:sz w:val="32"/>
          <w:szCs w:val="32"/>
          <w:highlight w:val="none"/>
          <w:lang w:eastAsia="zh-CN"/>
        </w:rPr>
        <w:t>：</w:t>
      </w:r>
      <w:r>
        <w:rPr>
          <w:rFonts w:hint="default" w:ascii="Times New Roman" w:hAnsi="Times New Roman" w:eastAsia="宋体" w:cs="Times New Roman"/>
          <w:color w:val="000000"/>
          <w:sz w:val="32"/>
          <w:szCs w:val="32"/>
          <w:highlight w:val="none"/>
        </w:rPr>
        <w:t>严格按</w:t>
      </w:r>
      <w:r>
        <w:rPr>
          <w:rFonts w:hint="default" w:ascii="Times New Roman" w:hAnsi="Times New Roman" w:eastAsia="宋体" w:cs="Times New Roman"/>
          <w:color w:val="000000"/>
          <w:sz w:val="32"/>
          <w:szCs w:val="32"/>
          <w:highlight w:val="none"/>
          <w:lang w:eastAsia="zh-CN"/>
        </w:rPr>
        <w:t>年初</w:t>
      </w:r>
      <w:r>
        <w:rPr>
          <w:rFonts w:hint="default" w:ascii="Times New Roman" w:hAnsi="Times New Roman" w:eastAsia="宋体" w:cs="Times New Roman"/>
          <w:color w:val="000000"/>
          <w:sz w:val="32"/>
          <w:szCs w:val="32"/>
          <w:highlight w:val="none"/>
        </w:rPr>
        <w:t>预算数执行。</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lang w:val="en-US" w:eastAsia="zh-CN"/>
        </w:rPr>
        <w:t>9</w:t>
      </w:r>
      <w:r>
        <w:rPr>
          <w:rFonts w:hint="default" w:ascii="Times New Roman" w:hAnsi="Times New Roman" w:eastAsia="宋体" w:cs="Times New Roman"/>
          <w:color w:val="000000"/>
          <w:sz w:val="32"/>
          <w:szCs w:val="32"/>
          <w:highlight w:val="none"/>
        </w:rPr>
        <w:t>、社会保障和就业支出（208）抚恤（20808）死亡抚恤（2080801）。</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年初预算为0万元，支出决算为63.79万元，由于预算数为0，无法计算百分比，决算数大于年初预算数的主要原因是：财政追加预算。</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lang w:val="en-US" w:eastAsia="zh-CN"/>
        </w:rPr>
        <w:t>10</w:t>
      </w:r>
      <w:r>
        <w:rPr>
          <w:rFonts w:hint="default" w:ascii="Times New Roman" w:hAnsi="Times New Roman" w:eastAsia="宋体" w:cs="Times New Roman"/>
          <w:color w:val="000000"/>
          <w:sz w:val="32"/>
          <w:szCs w:val="32"/>
          <w:highlight w:val="none"/>
        </w:rPr>
        <w:t>、卫生健康支出（210）行政事业单位医疗（21011）行政单位医疗（2101101）。</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年初预算为199.97万元，支出决算为199.97万元，完成年初预算的100%，决算数与年初预算数持平的主要原因是</w:t>
      </w:r>
      <w:r>
        <w:rPr>
          <w:rFonts w:hint="default" w:ascii="Times New Roman" w:hAnsi="Times New Roman" w:eastAsia="宋体" w:cs="Times New Roman"/>
          <w:color w:val="000000"/>
          <w:sz w:val="32"/>
          <w:szCs w:val="32"/>
          <w:highlight w:val="none"/>
          <w:lang w:eastAsia="zh-CN"/>
        </w:rPr>
        <w:t>：</w:t>
      </w:r>
      <w:r>
        <w:rPr>
          <w:rFonts w:hint="default" w:ascii="Times New Roman" w:hAnsi="Times New Roman" w:eastAsia="宋体" w:cs="Times New Roman"/>
          <w:color w:val="000000"/>
          <w:sz w:val="32"/>
          <w:szCs w:val="32"/>
          <w:highlight w:val="none"/>
        </w:rPr>
        <w:t>严格按</w:t>
      </w:r>
      <w:r>
        <w:rPr>
          <w:rFonts w:hint="default" w:ascii="Times New Roman" w:hAnsi="Times New Roman" w:eastAsia="宋体" w:cs="Times New Roman"/>
          <w:color w:val="000000"/>
          <w:sz w:val="32"/>
          <w:szCs w:val="32"/>
          <w:highlight w:val="none"/>
          <w:lang w:eastAsia="zh-CN"/>
        </w:rPr>
        <w:t>年初</w:t>
      </w:r>
      <w:r>
        <w:rPr>
          <w:rFonts w:hint="default" w:ascii="Times New Roman" w:hAnsi="Times New Roman" w:eastAsia="宋体" w:cs="Times New Roman"/>
          <w:color w:val="000000"/>
          <w:sz w:val="32"/>
          <w:szCs w:val="32"/>
          <w:highlight w:val="none"/>
        </w:rPr>
        <w:t>预算数执行。</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1</w:t>
      </w:r>
      <w:r>
        <w:rPr>
          <w:rFonts w:hint="default" w:ascii="Times New Roman" w:hAnsi="Times New Roman" w:eastAsia="宋体" w:cs="Times New Roman"/>
          <w:color w:val="000000"/>
          <w:sz w:val="32"/>
          <w:szCs w:val="32"/>
          <w:highlight w:val="none"/>
          <w:lang w:val="en-US" w:eastAsia="zh-CN"/>
        </w:rPr>
        <w:t>1</w:t>
      </w:r>
      <w:r>
        <w:rPr>
          <w:rFonts w:hint="default" w:ascii="Times New Roman" w:hAnsi="Times New Roman" w:eastAsia="宋体" w:cs="Times New Roman"/>
          <w:color w:val="000000"/>
          <w:sz w:val="32"/>
          <w:szCs w:val="32"/>
          <w:highlight w:val="none"/>
        </w:rPr>
        <w:t>、农林水支出（213）农村综合改革（21307）对村民委员会和村党支部的补助（2130705）。</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年初预算为0万元，支出决算为300万元，由于预算数为0，无法计算百分比，决算数大于年初预算数的主要原因是：财政追加预算。</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11、住房保障支出（221）住房改革支出（22102）住房公积金（2210201）。</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年初预算为0万元，支出决算为295.34万元，由于预算数为0，无法计算百分比，决算数大于年初预算数的主要原因是</w:t>
      </w:r>
      <w:r>
        <w:rPr>
          <w:rFonts w:hint="default" w:ascii="Times New Roman" w:hAnsi="Times New Roman" w:eastAsia="宋体" w:cs="Times New Roman"/>
          <w:color w:val="000000"/>
          <w:sz w:val="32"/>
          <w:szCs w:val="32"/>
          <w:highlight w:val="none"/>
          <w:lang w:eastAsia="zh-CN"/>
        </w:rPr>
        <w:t>：</w:t>
      </w:r>
      <w:r>
        <w:rPr>
          <w:rFonts w:hint="default" w:ascii="Times New Roman" w:hAnsi="Times New Roman" w:eastAsia="宋体" w:cs="Times New Roman"/>
          <w:color w:val="000000"/>
          <w:sz w:val="32"/>
          <w:szCs w:val="32"/>
          <w:highlight w:val="none"/>
        </w:rPr>
        <w:t>项目没有纳入单位预算，由公共财政统一支付。</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12、粮油物资储备支出（222）粮油物资事务（22201）其他粮油物资事务支出（2220199）。</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年初预算为0万元，支出决算为10万元，由于预算数为0，无法计算百分比，决算数大于年初预算数的主要原因是：财政追加预算。</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六、一般公共预算财政拨款基本支出决算情况说明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2021年度财政拨款基本支出8424.57万元，其中：人员经费7288.95万元，占基本支出的</w:t>
      </w:r>
      <w:r>
        <w:rPr>
          <w:rFonts w:hint="default" w:ascii="Times New Roman" w:hAnsi="Times New Roman" w:eastAsia="宋体" w:cs="Times New Roman"/>
          <w:sz w:val="32"/>
          <w:szCs w:val="32"/>
          <w:highlight w:val="none"/>
          <w:lang w:val="en-US" w:eastAsia="zh-CN"/>
        </w:rPr>
        <w:t>86.52</w:t>
      </w:r>
      <w:r>
        <w:rPr>
          <w:rFonts w:hint="default" w:ascii="Times New Roman" w:hAnsi="Times New Roman" w:eastAsia="宋体" w:cs="Times New Roman"/>
          <w:sz w:val="32"/>
          <w:szCs w:val="32"/>
          <w:highlight w:val="none"/>
        </w:rPr>
        <w:t>%，主要包括基本工资、津贴补贴、奖金、绩效工资</w:t>
      </w:r>
      <w:r>
        <w:rPr>
          <w:rFonts w:hint="default" w:ascii="Times New Roman" w:hAnsi="Times New Roman" w:eastAsia="宋体" w:cs="Times New Roman"/>
          <w:sz w:val="32"/>
          <w:szCs w:val="32"/>
          <w:highlight w:val="none"/>
          <w:lang w:eastAsia="zh-CN"/>
        </w:rPr>
        <w:t>、机关事业单位基本养老保险缴费、职工基本医疗保险缴费、住房公积金、其他工资福利支出、生活补助</w:t>
      </w:r>
      <w:r>
        <w:rPr>
          <w:rFonts w:hint="default" w:ascii="Times New Roman" w:hAnsi="Times New Roman" w:eastAsia="宋体" w:cs="Times New Roman"/>
          <w:sz w:val="32"/>
          <w:szCs w:val="32"/>
          <w:highlight w:val="none"/>
        </w:rPr>
        <w:t>等；公用经费1135.62万元，占基本支出的13</w:t>
      </w:r>
      <w:r>
        <w:rPr>
          <w:rFonts w:hint="default" w:ascii="Times New Roman" w:hAnsi="Times New Roman" w:eastAsia="宋体" w:cs="Times New Roman"/>
          <w:sz w:val="32"/>
          <w:szCs w:val="32"/>
          <w:highlight w:val="none"/>
          <w:lang w:val="en-US" w:eastAsia="zh-CN"/>
        </w:rPr>
        <w:t>.48</w:t>
      </w:r>
      <w:r>
        <w:rPr>
          <w:rFonts w:hint="default" w:ascii="Times New Roman" w:hAnsi="Times New Roman" w:eastAsia="宋体" w:cs="Times New Roman"/>
          <w:sz w:val="32"/>
          <w:szCs w:val="32"/>
          <w:highlight w:val="none"/>
        </w:rPr>
        <w:t>%，主要包括办公费、印刷费、</w:t>
      </w:r>
      <w:r>
        <w:rPr>
          <w:rFonts w:hint="default" w:ascii="Times New Roman" w:hAnsi="Times New Roman" w:eastAsia="宋体" w:cs="Times New Roman"/>
          <w:sz w:val="32"/>
          <w:szCs w:val="32"/>
          <w:highlight w:val="none"/>
          <w:lang w:val="en-US" w:eastAsia="zh-CN"/>
        </w:rPr>
        <w:t>咨询费、水费、</w:t>
      </w:r>
      <w:r>
        <w:rPr>
          <w:rFonts w:hint="default" w:ascii="Times New Roman" w:hAnsi="Times New Roman" w:eastAsia="宋体" w:cs="Times New Roman"/>
          <w:sz w:val="32"/>
          <w:szCs w:val="32"/>
          <w:highlight w:val="none"/>
        </w:rPr>
        <w:t>邮电费、</w:t>
      </w:r>
      <w:r>
        <w:rPr>
          <w:rFonts w:hint="default" w:ascii="Times New Roman" w:hAnsi="Times New Roman" w:eastAsia="宋体" w:cs="Times New Roman"/>
          <w:sz w:val="32"/>
          <w:szCs w:val="32"/>
          <w:highlight w:val="none"/>
          <w:lang w:eastAsia="zh-CN"/>
        </w:rPr>
        <w:t>差旅</w:t>
      </w:r>
      <w:r>
        <w:rPr>
          <w:rFonts w:hint="default" w:ascii="Times New Roman" w:hAnsi="Times New Roman" w:eastAsia="宋体" w:cs="Times New Roman"/>
          <w:sz w:val="32"/>
          <w:szCs w:val="32"/>
          <w:highlight w:val="none"/>
        </w:rPr>
        <w:t>费</w:t>
      </w:r>
      <w:r>
        <w:rPr>
          <w:rFonts w:hint="default" w:ascii="Times New Roman" w:hAnsi="Times New Roman" w:eastAsia="宋体" w:cs="Times New Roman"/>
          <w:sz w:val="32"/>
          <w:szCs w:val="32"/>
          <w:highlight w:val="none"/>
          <w:lang w:eastAsia="zh-CN"/>
        </w:rPr>
        <w:t>、会议费、公务接待费、</w:t>
      </w:r>
      <w:r>
        <w:rPr>
          <w:rFonts w:hint="default" w:ascii="Times New Roman" w:hAnsi="Times New Roman" w:eastAsia="宋体" w:cs="Times New Roman"/>
          <w:sz w:val="32"/>
          <w:szCs w:val="32"/>
          <w:highlight w:val="none"/>
          <w:lang w:val="en-US" w:eastAsia="zh-CN"/>
        </w:rPr>
        <w:t>专用材料费</w:t>
      </w:r>
      <w:r>
        <w:rPr>
          <w:rFonts w:hint="default" w:ascii="Times New Roman" w:hAnsi="Times New Roman" w:eastAsia="宋体" w:cs="Times New Roman"/>
          <w:sz w:val="32"/>
          <w:szCs w:val="32"/>
          <w:highlight w:val="none"/>
          <w:lang w:eastAsia="zh-CN"/>
        </w:rPr>
        <w:t>专用燃料费、劳务费、工会经费、福利费、公务用车运行维护费、其他商品和服务支出</w:t>
      </w:r>
      <w:r>
        <w:rPr>
          <w:rFonts w:hint="default" w:ascii="Times New Roman" w:hAnsi="Times New Roman" w:eastAsia="宋体" w:cs="Times New Roman"/>
          <w:sz w:val="32"/>
          <w:szCs w:val="32"/>
          <w:highlight w:val="none"/>
        </w:rPr>
        <w:t>等。</w:t>
      </w:r>
    </w:p>
    <w:p>
      <w:pPr>
        <w:pStyle w:val="13"/>
        <w:keepNext w:val="0"/>
        <w:keepLines w:val="0"/>
        <w:pageBreakBefore w:val="0"/>
        <w:kinsoku/>
        <w:wordWrap/>
        <w:overflowPunct/>
        <w:topLinePunct w:val="0"/>
        <w:bidi w:val="0"/>
        <w:snapToGrid/>
        <w:ind w:left="0" w:firstLine="640" w:firstLineChars="200"/>
        <w:textAlignment w:val="auto"/>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七、一般公共预算财政拨款“三公”经费支出决算情况说明</w:t>
      </w:r>
    </w:p>
    <w:p>
      <w:pPr>
        <w:pStyle w:val="13"/>
        <w:keepNext w:val="0"/>
        <w:keepLines w:val="0"/>
        <w:pageBreakBefore w:val="0"/>
        <w:kinsoku/>
        <w:wordWrap/>
        <w:overflowPunct/>
        <w:topLinePunct w:val="0"/>
        <w:bidi w:val="0"/>
        <w:snapToGrid/>
        <w:ind w:left="0" w:firstLine="640" w:firstLineChars="200"/>
        <w:textAlignment w:val="auto"/>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（一）“三公”经费财政拨款支出决算总体情况说明</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left="0" w:firstLine="640" w:firstLineChars="200"/>
        <w:textAlignment w:val="auto"/>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sz w:val="32"/>
          <w:szCs w:val="32"/>
          <w:highlight w:val="none"/>
        </w:rPr>
        <w:t>2</w:t>
      </w:r>
      <w:r>
        <w:rPr>
          <w:rFonts w:hint="default" w:ascii="Times New Roman" w:hAnsi="Times New Roman" w:eastAsia="宋体" w:cs="Times New Roman"/>
          <w:color w:val="000000"/>
          <w:sz w:val="32"/>
          <w:szCs w:val="32"/>
          <w:highlight w:val="none"/>
        </w:rPr>
        <w:t>021年度“三公”经费财政拨款支出预算为354万元，支出决算为349.83万元，完成预算的98.82%，其中：</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left="0" w:firstLine="640" w:firstLineChars="200"/>
        <w:textAlignment w:val="auto"/>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因公出国（境）费支出预算为0万元，支出决算为0万元，由于预算数为0，无法计算百分比，</w:t>
      </w:r>
      <w:r>
        <w:rPr>
          <w:rFonts w:hint="default" w:ascii="Times New Roman" w:hAnsi="Times New Roman" w:eastAsia="宋体" w:cs="Times New Roman"/>
          <w:color w:val="000000" w:themeColor="text1"/>
          <w:sz w:val="32"/>
          <w:szCs w:val="32"/>
          <w:highlight w:val="none"/>
        </w:rPr>
        <w:t>决算数</w:t>
      </w:r>
      <w:r>
        <w:rPr>
          <w:rFonts w:hint="default" w:ascii="Times New Roman" w:hAnsi="Times New Roman" w:eastAsia="宋体" w:cs="Times New Roman"/>
          <w:color w:val="000000" w:themeColor="text1"/>
          <w:sz w:val="32"/>
          <w:szCs w:val="32"/>
          <w:highlight w:val="none"/>
          <w:lang w:eastAsia="zh-CN"/>
        </w:rPr>
        <w:t>等于</w:t>
      </w:r>
      <w:r>
        <w:rPr>
          <w:rFonts w:hint="default" w:ascii="Times New Roman" w:hAnsi="Times New Roman" w:eastAsia="宋体" w:cs="Times New Roman"/>
          <w:color w:val="000000" w:themeColor="text1"/>
          <w:sz w:val="32"/>
          <w:szCs w:val="32"/>
          <w:highlight w:val="none"/>
        </w:rPr>
        <w:t>预算数的主要原因是</w:t>
      </w:r>
      <w:r>
        <w:rPr>
          <w:rFonts w:hint="default" w:ascii="Times New Roman" w:hAnsi="Times New Roman" w:eastAsia="宋体" w:cs="Times New Roman"/>
          <w:color w:val="000000" w:themeColor="text1"/>
          <w:sz w:val="32"/>
          <w:szCs w:val="32"/>
          <w:highlight w:val="none"/>
          <w:lang w:val="en-US" w:eastAsia="zh-CN"/>
        </w:rPr>
        <w:t>无</w:t>
      </w:r>
      <w:r>
        <w:rPr>
          <w:rFonts w:hint="default" w:ascii="Times New Roman" w:hAnsi="Times New Roman" w:eastAsia="宋体" w:cs="Times New Roman"/>
          <w:color w:val="000000"/>
          <w:sz w:val="32"/>
          <w:szCs w:val="32"/>
          <w:highlight w:val="none"/>
        </w:rPr>
        <w:t>因公出国（境）费支出</w:t>
      </w:r>
      <w:r>
        <w:rPr>
          <w:rFonts w:hint="default" w:ascii="Times New Roman" w:hAnsi="Times New Roman" w:eastAsia="宋体" w:cs="Times New Roman"/>
          <w:color w:val="000000"/>
          <w:sz w:val="32"/>
          <w:szCs w:val="32"/>
          <w:highlight w:val="none"/>
          <w:lang w:eastAsia="zh-CN"/>
        </w:rPr>
        <w:t>，</w:t>
      </w:r>
      <w:r>
        <w:rPr>
          <w:rFonts w:hint="default" w:ascii="Times New Roman" w:hAnsi="Times New Roman" w:eastAsia="宋体" w:cs="Times New Roman"/>
          <w:color w:val="000000"/>
          <w:sz w:val="32"/>
          <w:szCs w:val="32"/>
          <w:highlight w:val="none"/>
        </w:rPr>
        <w:t>与上年相比</w:t>
      </w:r>
      <w:r>
        <w:rPr>
          <w:rFonts w:hint="default" w:ascii="Times New Roman" w:hAnsi="Times New Roman" w:eastAsia="宋体" w:cs="Times New Roman"/>
          <w:color w:val="000000"/>
          <w:sz w:val="32"/>
          <w:szCs w:val="32"/>
          <w:highlight w:val="none"/>
          <w:lang w:eastAsia="zh-CN"/>
        </w:rPr>
        <w:t>持平，无增减变化</w:t>
      </w:r>
      <w:r>
        <w:rPr>
          <w:rFonts w:hint="default" w:ascii="Times New Roman" w:hAnsi="Times New Roman" w:eastAsia="宋体" w:cs="Times New Roman"/>
          <w:color w:val="000000"/>
          <w:sz w:val="32"/>
          <w:szCs w:val="32"/>
          <w:highlight w:val="none"/>
          <w:lang w:val="en-US" w:eastAsia="zh-CN"/>
        </w:rPr>
        <w:t>的原因是无</w:t>
      </w:r>
      <w:r>
        <w:rPr>
          <w:rFonts w:hint="default" w:ascii="Times New Roman" w:hAnsi="Times New Roman" w:eastAsia="宋体" w:cs="Times New Roman"/>
          <w:color w:val="000000"/>
          <w:sz w:val="32"/>
          <w:szCs w:val="32"/>
          <w:highlight w:val="none"/>
        </w:rPr>
        <w:t>因公出国</w:t>
      </w:r>
      <w:r>
        <w:rPr>
          <w:rFonts w:hint="default" w:ascii="Times New Roman" w:hAnsi="Times New Roman" w:eastAsia="宋体" w:cs="Times New Roman"/>
          <w:color w:val="000000"/>
          <w:sz w:val="32"/>
          <w:szCs w:val="32"/>
          <w:highlight w:val="none"/>
          <w:lang w:val="en-US" w:eastAsia="zh-CN"/>
        </w:rPr>
        <w:t>人员</w:t>
      </w:r>
      <w:r>
        <w:rPr>
          <w:rFonts w:hint="default" w:ascii="Times New Roman" w:hAnsi="Times New Roman" w:eastAsia="宋体" w:cs="Times New Roman"/>
          <w:color w:val="000000"/>
          <w:sz w:val="32"/>
          <w:szCs w:val="32"/>
          <w:highlight w:val="none"/>
        </w:rPr>
        <w:t>。</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left="0" w:firstLine="640" w:firstLineChars="200"/>
        <w:textAlignment w:val="auto"/>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sz w:val="32"/>
          <w:szCs w:val="32"/>
          <w:highlight w:val="none"/>
        </w:rPr>
        <w:t>公务接待费支出预算1</w:t>
      </w:r>
      <w:r>
        <w:rPr>
          <w:rFonts w:hint="default" w:ascii="Times New Roman" w:hAnsi="Times New Roman" w:eastAsia="宋体" w:cs="Times New Roman"/>
          <w:color w:val="000000"/>
          <w:sz w:val="32"/>
          <w:szCs w:val="32"/>
          <w:highlight w:val="none"/>
          <w:lang w:val="en-US" w:eastAsia="zh-CN"/>
        </w:rPr>
        <w:t>4</w:t>
      </w:r>
      <w:r>
        <w:rPr>
          <w:rFonts w:hint="default" w:ascii="Times New Roman" w:hAnsi="Times New Roman" w:eastAsia="宋体" w:cs="Times New Roman"/>
          <w:color w:val="000000"/>
          <w:sz w:val="32"/>
          <w:szCs w:val="32"/>
          <w:highlight w:val="none"/>
        </w:rPr>
        <w:t>万元，支出决算为13万元，完成预算的92.86%，决算数小于年初预算数的主要原因是我单位严格执行八项规定，控制公务接待开支，</w:t>
      </w:r>
      <w:r>
        <w:rPr>
          <w:rFonts w:hint="default" w:ascii="Times New Roman" w:hAnsi="Times New Roman" w:eastAsia="宋体" w:cs="Times New Roman"/>
          <w:color w:val="000000"/>
          <w:sz w:val="32"/>
          <w:szCs w:val="32"/>
          <w:highlight w:val="none"/>
        </w:rPr>
        <w:t>与上年相比增加3万元，</w:t>
      </w:r>
      <w:r>
        <w:rPr>
          <w:rFonts w:hint="default" w:ascii="Times New Roman" w:hAnsi="Times New Roman" w:eastAsia="宋体" w:cs="Times New Roman"/>
          <w:color w:val="000000"/>
          <w:sz w:val="32"/>
          <w:szCs w:val="32"/>
          <w:highlight w:val="none"/>
        </w:rPr>
        <w:t>增加30%，</w:t>
      </w:r>
      <w:r>
        <w:rPr>
          <w:rFonts w:hint="default" w:ascii="Times New Roman" w:hAnsi="Times New Roman" w:eastAsia="宋体" w:cs="Times New Roman"/>
          <w:color w:val="000000" w:themeColor="text1"/>
          <w:sz w:val="32"/>
          <w:szCs w:val="32"/>
          <w:highlight w:val="none"/>
        </w:rPr>
        <w:t>增加的主要原因是物价上涨。</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left="0" w:firstLine="640" w:firstLineChars="200"/>
        <w:textAlignment w:val="auto"/>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公务用车购置费支出预算为</w:t>
      </w:r>
      <w:r>
        <w:rPr>
          <w:rFonts w:hint="default" w:ascii="Times New Roman" w:hAnsi="Times New Roman" w:eastAsia="宋体" w:cs="Times New Roman"/>
          <w:color w:val="000000" w:themeColor="text1"/>
          <w:sz w:val="32"/>
          <w:szCs w:val="32"/>
          <w:highlight w:val="none"/>
          <w:lang w:val="en-US" w:eastAsia="zh-CN"/>
        </w:rPr>
        <w:t>170</w:t>
      </w:r>
      <w:r>
        <w:rPr>
          <w:rFonts w:hint="default" w:ascii="Times New Roman" w:hAnsi="Times New Roman" w:eastAsia="宋体" w:cs="Times New Roman"/>
          <w:color w:val="000000" w:themeColor="text1"/>
          <w:sz w:val="32"/>
          <w:szCs w:val="32"/>
          <w:highlight w:val="none"/>
        </w:rPr>
        <w:t>万元，支出决算为</w:t>
      </w:r>
      <w:r>
        <w:rPr>
          <w:rFonts w:hint="default" w:ascii="Times New Roman" w:hAnsi="Times New Roman" w:eastAsia="宋体" w:cs="Times New Roman"/>
          <w:color w:val="000000" w:themeColor="text1"/>
          <w:sz w:val="32"/>
          <w:szCs w:val="32"/>
          <w:highlight w:val="none"/>
          <w:lang w:val="en-US" w:eastAsia="zh-CN"/>
        </w:rPr>
        <w:t>166.83</w:t>
      </w:r>
      <w:r>
        <w:rPr>
          <w:rFonts w:hint="default" w:ascii="Times New Roman" w:hAnsi="Times New Roman" w:eastAsia="宋体" w:cs="Times New Roman"/>
          <w:color w:val="000000" w:themeColor="text1"/>
          <w:sz w:val="32"/>
          <w:szCs w:val="32"/>
          <w:highlight w:val="none"/>
        </w:rPr>
        <w:t>万元，完成预算的</w:t>
      </w:r>
      <w:r>
        <w:rPr>
          <w:rFonts w:hint="default" w:ascii="Times New Roman" w:hAnsi="Times New Roman" w:eastAsia="宋体" w:cs="Times New Roman"/>
          <w:color w:val="000000" w:themeColor="text1"/>
          <w:sz w:val="32"/>
          <w:szCs w:val="32"/>
          <w:highlight w:val="none"/>
          <w:lang w:val="en-US" w:eastAsia="zh-CN"/>
        </w:rPr>
        <w:t>98.14</w:t>
      </w:r>
      <w:r>
        <w:rPr>
          <w:rFonts w:hint="default" w:ascii="Times New Roman" w:hAnsi="Times New Roman" w:eastAsia="宋体" w:cs="Times New Roman"/>
          <w:color w:val="000000" w:themeColor="text1"/>
          <w:sz w:val="32"/>
          <w:szCs w:val="32"/>
          <w:highlight w:val="none"/>
        </w:rPr>
        <w:t>%，决算数小于预算数的主要原因是</w:t>
      </w:r>
      <w:r>
        <w:rPr>
          <w:rFonts w:hint="default" w:ascii="Times New Roman" w:hAnsi="Times New Roman" w:eastAsia="宋体" w:cs="Times New Roman"/>
          <w:color w:val="000000"/>
          <w:sz w:val="32"/>
          <w:szCs w:val="32"/>
          <w:highlight w:val="none"/>
        </w:rPr>
        <w:t>合理控制了公务用车购置费</w:t>
      </w:r>
      <w:r>
        <w:rPr>
          <w:rFonts w:hint="default" w:ascii="Times New Roman" w:hAnsi="Times New Roman" w:eastAsia="宋体" w:cs="Times New Roman"/>
          <w:color w:val="000000" w:themeColor="text1"/>
          <w:sz w:val="32"/>
          <w:szCs w:val="32"/>
          <w:highlight w:val="none"/>
        </w:rPr>
        <w:t>，与上年相比增加</w:t>
      </w:r>
      <w:r>
        <w:rPr>
          <w:rFonts w:hint="default" w:ascii="Times New Roman" w:hAnsi="Times New Roman" w:eastAsia="宋体" w:cs="Times New Roman"/>
          <w:color w:val="000000" w:themeColor="text1"/>
          <w:sz w:val="32"/>
          <w:szCs w:val="32"/>
          <w:highlight w:val="none"/>
          <w:lang w:val="en-US" w:eastAsia="zh-CN"/>
        </w:rPr>
        <w:t>166.83</w:t>
      </w:r>
      <w:r>
        <w:rPr>
          <w:rFonts w:hint="default" w:ascii="Times New Roman" w:hAnsi="Times New Roman" w:eastAsia="宋体" w:cs="Times New Roman"/>
          <w:color w:val="000000" w:themeColor="text1"/>
          <w:sz w:val="32"/>
          <w:szCs w:val="32"/>
          <w:highlight w:val="none"/>
        </w:rPr>
        <w:t>万元，增长的主要原因是</w:t>
      </w:r>
      <w:r>
        <w:rPr>
          <w:rFonts w:hint="default" w:ascii="Times New Roman" w:hAnsi="Times New Roman" w:eastAsia="宋体" w:cs="Times New Roman"/>
          <w:sz w:val="32"/>
          <w:szCs w:val="32"/>
          <w:highlight w:val="none"/>
        </w:rPr>
        <w:t>更新公务用车5辆，防暴车1台</w:t>
      </w:r>
      <w:r>
        <w:rPr>
          <w:rFonts w:hint="default" w:ascii="Times New Roman" w:hAnsi="Times New Roman" w:eastAsia="宋体" w:cs="Times New Roman"/>
          <w:color w:val="000000" w:themeColor="text1"/>
          <w:sz w:val="32"/>
          <w:szCs w:val="32"/>
          <w:highlight w:val="none"/>
        </w:rPr>
        <w:t>。</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left="0" w:firstLine="640" w:firstLineChars="200"/>
        <w:textAlignment w:val="auto"/>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公务用车运行维护费支出预算为</w:t>
      </w:r>
      <w:r>
        <w:rPr>
          <w:rFonts w:hint="default" w:ascii="Times New Roman" w:hAnsi="Times New Roman" w:eastAsia="宋体" w:cs="Times New Roman"/>
          <w:color w:val="000000" w:themeColor="text1"/>
          <w:sz w:val="32"/>
          <w:szCs w:val="32"/>
          <w:highlight w:val="none"/>
          <w:lang w:val="en-US" w:eastAsia="zh-CN"/>
        </w:rPr>
        <w:t>170</w:t>
      </w:r>
      <w:r>
        <w:rPr>
          <w:rFonts w:hint="default" w:ascii="Times New Roman" w:hAnsi="Times New Roman" w:eastAsia="宋体" w:cs="Times New Roman"/>
          <w:color w:val="000000" w:themeColor="text1"/>
          <w:sz w:val="32"/>
          <w:szCs w:val="32"/>
          <w:highlight w:val="none"/>
        </w:rPr>
        <w:t>万元，支出决算为</w:t>
      </w:r>
      <w:r>
        <w:rPr>
          <w:rFonts w:hint="default" w:ascii="Times New Roman" w:hAnsi="Times New Roman" w:eastAsia="宋体" w:cs="Times New Roman"/>
          <w:color w:val="000000" w:themeColor="text1"/>
          <w:sz w:val="32"/>
          <w:szCs w:val="32"/>
          <w:highlight w:val="none"/>
          <w:lang w:val="en-US" w:eastAsia="zh-CN"/>
        </w:rPr>
        <w:t>170</w:t>
      </w:r>
      <w:r>
        <w:rPr>
          <w:rFonts w:hint="default" w:ascii="Times New Roman" w:hAnsi="Times New Roman" w:eastAsia="宋体" w:cs="Times New Roman"/>
          <w:color w:val="000000" w:themeColor="text1"/>
          <w:sz w:val="32"/>
          <w:szCs w:val="32"/>
          <w:highlight w:val="none"/>
        </w:rPr>
        <w:t>万元，完成预算的</w:t>
      </w:r>
      <w:r>
        <w:rPr>
          <w:rFonts w:hint="default" w:ascii="Times New Roman" w:hAnsi="Times New Roman" w:eastAsia="宋体" w:cs="Times New Roman"/>
          <w:color w:val="000000" w:themeColor="text1"/>
          <w:sz w:val="32"/>
          <w:szCs w:val="32"/>
          <w:highlight w:val="none"/>
          <w:lang w:val="en-US" w:eastAsia="zh-CN"/>
        </w:rPr>
        <w:t>100</w:t>
      </w:r>
      <w:r>
        <w:rPr>
          <w:rFonts w:hint="default" w:ascii="Times New Roman" w:hAnsi="Times New Roman" w:eastAsia="宋体" w:cs="Times New Roman"/>
          <w:color w:val="000000" w:themeColor="text1"/>
          <w:sz w:val="32"/>
          <w:szCs w:val="32"/>
          <w:highlight w:val="none"/>
        </w:rPr>
        <w:t>%，决算数</w:t>
      </w:r>
      <w:r>
        <w:rPr>
          <w:rFonts w:hint="default" w:ascii="Times New Roman" w:hAnsi="Times New Roman" w:eastAsia="宋体" w:cs="Times New Roman"/>
          <w:color w:val="000000" w:themeColor="text1"/>
          <w:sz w:val="32"/>
          <w:szCs w:val="32"/>
          <w:highlight w:val="none"/>
          <w:lang w:eastAsia="zh-CN"/>
        </w:rPr>
        <w:t>等于</w:t>
      </w:r>
      <w:r>
        <w:rPr>
          <w:rFonts w:hint="default" w:ascii="Times New Roman" w:hAnsi="Times New Roman" w:eastAsia="宋体" w:cs="Times New Roman"/>
          <w:color w:val="000000" w:themeColor="text1"/>
          <w:sz w:val="32"/>
          <w:szCs w:val="32"/>
          <w:highlight w:val="none"/>
        </w:rPr>
        <w:t>预算数的主要原因是</w:t>
      </w:r>
      <w:r>
        <w:rPr>
          <w:rFonts w:hint="default" w:ascii="Times New Roman" w:hAnsi="Times New Roman" w:eastAsia="宋体" w:cs="Times New Roman"/>
          <w:color w:val="000000" w:themeColor="text1"/>
          <w:sz w:val="32"/>
          <w:szCs w:val="32"/>
          <w:highlight w:val="none"/>
          <w:lang w:eastAsia="zh-CN"/>
        </w:rPr>
        <w:t>严格按照年初预算数执行</w:t>
      </w:r>
      <w:r>
        <w:rPr>
          <w:rFonts w:hint="default" w:ascii="Times New Roman" w:hAnsi="Times New Roman" w:eastAsia="宋体" w:cs="Times New Roman"/>
          <w:color w:val="000000" w:themeColor="text1"/>
          <w:sz w:val="32"/>
          <w:szCs w:val="32"/>
          <w:highlight w:val="none"/>
        </w:rPr>
        <w:t>，与上年相比减少</w:t>
      </w:r>
      <w:r>
        <w:rPr>
          <w:rFonts w:hint="default" w:ascii="Times New Roman" w:hAnsi="Times New Roman" w:eastAsia="宋体" w:cs="Times New Roman"/>
          <w:color w:val="000000" w:themeColor="text1"/>
          <w:sz w:val="32"/>
          <w:szCs w:val="32"/>
          <w:highlight w:val="none"/>
          <w:lang w:val="en-US" w:eastAsia="zh-CN"/>
        </w:rPr>
        <w:t>10</w:t>
      </w:r>
      <w:r>
        <w:rPr>
          <w:rFonts w:hint="default" w:ascii="Times New Roman" w:hAnsi="Times New Roman" w:eastAsia="宋体" w:cs="Times New Roman"/>
          <w:color w:val="000000" w:themeColor="text1"/>
          <w:sz w:val="32"/>
          <w:szCs w:val="32"/>
          <w:highlight w:val="none"/>
        </w:rPr>
        <w:t>万元，减少</w:t>
      </w:r>
      <w:r>
        <w:rPr>
          <w:rFonts w:hint="default" w:ascii="Times New Roman" w:hAnsi="Times New Roman" w:eastAsia="宋体" w:cs="Times New Roman"/>
          <w:color w:val="000000" w:themeColor="text1"/>
          <w:sz w:val="32"/>
          <w:szCs w:val="32"/>
          <w:highlight w:val="none"/>
          <w:lang w:val="en-US" w:eastAsia="zh-CN"/>
        </w:rPr>
        <w:t>5.56</w:t>
      </w:r>
      <w:r>
        <w:rPr>
          <w:rFonts w:hint="default" w:ascii="Times New Roman" w:hAnsi="Times New Roman" w:eastAsia="宋体" w:cs="Times New Roman"/>
          <w:color w:val="000000" w:themeColor="text1"/>
          <w:sz w:val="32"/>
          <w:szCs w:val="32"/>
          <w:highlight w:val="none"/>
        </w:rPr>
        <w:t>%</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减少的主要原因是</w:t>
      </w:r>
      <w:r>
        <w:rPr>
          <w:rFonts w:hint="default" w:ascii="Times New Roman" w:hAnsi="Times New Roman" w:eastAsia="宋体" w:cs="Times New Roman"/>
          <w:color w:val="000000"/>
          <w:sz w:val="32"/>
          <w:szCs w:val="32"/>
          <w:highlight w:val="none"/>
        </w:rPr>
        <w:t>合理控制了公务用车运行维护费支出</w:t>
      </w:r>
      <w:r>
        <w:rPr>
          <w:rFonts w:hint="default" w:ascii="Times New Roman" w:hAnsi="Times New Roman" w:eastAsia="宋体" w:cs="Times New Roman"/>
          <w:color w:val="000000" w:themeColor="text1"/>
          <w:sz w:val="32"/>
          <w:szCs w:val="32"/>
          <w:highlight w:val="none"/>
        </w:rPr>
        <w:t>。</w:t>
      </w:r>
    </w:p>
    <w:p>
      <w:pPr>
        <w:pStyle w:val="13"/>
        <w:keepNext w:val="0"/>
        <w:keepLines w:val="0"/>
        <w:pageBreakBefore w:val="0"/>
        <w:kinsoku/>
        <w:wordWrap/>
        <w:overflowPunct/>
        <w:topLinePunct w:val="0"/>
        <w:bidi w:val="0"/>
        <w:snapToGrid/>
        <w:ind w:left="0" w:firstLine="640" w:firstLineChars="200"/>
        <w:textAlignment w:val="auto"/>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（二）“三公”经费财政拨款支出决算具体情况说明</w:t>
      </w:r>
    </w:p>
    <w:p>
      <w:pPr>
        <w:pStyle w:val="13"/>
        <w:keepNext w:val="0"/>
        <w:keepLines w:val="0"/>
        <w:pageBreakBefore w:val="0"/>
        <w:kinsoku/>
        <w:wordWrap/>
        <w:overflowPunct/>
        <w:topLinePunct w:val="0"/>
        <w:bidi w:val="0"/>
        <w:snapToGrid/>
        <w:ind w:left="0" w:firstLine="640" w:firstLineChars="20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2021年度“三公”经费财政拨款支出决算中，公务接待费支出决算13万元，占3.72%</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rPr>
        <w:t>因公出国（境）费支出决算0万元，占0%</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rPr>
        <w:t>公务用车购置费及运行维护费支出决算336.83万元，占96.28%。其中：</w:t>
      </w:r>
    </w:p>
    <w:p>
      <w:pPr>
        <w:pStyle w:val="13"/>
        <w:keepNext w:val="0"/>
        <w:keepLines w:val="0"/>
        <w:pageBreakBefore w:val="0"/>
        <w:kinsoku/>
        <w:wordWrap/>
        <w:overflowPunct/>
        <w:topLinePunct w:val="0"/>
        <w:bidi w:val="0"/>
        <w:snapToGrid/>
        <w:ind w:left="0" w:firstLine="640" w:firstLineChars="20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1、因公出国（境）费支出决算为0万元，全年安排因公出国（境）团组0个，累计0人次</w:t>
      </w:r>
      <w:r>
        <w:rPr>
          <w:rFonts w:hint="default" w:ascii="Times New Roman" w:hAnsi="Times New Roman" w:eastAsia="宋体" w:cs="Times New Roman"/>
          <w:color w:val="000000" w:themeColor="text1"/>
          <w:sz w:val="32"/>
          <w:szCs w:val="32"/>
          <w:highlight w:val="none"/>
        </w:rPr>
        <w:t>。</w:t>
      </w:r>
    </w:p>
    <w:p>
      <w:pPr>
        <w:pStyle w:val="13"/>
        <w:keepNext w:val="0"/>
        <w:keepLines w:val="0"/>
        <w:pageBreakBefore w:val="0"/>
        <w:kinsoku/>
        <w:wordWrap/>
        <w:overflowPunct/>
        <w:topLinePunct w:val="0"/>
        <w:bidi w:val="0"/>
        <w:snapToGrid/>
        <w:ind w:left="0" w:firstLine="640" w:firstLineChars="200"/>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2、公务接待费支出决算为13万元，全年共接待来访团组15个、来宾2500人次，主要是大型公安专项行动及会议发生的接待支出。</w:t>
      </w:r>
    </w:p>
    <w:p>
      <w:pPr>
        <w:keepNext w:val="0"/>
        <w:keepLines w:val="0"/>
        <w:pageBreakBefore w:val="0"/>
        <w:kinsoku/>
        <w:wordWrap/>
        <w:overflowPunct/>
        <w:topLinePunct w:val="0"/>
        <w:bidi w:val="0"/>
        <w:snapToGrid/>
        <w:ind w:left="0" w:firstLine="640" w:firstLineChars="200"/>
        <w:textAlignment w:val="auto"/>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sz w:val="32"/>
          <w:szCs w:val="32"/>
          <w:highlight w:val="none"/>
        </w:rPr>
        <w:t>3、公务用车购置费及运行维护费支出决算为336.83万元，其中：公务用车购置费166.83万元，祁阳市公安局更新公务用车5辆，防暴车1台。公务用车运行维护费170万元，主要是公安业务用油及维护支出，截止2021年12月31日，我单位开支财政拨款的公务用车保有量为58辆</w:t>
      </w:r>
      <w:r>
        <w:rPr>
          <w:rFonts w:hint="default" w:ascii="Times New Roman" w:hAnsi="Times New Roman" w:eastAsia="宋体" w:cs="Times New Roman"/>
          <w:color w:val="000000" w:themeColor="text1"/>
          <w:sz w:val="32"/>
          <w:szCs w:val="32"/>
          <w:highlight w:val="none"/>
        </w:rPr>
        <w:t>（其中有</w:t>
      </w:r>
      <w:r>
        <w:rPr>
          <w:rFonts w:hint="default" w:ascii="Times New Roman" w:hAnsi="Times New Roman" w:eastAsia="宋体" w:cs="Times New Roman"/>
          <w:color w:val="000000" w:themeColor="text1"/>
          <w:sz w:val="32"/>
          <w:szCs w:val="32"/>
          <w:highlight w:val="none"/>
          <w:lang w:val="en-US" w:eastAsia="zh-CN"/>
        </w:rPr>
        <w:t>1</w:t>
      </w:r>
      <w:r>
        <w:rPr>
          <w:rFonts w:hint="default" w:ascii="Times New Roman" w:hAnsi="Times New Roman" w:eastAsia="宋体" w:cs="Times New Roman"/>
          <w:color w:val="000000" w:themeColor="text1"/>
          <w:sz w:val="32"/>
          <w:szCs w:val="32"/>
          <w:highlight w:val="none"/>
        </w:rPr>
        <w:t>台防暴车，不纳入编制数管理范围）。</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八、政府性基金预算收入支出决算情况</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2021年度本单位无政府性基金收支。</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九、机关运行经费支出说明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本部门2021年度机关运行经费支出1135.62万元，比年初预算数增加118.12万元，增长11.61%。主要原因是：人员经费增加，办公费、差旅费等费用增多。</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t>十、一般性支出情况说明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color w:val="auto"/>
          <w:kern w:val="2"/>
          <w:sz w:val="32"/>
          <w:szCs w:val="32"/>
          <w:highlight w:val="none"/>
          <w:lang w:eastAsia="zh-CN"/>
        </w:rPr>
      </w:pPr>
      <w:r>
        <w:rPr>
          <w:rFonts w:hint="default" w:ascii="Times New Roman" w:hAnsi="Times New Roman" w:eastAsia="宋体" w:cs="Times New Roman"/>
          <w:sz w:val="32"/>
          <w:szCs w:val="32"/>
          <w:highlight w:val="none"/>
        </w:rPr>
        <w:t>2021年</w:t>
      </w:r>
      <w:r>
        <w:rPr>
          <w:rFonts w:hint="default" w:ascii="Times New Roman" w:hAnsi="Times New Roman" w:eastAsia="宋体" w:cs="Times New Roman"/>
          <w:sz w:val="32"/>
          <w:szCs w:val="32"/>
          <w:highlight w:val="none"/>
          <w:lang w:eastAsia="zh-CN"/>
        </w:rPr>
        <w:t>度</w:t>
      </w:r>
      <w:r>
        <w:rPr>
          <w:rFonts w:hint="default" w:ascii="Times New Roman" w:hAnsi="Times New Roman" w:eastAsia="宋体" w:cs="Times New Roman"/>
          <w:sz w:val="32"/>
          <w:szCs w:val="32"/>
          <w:highlight w:val="none"/>
        </w:rPr>
        <w:t>本部门开支会议费14万元，用</w:t>
      </w:r>
      <w:r>
        <w:rPr>
          <w:rFonts w:hint="default" w:ascii="Times New Roman" w:hAnsi="Times New Roman" w:eastAsia="宋体" w:cs="Times New Roman"/>
          <w:color w:val="auto"/>
          <w:kern w:val="2"/>
          <w:sz w:val="32"/>
          <w:szCs w:val="32"/>
          <w:highlight w:val="none"/>
        </w:rPr>
        <w:t>于召开永州市公安机关“3.23赶考日”教育整顿主题活动，永州市禁毒工作会议、永州市警保工作会议等，人数520人，内容为部署安排“3.23赶考日”的场地租赁、设备租用、安保、禁毒工作、警保工作</w:t>
      </w:r>
      <w:r>
        <w:rPr>
          <w:rFonts w:hint="default" w:ascii="Times New Roman" w:hAnsi="Times New Roman" w:eastAsia="宋体" w:cs="Times New Roman"/>
          <w:color w:val="auto"/>
          <w:kern w:val="2"/>
          <w:sz w:val="32"/>
          <w:szCs w:val="32"/>
          <w:highlight w:val="none"/>
          <w:lang w:eastAsia="zh-CN"/>
        </w:rPr>
        <w:t>；开支培训费</w:t>
      </w:r>
      <w:r>
        <w:rPr>
          <w:rFonts w:hint="default" w:ascii="Times New Roman" w:hAnsi="Times New Roman" w:eastAsia="宋体" w:cs="Times New Roman"/>
          <w:color w:val="auto"/>
          <w:kern w:val="2"/>
          <w:sz w:val="32"/>
          <w:szCs w:val="32"/>
          <w:highlight w:val="none"/>
          <w:lang w:val="en-US" w:eastAsia="zh-CN"/>
        </w:rPr>
        <w:t>0</w:t>
      </w:r>
      <w:r>
        <w:rPr>
          <w:rFonts w:hint="default" w:ascii="Times New Roman" w:hAnsi="Times New Roman" w:eastAsia="宋体" w:cs="Times New Roman"/>
          <w:color w:val="auto"/>
          <w:kern w:val="2"/>
          <w:sz w:val="32"/>
          <w:szCs w:val="32"/>
          <w:highlight w:val="none"/>
          <w:lang w:eastAsia="zh-CN"/>
        </w:rPr>
        <w:t>万元，</w:t>
      </w:r>
      <w:r>
        <w:rPr>
          <w:rFonts w:hint="default" w:ascii="Times New Roman" w:hAnsi="Times New Roman" w:eastAsia="宋体" w:cs="Times New Roman"/>
          <w:color w:val="auto"/>
          <w:kern w:val="2"/>
          <w:sz w:val="32"/>
          <w:szCs w:val="32"/>
          <w:highlight w:val="none"/>
          <w:lang w:val="en-US" w:eastAsia="zh-CN"/>
        </w:rPr>
        <w:t>用于开支0次培训，人数0人</w:t>
      </w:r>
      <w:r>
        <w:rPr>
          <w:rFonts w:hint="default" w:ascii="Times New Roman" w:hAnsi="Times New Roman" w:eastAsia="宋体" w:cs="Times New Roman"/>
          <w:color w:val="auto"/>
          <w:kern w:val="2"/>
          <w:sz w:val="32"/>
          <w:szCs w:val="32"/>
          <w:highlight w:val="none"/>
          <w:lang w:eastAsia="zh-CN"/>
        </w:rPr>
        <w:t>；未举办节庆、晚会、论坛、赛事活动，开支</w:t>
      </w:r>
      <w:r>
        <w:rPr>
          <w:rFonts w:hint="default" w:ascii="Times New Roman" w:hAnsi="Times New Roman" w:eastAsia="宋体" w:cs="Times New Roman"/>
          <w:color w:val="auto"/>
          <w:kern w:val="2"/>
          <w:sz w:val="32"/>
          <w:szCs w:val="32"/>
          <w:highlight w:val="none"/>
          <w:lang w:val="en-US" w:eastAsia="zh-CN"/>
        </w:rPr>
        <w:t>0</w:t>
      </w:r>
      <w:r>
        <w:rPr>
          <w:rFonts w:hint="default" w:ascii="Times New Roman" w:hAnsi="Times New Roman" w:eastAsia="宋体" w:cs="Times New Roman"/>
          <w:color w:val="auto"/>
          <w:kern w:val="2"/>
          <w:sz w:val="32"/>
          <w:szCs w:val="32"/>
          <w:highlight w:val="none"/>
          <w:lang w:eastAsia="zh-CN"/>
        </w:rPr>
        <w:t>万元。</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color w:val="auto"/>
          <w:kern w:val="2"/>
          <w:sz w:val="32"/>
          <w:szCs w:val="32"/>
          <w:highlight w:val="none"/>
        </w:rPr>
      </w:pPr>
      <w:r>
        <w:rPr>
          <w:rFonts w:hint="default" w:ascii="Times New Roman" w:hAnsi="Times New Roman" w:eastAsia="宋体" w:cs="Times New Roman"/>
          <w:b/>
          <w:color w:val="auto"/>
          <w:kern w:val="2"/>
          <w:sz w:val="32"/>
          <w:szCs w:val="32"/>
          <w:highlight w:val="none"/>
        </w:rPr>
        <w:t>十一、政府采购支出说明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本部门2021年度政府采购支出总额867.88万元，其中：政府采购货物支出867.88万元、政府采购工程支出</w:t>
      </w:r>
      <w:r>
        <w:rPr>
          <w:rFonts w:hint="default" w:ascii="Times New Roman" w:hAnsi="Times New Roman" w:eastAsia="宋体" w:cs="Times New Roman"/>
          <w:sz w:val="32"/>
          <w:szCs w:val="32"/>
          <w:highlight w:val="none"/>
          <w:lang w:val="en-US" w:eastAsia="zh-CN"/>
        </w:rPr>
        <w:t>0</w:t>
      </w:r>
      <w:r>
        <w:rPr>
          <w:rFonts w:hint="default" w:ascii="Times New Roman" w:hAnsi="Times New Roman" w:eastAsia="宋体" w:cs="Times New Roman"/>
          <w:sz w:val="32"/>
          <w:szCs w:val="32"/>
          <w:highlight w:val="none"/>
        </w:rPr>
        <w:t>万元、政府采购服务支出</w:t>
      </w:r>
      <w:r>
        <w:rPr>
          <w:rFonts w:hint="default" w:ascii="Times New Roman" w:hAnsi="Times New Roman" w:eastAsia="宋体" w:cs="Times New Roman"/>
          <w:sz w:val="32"/>
          <w:szCs w:val="32"/>
          <w:highlight w:val="none"/>
          <w:lang w:val="en-US" w:eastAsia="zh-CN"/>
        </w:rPr>
        <w:t>0</w:t>
      </w:r>
      <w:r>
        <w:rPr>
          <w:rFonts w:hint="default" w:ascii="Times New Roman" w:hAnsi="Times New Roman" w:eastAsia="宋体" w:cs="Times New Roman"/>
          <w:sz w:val="32"/>
          <w:szCs w:val="32"/>
          <w:highlight w:val="none"/>
        </w:rPr>
        <w:t>万元。授予中小企业合同金额365.66万元，占政府采购支出总额的42.13%，其中：授予小微企业合同金额355.4万元，占授予中小企业合同金额的</w:t>
      </w:r>
      <w:r>
        <w:rPr>
          <w:rFonts w:hint="default" w:ascii="Times New Roman" w:hAnsi="Times New Roman" w:eastAsia="宋体" w:cs="Times New Roman"/>
          <w:sz w:val="32"/>
          <w:szCs w:val="32"/>
          <w:highlight w:val="none"/>
          <w:lang w:val="en-US" w:eastAsia="zh-CN"/>
        </w:rPr>
        <w:t>97.19</w:t>
      </w:r>
      <w:r>
        <w:rPr>
          <w:rFonts w:hint="default" w:ascii="Times New Roman" w:hAnsi="Times New Roman" w:eastAsia="宋体" w:cs="Times New Roman"/>
          <w:sz w:val="32"/>
          <w:szCs w:val="32"/>
          <w:highlight w:val="none"/>
        </w:rPr>
        <w:t>%；货物采购授予中小企业合同金额占货物支出金额的42.13%，</w:t>
      </w:r>
      <w:r>
        <w:rPr>
          <w:rFonts w:hint="eastAsia" w:ascii="Times New Roman" w:hAnsi="Times New Roman" w:eastAsia="宋体" w:cs="Times New Roman"/>
          <w:sz w:val="32"/>
          <w:szCs w:val="32"/>
          <w:highlight w:val="none"/>
          <w:lang w:val="en-US" w:eastAsia="zh-CN"/>
        </w:rPr>
        <w:t>因</w:t>
      </w:r>
      <w:r>
        <w:rPr>
          <w:rFonts w:hint="default" w:ascii="Times New Roman" w:hAnsi="Times New Roman" w:eastAsia="宋体" w:cs="Times New Roman"/>
          <w:sz w:val="32"/>
          <w:szCs w:val="32"/>
          <w:highlight w:val="none"/>
        </w:rPr>
        <w:t>工程支出</w:t>
      </w:r>
      <w:r>
        <w:rPr>
          <w:rFonts w:hint="eastAsia"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rPr>
        <w:t>服务支出金额</w:t>
      </w:r>
      <w:r>
        <w:rPr>
          <w:rFonts w:hint="eastAsia" w:ascii="Times New Roman" w:hAnsi="Times New Roman" w:eastAsia="宋体" w:cs="Times New Roman"/>
          <w:sz w:val="32"/>
          <w:szCs w:val="32"/>
          <w:highlight w:val="none"/>
          <w:lang w:val="en-US" w:eastAsia="zh-CN"/>
        </w:rPr>
        <w:t>为0，无法计算百分比</w:t>
      </w:r>
      <w:r>
        <w:rPr>
          <w:rFonts w:hint="default" w:ascii="Times New Roman" w:hAnsi="Times New Roman" w:eastAsia="宋体" w:cs="Times New Roman"/>
          <w:sz w:val="32"/>
          <w:szCs w:val="32"/>
          <w:highlight w:val="none"/>
        </w:rPr>
        <w:t>。</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color w:val="000000" w:themeColor="text1"/>
          <w:sz w:val="32"/>
          <w:szCs w:val="32"/>
          <w:highlight w:val="none"/>
        </w:rPr>
      </w:pPr>
      <w:r>
        <w:rPr>
          <w:rFonts w:hint="default" w:ascii="Times New Roman" w:hAnsi="Times New Roman" w:eastAsia="宋体" w:cs="Times New Roman"/>
          <w:b/>
          <w:color w:val="000000" w:themeColor="text1"/>
          <w:sz w:val="32"/>
          <w:szCs w:val="32"/>
          <w:highlight w:val="none"/>
        </w:rPr>
        <w:t>十二、国有资产占用情况说明</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截至2021年12月31日，部门（单位）共有车辆58辆（其中有一台防暴车，不纳入编制数管理范围），其中，主要领导干部用车0辆，机要通信用车0辆、应急保障用车0辆、执法执勤用车52辆、特种专业技术用车5辆、其他用车1辆，其他用车为防暴车，主要用于处突防暴；单位价值50万元以上通用设备13台（套）；单位价值100万元以上专用设备0台（套）。</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b/>
          <w:bCs/>
          <w:color w:val="000000" w:themeColor="text1"/>
          <w:sz w:val="32"/>
          <w:szCs w:val="32"/>
          <w:highlight w:val="none"/>
          <w:lang w:val="en-US" w:eastAsia="zh-CN"/>
        </w:rPr>
        <w:t>十三</w:t>
      </w:r>
      <w:r>
        <w:rPr>
          <w:rFonts w:hint="default" w:ascii="Times New Roman" w:hAnsi="Times New Roman" w:eastAsia="宋体" w:cs="Times New Roman"/>
          <w:b/>
          <w:bCs/>
          <w:color w:val="000000" w:themeColor="text1"/>
          <w:sz w:val="32"/>
          <w:szCs w:val="32"/>
          <w:highlight w:val="none"/>
        </w:rPr>
        <w:t>、国有资本经营预算财政拨款支出决算情况</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color w:val="000000" w:themeColor="text1"/>
          <w:sz w:val="32"/>
          <w:szCs w:val="32"/>
          <w:highlight w:val="none"/>
          <w:lang w:eastAsia="zh-CN"/>
        </w:rPr>
      </w:pPr>
      <w:r>
        <w:rPr>
          <w:rFonts w:hint="default" w:ascii="Times New Roman" w:hAnsi="Times New Roman" w:eastAsia="宋体" w:cs="Times New Roman"/>
          <w:color w:val="000000" w:themeColor="text1"/>
          <w:sz w:val="32"/>
          <w:szCs w:val="32"/>
          <w:highlight w:val="none"/>
        </w:rPr>
        <w:t>2021年度国有资本经营预算财政拨款支出</w:t>
      </w:r>
      <w:r>
        <w:rPr>
          <w:rFonts w:hint="default" w:ascii="Times New Roman" w:hAnsi="Times New Roman" w:eastAsia="宋体" w:cs="Times New Roman"/>
          <w:color w:val="000000" w:themeColor="text1"/>
          <w:sz w:val="32"/>
          <w:szCs w:val="32"/>
          <w:highlight w:val="none"/>
          <w:lang w:val="en-US" w:eastAsia="zh-CN"/>
        </w:rPr>
        <w:t>0</w:t>
      </w:r>
      <w:r>
        <w:rPr>
          <w:rFonts w:hint="default" w:ascii="Times New Roman" w:hAnsi="Times New Roman" w:eastAsia="宋体" w:cs="Times New Roman"/>
          <w:color w:val="000000" w:themeColor="text1"/>
          <w:sz w:val="32"/>
          <w:szCs w:val="32"/>
          <w:highlight w:val="none"/>
        </w:rPr>
        <w:t>万元，其中基本支出</w:t>
      </w:r>
      <w:r>
        <w:rPr>
          <w:rFonts w:hint="default" w:ascii="Times New Roman" w:hAnsi="Times New Roman" w:eastAsia="宋体" w:cs="Times New Roman"/>
          <w:color w:val="000000" w:themeColor="text1"/>
          <w:sz w:val="32"/>
          <w:szCs w:val="32"/>
          <w:highlight w:val="none"/>
          <w:lang w:val="en-US" w:eastAsia="zh-CN"/>
        </w:rPr>
        <w:t>0</w:t>
      </w:r>
      <w:r>
        <w:rPr>
          <w:rFonts w:hint="default" w:ascii="Times New Roman" w:hAnsi="Times New Roman" w:eastAsia="宋体" w:cs="Times New Roman"/>
          <w:color w:val="000000" w:themeColor="text1"/>
          <w:sz w:val="32"/>
          <w:szCs w:val="32"/>
          <w:highlight w:val="none"/>
        </w:rPr>
        <w:t>万元，项目支出</w:t>
      </w:r>
      <w:r>
        <w:rPr>
          <w:rFonts w:hint="default" w:ascii="Times New Roman" w:hAnsi="Times New Roman" w:eastAsia="宋体" w:cs="Times New Roman"/>
          <w:color w:val="000000" w:themeColor="text1"/>
          <w:sz w:val="32"/>
          <w:szCs w:val="32"/>
          <w:highlight w:val="none"/>
          <w:lang w:val="en-US" w:eastAsia="zh-CN"/>
        </w:rPr>
        <w:t>0</w:t>
      </w:r>
      <w:r>
        <w:rPr>
          <w:rFonts w:hint="default" w:ascii="Times New Roman" w:hAnsi="Times New Roman" w:eastAsia="宋体" w:cs="Times New Roman"/>
          <w:color w:val="000000" w:themeColor="text1"/>
          <w:sz w:val="32"/>
          <w:szCs w:val="32"/>
          <w:highlight w:val="none"/>
        </w:rPr>
        <w:t>万元。本单位无国有资本经营预算支出</w:t>
      </w:r>
      <w:r>
        <w:rPr>
          <w:rFonts w:hint="default" w:ascii="Times New Roman" w:hAnsi="Times New Roman" w:eastAsia="宋体" w:cs="Times New Roman"/>
          <w:color w:val="000000" w:themeColor="text1"/>
          <w:sz w:val="32"/>
          <w:szCs w:val="32"/>
          <w:highlight w:val="none"/>
          <w:lang w:eastAsia="zh-CN"/>
        </w:rPr>
        <w:t>。</w:t>
      </w:r>
    </w:p>
    <w:p>
      <w:pPr>
        <w:pStyle w:val="13"/>
        <w:keepNext w:val="0"/>
        <w:keepLines w:val="0"/>
        <w:pageBreakBefore w:val="0"/>
        <w:kinsoku/>
        <w:wordWrap/>
        <w:overflowPunct/>
        <w:topLinePunct w:val="0"/>
        <w:bidi w:val="0"/>
        <w:snapToGrid/>
        <w:ind w:firstLine="640" w:firstLineChars="200"/>
        <w:rPr>
          <w:rFonts w:hint="default" w:ascii="Times New Roman" w:hAnsi="Times New Roman" w:eastAsia="宋体" w:cs="Times New Roman"/>
          <w:b/>
          <w:color w:val="000000" w:themeColor="text1"/>
          <w:sz w:val="32"/>
          <w:szCs w:val="32"/>
          <w:highlight w:val="none"/>
        </w:rPr>
      </w:pPr>
      <w:r>
        <w:rPr>
          <w:rFonts w:hint="default" w:ascii="Times New Roman" w:hAnsi="Times New Roman" w:eastAsia="宋体" w:cs="Times New Roman"/>
          <w:b/>
          <w:color w:val="000000" w:themeColor="text1"/>
          <w:sz w:val="32"/>
          <w:szCs w:val="32"/>
          <w:highlight w:val="none"/>
        </w:rPr>
        <w:t>十</w:t>
      </w:r>
      <w:r>
        <w:rPr>
          <w:rFonts w:hint="default" w:ascii="Times New Roman" w:hAnsi="Times New Roman" w:eastAsia="宋体" w:cs="Times New Roman"/>
          <w:b/>
          <w:color w:val="000000" w:themeColor="text1"/>
          <w:sz w:val="32"/>
          <w:szCs w:val="32"/>
          <w:highlight w:val="none"/>
          <w:lang w:val="en-US" w:eastAsia="zh-CN"/>
        </w:rPr>
        <w:t>四</w:t>
      </w:r>
      <w:r>
        <w:rPr>
          <w:rFonts w:hint="default" w:ascii="Times New Roman" w:hAnsi="Times New Roman" w:eastAsia="宋体" w:cs="Times New Roman"/>
          <w:b/>
          <w:color w:val="000000" w:themeColor="text1"/>
          <w:sz w:val="32"/>
          <w:szCs w:val="32"/>
          <w:highlight w:val="none"/>
        </w:rPr>
        <w:t>、2021年度预算绩效情况说明</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default" w:ascii="Times New Roman" w:hAnsi="Times New Roman" w:eastAsia="宋体" w:cs="Times New Roman"/>
          <w:b w:val="0"/>
          <w:bCs/>
          <w:color w:val="000000" w:themeColor="text1"/>
          <w:kern w:val="0"/>
          <w:sz w:val="32"/>
          <w:szCs w:val="32"/>
          <w:highlight w:val="none"/>
        </w:rPr>
      </w:pPr>
      <w:r>
        <w:rPr>
          <w:rFonts w:hint="default" w:ascii="Times New Roman" w:hAnsi="Times New Roman" w:eastAsia="宋体" w:cs="Times New Roman"/>
          <w:b w:val="0"/>
          <w:bCs/>
          <w:color w:val="000000" w:themeColor="text1"/>
          <w:kern w:val="0"/>
          <w:sz w:val="32"/>
          <w:szCs w:val="32"/>
          <w:highlight w:val="none"/>
        </w:rPr>
        <w:t>本部门2021年整体支出13582.88万元，其中项目支出5158.31万元，本年度</w:t>
      </w:r>
      <w:r>
        <w:rPr>
          <w:rFonts w:hint="default" w:ascii="Times New Roman" w:hAnsi="Times New Roman" w:eastAsia="宋体" w:cs="Times New Roman"/>
          <w:b w:val="0"/>
          <w:bCs/>
          <w:color w:val="000000" w:themeColor="text1"/>
          <w:kern w:val="0"/>
          <w:sz w:val="32"/>
          <w:szCs w:val="32"/>
          <w:highlight w:val="none"/>
          <w:lang w:val="en-US" w:eastAsia="zh-CN"/>
        </w:rPr>
        <w:t>本部门</w:t>
      </w:r>
      <w:r>
        <w:rPr>
          <w:rFonts w:hint="default" w:ascii="Times New Roman" w:hAnsi="Times New Roman" w:eastAsia="宋体" w:cs="Times New Roman"/>
          <w:b w:val="0"/>
          <w:bCs/>
          <w:color w:val="000000" w:themeColor="text1"/>
          <w:kern w:val="0"/>
          <w:sz w:val="32"/>
          <w:szCs w:val="32"/>
          <w:highlight w:val="none"/>
        </w:rPr>
        <w:t>无重点项目支出。</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default" w:ascii="Times New Roman" w:hAnsi="Times New Roman" w:eastAsia="宋体" w:cs="Times New Roman"/>
          <w:b w:val="0"/>
          <w:bCs/>
          <w:color w:val="000000" w:themeColor="text1"/>
          <w:kern w:val="0"/>
          <w:sz w:val="32"/>
          <w:szCs w:val="32"/>
          <w:highlight w:val="none"/>
        </w:rPr>
      </w:pPr>
      <w:r>
        <w:rPr>
          <w:rFonts w:hint="default" w:ascii="Times New Roman" w:hAnsi="Times New Roman" w:eastAsia="宋体" w:cs="Times New Roman"/>
          <w:b w:val="0"/>
          <w:bCs/>
          <w:color w:val="000000" w:themeColor="text1"/>
          <w:kern w:val="0"/>
          <w:sz w:val="32"/>
          <w:szCs w:val="32"/>
          <w:highlight w:val="none"/>
        </w:rPr>
        <w:t>（1）绩效管理评价工作开展情况。</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根据预算绩效管理要求，我部门组织对2021年度一般公共预算项目支出全面开展绩效自评，其中，一级项目0个，二级项目</w:t>
      </w:r>
      <w:r>
        <w:rPr>
          <w:rFonts w:hint="default" w:ascii="Times New Roman" w:hAnsi="Times New Roman" w:eastAsia="宋体" w:cs="Times New Roman"/>
          <w:color w:val="000000" w:themeColor="text1"/>
          <w:kern w:val="0"/>
          <w:sz w:val="32"/>
          <w:szCs w:val="32"/>
          <w:highlight w:val="none"/>
          <w:lang w:val="en-US" w:eastAsia="zh-CN"/>
        </w:rPr>
        <w:t>8</w:t>
      </w:r>
      <w:r>
        <w:rPr>
          <w:rFonts w:hint="default" w:ascii="Times New Roman" w:hAnsi="Times New Roman" w:eastAsia="宋体" w:cs="Times New Roman"/>
          <w:color w:val="000000" w:themeColor="text1"/>
          <w:kern w:val="0"/>
          <w:sz w:val="32"/>
          <w:szCs w:val="32"/>
          <w:highlight w:val="none"/>
        </w:rPr>
        <w:t>个，共涉及资金5158.31万元，占一般公共预算项目支出总额的100%。</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组织对本部门开展整体支出绩效评价，涉及一般公共预算支出13582.88万元，政府性基金预算支出0万元。从评价情况来看，2021年，我单位严格按照年初预算批复认真组织实施，严格执行财经纪律相关管理规定，做到各项收支安排使用符合事业发展计划和财政政策的要求，确保了单位正常运行和发展，较好地完成了2021年的各项目标任务，预算执行情况良好。</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default" w:ascii="Times New Roman" w:hAnsi="Times New Roman" w:eastAsia="宋体" w:cs="Times New Roman"/>
          <w:b/>
          <w:color w:val="000000"/>
          <w:kern w:val="0"/>
          <w:sz w:val="32"/>
          <w:szCs w:val="32"/>
          <w:highlight w:val="none"/>
        </w:rPr>
      </w:pPr>
      <w:r>
        <w:rPr>
          <w:rFonts w:hint="default" w:ascii="Times New Roman" w:hAnsi="Times New Roman" w:eastAsia="宋体" w:cs="Times New Roman"/>
          <w:b/>
          <w:color w:val="000000"/>
          <w:kern w:val="0"/>
          <w:sz w:val="32"/>
          <w:szCs w:val="32"/>
          <w:highlight w:val="none"/>
        </w:rPr>
        <w:t>（2）部门决算中项目绩效自评结果。</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巡逻防控大队及协辅警人员经费项目绩效自评综述：根据年初设定的绩效目标，项目绩效自评得分为98分。项目全年预算数为1117.5万元，执行数为1117.5万元，完成预算的100%。项目绩效目标完成情况：一是保证了巡逻防控大队队员及协辅警人员的工资按时发入；二是加大了社会治安面的巡逻防控力度，有效地保障了社会治安秩序平稳。发现的主要问题及原因：一是社会治安面巡逻防控面广点多，需要人员多，经费不足；二是资金管理有待加强。下一步改进措施：一是科学规划，加强人员管理；二是进一步提高资金使用效益。</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公安办案经费项目绩效自评综述：根据年初设定的绩效目标，项目绩效自评得分为95分。项目全年预算数为1080万元，执行数为1080万元，完成预算的100%。项目绩效目标完成情况：预防打击违法犯罪，维护社会政治、经济、生活秩序平稳。</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b/>
          <w:color w:val="000000"/>
          <w:kern w:val="0"/>
          <w:sz w:val="32"/>
          <w:szCs w:val="32"/>
          <w:highlight w:val="none"/>
        </w:rPr>
        <w:t>（3）部门评价项目绩效评价结果。</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经济性、效率性方面。表现在：一是保障了职工工资，津补贴和增长工资的及时足额发放，没有出现拖欠职工工资现象；二是保障了各项工作的正常运转，资金支付正常；三是财政供养人员控制较好；四是资金使用无虚列支出及随意使用现象，无大额现金支付现象。</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2.有效性方面。一是保障了财政各方面工作的顺利进行；二是有效防范各项风险的出现。三是促进财政各项工作再创新局面。</w:t>
      </w:r>
    </w:p>
    <w:p>
      <w:pPr>
        <w:keepNext w:val="0"/>
        <w:keepLines w:val="0"/>
        <w:pageBreakBefore w:val="0"/>
        <w:kinsoku/>
        <w:wordWrap/>
        <w:overflowPunct/>
        <w:topLinePunct w:val="0"/>
        <w:autoSpaceDE/>
        <w:autoSpaceDN/>
        <w:bidi w:val="0"/>
        <w:snapToGrid/>
        <w:spacing w:line="240" w:lineRule="auto"/>
        <w:ind w:firstLine="640" w:firstLineChars="200"/>
        <w:jc w:val="left"/>
        <w:rPr>
          <w:rFonts w:hint="default" w:ascii="Times New Roman" w:hAnsi="Times New Roman" w:eastAsia="宋体" w:cs="Times New Roman"/>
          <w:b w:val="0"/>
          <w:bCs w:val="0"/>
          <w:color w:val="000000" w:themeColor="text1"/>
          <w:kern w:val="0"/>
          <w:sz w:val="32"/>
          <w:szCs w:val="32"/>
          <w:highlight w:val="none"/>
        </w:rPr>
      </w:pPr>
      <w:r>
        <w:rPr>
          <w:rFonts w:hint="default" w:ascii="Times New Roman" w:hAnsi="Times New Roman" w:eastAsia="宋体" w:cs="Times New Roman"/>
          <w:b w:val="0"/>
          <w:bCs w:val="0"/>
          <w:color w:val="000000" w:themeColor="text1"/>
          <w:kern w:val="0"/>
          <w:sz w:val="32"/>
          <w:szCs w:val="32"/>
          <w:highlight w:val="none"/>
        </w:rPr>
        <w:br w:type="page"/>
      </w:r>
    </w:p>
    <w:p>
      <w:pPr>
        <w:keepNext w:val="0"/>
        <w:keepLines w:val="0"/>
        <w:pageBreakBefore w:val="0"/>
        <w:kinsoku/>
        <w:wordWrap/>
        <w:overflowPunct/>
        <w:topLinePunct w:val="0"/>
        <w:autoSpaceDE w:val="0"/>
        <w:autoSpaceDN w:val="0"/>
        <w:bidi w:val="0"/>
        <w:snapToGrid/>
        <w:spacing w:line="300" w:lineRule="atLeast"/>
        <w:ind w:firstLine="640" w:firstLineChars="200"/>
        <w:jc w:val="center"/>
        <w:rPr>
          <w:rFonts w:hint="default" w:ascii="Times New Roman" w:hAnsi="Times New Roman" w:eastAsia="宋体" w:cs="Times New Roman"/>
          <w:b/>
          <w:bCs/>
          <w:color w:val="000000" w:themeColor="text1"/>
          <w:kern w:val="0"/>
          <w:sz w:val="32"/>
          <w:szCs w:val="32"/>
          <w:highlight w:val="none"/>
        </w:rPr>
      </w:pPr>
      <w:r>
        <w:rPr>
          <w:rFonts w:hint="default" w:ascii="Times New Roman" w:hAnsi="Times New Roman" w:eastAsia="宋体" w:cs="Times New Roman"/>
          <w:b/>
          <w:bCs/>
          <w:color w:val="000000" w:themeColor="text1"/>
          <w:kern w:val="0"/>
          <w:sz w:val="32"/>
          <w:szCs w:val="32"/>
          <w:highlight w:val="none"/>
        </w:rPr>
        <w:t>“巡逻防控大队及协辅警人员经费”项目绩效评价</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2021年本单位项目支出预算为1117.5万元，实际项目支出资金为1117.5万元，100%完成了项目支出预算。项目资金支出严格执行财务管理制度，做到专款专用，较好地完成了年初预算要求的绩效任务。现将本年度本单位的项目支出绩效评价报告如下：</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一、项目基本情况</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一)项目概况。本单位2021年的项目资金主要用于巡逻防控大队及协辅警人员工资及各项补助，确保巡逻防控大队及协辅警人员的工资按时发放(二)绩效目标。根据年初确定的绩效目标和阶段性目标，及时进行细化，明确责任领导和责任人，确保绩效目标实现。</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二、绩效评价工作开展情况。</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一)绩效评价目的、对象和范围。本次绩效评价的目的是为了全面分析和综合评价本单位项目资金的使用和管理情况，为切实提高财政资金使用效益，强化预算支出责任和效率提供参考依据，对2021年“巡逻防控大队及协辅警人员经费”项目支出经费使用情况进行绩效评价。</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(二)绩效评价原则、评价指标体系</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(1)动态性原则。按时间动态分阶段完成指标目标。</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(2)可量化原则。数据的真实性和可靠性是进行监测的前提条件和重要保障，需要大量的统计数据作为支持，选取的指标应该具有可量化的特点。</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(3)层次性原则。本项目分三级指标进行评价。</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(三)绩效评价工作过程。</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一是成立项目评价工作小组，制定项目工作计划；二是建立指标体系设计与评价方案；三是按照评价方案细化评价工作计划，依据评价指标体系收集相关数据，根据需要开展资金使用情况调查工作；四是撰写评价报告。</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三、项目支出绩效自评得分情况分析(100分)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(一)项目决策(20分)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1、项目目标4分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我单位对专项资金的使用设立了明确的目标，且目标细化、量化到了具体的每一项工作，该项指标得4分。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2、决策过程10分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(1)决策依据5分：专项资金的使用符合相关规定，档案管理与保护工作列入了2021年度工作</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3、资金分配6分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(1)分配办法3分：我单位年初召开了党组会议，讨论研究了单位项目资金的合理使用情况，做到资金合理使用。</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(2)分配结果方面3分：根据年初制定的预算计划，各项工作的开展与资金的使用与年初计划及资金使用稍有出入，但总体上分配公平合理。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(二)项目管理(25分)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1、资金到位5分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(1)到位率3分：2021年度市财政给本单位210万元项目资金，实际到位210万元。</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(2)到位实效2分：资金到位及时，专项工作顺利开展。</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2、资金管理10分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(1)资金使用7分：资金依法依规给付，无截留挤兑挪用情况、无超标准开支情况。</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(2)财务管理3分：我单位制定了财务管理制度，坚持一支笔审批制度，费用支出需经手人、证明人、财务领导签字后才能予以报销，会计核算规范。</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3、组织实施10分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(1)组织机构1分：我单位分工明确，专项工作安排专人专抓。</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(2)项目实施3分：根据项目目标，合理安排项目的实施，并确保完成任务目标。</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(3)管理制度6分：我单位资金管理制度健全，在使用过程严格执行了相关管理制度。</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(三)项目绩效(55分)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1、项目产出15分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(1)产出数量5分：根据年初制定的工作计划和预算编制计划，我单位完成了年初制定了工作目标。</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(2)产出质量4分：确保了巡逻防控大队及协辅警人员的工资按时发放</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(3)产出实效3分：加强了社会治安面的巡逻防控力度，有效地保障了社会治安秩序平稳。</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(4)产出成本3分：2021年专项经费预算资金1117.5万元，到位1117.5万元，实际支出41万元。</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2、项目效果40分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(1)经济效益8分：通过项目的实施，确保了巡逻防控大队及协辅警人员的工资按时发放。</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(2)社会效益8分：加强了社会治安面的巡逻防控力度，有效地保障了社会治安秩序平稳。</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(3)环境效益8分：通过项目的实施，有效地保障了社会治安秩序平稳。</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w:t>
      </w:r>
      <w:r>
        <w:rPr>
          <w:rFonts w:hint="default" w:ascii="Times New Roman" w:hAnsi="Times New Roman" w:eastAsia="宋体" w:cs="Times New Roman"/>
          <w:color w:val="000000" w:themeColor="text1"/>
          <w:kern w:val="0"/>
          <w:sz w:val="32"/>
          <w:szCs w:val="32"/>
          <w:highlight w:val="none"/>
          <w:lang w:val="en-US" w:eastAsia="zh-CN"/>
        </w:rPr>
        <w:t>4</w:t>
      </w:r>
      <w:r>
        <w:rPr>
          <w:rFonts w:hint="default" w:ascii="Times New Roman" w:hAnsi="Times New Roman" w:eastAsia="宋体" w:cs="Times New Roman"/>
          <w:color w:val="000000" w:themeColor="text1"/>
          <w:kern w:val="0"/>
          <w:sz w:val="32"/>
          <w:szCs w:val="32"/>
          <w:highlight w:val="none"/>
        </w:rPr>
        <w:t>)产出实效3分：有效地保障了社会治安秩序平稳，</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w:t>
      </w:r>
      <w:r>
        <w:rPr>
          <w:rFonts w:hint="default" w:ascii="Times New Roman" w:hAnsi="Times New Roman" w:eastAsia="宋体" w:cs="Times New Roman"/>
          <w:color w:val="000000" w:themeColor="text1"/>
          <w:kern w:val="0"/>
          <w:sz w:val="32"/>
          <w:szCs w:val="32"/>
          <w:highlight w:val="none"/>
          <w:lang w:val="en-US" w:eastAsia="zh-CN"/>
        </w:rPr>
        <w:t>5</w:t>
      </w:r>
      <w:r>
        <w:rPr>
          <w:rFonts w:hint="default" w:ascii="Times New Roman" w:hAnsi="Times New Roman" w:eastAsia="宋体" w:cs="Times New Roman"/>
          <w:color w:val="000000" w:themeColor="text1"/>
          <w:kern w:val="0"/>
          <w:sz w:val="32"/>
          <w:szCs w:val="32"/>
          <w:highlight w:val="none"/>
        </w:rPr>
        <w:t>)产出成本3分：2021年专项经费预算资金1117.5万元，到位1117.5万元，实际支出41万元。</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2、项目效果40分</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(1)经济效益8分：通过项目的实施，确保了巡逻防控大队及协辅警人员的工资按时发放。</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(2)社会效益8分：加强了社会治安面的巡逻防控力度，有效地保障了社会治安秩序平稳。</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(3)环境效益8分：通过项目的实施，有效地保障了社会治安秩序平稳。</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(4)可持续影响8分：通过项目的实施，持续保障社会治安秩序平稳。</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(5)服务对象满意度8分：群众满意度98%。</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四、总体绩效自评情况</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一是按相关规定、制度，规范项目支出资金管理；二是按时完成当年计划，合理安排项目支出；三是实现项目目标，确保了档案实体、利用安全，全年共接收整理档案17余万件。自评分数为98分，等级为良好。</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五、存在的问题及建议</w:t>
      </w:r>
    </w:p>
    <w:p>
      <w:pPr>
        <w:keepNext w:val="0"/>
        <w:keepLines w:val="0"/>
        <w:pageBreakBefore w:val="0"/>
        <w:kinsoku/>
        <w:wordWrap/>
        <w:overflowPunct/>
        <w:topLinePunct w:val="0"/>
        <w:autoSpaceDE w:val="0"/>
        <w:autoSpaceDN w:val="0"/>
        <w:bidi w:val="0"/>
        <w:snapToGrid/>
        <w:spacing w:line="300" w:lineRule="atLeast"/>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t>发现的主要问题及原因：一是交通压力大，需要人员多，经费不足；二是资金管理有待加强。下一步改进措施：一是科学规划，加强人员管理；二是进一步提高资金使用效益。</w:t>
      </w:r>
    </w:p>
    <w:p>
      <w:pPr>
        <w:keepNext w:val="0"/>
        <w:keepLines w:val="0"/>
        <w:pageBreakBefore w:val="0"/>
        <w:kinsoku/>
        <w:wordWrap/>
        <w:overflowPunct/>
        <w:topLinePunct w:val="0"/>
        <w:bidi w:val="0"/>
        <w:snapToGrid/>
        <w:ind w:firstLine="640" w:firstLineChars="200"/>
        <w:rPr>
          <w:rFonts w:hint="default" w:ascii="Times New Roman" w:hAnsi="Times New Roman" w:eastAsia="宋体" w:cs="Times New Roman"/>
          <w:color w:val="000000" w:themeColor="text1"/>
          <w:kern w:val="0"/>
          <w:sz w:val="32"/>
          <w:szCs w:val="32"/>
          <w:highlight w:val="none"/>
        </w:rPr>
      </w:pPr>
      <w:r>
        <w:rPr>
          <w:rFonts w:hint="default" w:ascii="Times New Roman" w:hAnsi="Times New Roman" w:eastAsia="宋体" w:cs="Times New Roman"/>
          <w:color w:val="000000" w:themeColor="text1"/>
          <w:kern w:val="0"/>
          <w:sz w:val="32"/>
          <w:szCs w:val="32"/>
          <w:highlight w:val="none"/>
        </w:rPr>
        <w:br w:type="page"/>
      </w:r>
    </w:p>
    <w:p>
      <w:pPr>
        <w:keepNext w:val="0"/>
        <w:keepLines w:val="0"/>
        <w:pageBreakBefore w:val="0"/>
        <w:kinsoku/>
        <w:wordWrap/>
        <w:overflowPunct/>
        <w:topLinePunct w:val="0"/>
        <w:autoSpaceDE w:val="0"/>
        <w:autoSpaceDN w:val="0"/>
        <w:bidi w:val="0"/>
        <w:adjustRightInd/>
        <w:snapToGrid/>
        <w:spacing w:line="260" w:lineRule="atLeast"/>
        <w:ind w:firstLine="0" w:firstLineChars="0"/>
        <w:jc w:val="center"/>
        <w:rPr>
          <w:rFonts w:hint="eastAsia" w:ascii="宋体" w:hAnsi="宋体" w:eastAsia="宋体" w:cs="宋体"/>
          <w:b/>
          <w:bCs/>
          <w:color w:val="000000" w:themeColor="text1"/>
          <w:kern w:val="0"/>
          <w:sz w:val="32"/>
          <w:szCs w:val="32"/>
          <w:highlight w:val="none"/>
        </w:rPr>
      </w:pPr>
      <w:r>
        <w:rPr>
          <w:rFonts w:hint="eastAsia" w:ascii="宋体" w:hAnsi="宋体" w:eastAsia="宋体" w:cs="宋体"/>
          <w:b/>
          <w:bCs/>
          <w:color w:val="000000" w:themeColor="text1"/>
          <w:kern w:val="0"/>
          <w:sz w:val="32"/>
          <w:szCs w:val="32"/>
          <w:highlight w:val="none"/>
        </w:rPr>
        <w:t>2021年项目支出绩效自评指标计分表</w:t>
      </w:r>
    </w:p>
    <w:p>
      <w:pPr>
        <w:keepNext w:val="0"/>
        <w:keepLines w:val="0"/>
        <w:pageBreakBefore w:val="0"/>
        <w:kinsoku/>
        <w:wordWrap/>
        <w:overflowPunct/>
        <w:topLinePunct w:val="0"/>
        <w:bidi w:val="0"/>
        <w:adjustRightInd/>
        <w:snapToGrid/>
        <w:spacing w:line="240" w:lineRule="exact"/>
        <w:ind w:firstLine="0" w:firstLineChars="0"/>
        <w:textAlignment w:val="bottom"/>
        <w:rPr>
          <w:rFonts w:hint="default" w:ascii="Times New Roman" w:hAnsi="Times New Roman" w:eastAsia="宋体" w:cs="Times New Roman"/>
          <w:color w:val="000000" w:themeColor="text1"/>
          <w:kern w:val="0"/>
          <w:sz w:val="32"/>
          <w:szCs w:val="32"/>
          <w:highlight w:val="none"/>
        </w:rPr>
      </w:pPr>
    </w:p>
    <w:tbl>
      <w:tblPr>
        <w:tblStyle w:val="9"/>
        <w:tblW w:w="4999" w:type="pct"/>
        <w:jc w:val="center"/>
        <w:tblLayout w:type="fixed"/>
        <w:tblCellMar>
          <w:top w:w="0" w:type="dxa"/>
          <w:left w:w="0" w:type="dxa"/>
          <w:bottom w:w="0" w:type="dxa"/>
          <w:right w:w="0" w:type="dxa"/>
        </w:tblCellMar>
      </w:tblPr>
      <w:tblGrid>
        <w:gridCol w:w="929"/>
        <w:gridCol w:w="929"/>
        <w:gridCol w:w="1257"/>
        <w:gridCol w:w="1065"/>
        <w:gridCol w:w="2600"/>
        <w:gridCol w:w="3740"/>
      </w:tblGrid>
      <w:tr>
        <w:tblPrEx>
          <w:tblCellMar>
            <w:top w:w="0" w:type="dxa"/>
            <w:left w:w="0" w:type="dxa"/>
            <w:bottom w:w="0" w:type="dxa"/>
            <w:right w:w="0" w:type="dxa"/>
          </w:tblCellMar>
        </w:tblPrEx>
        <w:trPr>
          <w:trHeight w:val="324" w:hRule="atLeast"/>
          <w:tblHeader/>
          <w:jc w:val="center"/>
        </w:trPr>
        <w:tc>
          <w:tcPr>
            <w:tcW w:w="441" w:type="pc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一级指标</w:t>
            </w:r>
          </w:p>
        </w:tc>
        <w:tc>
          <w:tcPr>
            <w:tcW w:w="441" w:type="pct"/>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二级指标</w:t>
            </w:r>
          </w:p>
        </w:tc>
        <w:tc>
          <w:tcPr>
            <w:tcW w:w="597" w:type="pct"/>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三级指标</w:t>
            </w:r>
          </w:p>
        </w:tc>
        <w:tc>
          <w:tcPr>
            <w:tcW w:w="506" w:type="pct"/>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自评分</w:t>
            </w:r>
          </w:p>
        </w:tc>
        <w:tc>
          <w:tcPr>
            <w:tcW w:w="1235" w:type="pct"/>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具体指标</w:t>
            </w:r>
          </w:p>
        </w:tc>
        <w:tc>
          <w:tcPr>
            <w:tcW w:w="1777" w:type="pct"/>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评价标准</w:t>
            </w:r>
          </w:p>
        </w:tc>
      </w:tr>
      <w:tr>
        <w:tblPrEx>
          <w:tblCellMar>
            <w:top w:w="0" w:type="dxa"/>
            <w:left w:w="0" w:type="dxa"/>
            <w:bottom w:w="0" w:type="dxa"/>
            <w:right w:w="0" w:type="dxa"/>
          </w:tblCellMar>
        </w:tblPrEx>
        <w:trPr>
          <w:trHeight w:val="748" w:hRule="atLeast"/>
          <w:jc w:val="center"/>
        </w:trPr>
        <w:tc>
          <w:tcPr>
            <w:tcW w:w="441" w:type="pct"/>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项目决策</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（20分）</w:t>
            </w:r>
          </w:p>
        </w:tc>
        <w:tc>
          <w:tcPr>
            <w:tcW w:w="441"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项目目标</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目标内容</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设立了项目绩效目标；目标明确；目标细化；目标量化</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设有目标（1分）</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目标明确（1分）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目标细化（1分）</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目标量化（1分）</w:t>
            </w:r>
          </w:p>
        </w:tc>
      </w:tr>
      <w:tr>
        <w:tblPrEx>
          <w:tblCellMar>
            <w:top w:w="0" w:type="dxa"/>
            <w:left w:w="0" w:type="dxa"/>
            <w:bottom w:w="0" w:type="dxa"/>
            <w:right w:w="0" w:type="dxa"/>
          </w:tblCellMar>
        </w:tblPrEx>
        <w:trPr>
          <w:trHeight w:val="936"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决策过程</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决策依据</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有关法律法规的明确规定；某一经济社会发展规划；某部门年度工作计划；某一实际问题和需求</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符合法律法规（1分）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符合经济社会发展规划（1分）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部门年度工作计划（1分）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针对某一实际问题和需求（1分）</w:t>
            </w:r>
          </w:p>
        </w:tc>
      </w:tr>
      <w:tr>
        <w:tblPrEx>
          <w:tblCellMar>
            <w:top w:w="0" w:type="dxa"/>
            <w:left w:w="0" w:type="dxa"/>
            <w:bottom w:w="0" w:type="dxa"/>
            <w:right w:w="0" w:type="dxa"/>
          </w:tblCellMar>
        </w:tblPrEx>
        <w:trPr>
          <w:trHeight w:val="936"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决策程序</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项目符合申报条件；申报、批复程序符合相关管理办法；项目调整履行了相应手续</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符合申报条件（2分）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项目申报、批复程序符合管理办法（1分）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项目调整履行了相应手续（1分）</w:t>
            </w:r>
          </w:p>
        </w:tc>
      </w:tr>
      <w:tr>
        <w:tblPrEx>
          <w:tblCellMar>
            <w:top w:w="0" w:type="dxa"/>
            <w:left w:w="0" w:type="dxa"/>
            <w:bottom w:w="0" w:type="dxa"/>
            <w:right w:w="0" w:type="dxa"/>
          </w:tblCellMar>
        </w:tblPrEx>
        <w:trPr>
          <w:trHeight w:val="936"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资金分配</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分配办法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根据需要制定的相关资金管理办法；管理办法中有明确资金分配办法；资金分配因素全面、合理</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有相应的资金管理办法（1分）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办法健全、规范（1分）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因素全面合理（1分）</w:t>
            </w:r>
          </w:p>
        </w:tc>
      </w:tr>
      <w:tr>
        <w:tblPrEx>
          <w:tblCellMar>
            <w:top w:w="0" w:type="dxa"/>
            <w:left w:w="0" w:type="dxa"/>
            <w:bottom w:w="0" w:type="dxa"/>
            <w:right w:w="0" w:type="dxa"/>
          </w:tblCellMar>
        </w:tblPrEx>
        <w:trPr>
          <w:trHeight w:val="624"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分配结果</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资金分配符合相关管理办法；分配结果公平合理</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符合分配办法（2分）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分配公平合理（3分）</w:t>
            </w:r>
          </w:p>
        </w:tc>
      </w:tr>
      <w:tr>
        <w:tblPrEx>
          <w:tblCellMar>
            <w:top w:w="0" w:type="dxa"/>
            <w:left w:w="0" w:type="dxa"/>
            <w:bottom w:w="0" w:type="dxa"/>
            <w:right w:w="0" w:type="dxa"/>
          </w:tblCellMar>
        </w:tblPrEx>
        <w:trPr>
          <w:trHeight w:val="624" w:hRule="atLeast"/>
          <w:jc w:val="center"/>
        </w:trPr>
        <w:tc>
          <w:tcPr>
            <w:tcW w:w="441" w:type="pct"/>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both"/>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lang w:eastAsia="zh-CN"/>
              </w:rPr>
              <w:t>项目管理</w:t>
            </w:r>
            <w:r>
              <w:rPr>
                <w:rFonts w:hint="eastAsia" w:ascii="宋体" w:hAnsi="宋体" w:eastAsia="宋体" w:cs="宋体"/>
                <w:color w:val="000000"/>
                <w:kern w:val="0"/>
                <w:sz w:val="21"/>
                <w:szCs w:val="21"/>
                <w:highlight w:val="none"/>
              </w:rPr>
              <w:t>（25分）</w:t>
            </w:r>
          </w:p>
        </w:tc>
        <w:tc>
          <w:tcPr>
            <w:tcW w:w="441" w:type="pct"/>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资金到位</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到位率</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实际到位/计划到位*100%</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根据项目资金的实际到位率计算得分</w:t>
            </w:r>
          </w:p>
        </w:tc>
      </w:tr>
      <w:tr>
        <w:tblPrEx>
          <w:tblCellMar>
            <w:top w:w="0" w:type="dxa"/>
            <w:left w:w="0" w:type="dxa"/>
            <w:bottom w:w="0" w:type="dxa"/>
            <w:right w:w="0" w:type="dxa"/>
          </w:tblCellMar>
        </w:tblPrEx>
        <w:trPr>
          <w:trHeight w:val="624"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到位时效</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（2分）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2</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资金及时到位；若未及时到位，是否影响项目进度</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到位及时（2分）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不及时但未影响项目进度 （1分）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不及时并影响项目进度（0.5分）</w:t>
            </w:r>
          </w:p>
        </w:tc>
      </w:tr>
      <w:tr>
        <w:tblPrEx>
          <w:tblCellMar>
            <w:top w:w="0" w:type="dxa"/>
            <w:left w:w="0" w:type="dxa"/>
            <w:bottom w:w="0" w:type="dxa"/>
            <w:right w:w="0" w:type="dxa"/>
          </w:tblCellMar>
        </w:tblPrEx>
        <w:trPr>
          <w:trHeight w:val="851"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资金管理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（10分）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资金使用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（7分）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7</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支出依据合规，无虚列项目支出情况；无截留挤占挪用情况；无超标准开支情况；无超预算情况</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虚列套取扣4-7分</w:t>
            </w:r>
            <w:r>
              <w:rPr>
                <w:rFonts w:hint="eastAsia" w:ascii="宋体" w:hAnsi="宋体" w:eastAsia="宋体" w:cs="宋体"/>
                <w:color w:val="000000"/>
                <w:kern w:val="0"/>
                <w:sz w:val="21"/>
                <w:szCs w:val="21"/>
                <w:highlight w:val="none"/>
                <w:lang w:val="en-US" w:eastAsia="zh-CN"/>
              </w:rPr>
              <w:t xml:space="preserve">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依据不合规扣2分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截留、挤占、挪用扣3-6分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超标准开支扣2-5分</w:t>
            </w:r>
            <w:r>
              <w:rPr>
                <w:rFonts w:hint="eastAsia" w:ascii="宋体" w:hAnsi="宋体" w:eastAsia="宋体" w:cs="宋体"/>
                <w:color w:val="000000"/>
                <w:kern w:val="0"/>
                <w:sz w:val="21"/>
                <w:szCs w:val="21"/>
                <w:highlight w:val="none"/>
                <w:lang w:val="en-US" w:eastAsia="zh-CN"/>
              </w:rPr>
              <w:t xml:space="preserve">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超预算扣2-5分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财务管理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资金管理、费用支出等制度健全；制度执行严格；会计核算规范</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财务制度健全（1分）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严格执行制度（1分）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会计核算规范（1分）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组织实施</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（10分）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组织机构</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机构健全、分工明确</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right="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机构健全、分工明确（1分）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项目实施</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项目按计划开工；按计划进度开展；按计划完工</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按计划开工（1分） </w:t>
            </w:r>
            <w:r>
              <w:rPr>
                <w:rFonts w:hint="eastAsia" w:ascii="宋体" w:hAnsi="宋体" w:eastAsia="宋体" w:cs="宋体"/>
                <w:color w:val="000000"/>
                <w:kern w:val="0"/>
                <w:sz w:val="21"/>
                <w:szCs w:val="21"/>
                <w:highlight w:val="none"/>
                <w:lang w:val="en-US" w:eastAsia="zh-CN"/>
              </w:rPr>
              <w:t xml:space="preserve">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按计划开展（1分）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按计划完工（1分）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管理制度</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（6分）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项目管理制度健全；严格执行相关管理制度</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管理制度健全（2分）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制度执行严格（4分）</w:t>
            </w:r>
          </w:p>
        </w:tc>
      </w:tr>
      <w:tr>
        <w:tblPrEx>
          <w:tblCellMar>
            <w:top w:w="0" w:type="dxa"/>
            <w:left w:w="0" w:type="dxa"/>
            <w:bottom w:w="0" w:type="dxa"/>
            <w:right w:w="0" w:type="dxa"/>
          </w:tblCellMar>
        </w:tblPrEx>
        <w:trPr>
          <w:trHeight w:val="768" w:hRule="atLeast"/>
          <w:jc w:val="center"/>
        </w:trPr>
        <w:tc>
          <w:tcPr>
            <w:tcW w:w="441" w:type="pct"/>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项目绩效</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（55分）</w:t>
            </w:r>
          </w:p>
        </w:tc>
        <w:tc>
          <w:tcPr>
            <w:tcW w:w="441" w:type="pct"/>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项目产出</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（15分）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产出数量</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5</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根据该项目实际，标识具体明确的产出数量</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对照绩效目标，按实际产出数量率计算得分（5分）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产出质量</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根据该项目实际，标识具体明确的产出质量</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对照绩效目标，按实际产出质量率计算得分（4分）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产出时效</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根据该项目实际，标识具体明确的产出时效</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对照绩效目标，按实际产出时效率计算得分（3分）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产出成本</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根据该项目实际，标识具体明确的产出成本</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对照绩效目标，按实际产出成本率计算得分（3分）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项目效果</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（40分）</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经济效益</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7</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根据项目实际，标识所产生的直接或间接的经济效益</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对照绩效目标，按经济效益实现程度计算得分（8分）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社会效益</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根据项目实际，标识所产生的社会效益</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对照绩效目标，按社会效益实现程度计算得分（8分）</w:t>
            </w:r>
          </w:p>
        </w:tc>
      </w:tr>
      <w:tr>
        <w:tblPrEx>
          <w:tblCellMar>
            <w:top w:w="0" w:type="dxa"/>
            <w:left w:w="0" w:type="dxa"/>
            <w:bottom w:w="0" w:type="dxa"/>
            <w:right w:w="0" w:type="dxa"/>
          </w:tblCellMar>
        </w:tblPrEx>
        <w:trPr>
          <w:trHeight w:val="768"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环境效益</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根据项目实际，标识对环境所产生的积极或消极影响</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对照绩效目标，按对环境所产生的实际影响程度计算得分（8分）</w:t>
            </w:r>
          </w:p>
        </w:tc>
      </w:tr>
      <w:tr>
        <w:tblPrEx>
          <w:tblCellMar>
            <w:top w:w="0" w:type="dxa"/>
            <w:left w:w="0" w:type="dxa"/>
            <w:bottom w:w="0" w:type="dxa"/>
            <w:right w:w="0" w:type="dxa"/>
          </w:tblCellMar>
        </w:tblPrEx>
        <w:trPr>
          <w:trHeight w:val="936"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可持续影响</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项目产出能持续运用；项目运行所依赖的政策制度能持续执行</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项目产出能持续运用（4分）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所依赖的政策制度能持续执行（4分）</w:t>
            </w:r>
          </w:p>
        </w:tc>
      </w:tr>
      <w:tr>
        <w:tblPrEx>
          <w:tblCellMar>
            <w:top w:w="0" w:type="dxa"/>
            <w:left w:w="0" w:type="dxa"/>
            <w:bottom w:w="0" w:type="dxa"/>
            <w:right w:w="0" w:type="dxa"/>
          </w:tblCellMar>
        </w:tblPrEx>
        <w:trPr>
          <w:trHeight w:val="936" w:hRule="atLeast"/>
          <w:jc w:val="center"/>
        </w:trPr>
        <w:tc>
          <w:tcPr>
            <w:tcW w:w="441"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441" w:type="pct"/>
            <w:vMerge w:val="continue"/>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firstLine="0" w:firstLineChars="0"/>
              <w:jc w:val="left"/>
              <w:rPr>
                <w:rFonts w:hint="eastAsia" w:ascii="宋体" w:hAnsi="宋体" w:eastAsia="宋体" w:cs="宋体"/>
                <w:kern w:val="0"/>
                <w:sz w:val="21"/>
                <w:szCs w:val="21"/>
                <w:highlight w:val="none"/>
              </w:rPr>
            </w:pP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服务对象满意度</w:t>
            </w:r>
          </w:p>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（8分）</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7</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项目预期服务对象对项目实施的满意程度</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42" w:right="0" w:firstLine="0" w:firstLineChars="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按收集到的项目服务对象的满意率计算得分（8分）</w:t>
            </w:r>
          </w:p>
        </w:tc>
      </w:tr>
      <w:tr>
        <w:tblPrEx>
          <w:tblCellMar>
            <w:top w:w="0" w:type="dxa"/>
            <w:left w:w="0" w:type="dxa"/>
            <w:bottom w:w="0" w:type="dxa"/>
            <w:right w:w="0" w:type="dxa"/>
          </w:tblCellMar>
        </w:tblPrEx>
        <w:trPr>
          <w:trHeight w:val="851" w:hRule="atLeast"/>
          <w:jc w:val="center"/>
        </w:trPr>
        <w:tc>
          <w:tcPr>
            <w:tcW w:w="441" w:type="pc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总 分</w:t>
            </w:r>
          </w:p>
        </w:tc>
        <w:tc>
          <w:tcPr>
            <w:tcW w:w="441"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tc>
        <w:tc>
          <w:tcPr>
            <w:tcW w:w="59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tc>
        <w:tc>
          <w:tcPr>
            <w:tcW w:w="506"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98</w:t>
            </w:r>
          </w:p>
        </w:tc>
        <w:tc>
          <w:tcPr>
            <w:tcW w:w="1235"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tc>
        <w:tc>
          <w:tcPr>
            <w:tcW w:w="1777" w:type="pc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60" w:lineRule="atLeast"/>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　</w:t>
            </w:r>
          </w:p>
        </w:tc>
      </w:tr>
    </w:tbl>
    <w:p>
      <w:pPr>
        <w:pStyle w:val="2"/>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p>
    <w:p>
      <w:pPr>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br w:type="page"/>
      </w:r>
    </w:p>
    <w:p>
      <w:pPr>
        <w:pStyle w:val="13"/>
        <w:keepNext w:val="0"/>
        <w:keepLines w:val="0"/>
        <w:pageBreakBefore w:val="0"/>
        <w:kinsoku/>
        <w:wordWrap/>
        <w:overflowPunct/>
        <w:topLinePunct w:val="0"/>
        <w:bidi w:val="0"/>
        <w:snapToGrid/>
        <w:jc w:val="both"/>
        <w:rPr>
          <w:rFonts w:hint="default" w:ascii="Times New Roman" w:hAnsi="Times New Roman" w:eastAsia="宋体" w:cs="Times New Roman"/>
          <w:sz w:val="32"/>
          <w:szCs w:val="32"/>
          <w:highlight w:val="none"/>
        </w:rPr>
      </w:pPr>
    </w:p>
    <w:p>
      <w:pPr>
        <w:keepNext w:val="0"/>
        <w:keepLines w:val="0"/>
        <w:pageBreakBefore w:val="0"/>
        <w:kinsoku/>
        <w:wordWrap/>
        <w:overflowPunct/>
        <w:topLinePunct w:val="0"/>
        <w:bidi w:val="0"/>
        <w:snapToGrid/>
        <w:ind w:firstLine="1440" w:firstLineChars="200"/>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ind w:firstLine="1440" w:firstLineChars="200"/>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ind w:firstLine="1440" w:firstLineChars="200"/>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ind w:firstLine="1440" w:firstLineChars="200"/>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ind w:firstLine="1440" w:firstLineChars="200"/>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ind w:firstLine="1440" w:firstLineChars="200"/>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r>
        <w:rPr>
          <w:rFonts w:hint="default" w:ascii="Times New Roman" w:hAnsi="Times New Roman" w:eastAsia="宋体" w:cs="Times New Roman"/>
          <w:b w:val="0"/>
          <w:bCs w:val="0"/>
          <w:sz w:val="72"/>
          <w:szCs w:val="72"/>
          <w:highlight w:val="none"/>
        </w:rPr>
        <w:t>第四部分</w:t>
      </w:r>
    </w:p>
    <w:p>
      <w:pPr>
        <w:keepNext w:val="0"/>
        <w:keepLines w:val="0"/>
        <w:pageBreakBefore w:val="0"/>
        <w:kinsoku/>
        <w:wordWrap/>
        <w:overflowPunct/>
        <w:topLinePunct w:val="0"/>
        <w:bidi w:val="0"/>
        <w:snapToGrid/>
        <w:ind w:firstLine="1440" w:firstLineChars="200"/>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color w:val="000000"/>
          <w:kern w:val="0"/>
          <w:sz w:val="72"/>
          <w:szCs w:val="72"/>
          <w:highlight w:val="none"/>
        </w:rPr>
      </w:pPr>
      <w:r>
        <w:rPr>
          <w:rFonts w:hint="default" w:ascii="Times New Roman" w:hAnsi="Times New Roman" w:eastAsia="宋体" w:cs="Times New Roman"/>
          <w:b w:val="0"/>
          <w:bCs w:val="0"/>
          <w:color w:val="000000"/>
          <w:kern w:val="0"/>
          <w:sz w:val="72"/>
          <w:szCs w:val="72"/>
          <w:highlight w:val="none"/>
        </w:rPr>
        <w:t>名词解释</w:t>
      </w:r>
    </w:p>
    <w:p>
      <w:pPr>
        <w:keepNext w:val="0"/>
        <w:keepLines w:val="0"/>
        <w:pageBreakBefore w:val="0"/>
        <w:widowControl/>
        <w:kinsoku/>
        <w:wordWrap/>
        <w:overflowPunct/>
        <w:topLinePunct w:val="0"/>
        <w:bidi w:val="0"/>
        <w:snapToGrid/>
        <w:ind w:firstLine="640" w:firstLineChars="200"/>
        <w:jc w:val="left"/>
        <w:rPr>
          <w:rFonts w:hint="default" w:ascii="Times New Roman" w:hAnsi="Times New Roman" w:eastAsia="宋体" w:cs="Times New Roman"/>
          <w:color w:val="000000"/>
          <w:kern w:val="0"/>
          <w:sz w:val="32"/>
          <w:szCs w:val="32"/>
          <w:highlight w:val="none"/>
        </w:rPr>
      </w:pPr>
      <w:r>
        <w:rPr>
          <w:rFonts w:hint="default" w:ascii="Times New Roman" w:hAnsi="Times New Roman" w:eastAsia="宋体" w:cs="Times New Roman"/>
          <w:color w:val="000000"/>
          <w:kern w:val="0"/>
          <w:sz w:val="32"/>
          <w:szCs w:val="32"/>
          <w:highlight w:val="none"/>
        </w:rPr>
        <w:br w:type="page"/>
      </w:r>
    </w:p>
    <w:p>
      <w:pPr>
        <w:keepNext w:val="0"/>
        <w:keepLines w:val="0"/>
        <w:pageBreakBefore w:val="0"/>
        <w:kinsoku/>
        <w:wordWrap/>
        <w:overflowPunct/>
        <w:topLinePunct w:val="0"/>
        <w:bidi w:val="0"/>
        <w:snapToGrid/>
        <w:ind w:firstLine="640" w:firstLineChars="200"/>
        <w:jc w:val="left"/>
        <w:rPr>
          <w:rFonts w:hint="default" w:ascii="Times New Roman" w:hAnsi="Times New Roman" w:eastAsia="宋体" w:cs="Times New Roman"/>
          <w:color w:val="000000"/>
          <w:kern w:val="0"/>
          <w:sz w:val="32"/>
          <w:szCs w:val="32"/>
          <w:highlight w:val="none"/>
        </w:rPr>
      </w:pP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一、收入科目</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1、财政拨款收入：指财政当年拨付的资金。</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2、事业收入：指事业单位开展专业业务活动及辅助活动取得的收入。</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3、经营收入：指事业单位在专业业务活动及其辅助活动之外开展非独立核算经营活动取得的收入。</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4、其他收入：指除上述“财政拨款收入”、“事业收入”、“经营收入”等以外的收入。</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6、上年结转：指以前年尚未完成、结转到本年按有关规定继续使用的资金。</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二、支出科目</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1、基本支出：是为保障其机构正常运转、完成日常工作任务而发生人员支出和公用支出。</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2、项目支出：是指在基本支出之外完成特定行政任务和事业发展目标所发生的支出。</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3、工资福利支出：反映单位开支的在职职工和编制外长期聘用人员的各类劳动报酬，以及为上述人员缴纳的各项社会保险费等。</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4、商品和服务支出：反映单位购买商品和服务的支出。</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5、对个人和家庭的补助：反映单位用于对个人和家庭的补助支出。</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三、“三公”经费科目</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1、因公出国（境）费用：反映单位公务出国（境）的国际旅费、国内城</w:t>
      </w:r>
      <w:r>
        <w:rPr>
          <w:rFonts w:hint="default" w:ascii="Times New Roman" w:hAnsi="Times New Roman" w:eastAsia="宋体" w:cs="Times New Roman"/>
          <w:color w:val="000000" w:themeColor="text1"/>
          <w:sz w:val="32"/>
          <w:szCs w:val="32"/>
          <w:highlight w:val="none"/>
          <w:lang w:eastAsia="zh-CN"/>
        </w:rPr>
        <w:t>市</w:t>
      </w:r>
      <w:r>
        <w:rPr>
          <w:rFonts w:hint="default" w:ascii="Times New Roman" w:hAnsi="Times New Roman" w:eastAsia="宋体" w:cs="Times New Roman"/>
          <w:color w:val="000000" w:themeColor="text1"/>
          <w:sz w:val="32"/>
          <w:szCs w:val="32"/>
          <w:highlight w:val="none"/>
        </w:rPr>
        <w:t>间交通费、住宿费、伙食费、培训费、公杂费等支出。</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2、公务接待费：反映单位按规定开支的各类公务接待（含外宾接待）费用。</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3、公务用车运行维护费：反映单位公务用车租用费、燃料费、维修费、过路过桥费、保险费、安全奖励费用等支出。</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lang w:eastAsia="zh-CN"/>
        </w:rPr>
        <w:t>四、</w:t>
      </w:r>
      <w:r>
        <w:rPr>
          <w:rFonts w:hint="default" w:ascii="Times New Roman" w:hAnsi="Times New Roman" w:eastAsia="宋体" w:cs="Times New Roman"/>
          <w:color w:val="000000" w:themeColor="text1"/>
          <w:sz w:val="32"/>
          <w:szCs w:val="32"/>
          <w:highlight w:val="none"/>
        </w:rPr>
        <w:t>机关运行费用</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机关运行经费指为保障本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pageBreakBefore w:val="0"/>
        <w:kinsoku/>
        <w:wordWrap/>
        <w:overflowPunct/>
        <w:topLinePunct w:val="0"/>
        <w:bidi w:val="0"/>
        <w:snapToGrid/>
        <w:jc w:val="both"/>
        <w:rPr>
          <w:rFonts w:hint="default" w:ascii="Times New Roman" w:hAnsi="Times New Roman" w:eastAsia="宋体" w:cs="Times New Roman"/>
          <w:sz w:val="32"/>
          <w:szCs w:val="3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r>
        <w:rPr>
          <w:rFonts w:hint="default" w:ascii="Times New Roman" w:hAnsi="Times New Roman" w:eastAsia="宋体" w:cs="Times New Roman"/>
          <w:b w:val="0"/>
          <w:bCs w:val="0"/>
          <w:sz w:val="72"/>
          <w:szCs w:val="72"/>
          <w:highlight w:val="none"/>
        </w:rPr>
        <w:t>第五部分</w:t>
      </w: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p>
    <w:p>
      <w:pPr>
        <w:keepNext w:val="0"/>
        <w:keepLines w:val="0"/>
        <w:pageBreakBefore w:val="0"/>
        <w:kinsoku/>
        <w:wordWrap/>
        <w:overflowPunct/>
        <w:topLinePunct w:val="0"/>
        <w:bidi w:val="0"/>
        <w:snapToGrid/>
        <w:jc w:val="center"/>
        <w:rPr>
          <w:rFonts w:hint="default" w:ascii="Times New Roman" w:hAnsi="Times New Roman" w:eastAsia="宋体" w:cs="Times New Roman"/>
          <w:b w:val="0"/>
          <w:bCs w:val="0"/>
          <w:sz w:val="72"/>
          <w:szCs w:val="72"/>
          <w:highlight w:val="none"/>
        </w:rPr>
      </w:pPr>
      <w:r>
        <w:rPr>
          <w:rFonts w:hint="default" w:ascii="Times New Roman" w:hAnsi="Times New Roman" w:eastAsia="宋体" w:cs="Times New Roman"/>
          <w:b w:val="0"/>
          <w:bCs w:val="0"/>
          <w:sz w:val="72"/>
          <w:szCs w:val="72"/>
          <w:highlight w:val="none"/>
        </w:rPr>
        <w:t>附件</w:t>
      </w: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p>
    <w:p>
      <w:pPr>
        <w:keepNext w:val="0"/>
        <w:keepLines w:val="0"/>
        <w:pageBreakBefore w:val="0"/>
        <w:kinsoku/>
        <w:wordWrap/>
        <w:overflowPunct/>
        <w:topLinePunct w:val="0"/>
        <w:bidi w:val="0"/>
        <w:snapToGrid/>
        <w:ind w:firstLine="640" w:firstLineChars="200"/>
        <w:jc w:val="center"/>
        <w:rPr>
          <w:rFonts w:hint="default" w:ascii="Times New Roman" w:hAnsi="Times New Roman" w:eastAsia="宋体" w:cs="Times New Roman"/>
          <w:b/>
          <w:color w:val="000000"/>
          <w:kern w:val="0"/>
          <w:sz w:val="32"/>
          <w:szCs w:val="32"/>
          <w:highlight w:val="none"/>
        </w:rPr>
      </w:pPr>
      <w:r>
        <w:rPr>
          <w:rFonts w:hint="default" w:ascii="Times New Roman" w:hAnsi="Times New Roman" w:eastAsia="宋体" w:cs="Times New Roman"/>
          <w:b/>
          <w:color w:val="000000"/>
          <w:kern w:val="0"/>
          <w:sz w:val="32"/>
          <w:szCs w:val="32"/>
          <w:highlight w:val="none"/>
        </w:rPr>
        <w:t>2021年度部门整体支出绩效评价报告</w:t>
      </w:r>
    </w:p>
    <w:p>
      <w:pPr>
        <w:pStyle w:val="2"/>
        <w:keepNext w:val="0"/>
        <w:keepLines w:val="0"/>
        <w:pageBreakBefore w:val="0"/>
        <w:kinsoku/>
        <w:wordWrap/>
        <w:overflowPunct/>
        <w:topLinePunct w:val="0"/>
        <w:bidi w:val="0"/>
        <w:snapToGrid/>
        <w:ind w:firstLine="640" w:firstLineChars="200"/>
        <w:rPr>
          <w:rFonts w:hint="default" w:ascii="Times New Roman" w:hAnsi="Times New Roman" w:eastAsia="宋体" w:cs="Times New Roman"/>
          <w:sz w:val="32"/>
          <w:szCs w:val="32"/>
          <w:highlight w:val="none"/>
        </w:rPr>
      </w:pP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一、单位基本情况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(一)机构组成</w:t>
      </w:r>
    </w:p>
    <w:p>
      <w:pPr>
        <w:keepNext w:val="0"/>
        <w:keepLines w:val="0"/>
        <w:pageBreakBefore w:val="0"/>
        <w:shd w:val="clear" w:color="auto" w:fill="FFFFFF"/>
        <w:kinsoku/>
        <w:wordWrap/>
        <w:overflowPunct/>
        <w:topLinePunct w:val="0"/>
        <w:bidi w:val="0"/>
        <w:snapToGrid/>
        <w:spacing w:line="600" w:lineRule="atLeast"/>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祁阳市公安局内设机构包括：</w:t>
      </w:r>
      <w:r>
        <w:rPr>
          <w:rFonts w:hint="default" w:ascii="Times New Roman" w:hAnsi="Times New Roman" w:eastAsia="宋体" w:cs="Times New Roman"/>
          <w:kern w:val="2"/>
          <w:sz w:val="32"/>
          <w:szCs w:val="32"/>
          <w:highlight w:val="none"/>
          <w:lang w:val="en-US" w:eastAsia="zh-CN" w:bidi="ar-SA"/>
        </w:rPr>
        <w:t>内设48个下属单位，其中刑侦大队、治安大队等19个实战大队，政工监督室、警务保障室等2个股室，民生路、黎阳路等4个城区派出所，白水、观音滩等21个农村派出所，所属单位2个:看守所、拘留所。</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(二)机构职能</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（一）贯彻国家有关公安的工作方针，政策和法律、法规，起草全市公安规范性文件；指导、监督、检查全市公安工作。</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（二）掌握影响稳定、危害国内安危和社会治安的情况，分析实时，拟定对策。</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（三）承办案件的侦查工作，协调、处置重大案件（事件）、治安事故和骚乱。</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（四）依法查处危害社会治安秩序的行为；依法管理户口、居民身份证、枪支弹药、危险爆炸物品、特种行业和公共场所等工作。</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（五）负责全市处境、入境和外国人在境内居留、旅行的有关管理工作。</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（六）指导、监督全市公安机关维护全</w:t>
      </w:r>
      <w:r>
        <w:rPr>
          <w:rFonts w:hint="default" w:ascii="Times New Roman" w:hAnsi="Times New Roman" w:eastAsia="宋体" w:cs="Times New Roman"/>
          <w:color w:val="000000" w:themeColor="text1"/>
          <w:sz w:val="32"/>
          <w:szCs w:val="32"/>
          <w:highlight w:val="none"/>
          <w:lang w:eastAsia="zh-CN"/>
        </w:rPr>
        <w:t>市</w:t>
      </w:r>
      <w:r>
        <w:rPr>
          <w:rFonts w:hint="default" w:ascii="Times New Roman" w:hAnsi="Times New Roman" w:eastAsia="宋体" w:cs="Times New Roman"/>
          <w:color w:val="000000" w:themeColor="text1"/>
          <w:sz w:val="32"/>
          <w:szCs w:val="32"/>
          <w:highlight w:val="none"/>
        </w:rPr>
        <w:t>道路交通安全、交通秩序以及机动车辆、驾驶员管理工作；指导、参与重大交通事故的处查；管理市公安局交通警察大队。</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（七）指导、监督全市公安机关对国家机关、社会团体、企事业单位和重点建设工程的治安保卫工作以及群众性治安保卫组织的治安防范工作。</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（八）负责全市公共信息网络的安全监督、通信工作和缉毒工作。依法承担的执行刑罚和监督、考察工作；直接管理看守所、治安拘留所、戒毒教育所。</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lang w:val="en-US" w:eastAsia="zh-CN"/>
        </w:rPr>
      </w:pPr>
      <w:r>
        <w:rPr>
          <w:rFonts w:hint="default" w:ascii="Times New Roman" w:hAnsi="Times New Roman" w:eastAsia="宋体" w:cs="Times New Roman"/>
          <w:color w:val="000000" w:themeColor="text1"/>
          <w:sz w:val="32"/>
          <w:szCs w:val="32"/>
          <w:highlight w:val="none"/>
        </w:rPr>
        <w:t xml:space="preserve"> </w:t>
      </w:r>
      <w:r>
        <w:rPr>
          <w:rFonts w:hint="default" w:ascii="Times New Roman" w:hAnsi="Times New Roman" w:eastAsia="宋体" w:cs="Times New Roman"/>
          <w:color w:val="000000" w:themeColor="text1"/>
          <w:sz w:val="32"/>
          <w:szCs w:val="32"/>
          <w:highlight w:val="none"/>
          <w:lang w:val="en-US" w:eastAsia="zh-CN"/>
        </w:rPr>
        <w:t>二、一般公共预算支出情况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2021年度财政拨款支出13582.88万元，主要用于以下方面：公共安全（204）支出12280.54万元，占90.41%；社会保障和就业（208）支出497.03万元，占3.66%；卫生健康（210）支出199.97万元，占1.47%；农林水（213）支出300万元，占2.21%；住房保障（221）支出295.34万元，占2.17%；粮油物资储备（222）支出10万元，占0.07%。</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 xml:space="preserve"> (一)、基本支出情况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2021年度财政拨款基本支出8424.56万元，人员经费7288.95万元，包括基本工资、津贴补贴、奖金、社会保障缴费、绩效工资、其他工资福利支出、抚恤金、生活补助，其他对个人和家庭的补助支出；公用经费1135.62万元，包括办公费、印刷费、咨询费、水费、电费、邮电费、差旅费、会议费、培训费、公务接待费、专用材料费、专用燃料费、劳务费、工会经费、福利费、公务用车运行维护费、其他交通费、其他商品和服务支出。</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（二）项目支出情况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2021年本部门项目支出5158.31万元，主要是部门为完成特定行政工作任务或事业发展目标而发生的支出，包括有关事业发展专项、专项业务费。</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公共安全支出一般行政管理事务5158.31万元，占项目支出100%，主要用于公共安全支出一般行政管理事务方面；</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三、政府性基金预算支出情况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2021年度政府性基金预算支出0万元；其中基本支出0万元，项目支出0万元。</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四、国有资本经营预算支出情况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2021年度国有资本经营预算支出0万元；其中基本支出0万元，项目支出0万元。</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五、部门整体支出绩效情况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(一)部门预算管理。</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1.预算编制情况。严格按照预算管理的相关规定和市级部门预算编制要求</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 xml:space="preserve"> 科学合理编制次年项目预算</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按时完成了2021年预算编制工作。2021年祁阳市公安局预算总额为13582.88万元，其中：当年财政拨款收入13582.88万元。相应安排支出预算13582.88万元，其中：人员经费支出7288.95万元，公用经费支出1135.62万元，项目支出是5158.31万元。</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2.执行管理情况。一是行政运行保障情况。我单位严格按照年初预算安排</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严格执行中央八项规定</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厉行节约规范使用预算资金。收入上，严格执行 "收支两条线"管理制度，按规定使用非税票据并直接缴入国库，无隐瞒收入和其他违反国家收费管理规定的行为。在支出管理中</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 xml:space="preserve"> 认真执行国库集中支付、政府采购、公务卡报销、重点工作和大额支付上会集体决策等相关财务管理制度。认真做好每月与银行、财政局国库股的对账工作，加强动态监控，保障机关各项工作顺利开展。</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二是“三公”经费预算执行情况。我办严格按照中央省市的相关文件要求</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 xml:space="preserve"> 严控“三公经费”支出。2021年因公出国（境）经费支出0万元；2021年公务用车购置及运行维护费支出336.83万元，完成预算99.07%；公务接待费支出13万元，完成预算86.67%，主要原因是贯彻执行中央八项规定和省委省政府十项规定，坚决杜绝奢侈浪费，有效控制公务接待费用。</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(二)结果应用情况。</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确保各项工作有序运转。</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2.加强政府采购管理。严格按照《政府采购法》和《政府采购法实施条例》等相关管理规定，根据省采购目录和财政部门预算管理要求，编制政府采购计划，将采购项目全部纳入部门预算管理。</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3.加强固定资产管理。严格按照</w:t>
      </w:r>
      <w:r>
        <w:rPr>
          <w:rFonts w:hint="default" w:ascii="Times New Roman" w:hAnsi="Times New Roman" w:eastAsia="宋体" w:cs="Times New Roman"/>
          <w:color w:val="000000" w:themeColor="text1"/>
          <w:sz w:val="32"/>
          <w:szCs w:val="32"/>
          <w:highlight w:val="none"/>
          <w:lang w:eastAsia="zh-CN"/>
        </w:rPr>
        <w:t>市</w:t>
      </w:r>
      <w:r>
        <w:rPr>
          <w:rFonts w:hint="default" w:ascii="Times New Roman" w:hAnsi="Times New Roman" w:eastAsia="宋体" w:cs="Times New Roman"/>
          <w:color w:val="000000" w:themeColor="text1"/>
          <w:sz w:val="32"/>
          <w:szCs w:val="32"/>
          <w:highlight w:val="none"/>
        </w:rPr>
        <w:t>财政局财政资产管理家具配置标准、新增资产配置流程、处置审批制度等相关文件要求，做好固定资产采买、报废、调整等相关管理工作。部门资产录入固定资产管理系统</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建资产管理卡片</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 xml:space="preserve"> 及时更新资产管理信息系统数据，做到账实相符、账卡相符。</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六、存在的问题及原因分析</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2021年，我办严格按照年初预算批复认真组织实施</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 xml:space="preserve"> 严格执行财经纪律相关管理规定，做到各项收支安排使用符合事业发展计划和财政政策的要求，确保了单位正常运行，较好地完成了2021年部门预算编制和决算汇总工作</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 xml:space="preserve"> 2021年目标任务基本完成，预算执行情况较好。但仍存在预算编制不够完善</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绩效管理工作有待加强等问题。</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color w:val="000000" w:themeColor="text1"/>
          <w:sz w:val="32"/>
          <w:szCs w:val="32"/>
          <w:highlight w:val="none"/>
        </w:rPr>
      </w:pPr>
      <w:r>
        <w:rPr>
          <w:rFonts w:hint="default" w:ascii="Times New Roman" w:hAnsi="Times New Roman" w:eastAsia="宋体" w:cs="Times New Roman"/>
          <w:color w:val="000000" w:themeColor="text1"/>
          <w:sz w:val="32"/>
          <w:szCs w:val="32"/>
          <w:highlight w:val="none"/>
        </w:rPr>
        <w:t>七、下一步改进措施</w:t>
      </w:r>
    </w:p>
    <w:p>
      <w:pPr>
        <w:pStyle w:val="8"/>
        <w:keepNext w:val="0"/>
        <w:keepLines w:val="0"/>
        <w:pageBreakBefore w:val="0"/>
        <w:shd w:val="clear" w:color="auto" w:fill="FFFFFF"/>
        <w:kinsoku/>
        <w:wordWrap/>
        <w:overflowPunct/>
        <w:topLinePunct w:val="0"/>
        <w:bidi w:val="0"/>
        <w:snapToGrid/>
        <w:spacing w:before="0" w:beforeAutospacing="0" w:after="0" w:afterAutospacing="0" w:line="480" w:lineRule="auto"/>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color w:val="000000" w:themeColor="text1"/>
          <w:sz w:val="32"/>
          <w:szCs w:val="32"/>
          <w:highlight w:val="none"/>
        </w:rPr>
        <w:t>在今后的工作中</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我局按照新《预算法》的要求，加强预算编制的科学性、合理性</w:t>
      </w:r>
      <w:r>
        <w:rPr>
          <w:rFonts w:hint="default" w:ascii="Times New Roman" w:hAnsi="Times New Roman" w:eastAsia="宋体" w:cs="Times New Roman"/>
          <w:color w:val="000000" w:themeColor="text1"/>
          <w:sz w:val="32"/>
          <w:szCs w:val="32"/>
          <w:highlight w:val="none"/>
          <w:lang w:eastAsia="zh-CN"/>
        </w:rPr>
        <w:t>，</w:t>
      </w:r>
      <w:r>
        <w:rPr>
          <w:rFonts w:hint="default" w:ascii="Times New Roman" w:hAnsi="Times New Roman" w:eastAsia="宋体" w:cs="Times New Roman"/>
          <w:color w:val="000000" w:themeColor="text1"/>
          <w:sz w:val="32"/>
          <w:szCs w:val="32"/>
          <w:highlight w:val="none"/>
        </w:rPr>
        <w:t>让预算编制更贴合实际，严格按照批复预算执行，加强预算绩效管理，增强预算约束力，用好用活各类财政资金，提高财政资金的使用效益。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ZWQ5YWEyOWZkZDYzYWYzNjliMzQ5M2Q2YzQzOGYifQ=="/>
  </w:docVars>
  <w:rsids>
    <w:rsidRoot w:val="004506F9"/>
    <w:rsid w:val="000146A8"/>
    <w:rsid w:val="0002229B"/>
    <w:rsid w:val="000273BD"/>
    <w:rsid w:val="000415B7"/>
    <w:rsid w:val="00041E3F"/>
    <w:rsid w:val="00055DAA"/>
    <w:rsid w:val="00061F7B"/>
    <w:rsid w:val="000658A3"/>
    <w:rsid w:val="00074155"/>
    <w:rsid w:val="000873EF"/>
    <w:rsid w:val="000A3F69"/>
    <w:rsid w:val="000C2255"/>
    <w:rsid w:val="000C4371"/>
    <w:rsid w:val="000D0A27"/>
    <w:rsid w:val="00103957"/>
    <w:rsid w:val="00124A1F"/>
    <w:rsid w:val="00152C6D"/>
    <w:rsid w:val="00162D39"/>
    <w:rsid w:val="001678BD"/>
    <w:rsid w:val="00174F4E"/>
    <w:rsid w:val="00182373"/>
    <w:rsid w:val="0019197A"/>
    <w:rsid w:val="001A67DB"/>
    <w:rsid w:val="001C043F"/>
    <w:rsid w:val="001C3C29"/>
    <w:rsid w:val="001D51E5"/>
    <w:rsid w:val="001E080D"/>
    <w:rsid w:val="001E53D0"/>
    <w:rsid w:val="001E7264"/>
    <w:rsid w:val="001F0C3B"/>
    <w:rsid w:val="001F5145"/>
    <w:rsid w:val="00202C14"/>
    <w:rsid w:val="00202C82"/>
    <w:rsid w:val="00214427"/>
    <w:rsid w:val="00215856"/>
    <w:rsid w:val="00226CB7"/>
    <w:rsid w:val="002379AB"/>
    <w:rsid w:val="00264552"/>
    <w:rsid w:val="00264EF9"/>
    <w:rsid w:val="00265724"/>
    <w:rsid w:val="0027426B"/>
    <w:rsid w:val="002B2407"/>
    <w:rsid w:val="002D0B53"/>
    <w:rsid w:val="002D6582"/>
    <w:rsid w:val="002E0A30"/>
    <w:rsid w:val="00306285"/>
    <w:rsid w:val="003130C4"/>
    <w:rsid w:val="00316C4B"/>
    <w:rsid w:val="0032192B"/>
    <w:rsid w:val="00344D34"/>
    <w:rsid w:val="00345F68"/>
    <w:rsid w:val="003479BD"/>
    <w:rsid w:val="0037197D"/>
    <w:rsid w:val="003768D5"/>
    <w:rsid w:val="003A3824"/>
    <w:rsid w:val="003C4197"/>
    <w:rsid w:val="003C47E6"/>
    <w:rsid w:val="003C4FC2"/>
    <w:rsid w:val="003C5601"/>
    <w:rsid w:val="003D1CAE"/>
    <w:rsid w:val="003E2331"/>
    <w:rsid w:val="0041643B"/>
    <w:rsid w:val="00416E61"/>
    <w:rsid w:val="0042790C"/>
    <w:rsid w:val="004506F9"/>
    <w:rsid w:val="004717A2"/>
    <w:rsid w:val="00473DF3"/>
    <w:rsid w:val="00487911"/>
    <w:rsid w:val="00491741"/>
    <w:rsid w:val="004B0CEE"/>
    <w:rsid w:val="00500B0F"/>
    <w:rsid w:val="00500E5F"/>
    <w:rsid w:val="005122EF"/>
    <w:rsid w:val="0051441A"/>
    <w:rsid w:val="00517C33"/>
    <w:rsid w:val="00517D5F"/>
    <w:rsid w:val="00521AF2"/>
    <w:rsid w:val="00523644"/>
    <w:rsid w:val="0054069E"/>
    <w:rsid w:val="00541B87"/>
    <w:rsid w:val="00544866"/>
    <w:rsid w:val="00574D19"/>
    <w:rsid w:val="005767CC"/>
    <w:rsid w:val="00590D9F"/>
    <w:rsid w:val="00591B38"/>
    <w:rsid w:val="00595267"/>
    <w:rsid w:val="00595D26"/>
    <w:rsid w:val="005A74E6"/>
    <w:rsid w:val="005B404E"/>
    <w:rsid w:val="005D4D55"/>
    <w:rsid w:val="005E2CFB"/>
    <w:rsid w:val="005F2103"/>
    <w:rsid w:val="005F3D1C"/>
    <w:rsid w:val="0062378F"/>
    <w:rsid w:val="006306CF"/>
    <w:rsid w:val="00641842"/>
    <w:rsid w:val="00644948"/>
    <w:rsid w:val="00651EEC"/>
    <w:rsid w:val="00656A7A"/>
    <w:rsid w:val="00686673"/>
    <w:rsid w:val="00691E8C"/>
    <w:rsid w:val="006A22C4"/>
    <w:rsid w:val="006A348B"/>
    <w:rsid w:val="006A351B"/>
    <w:rsid w:val="006B0422"/>
    <w:rsid w:val="006C1B53"/>
    <w:rsid w:val="006D63AC"/>
    <w:rsid w:val="006D7730"/>
    <w:rsid w:val="006E2761"/>
    <w:rsid w:val="006E5284"/>
    <w:rsid w:val="006F3EB5"/>
    <w:rsid w:val="00702E34"/>
    <w:rsid w:val="00704395"/>
    <w:rsid w:val="00706A6E"/>
    <w:rsid w:val="00710FE7"/>
    <w:rsid w:val="00717621"/>
    <w:rsid w:val="00720FF1"/>
    <w:rsid w:val="00727A53"/>
    <w:rsid w:val="00776A92"/>
    <w:rsid w:val="00787B42"/>
    <w:rsid w:val="007A7909"/>
    <w:rsid w:val="007C4539"/>
    <w:rsid w:val="007C4EDA"/>
    <w:rsid w:val="007F3657"/>
    <w:rsid w:val="00812C1A"/>
    <w:rsid w:val="00812ED5"/>
    <w:rsid w:val="00825493"/>
    <w:rsid w:val="008277D9"/>
    <w:rsid w:val="00841709"/>
    <w:rsid w:val="0084478C"/>
    <w:rsid w:val="0086638C"/>
    <w:rsid w:val="008958F7"/>
    <w:rsid w:val="008A3E8D"/>
    <w:rsid w:val="008B7E0D"/>
    <w:rsid w:val="008C48E2"/>
    <w:rsid w:val="00921216"/>
    <w:rsid w:val="0092179D"/>
    <w:rsid w:val="009237C4"/>
    <w:rsid w:val="00931B3C"/>
    <w:rsid w:val="00944C48"/>
    <w:rsid w:val="00950252"/>
    <w:rsid w:val="00967F5D"/>
    <w:rsid w:val="009A0F95"/>
    <w:rsid w:val="009B3ADF"/>
    <w:rsid w:val="009C3B52"/>
    <w:rsid w:val="009C69D6"/>
    <w:rsid w:val="009E229E"/>
    <w:rsid w:val="009E6817"/>
    <w:rsid w:val="009E6E9A"/>
    <w:rsid w:val="00A01D2B"/>
    <w:rsid w:val="00A0431B"/>
    <w:rsid w:val="00A222BE"/>
    <w:rsid w:val="00A26EFB"/>
    <w:rsid w:val="00A27167"/>
    <w:rsid w:val="00A325C9"/>
    <w:rsid w:val="00A42218"/>
    <w:rsid w:val="00A509FB"/>
    <w:rsid w:val="00A70249"/>
    <w:rsid w:val="00A70B02"/>
    <w:rsid w:val="00A71D9F"/>
    <w:rsid w:val="00A92E9F"/>
    <w:rsid w:val="00AA468D"/>
    <w:rsid w:val="00AD08A5"/>
    <w:rsid w:val="00AD3CBD"/>
    <w:rsid w:val="00AE1B66"/>
    <w:rsid w:val="00AF3DF5"/>
    <w:rsid w:val="00AF4A9E"/>
    <w:rsid w:val="00AF4CE3"/>
    <w:rsid w:val="00B33BEA"/>
    <w:rsid w:val="00B35FAA"/>
    <w:rsid w:val="00B57C9F"/>
    <w:rsid w:val="00B63572"/>
    <w:rsid w:val="00B845B3"/>
    <w:rsid w:val="00B85D8B"/>
    <w:rsid w:val="00B96FA7"/>
    <w:rsid w:val="00BB4A40"/>
    <w:rsid w:val="00BC415A"/>
    <w:rsid w:val="00BC51DB"/>
    <w:rsid w:val="00BD6C3E"/>
    <w:rsid w:val="00BE3674"/>
    <w:rsid w:val="00BF1D4B"/>
    <w:rsid w:val="00C01FCC"/>
    <w:rsid w:val="00C10681"/>
    <w:rsid w:val="00C255A1"/>
    <w:rsid w:val="00C3049A"/>
    <w:rsid w:val="00C31B1E"/>
    <w:rsid w:val="00C729E8"/>
    <w:rsid w:val="00C733B6"/>
    <w:rsid w:val="00C754D5"/>
    <w:rsid w:val="00C77645"/>
    <w:rsid w:val="00CA4CD4"/>
    <w:rsid w:val="00CE04C3"/>
    <w:rsid w:val="00CE76A0"/>
    <w:rsid w:val="00D13351"/>
    <w:rsid w:val="00D148C6"/>
    <w:rsid w:val="00D1577E"/>
    <w:rsid w:val="00D17A8A"/>
    <w:rsid w:val="00D415BA"/>
    <w:rsid w:val="00D63780"/>
    <w:rsid w:val="00D644EE"/>
    <w:rsid w:val="00D75489"/>
    <w:rsid w:val="00DB4CAD"/>
    <w:rsid w:val="00DD06FF"/>
    <w:rsid w:val="00DD5FE9"/>
    <w:rsid w:val="00DF323B"/>
    <w:rsid w:val="00E00C7A"/>
    <w:rsid w:val="00E0611C"/>
    <w:rsid w:val="00E209CF"/>
    <w:rsid w:val="00E3231C"/>
    <w:rsid w:val="00E37D6C"/>
    <w:rsid w:val="00E55B68"/>
    <w:rsid w:val="00E61A73"/>
    <w:rsid w:val="00E67BE6"/>
    <w:rsid w:val="00E71278"/>
    <w:rsid w:val="00E8683C"/>
    <w:rsid w:val="00EA2B72"/>
    <w:rsid w:val="00F74360"/>
    <w:rsid w:val="00F779C4"/>
    <w:rsid w:val="00FA7F75"/>
    <w:rsid w:val="00FB462F"/>
    <w:rsid w:val="00FC58EB"/>
    <w:rsid w:val="00FE16FA"/>
    <w:rsid w:val="00FE328A"/>
    <w:rsid w:val="00FE6269"/>
    <w:rsid w:val="00FF5CD6"/>
    <w:rsid w:val="02952085"/>
    <w:rsid w:val="02FB2816"/>
    <w:rsid w:val="04ED0018"/>
    <w:rsid w:val="0520214C"/>
    <w:rsid w:val="0536375E"/>
    <w:rsid w:val="058261C7"/>
    <w:rsid w:val="05AB2D7A"/>
    <w:rsid w:val="093C7BB8"/>
    <w:rsid w:val="0A287A2F"/>
    <w:rsid w:val="0A5C305D"/>
    <w:rsid w:val="0D15428C"/>
    <w:rsid w:val="0D7111BC"/>
    <w:rsid w:val="0D94369E"/>
    <w:rsid w:val="10B45649"/>
    <w:rsid w:val="1248718E"/>
    <w:rsid w:val="15695ACC"/>
    <w:rsid w:val="15DB629E"/>
    <w:rsid w:val="16F7456A"/>
    <w:rsid w:val="181A629A"/>
    <w:rsid w:val="1A4B59CE"/>
    <w:rsid w:val="1AA841F3"/>
    <w:rsid w:val="1B7A57C1"/>
    <w:rsid w:val="1C5803F8"/>
    <w:rsid w:val="1CBE2756"/>
    <w:rsid w:val="1D2D5631"/>
    <w:rsid w:val="1D4D3C33"/>
    <w:rsid w:val="1DEF77E3"/>
    <w:rsid w:val="1F07062D"/>
    <w:rsid w:val="1FAD7985"/>
    <w:rsid w:val="202A7E91"/>
    <w:rsid w:val="20BD7702"/>
    <w:rsid w:val="20D562DD"/>
    <w:rsid w:val="21935455"/>
    <w:rsid w:val="226C7F49"/>
    <w:rsid w:val="2351103F"/>
    <w:rsid w:val="2436731B"/>
    <w:rsid w:val="250E67D7"/>
    <w:rsid w:val="2680461D"/>
    <w:rsid w:val="26E92C5B"/>
    <w:rsid w:val="29F32D75"/>
    <w:rsid w:val="2B0F15F7"/>
    <w:rsid w:val="2C5A0151"/>
    <w:rsid w:val="2E992581"/>
    <w:rsid w:val="2F384495"/>
    <w:rsid w:val="31BF1AA9"/>
    <w:rsid w:val="34E90C97"/>
    <w:rsid w:val="34F30AB6"/>
    <w:rsid w:val="350C5A51"/>
    <w:rsid w:val="3513157E"/>
    <w:rsid w:val="35A1360D"/>
    <w:rsid w:val="3601278A"/>
    <w:rsid w:val="36694181"/>
    <w:rsid w:val="36BF18BA"/>
    <w:rsid w:val="36EB2C9D"/>
    <w:rsid w:val="378A731C"/>
    <w:rsid w:val="379A2637"/>
    <w:rsid w:val="38167642"/>
    <w:rsid w:val="382E0A5C"/>
    <w:rsid w:val="383D6974"/>
    <w:rsid w:val="385A47D9"/>
    <w:rsid w:val="3B40257B"/>
    <w:rsid w:val="3BBB2A6F"/>
    <w:rsid w:val="3C0637C5"/>
    <w:rsid w:val="3E5C2D45"/>
    <w:rsid w:val="3ECC729E"/>
    <w:rsid w:val="3EF35F56"/>
    <w:rsid w:val="3F456695"/>
    <w:rsid w:val="41C826C6"/>
    <w:rsid w:val="41DF5F17"/>
    <w:rsid w:val="424C0814"/>
    <w:rsid w:val="436E048A"/>
    <w:rsid w:val="43F71D59"/>
    <w:rsid w:val="457D6572"/>
    <w:rsid w:val="45B80B4C"/>
    <w:rsid w:val="45DA175F"/>
    <w:rsid w:val="478758D4"/>
    <w:rsid w:val="4B3612A5"/>
    <w:rsid w:val="4C7330C7"/>
    <w:rsid w:val="4C913CD4"/>
    <w:rsid w:val="4D311C9A"/>
    <w:rsid w:val="510F569D"/>
    <w:rsid w:val="52A410B3"/>
    <w:rsid w:val="534741B0"/>
    <w:rsid w:val="538E7ED0"/>
    <w:rsid w:val="555111B5"/>
    <w:rsid w:val="566A3CE9"/>
    <w:rsid w:val="56E7074A"/>
    <w:rsid w:val="57405985"/>
    <w:rsid w:val="575064EA"/>
    <w:rsid w:val="57597E5D"/>
    <w:rsid w:val="57AE108B"/>
    <w:rsid w:val="58E00FCC"/>
    <w:rsid w:val="595E6596"/>
    <w:rsid w:val="596926C2"/>
    <w:rsid w:val="5B092B55"/>
    <w:rsid w:val="5BF603EF"/>
    <w:rsid w:val="5C1B3A22"/>
    <w:rsid w:val="5C210F78"/>
    <w:rsid w:val="5C2634BB"/>
    <w:rsid w:val="5C3D63E1"/>
    <w:rsid w:val="5D215AFF"/>
    <w:rsid w:val="5D235C93"/>
    <w:rsid w:val="5DC015CE"/>
    <w:rsid w:val="5EA6065D"/>
    <w:rsid w:val="5EEF0AD1"/>
    <w:rsid w:val="5F530EF2"/>
    <w:rsid w:val="5F925C3F"/>
    <w:rsid w:val="5FEE7E30"/>
    <w:rsid w:val="604F3614"/>
    <w:rsid w:val="60D0204F"/>
    <w:rsid w:val="615F55F8"/>
    <w:rsid w:val="617B314A"/>
    <w:rsid w:val="62CB09BA"/>
    <w:rsid w:val="65E16585"/>
    <w:rsid w:val="67150B8E"/>
    <w:rsid w:val="67C301CF"/>
    <w:rsid w:val="684D4FFD"/>
    <w:rsid w:val="68C901BB"/>
    <w:rsid w:val="68E85E7D"/>
    <w:rsid w:val="69B5397E"/>
    <w:rsid w:val="6A460108"/>
    <w:rsid w:val="6A724C09"/>
    <w:rsid w:val="6C116020"/>
    <w:rsid w:val="6D8F4B19"/>
    <w:rsid w:val="6DA25E5C"/>
    <w:rsid w:val="6E6605AA"/>
    <w:rsid w:val="6F113099"/>
    <w:rsid w:val="6F3A4760"/>
    <w:rsid w:val="723804A0"/>
    <w:rsid w:val="72B94E61"/>
    <w:rsid w:val="731F76D5"/>
    <w:rsid w:val="73775FE8"/>
    <w:rsid w:val="74AA051A"/>
    <w:rsid w:val="74F21BAC"/>
    <w:rsid w:val="75950C25"/>
    <w:rsid w:val="75DC672D"/>
    <w:rsid w:val="78A16BF5"/>
    <w:rsid w:val="78F54A46"/>
    <w:rsid w:val="794A106A"/>
    <w:rsid w:val="7B976652"/>
    <w:rsid w:val="7B9B176D"/>
    <w:rsid w:val="7BB466DC"/>
    <w:rsid w:val="7BD965DC"/>
    <w:rsid w:val="7C3D6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CD774-BE67-48A8-864A-B9370D5F8C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15392</Words>
  <Characters>18544</Characters>
  <Lines>152</Lines>
  <Paragraphs>42</Paragraphs>
  <TotalTime>82</TotalTime>
  <ScaleCrop>false</ScaleCrop>
  <LinksUpToDate>false</LinksUpToDate>
  <CharactersWithSpaces>19714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2022-10-13T02:41:00Z</dcterms:created>
  <dc:creator>李航 null</dc:creator>
  <cp:lastModifiedBy>Administrator</cp:lastModifiedBy>
  <cp:lastPrinted>2022-07-27T12:55:00Z</cp:lastPrinted>
  <dcterms:modified xsi:type="dcterms:W3CDTF">2023-09-26T07:40:59Z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ACF008FE0C9D485997B55FD30D80E798</vt:lpwstr>
  </property>
</Properties>
</file>