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hint="default" w:ascii="Times New Roman" w:hAnsi="Times New Roman" w:eastAsia="仿宋_GB2312" w:cs="Times New Roman"/>
          <w:sz w:val="56"/>
          <w:szCs w:val="56"/>
        </w:rPr>
      </w:pPr>
    </w:p>
    <w:p>
      <w:pPr>
        <w:pStyle w:val="14"/>
        <w:jc w:val="center"/>
        <w:rPr>
          <w:rFonts w:hint="default" w:ascii="Times New Roman" w:hAnsi="Times New Roman" w:eastAsia="仿宋_GB2312" w:cs="Times New Roman"/>
          <w:sz w:val="56"/>
          <w:szCs w:val="56"/>
        </w:rPr>
      </w:pPr>
    </w:p>
    <w:p>
      <w:pPr>
        <w:pStyle w:val="14"/>
        <w:jc w:val="center"/>
        <w:rPr>
          <w:rFonts w:hint="default" w:ascii="Times New Roman" w:hAnsi="Times New Roman" w:eastAsia="仿宋_GB2312" w:cs="Times New Roman"/>
          <w:sz w:val="84"/>
          <w:szCs w:val="84"/>
        </w:rPr>
      </w:pPr>
    </w:p>
    <w:p>
      <w:pPr>
        <w:pStyle w:val="14"/>
        <w:jc w:val="center"/>
        <w:rPr>
          <w:rFonts w:hint="default" w:ascii="Times New Roman" w:hAnsi="Times New Roman" w:eastAsia="仿宋_GB2312" w:cs="Times New Roman"/>
          <w:sz w:val="84"/>
          <w:szCs w:val="84"/>
        </w:rPr>
      </w:pPr>
    </w:p>
    <w:p>
      <w:pPr>
        <w:pStyle w:val="14"/>
        <w:jc w:val="center"/>
        <w:rPr>
          <w:rFonts w:hint="default" w:ascii="Times New Roman" w:hAnsi="Times New Roman" w:eastAsia="仿宋_GB2312" w:cs="Times New Roman"/>
          <w:sz w:val="84"/>
          <w:szCs w:val="84"/>
        </w:rPr>
      </w:pPr>
      <w:r>
        <w:rPr>
          <w:rFonts w:hint="default" w:ascii="Times New Roman" w:hAnsi="Times New Roman" w:eastAsia="仿宋_GB2312" w:cs="Times New Roman"/>
          <w:sz w:val="84"/>
          <w:szCs w:val="84"/>
        </w:rPr>
        <w:t>2021年度</w:t>
      </w:r>
    </w:p>
    <w:p>
      <w:pPr>
        <w:pStyle w:val="14"/>
        <w:jc w:val="center"/>
        <w:rPr>
          <w:rFonts w:hint="default" w:ascii="Times New Roman" w:hAnsi="Times New Roman" w:eastAsia="仿宋_GB2312" w:cs="Times New Roman"/>
          <w:sz w:val="84"/>
          <w:szCs w:val="84"/>
        </w:rPr>
      </w:pPr>
      <w:r>
        <w:rPr>
          <w:rFonts w:hint="default" w:ascii="Times New Roman" w:hAnsi="Times New Roman" w:eastAsia="仿宋_GB2312" w:cs="Times New Roman"/>
          <w:sz w:val="84"/>
          <w:szCs w:val="84"/>
        </w:rPr>
        <w:t>祁阳市委办公室部门决算</w:t>
      </w:r>
    </w:p>
    <w:p>
      <w:pPr>
        <w:pStyle w:val="14"/>
        <w:jc w:val="center"/>
        <w:rPr>
          <w:rFonts w:hint="default" w:ascii="Times New Roman" w:hAnsi="Times New Roman" w:eastAsia="仿宋_GB2312" w:cs="Times New Roman"/>
          <w:b/>
          <w:sz w:val="52"/>
          <w:szCs w:val="52"/>
        </w:rPr>
      </w:pPr>
    </w:p>
    <w:p>
      <w:pPr>
        <w:pStyle w:val="14"/>
        <w:jc w:val="center"/>
        <w:rPr>
          <w:rFonts w:hint="default" w:ascii="Times New Roman" w:hAnsi="Times New Roman" w:eastAsia="仿宋_GB2312" w:cs="Times New Roman"/>
          <w:sz w:val="56"/>
          <w:szCs w:val="56"/>
        </w:rPr>
      </w:pPr>
    </w:p>
    <w:p>
      <w:pPr>
        <w:pStyle w:val="14"/>
        <w:jc w:val="center"/>
        <w:rPr>
          <w:rFonts w:hint="default" w:ascii="Times New Roman" w:hAnsi="Times New Roman" w:eastAsia="仿宋_GB2312" w:cs="Times New Roman"/>
          <w:sz w:val="56"/>
          <w:szCs w:val="56"/>
        </w:rPr>
      </w:pPr>
    </w:p>
    <w:p>
      <w:pPr>
        <w:pStyle w:val="14"/>
        <w:jc w:val="center"/>
        <w:rPr>
          <w:rFonts w:hint="default" w:ascii="Times New Roman" w:hAnsi="Times New Roman" w:eastAsia="仿宋_GB2312" w:cs="Times New Roman"/>
          <w:sz w:val="56"/>
          <w:szCs w:val="56"/>
        </w:rPr>
      </w:pPr>
    </w:p>
    <w:p>
      <w:pPr>
        <w:pStyle w:val="14"/>
        <w:jc w:val="center"/>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32"/>
          <w:szCs w:val="32"/>
        </w:rPr>
      </w:pPr>
    </w:p>
    <w:p>
      <w:pPr>
        <w:pStyle w:val="14"/>
        <w:spacing w:line="540" w:lineRule="exact"/>
        <w:jc w:val="center"/>
        <w:rPr>
          <w:rFonts w:hint="default" w:ascii="Times New Roman" w:hAnsi="Times New Roman" w:eastAsia="仿宋_GB2312" w:cs="Times New Roman"/>
          <w:sz w:val="56"/>
          <w:szCs w:val="56"/>
        </w:rPr>
      </w:pPr>
    </w:p>
    <w:p>
      <w:pPr>
        <w:pStyle w:val="14"/>
        <w:spacing w:line="500" w:lineRule="exact"/>
        <w:jc w:val="center"/>
        <w:rPr>
          <w:rFonts w:hint="default" w:ascii="Times New Roman" w:hAnsi="Times New Roman" w:eastAsia="仿宋_GB2312" w:cs="Times New Roman"/>
          <w:b/>
          <w:sz w:val="36"/>
          <w:szCs w:val="28"/>
        </w:rPr>
      </w:pPr>
    </w:p>
    <w:p>
      <w:pPr>
        <w:pStyle w:val="14"/>
        <w:spacing w:line="500" w:lineRule="exact"/>
        <w:jc w:val="both"/>
        <w:rPr>
          <w:rFonts w:hint="default" w:ascii="Times New Roman" w:hAnsi="Times New Roman" w:eastAsia="仿宋_GB2312" w:cs="Times New Roman"/>
          <w:b/>
          <w:sz w:val="36"/>
          <w:szCs w:val="28"/>
        </w:rPr>
      </w:pPr>
    </w:p>
    <w:p>
      <w:pPr>
        <w:pStyle w:val="14"/>
        <w:spacing w:line="500" w:lineRule="exact"/>
        <w:jc w:val="center"/>
        <w:rPr>
          <w:rFonts w:hint="default" w:ascii="Times New Roman" w:hAnsi="Times New Roman" w:eastAsia="仿宋_GB2312" w:cs="Times New Roman"/>
          <w:b/>
          <w:sz w:val="36"/>
          <w:szCs w:val="28"/>
        </w:rPr>
      </w:pPr>
      <w:r>
        <w:rPr>
          <w:rFonts w:hint="default" w:ascii="Times New Roman" w:hAnsi="Times New Roman" w:eastAsia="仿宋_GB2312" w:cs="Times New Roman"/>
          <w:b/>
          <w:sz w:val="36"/>
          <w:szCs w:val="28"/>
        </w:rPr>
        <w:t>目 录</w:t>
      </w:r>
    </w:p>
    <w:p>
      <w:pPr>
        <w:pStyle w:val="14"/>
        <w:keepNext w:val="0"/>
        <w:keepLines w:val="0"/>
        <w:pageBreakBefore w:val="0"/>
        <w:widowControl w:val="0"/>
        <w:kinsoku/>
        <w:wordWrap/>
        <w:overflowPunct/>
        <w:topLinePunct w:val="0"/>
        <w:bidi w:val="0"/>
        <w:snapToGrid/>
        <w:spacing w:line="49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第一部分祁阳市委办公室单位概况</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一、部门职责</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二、机构设置及决算单位构成</w:t>
      </w:r>
    </w:p>
    <w:p>
      <w:pPr>
        <w:pStyle w:val="14"/>
        <w:keepNext w:val="0"/>
        <w:keepLines w:val="0"/>
        <w:pageBreakBefore w:val="0"/>
        <w:widowControl w:val="0"/>
        <w:kinsoku/>
        <w:wordWrap/>
        <w:overflowPunct/>
        <w:topLinePunct w:val="0"/>
        <w:bidi w:val="0"/>
        <w:snapToGrid/>
        <w:spacing w:line="49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第二部分 2021年度部门决算表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四、财政拨款收入支出决算总表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五、一般公共预算财政拨款支出决算表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六、一般公共预算财政拨款基本支出决算明细表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七、一般公共预算财政拨款“三公”经费支出决算表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八、政府性基金预算财政拨款收入支出决算表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九、国有资本经营预算财政拨款支出决算表</w:t>
      </w:r>
    </w:p>
    <w:p>
      <w:pPr>
        <w:pStyle w:val="14"/>
        <w:keepNext w:val="0"/>
        <w:keepLines w:val="0"/>
        <w:pageBreakBefore w:val="0"/>
        <w:widowControl w:val="0"/>
        <w:kinsoku/>
        <w:wordWrap/>
        <w:overflowPunct/>
        <w:topLinePunct w:val="0"/>
        <w:bidi w:val="0"/>
        <w:snapToGrid/>
        <w:spacing w:line="49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第三部分 2021年度部门决算情况说明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九、机关运行经费支出说明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十一、政府采购支出说明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十二、国有资产占用情况说明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十三、2021年度预算绩效情况说明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十四、国有资本经营预算财政拨款支出决算情况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8"/>
          <w:szCs w:val="28"/>
        </w:rPr>
        <w:t>第五部分附件</w:t>
      </w: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 xml:space="preserve">第一部分 </w:t>
      </w:r>
    </w:p>
    <w:p>
      <w:pPr>
        <w:pStyle w:val="14"/>
        <w:jc w:val="cente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84"/>
          <w:szCs w:val="84"/>
        </w:rPr>
      </w:pPr>
      <w:r>
        <w:rPr>
          <w:rFonts w:hint="default" w:ascii="Times New Roman" w:hAnsi="Times New Roman" w:eastAsia="仿宋_GB2312" w:cs="Times New Roman"/>
          <w:sz w:val="72"/>
          <w:szCs w:val="72"/>
        </w:rPr>
        <w:t>祁阳市委办公室单位概况</w:t>
      </w: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pStyle w:val="15"/>
        <w:ind w:left="720" w:firstLine="0" w:firstLineChars="0"/>
        <w:jc w:val="left"/>
        <w:rPr>
          <w:rFonts w:hint="default" w:ascii="Times New Roman" w:hAnsi="Times New Roman" w:eastAsia="仿宋_GB2312" w:cs="Times New Roman"/>
          <w:sz w:val="32"/>
          <w:szCs w:val="32"/>
        </w:rPr>
      </w:pPr>
    </w:p>
    <w:p>
      <w:pPr>
        <w:pStyle w:val="15"/>
        <w:ind w:left="720" w:firstLine="0" w:firstLineChars="0"/>
        <w:jc w:val="left"/>
        <w:rPr>
          <w:rFonts w:hint="default" w:ascii="Times New Roman" w:hAnsi="Times New Roman" w:eastAsia="仿宋_GB2312" w:cs="Times New Roman"/>
          <w:sz w:val="32"/>
          <w:szCs w:val="32"/>
        </w:rPr>
      </w:pPr>
    </w:p>
    <w:p>
      <w:pPr>
        <w:pStyle w:val="15"/>
        <w:ind w:left="720" w:firstLine="0" w:firstLineChars="0"/>
        <w:jc w:val="left"/>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一、部门职责：</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（一）职能职责。</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1、负责市委会议的准备和组织协调工作，负责安排市委领导同志公务活动，办理市委领导同志交办的事项。</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2、围绕市委工作部署，对涉及全市经济建设、社会发展、党的建设等全局性的重大问题进行调查研究，为市委科学决策提出建议、预案和依据。</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3、负责市委文件和市委主要领导同志文稿的起草、校核、印发工作，负责文书处理、档案管理和开发利用工作。</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4、研究、审核市委各部门、市直各委局党组（党委）、各镇党委向市委的请示，提出处理意见报市委领导同志审批。</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5、及时、准确、全面向市委、市委报送信息，反映有关动态，负责全市党委系统办公自动化建设的规划及业务指导。</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6、负责中央、省委、市委、市委重大方针政策、重要工作部署和领导同志重要批示、批件贯彻落实情况的督促检查工作，组织办理人大代表有关建议、政协委员有关提案。</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7、负责市委值班工作，及时向市委领导同志报告重要情况，协助处理市直各部门和各镇向市委反映的重要问题。</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8、负责全市党政系统机要密码通信和密码管理。</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9、负责全市保密工作的规划、宣传教育、指导协调、监督管理和失泄密案件查处工作。</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10、负责党和国家领导人、省委、市委领导同志来祁阳市视察的接待工作。</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11、管理市委档案局、市委史志办、市委接待服务中心、市保密局（保密办）；协助市政府办公室管理市信访局。</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12、负责处理市委全面深化改革领导小组日常事务。</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13、办理市委和市委领导同志交办的其他工作。</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二、机构设置及决算单位构成</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内设机构设置：祁阳市委办公室内设综合调研室、督查室、文秘室、政工室、行政事务室、信息室、绩效考核室、市委常委会秘书室、总值班室、台台交流服务室、内网建设室、密码管理室、港澳事务室、法规室、机要通信室、档案法制宣传教育室、档案业务指导室、史志办、改革与发展研究中心。</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2、人员（不含临聘人员）：祁阳市委办公室共有在编干部职工68人。</w:t>
      </w:r>
    </w:p>
    <w:p>
      <w:pPr>
        <w:widowControl/>
        <w:spacing w:line="600" w:lineRule="exact"/>
        <w:ind w:firstLine="627" w:firstLineChars="19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（二）决算单位构成。祁阳市委办公室2021年部门决算汇总公开单位构成包括：祁阳市委办公室、史志办、改革与发展研究中心、机要保密室、接待服务中心。</w:t>
      </w:r>
    </w:p>
    <w:p>
      <w:pPr>
        <w:jc w:val="left"/>
        <w:rPr>
          <w:rFonts w:hint="default" w:ascii="Times New Roman" w:hAnsi="Times New Roman" w:eastAsia="仿宋_GB2312" w:cs="Times New Roman"/>
          <w:sz w:val="28"/>
          <w:szCs w:val="32"/>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pStyle w:val="2"/>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pStyle w:val="2"/>
        <w:rPr>
          <w:rFonts w:hint="default"/>
        </w:rPr>
      </w:pPr>
    </w:p>
    <w:p>
      <w:pPr>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第二部分</w:t>
      </w: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2021年度部门决算表</w:t>
      </w: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center"/>
        <w:rPr>
          <w:rFonts w:hint="default" w:ascii="Times New Roman" w:hAnsi="Times New Roman" w:eastAsia="仿宋_GB2312" w:cs="Times New Roman"/>
          <w:sz w:val="72"/>
          <w:szCs w:val="72"/>
        </w:rPr>
      </w:pPr>
    </w:p>
    <w:p>
      <w:pPr>
        <w:jc w:val="left"/>
        <w:rPr>
          <w:rFonts w:hint="default" w:ascii="Times New Roman" w:hAnsi="Times New Roman" w:eastAsia="仿宋_GB2312" w:cs="Times New Roman"/>
          <w:sz w:val="32"/>
          <w:szCs w:val="32"/>
        </w:rPr>
      </w:pPr>
    </w:p>
    <w:p>
      <w:pPr>
        <w:jc w:val="left"/>
        <w:rPr>
          <w:rFonts w:hint="default" w:ascii="Times New Roman" w:hAnsi="Times New Roman" w:eastAsia="仿宋_GB2312" w:cs="Times New Roman"/>
          <w:sz w:val="32"/>
          <w:szCs w:val="32"/>
        </w:rPr>
        <w:sectPr>
          <w:pgSz w:w="11906" w:h="16838"/>
          <w:pgMar w:top="720" w:right="720" w:bottom="720" w:left="720" w:header="851" w:footer="992" w:gutter="0"/>
          <w:cols w:space="425" w:num="1"/>
          <w:docGrid w:type="lines" w:linePitch="312" w:charSpace="0"/>
        </w:sectPr>
      </w:pPr>
    </w:p>
    <w:tbl>
      <w:tblPr>
        <w:tblStyle w:val="9"/>
        <w:tblW w:w="4887" w:type="pct"/>
        <w:tblInd w:w="118" w:type="dxa"/>
        <w:tblLayout w:type="autofit"/>
        <w:tblCellMar>
          <w:top w:w="0" w:type="dxa"/>
          <w:left w:w="108" w:type="dxa"/>
          <w:bottom w:w="0" w:type="dxa"/>
          <w:right w:w="108" w:type="dxa"/>
        </w:tblCellMar>
      </w:tblPr>
      <w:tblGrid>
        <w:gridCol w:w="4484"/>
        <w:gridCol w:w="1129"/>
        <w:gridCol w:w="2489"/>
        <w:gridCol w:w="4140"/>
        <w:gridCol w:w="834"/>
        <w:gridCol w:w="2420"/>
      </w:tblGrid>
      <w:tr>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auto" w:fill="auto"/>
            <w:noWrap/>
            <w:vAlign w:val="center"/>
          </w:tcPr>
          <w:p>
            <w:pPr>
              <w:widowControl/>
              <w:snapToGrid w:val="0"/>
              <w:jc w:val="center"/>
              <w:rPr>
                <w:rFonts w:hint="default" w:ascii="Times New Roman" w:hAnsi="Times New Roman" w:eastAsia="仿宋_GB2312" w:cs="Times New Roman"/>
                <w:color w:val="000000"/>
                <w:kern w:val="0"/>
                <w:sz w:val="32"/>
                <w:szCs w:val="32"/>
              </w:rPr>
            </w:pPr>
            <w:r>
              <w:rPr>
                <w:rFonts w:hint="eastAsia" w:ascii="宋体" w:hAnsi="宋体" w:eastAsia="宋体" w:cs="宋体"/>
                <w:b/>
                <w:bCs/>
                <w:color w:val="000000"/>
                <w:kern w:val="0"/>
                <w:sz w:val="32"/>
                <w:szCs w:val="32"/>
              </w:rPr>
              <w:t>收入支出决算总表</w:t>
            </w:r>
          </w:p>
          <w:p>
            <w:pPr>
              <w:widowControl/>
              <w:snapToGrid w:val="0"/>
              <w:jc w:val="right"/>
              <w:rPr>
                <w:rFonts w:hint="eastAsia" w:ascii="宋体" w:hAnsi="宋体" w:eastAsia="宋体" w:cs="宋体"/>
                <w:kern w:val="2"/>
                <w:sz w:val="20"/>
                <w:szCs w:val="20"/>
                <w:lang w:val="en-US" w:eastAsia="zh-CN" w:bidi="ar-SA"/>
              </w:rPr>
            </w:pPr>
            <w:r>
              <w:rPr>
                <w:rFonts w:hint="default" w:ascii="宋体" w:hAnsi="宋体" w:eastAsia="宋体" w:cs="宋体"/>
                <w:kern w:val="2"/>
                <w:sz w:val="20"/>
                <w:szCs w:val="20"/>
                <w:lang w:val="en-US" w:eastAsia="zh-CN" w:bidi="ar-SA"/>
              </w:rPr>
              <w:t xml:space="preserve"> </w:t>
            </w:r>
            <w:r>
              <w:rPr>
                <w:rFonts w:hint="eastAsia" w:ascii="宋体" w:hAnsi="宋体" w:eastAsia="宋体" w:cs="宋体"/>
                <w:kern w:val="2"/>
                <w:sz w:val="20"/>
                <w:szCs w:val="20"/>
                <w:lang w:val="en-US" w:eastAsia="zh-CN" w:bidi="ar-SA"/>
              </w:rPr>
              <w:t>公开01表</w:t>
            </w:r>
          </w:p>
          <w:p>
            <w:pPr>
              <w:pStyle w:val="2"/>
              <w:snapToGrid w:val="0"/>
              <w:spacing w:after="0"/>
              <w:jc w:val="left"/>
              <w:rPr>
                <w:rFonts w:hint="default" w:ascii="Times New Roman" w:hAnsi="Times New Roman" w:eastAsia="仿宋_GB2312" w:cs="Times New Roman"/>
              </w:rPr>
            </w:pPr>
            <w:r>
              <w:rPr>
                <w:rFonts w:hint="eastAsia" w:ascii="宋体" w:hAnsi="宋体" w:eastAsia="宋体" w:cs="宋体"/>
                <w:sz w:val="20"/>
                <w:szCs w:val="20"/>
              </w:rPr>
              <w:t>部门：</w:t>
            </w:r>
            <w:r>
              <w:rPr>
                <w:rFonts w:hint="eastAsia" w:ascii="宋体" w:hAnsi="宋体" w:eastAsia="宋体" w:cs="宋体"/>
                <w:color w:val="000000"/>
                <w:sz w:val="20"/>
                <w:szCs w:val="20"/>
              </w:rPr>
              <w:t>祁阳市委办公室</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单位：万元                                                                                                                                    </w:t>
            </w:r>
          </w:p>
        </w:tc>
      </w:tr>
      <w:tr>
        <w:tblPrEx>
          <w:tblCellMar>
            <w:top w:w="0" w:type="dxa"/>
            <w:left w:w="108" w:type="dxa"/>
            <w:bottom w:w="0" w:type="dxa"/>
            <w:right w:w="108" w:type="dxa"/>
          </w:tblCellMar>
        </w:tblPrEx>
        <w:trPr>
          <w:trHeight w:val="267" w:hRule="atLeast"/>
        </w:trPr>
        <w:tc>
          <w:tcPr>
            <w:tcW w:w="2614"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收入</w:t>
            </w:r>
          </w:p>
        </w:tc>
        <w:tc>
          <w:tcPr>
            <w:tcW w:w="2386"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支出</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行次</w:t>
            </w:r>
          </w:p>
        </w:tc>
        <w:tc>
          <w:tcPr>
            <w:tcW w:w="803"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决算数</w:t>
            </w: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行次</w:t>
            </w:r>
          </w:p>
        </w:tc>
        <w:tc>
          <w:tcPr>
            <w:tcW w:w="781"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决算数</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栏    次</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803"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栏    次</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781"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一、一般公共预算财政拨款收入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一、一般公共服务支出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1246.89</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二、政府性基金预算财政拨款收入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二、外交支出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三、国有资本经营预算财政拨款收入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三、国防支出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四、上级补助收入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四、公共安全支出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五、事业收入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五、教育支出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六、经营收入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六、科学技术支出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七、附属单位上缴收入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七、文化旅游体育与传媒支出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八、其他收入</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八、社会保障和就业支出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76.02</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九、卫生健康支出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25.75</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十、节能环保支出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十一、城乡社区支出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十二、农林水支出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十三、交通运输支出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十四、资源勘探工业信息等支出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十五、商业服务业等支出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十六、金融支出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十七、援助其他地区支出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8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十八、自然资源海洋气象等支出</w:t>
            </w:r>
          </w:p>
        </w:tc>
        <w:tc>
          <w:tcPr>
            <w:tcW w:w="26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90" w:hRule="atLeast"/>
        </w:trPr>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single" w:color="auto" w:sz="4" w:space="0"/>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803"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十九、住房保障支出</w:t>
            </w:r>
          </w:p>
        </w:tc>
        <w:tc>
          <w:tcPr>
            <w:tcW w:w="269" w:type="pct"/>
            <w:tcBorders>
              <w:top w:val="single" w:color="auto" w:sz="4" w:space="0"/>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781"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82.97</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二十、粮油物资储备支出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二十一、国有资本经营预算支出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二十二、灾害防治及应急管理支出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二十三、其他支出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二十四、债务还本支出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二十五、债务付息支出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二十六、抗疫特别国债安排的支出</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本年收入合计</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本年支出合计</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58</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使用非财政拨款结余</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结余分配</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59</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年初结转和结余</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年末结转和结余</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267" w:hRule="atLeast"/>
        </w:trPr>
        <w:tc>
          <w:tcPr>
            <w:tcW w:w="1447"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总计</w:t>
            </w:r>
          </w:p>
        </w:tc>
        <w:tc>
          <w:tcPr>
            <w:tcW w:w="364"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80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336"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总计</w:t>
            </w:r>
          </w:p>
        </w:tc>
        <w:tc>
          <w:tcPr>
            <w:tcW w:w="26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78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1431.63</w:t>
            </w:r>
          </w:p>
        </w:tc>
      </w:tr>
    </w:tbl>
    <w:p>
      <w:pPr>
        <w:rPr>
          <w:rFonts w:hint="eastAsia" w:ascii="宋体" w:hAnsi="宋体" w:eastAsia="宋体" w:cs="宋体"/>
          <w:kern w:val="0"/>
          <w:sz w:val="21"/>
          <w:szCs w:val="21"/>
        </w:rPr>
      </w:pPr>
      <w:r>
        <w:rPr>
          <w:rFonts w:hint="eastAsia" w:ascii="宋体" w:hAnsi="宋体" w:eastAsia="宋体" w:cs="宋体"/>
          <w:kern w:val="0"/>
          <w:sz w:val="21"/>
          <w:szCs w:val="21"/>
        </w:rPr>
        <w:t xml:space="preserve">注：1.本表反映部门本年度的总收支和年末结转结余情况。           </w:t>
      </w:r>
    </w:p>
    <w:p>
      <w:pPr>
        <w:numPr>
          <w:ilvl w:val="0"/>
          <w:numId w:val="1"/>
        </w:num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本套报表金额单位转换时可能存在尾数误差。</w:t>
      </w:r>
    </w:p>
    <w:p>
      <w:pPr>
        <w:pStyle w:val="2"/>
        <w:numPr>
          <w:ilvl w:val="0"/>
          <w:numId w:val="0"/>
        </w:numPr>
        <w:rPr>
          <w:rFonts w:hint="eastAsia"/>
        </w:rPr>
      </w:pPr>
    </w:p>
    <w:tbl>
      <w:tblPr>
        <w:tblStyle w:val="9"/>
        <w:tblW w:w="4979" w:type="pct"/>
        <w:tblInd w:w="0" w:type="dxa"/>
        <w:tblLayout w:type="fixed"/>
        <w:tblCellMar>
          <w:top w:w="0" w:type="dxa"/>
          <w:left w:w="0" w:type="dxa"/>
          <w:bottom w:w="0" w:type="dxa"/>
          <w:right w:w="0" w:type="dxa"/>
        </w:tblCellMar>
      </w:tblPr>
      <w:tblGrid>
        <w:gridCol w:w="1093"/>
        <w:gridCol w:w="4627"/>
        <w:gridCol w:w="1441"/>
        <w:gridCol w:w="1444"/>
        <w:gridCol w:w="1318"/>
        <w:gridCol w:w="1337"/>
        <w:gridCol w:w="1337"/>
        <w:gridCol w:w="1346"/>
        <w:gridCol w:w="1420"/>
      </w:tblGrid>
      <w:tr>
        <w:tblPrEx>
          <w:tblCellMar>
            <w:top w:w="0" w:type="dxa"/>
            <w:left w:w="0" w:type="dxa"/>
            <w:bottom w:w="0" w:type="dxa"/>
            <w:right w:w="0" w:type="dxa"/>
          </w:tblCellMar>
        </w:tblPrEx>
        <w:trPr>
          <w:trHeight w:val="253"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color w:val="000000"/>
                <w:sz w:val="24"/>
                <w:szCs w:val="24"/>
              </w:rPr>
            </w:pPr>
            <w:r>
              <w:rPr>
                <w:rFonts w:hint="eastAsia" w:ascii="宋体" w:hAnsi="宋体" w:eastAsia="宋体" w:cs="宋体"/>
                <w:b/>
                <w:bCs/>
                <w:color w:val="000000"/>
                <w:sz w:val="32"/>
                <w:szCs w:val="32"/>
              </w:rPr>
              <w:t>收入决算表</w:t>
            </w:r>
          </w:p>
        </w:tc>
      </w:tr>
      <w:tr>
        <w:tblPrEx>
          <w:tblCellMar>
            <w:top w:w="0" w:type="dxa"/>
            <w:left w:w="0" w:type="dxa"/>
            <w:bottom w:w="0" w:type="dxa"/>
            <w:right w:w="0" w:type="dxa"/>
          </w:tblCellMar>
        </w:tblPrEx>
        <w:trPr>
          <w:trHeight w:val="166"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color w:val="000000"/>
                <w:sz w:val="20"/>
                <w:szCs w:val="20"/>
              </w:rPr>
            </w:pP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429"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color w:val="000000"/>
                <w:sz w:val="20"/>
                <w:szCs w:val="20"/>
              </w:rPr>
            </w:pP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438"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pPr>
              <w:widowControl/>
              <w:jc w:val="right"/>
              <w:rPr>
                <w:rFonts w:hint="eastAsia"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166"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eastAsia" w:ascii="宋体" w:hAnsi="宋体" w:eastAsia="宋体" w:cs="宋体"/>
                <w:sz w:val="20"/>
                <w:szCs w:val="20"/>
              </w:rPr>
            </w:pPr>
            <w:r>
              <w:rPr>
                <w:rFonts w:hint="eastAsia" w:ascii="宋体" w:hAnsi="宋体" w:eastAsia="宋体" w:cs="宋体"/>
                <w:color w:val="000000"/>
                <w:sz w:val="20"/>
                <w:szCs w:val="20"/>
              </w:rPr>
              <w:t>部门：祁阳市委办公室</w:t>
            </w:r>
            <w:r>
              <w:rPr>
                <w:rFonts w:hint="eastAsia" w:ascii="宋体" w:hAnsi="宋体" w:eastAsia="宋体" w:cs="宋体"/>
                <w:sz w:val="20"/>
                <w:szCs w:val="20"/>
              </w:rPr>
              <w:t xml:space="preserve">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r>
              <w:rPr>
                <w:rFonts w:hint="eastAsia" w:ascii="宋体" w:hAnsi="宋体" w:eastAsia="宋体" w:cs="宋体"/>
                <w:sz w:val="20"/>
                <w:szCs w:val="20"/>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r>
              <w:rPr>
                <w:rFonts w:hint="eastAsia" w:ascii="宋体" w:hAnsi="宋体" w:eastAsia="宋体" w:cs="宋体"/>
                <w:sz w:val="20"/>
                <w:szCs w:val="20"/>
              </w:rPr>
              <w:t>　</w:t>
            </w:r>
          </w:p>
        </w:tc>
        <w:tc>
          <w:tcPr>
            <w:tcW w:w="429"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r>
              <w:rPr>
                <w:rFonts w:hint="eastAsia" w:ascii="宋体" w:hAnsi="宋体" w:eastAsia="宋体" w:cs="宋体"/>
                <w:sz w:val="20"/>
                <w:szCs w:val="20"/>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r>
              <w:rPr>
                <w:rFonts w:hint="eastAsia" w:ascii="宋体" w:hAnsi="宋体" w:eastAsia="宋体" w:cs="宋体"/>
                <w:sz w:val="20"/>
                <w:szCs w:val="20"/>
              </w:rPr>
              <w:t>　</w:t>
            </w:r>
          </w:p>
        </w:tc>
        <w:tc>
          <w:tcPr>
            <w:tcW w:w="438"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eastAsia" w:ascii="宋体" w:hAnsi="宋体" w:eastAsia="宋体" w:cs="宋体"/>
                <w:sz w:val="20"/>
                <w:szCs w:val="20"/>
              </w:rPr>
            </w:pPr>
            <w:r>
              <w:rPr>
                <w:rFonts w:hint="eastAsia" w:ascii="宋体" w:hAnsi="宋体" w:eastAsia="宋体" w:cs="宋体"/>
                <w:sz w:val="20"/>
                <w:szCs w:val="20"/>
              </w:rPr>
              <w:t>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pPr>
              <w:widowControl/>
              <w:jc w:val="right"/>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0" w:type="dxa"/>
            <w:bottom w:w="0" w:type="dxa"/>
            <w:right w:w="0" w:type="dxa"/>
          </w:tblCellMar>
        </w:tblPrEx>
        <w:trPr>
          <w:trHeight w:val="26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项    目</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本年收入合计</w:t>
            </w:r>
          </w:p>
        </w:tc>
        <w:tc>
          <w:tcPr>
            <w:tcW w:w="47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财政拨款收入</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经营收入</w:t>
            </w:r>
          </w:p>
        </w:tc>
        <w:tc>
          <w:tcPr>
            <w:tcW w:w="438"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附属单位上缴收入</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其他收入</w:t>
            </w:r>
          </w:p>
        </w:tc>
      </w:tr>
      <w:tr>
        <w:tblPrEx>
          <w:tblCellMar>
            <w:top w:w="0" w:type="dxa"/>
            <w:left w:w="0" w:type="dxa"/>
            <w:bottom w:w="0" w:type="dxa"/>
            <w:right w:w="0" w:type="dxa"/>
          </w:tblCellMar>
        </w:tblPrEx>
        <w:trPr>
          <w:trHeight w:val="312" w:hRule="atLeast"/>
        </w:trPr>
        <w:tc>
          <w:tcPr>
            <w:tcW w:w="356"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功能分类</w:t>
            </w:r>
          </w:p>
          <w:p>
            <w:pPr>
              <w:snapToGrid w:val="0"/>
              <w:jc w:val="center"/>
              <w:rPr>
                <w:rFonts w:hint="eastAsia" w:ascii="宋体" w:hAnsi="宋体" w:eastAsia="宋体" w:cs="宋体"/>
                <w:sz w:val="21"/>
                <w:szCs w:val="21"/>
              </w:rPr>
            </w:pPr>
            <w:r>
              <w:rPr>
                <w:rFonts w:hint="eastAsia" w:ascii="宋体" w:hAnsi="宋体" w:eastAsia="宋体" w:cs="宋体"/>
                <w:sz w:val="21"/>
                <w:szCs w:val="21"/>
              </w:rPr>
              <w:t>科目编码</w:t>
            </w:r>
          </w:p>
        </w:tc>
        <w:tc>
          <w:tcPr>
            <w:tcW w:w="1505"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科目名称</w:t>
            </w: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356"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1505" w:type="pct"/>
            <w:vMerge w:val="continue"/>
            <w:tcBorders>
              <w:top w:val="nil"/>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p>
        </w:tc>
      </w:tr>
      <w:tr>
        <w:tblPrEx>
          <w:tblCellMar>
            <w:top w:w="0" w:type="dxa"/>
            <w:left w:w="0" w:type="dxa"/>
            <w:bottom w:w="0" w:type="dxa"/>
            <w:right w:w="0" w:type="dxa"/>
          </w:tblCellMar>
        </w:tblPrEx>
        <w:trPr>
          <w:trHeight w:val="143"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栏次</w:t>
            </w:r>
          </w:p>
        </w:tc>
        <w:tc>
          <w:tcPr>
            <w:tcW w:w="46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42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438"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458"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r>
      <w:tr>
        <w:tblPrEx>
          <w:tblCellMar>
            <w:top w:w="0" w:type="dxa"/>
            <w:left w:w="0" w:type="dxa"/>
            <w:bottom w:w="0" w:type="dxa"/>
            <w:right w:w="0" w:type="dxa"/>
          </w:tblCellMar>
        </w:tblPrEx>
        <w:trPr>
          <w:trHeight w:val="26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1431.63</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1431.63</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1246.89</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1246.89</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政府办公厅（室）及相关机构事务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56.74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56.74</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2010301</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55.00</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55.00</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2010302</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1.74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1.74</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15"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党委办公厅（室）及相关机构事务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1088.12</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1088.12</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105"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2013101</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158"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2013102</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596.07</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596.07</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129"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其他一般公共服务支出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2019999</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其他一般公共服务支出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社会保障和就业支出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76.02</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76.02</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行政事业单位养老支出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2080505</w:t>
            </w:r>
          </w:p>
        </w:tc>
        <w:tc>
          <w:tcPr>
            <w:tcW w:w="150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机关事业单位基本养老保险缴费支出</w:t>
            </w:r>
          </w:p>
        </w:tc>
        <w:tc>
          <w:tcPr>
            <w:tcW w:w="46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42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抚恤</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21.15</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21.15</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r>
              <w:rPr>
                <w:rFonts w:hint="eastAsia" w:ascii="宋体" w:hAnsi="宋体" w:eastAsia="宋体" w:cs="宋体"/>
                <w:sz w:val="21"/>
                <w:szCs w:val="21"/>
              </w:rPr>
              <w:t>　</w:t>
            </w: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2080801</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死亡抚恤</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15.15</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15.15</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2080899</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其他优抚支出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卫生健康支出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行政事业单位医疗</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2101101</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行政单位医疗</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住房保障支出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住房改革支出</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r>
        <w:tblPrEx>
          <w:tblCellMar>
            <w:top w:w="0" w:type="dxa"/>
            <w:left w:w="0" w:type="dxa"/>
            <w:bottom w:w="0" w:type="dxa"/>
            <w:right w:w="0" w:type="dxa"/>
          </w:tblCellMar>
        </w:tblPrEx>
        <w:trPr>
          <w:trHeight w:val="262" w:hRule="atLeast"/>
        </w:trPr>
        <w:tc>
          <w:tcPr>
            <w:tcW w:w="356"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2210201</w:t>
            </w:r>
          </w:p>
        </w:tc>
        <w:tc>
          <w:tcPr>
            <w:tcW w:w="1505" w:type="pct"/>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住房公积金</w:t>
            </w:r>
          </w:p>
        </w:tc>
        <w:tc>
          <w:tcPr>
            <w:tcW w:w="46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7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42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5"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3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c>
          <w:tcPr>
            <w:tcW w:w="45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1"/>
                <w:szCs w:val="21"/>
              </w:rPr>
            </w:pPr>
          </w:p>
        </w:tc>
      </w:tr>
    </w:tbl>
    <w:p>
      <w:pPr>
        <w:widowControl/>
        <w:jc w:val="left"/>
        <w:rPr>
          <w:rFonts w:hint="default" w:ascii="Times New Roman" w:hAnsi="Times New Roman" w:eastAsia="仿宋_GB2312" w:cs="Times New Roman"/>
          <w:color w:val="000000"/>
          <w:kern w:val="0"/>
          <w:sz w:val="18"/>
          <w:szCs w:val="18"/>
        </w:rPr>
      </w:pPr>
      <w:r>
        <w:rPr>
          <w:rFonts w:hint="eastAsia" w:ascii="宋体" w:hAnsi="宋体" w:eastAsia="宋体" w:cs="宋体"/>
          <w:sz w:val="21"/>
          <w:szCs w:val="21"/>
        </w:rPr>
        <w:t>注：本表反映部门本年度取得的各项收入情况。</w:t>
      </w:r>
      <w:r>
        <w:rPr>
          <w:rFonts w:hint="default" w:ascii="Times New Roman" w:hAnsi="Times New Roman" w:eastAsia="仿宋_GB2312" w:cs="Times New Roman"/>
          <w:color w:val="000000"/>
          <w:kern w:val="0"/>
          <w:sz w:val="18"/>
          <w:szCs w:val="18"/>
        </w:rPr>
        <w:br w:type="page"/>
      </w:r>
    </w:p>
    <w:tbl>
      <w:tblPr>
        <w:tblStyle w:val="9"/>
        <w:tblW w:w="4949" w:type="pct"/>
        <w:tblInd w:w="93" w:type="dxa"/>
        <w:tblLayout w:type="fixed"/>
        <w:tblCellMar>
          <w:top w:w="0" w:type="dxa"/>
          <w:left w:w="108" w:type="dxa"/>
          <w:bottom w:w="0" w:type="dxa"/>
          <w:right w:w="108" w:type="dxa"/>
        </w:tblCellMar>
      </w:tblPr>
      <w:tblGrid>
        <w:gridCol w:w="1069"/>
        <w:gridCol w:w="4689"/>
        <w:gridCol w:w="1697"/>
        <w:gridCol w:w="1663"/>
        <w:gridCol w:w="1561"/>
        <w:gridCol w:w="1583"/>
        <w:gridCol w:w="1583"/>
        <w:gridCol w:w="1610"/>
      </w:tblGrid>
      <w:tr>
        <w:tblPrEx>
          <w:tblCellMar>
            <w:top w:w="0" w:type="dxa"/>
            <w:left w:w="108" w:type="dxa"/>
            <w:bottom w:w="0" w:type="dxa"/>
            <w:right w:w="108" w:type="dxa"/>
          </w:tblCellMar>
        </w:tblPrEx>
        <w:trPr>
          <w:trHeight w:val="288" w:hRule="atLeast"/>
        </w:trPr>
        <w:tc>
          <w:tcPr>
            <w:tcW w:w="5000" w:type="pct"/>
            <w:gridSpan w:val="8"/>
            <w:tcBorders>
              <w:top w:val="nil"/>
              <w:left w:val="nil"/>
              <w:bottom w:val="nil"/>
              <w:right w:val="nil"/>
            </w:tcBorders>
            <w:shd w:val="clear" w:color="auto" w:fill="auto"/>
            <w:noWrap/>
            <w:vAlign w:val="center"/>
          </w:tcPr>
          <w:p>
            <w:pPr>
              <w:widowControl/>
              <w:jc w:val="center"/>
              <w:rPr>
                <w:rFonts w:hint="default" w:ascii="Times New Roman" w:hAnsi="Times New Roman" w:eastAsia="仿宋_GB2312" w:cs="Times New Roman"/>
                <w:color w:val="000000"/>
                <w:kern w:val="0"/>
                <w:sz w:val="32"/>
                <w:szCs w:val="32"/>
              </w:rPr>
            </w:pPr>
            <w:r>
              <w:rPr>
                <w:rFonts w:hint="eastAsia" w:ascii="宋体" w:hAnsi="宋体" w:eastAsia="宋体" w:cs="宋体"/>
                <w:b/>
                <w:bCs/>
                <w:color w:val="000000"/>
                <w:kern w:val="0"/>
                <w:sz w:val="32"/>
                <w:szCs w:val="32"/>
              </w:rPr>
              <w:t>支出决算表</w:t>
            </w:r>
          </w:p>
        </w:tc>
      </w:tr>
      <w:tr>
        <w:tblPrEx>
          <w:tblCellMar>
            <w:top w:w="0" w:type="dxa"/>
            <w:left w:w="108" w:type="dxa"/>
            <w:bottom w:w="0" w:type="dxa"/>
            <w:right w:w="108" w:type="dxa"/>
          </w:tblCellMar>
        </w:tblPrEx>
        <w:trPr>
          <w:trHeight w:val="188" w:hRule="atLeast"/>
        </w:trPr>
        <w:tc>
          <w:tcPr>
            <w:tcW w:w="1863"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3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05"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188" w:hRule="atLeast"/>
        </w:trPr>
        <w:tc>
          <w:tcPr>
            <w:tcW w:w="1863"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部门：祁阳市委办公室</w:t>
            </w:r>
            <w:r>
              <w:rPr>
                <w:rFonts w:hint="eastAsia" w:ascii="宋体" w:hAnsi="宋体" w:eastAsia="宋体" w:cs="宋体"/>
                <w:kern w:val="0"/>
                <w:sz w:val="20"/>
                <w:szCs w:val="20"/>
              </w:rPr>
              <w:t>　　</w:t>
            </w:r>
          </w:p>
        </w:tc>
        <w:tc>
          <w:tcPr>
            <w:tcW w:w="5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3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05" w:type="pct"/>
            <w:tcBorders>
              <w:top w:val="nil"/>
              <w:left w:val="nil"/>
              <w:bottom w:val="nil"/>
              <w:right w:val="nil"/>
            </w:tcBorders>
            <w:shd w:val="clear" w:color="000000" w:fill="FFFFFF"/>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98"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本年支出合计</w:t>
            </w:r>
          </w:p>
        </w:tc>
        <w:tc>
          <w:tcPr>
            <w:tcW w:w="5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经营支出</w:t>
            </w:r>
          </w:p>
        </w:tc>
        <w:tc>
          <w:tcPr>
            <w:tcW w:w="5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对附属单位补助支出</w:t>
            </w:r>
          </w:p>
        </w:tc>
      </w:tr>
      <w:tr>
        <w:tblPrEx>
          <w:tblCellMar>
            <w:top w:w="0" w:type="dxa"/>
            <w:left w:w="108" w:type="dxa"/>
            <w:bottom w:w="0" w:type="dxa"/>
            <w:right w:w="108" w:type="dxa"/>
          </w:tblCellMar>
        </w:tblPrEx>
        <w:trPr>
          <w:trHeight w:val="312" w:hRule="atLeast"/>
        </w:trPr>
        <w:tc>
          <w:tcPr>
            <w:tcW w:w="34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功能分类科目编码</w:t>
            </w:r>
          </w:p>
        </w:tc>
        <w:tc>
          <w:tcPr>
            <w:tcW w:w="1517"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65" w:hRule="atLeast"/>
        </w:trPr>
        <w:tc>
          <w:tcPr>
            <w:tcW w:w="3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1517"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51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3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r>
      <w:tr>
        <w:tblPrEx>
          <w:tblCellMar>
            <w:top w:w="0" w:type="dxa"/>
            <w:left w:w="108" w:type="dxa"/>
            <w:bottom w:w="0" w:type="dxa"/>
            <w:right w:w="108" w:type="dxa"/>
          </w:tblCellMar>
        </w:tblPrEx>
        <w:trPr>
          <w:trHeight w:val="298" w:hRule="atLeast"/>
        </w:trPr>
        <w:tc>
          <w:tcPr>
            <w:tcW w:w="186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1431.63</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835.56</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596.07</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1246.89</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650.82</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政府办公厅（室）及相关机构事务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56.74</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56.74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55.00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55.00</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2010302</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1.74</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1.74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党委办公厅（室）及相关机构事务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1088.12</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2013102</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596.07</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2019999</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76.02</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76.02</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2080505</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抚恤</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21.15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21.15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死亡抚恤</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15.15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15.15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2080899</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其他优抚支出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98" w:hRule="atLeast"/>
        </w:trPr>
        <w:tc>
          <w:tcPr>
            <w:tcW w:w="346"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2210201</w:t>
            </w:r>
          </w:p>
        </w:tc>
        <w:tc>
          <w:tcPr>
            <w:tcW w:w="1517" w:type="pct"/>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c>
          <w:tcPr>
            <w:tcW w:w="518"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5000" w:type="pct"/>
            <w:gridSpan w:val="8"/>
            <w:tcBorders>
              <w:top w:val="nil"/>
              <w:left w:val="nil"/>
              <w:bottom w:val="nil"/>
              <w:right w:val="nil"/>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注：本表反映部门本年度各项支出情况。</w:t>
            </w:r>
          </w:p>
        </w:tc>
      </w:tr>
    </w:tbl>
    <w:p>
      <w:pPr>
        <w:widowControl/>
        <w:jc w:val="left"/>
        <w:rPr>
          <w:rFonts w:hint="eastAsia" w:ascii="宋体" w:hAnsi="宋体" w:eastAsia="宋体" w:cs="宋体"/>
          <w:color w:val="000000"/>
          <w:kern w:val="0"/>
          <w:sz w:val="32"/>
          <w:szCs w:val="32"/>
        </w:rPr>
      </w:pPr>
      <w:bookmarkStart w:id="0" w:name="RANGE!A1:I22"/>
      <w:bookmarkEnd w:id="0"/>
      <w:bookmarkStart w:id="1" w:name="RANGE!A1:F16"/>
      <w:r>
        <w:rPr>
          <w:rFonts w:hint="default" w:ascii="Times New Roman" w:hAnsi="Times New Roman" w:eastAsia="仿宋_GB2312" w:cs="Times New Roman"/>
          <w:color w:val="000000"/>
          <w:kern w:val="0"/>
          <w:sz w:val="32"/>
          <w:szCs w:val="32"/>
        </w:rPr>
        <w:br w:type="page"/>
      </w:r>
    </w:p>
    <w:tbl>
      <w:tblPr>
        <w:tblStyle w:val="9"/>
        <w:tblW w:w="4964" w:type="pct"/>
        <w:tblInd w:w="126" w:type="dxa"/>
        <w:tblLayout w:type="fixed"/>
        <w:tblCellMar>
          <w:top w:w="0" w:type="dxa"/>
          <w:left w:w="108" w:type="dxa"/>
          <w:bottom w:w="0" w:type="dxa"/>
          <w:right w:w="108" w:type="dxa"/>
        </w:tblCellMar>
      </w:tblPr>
      <w:tblGrid>
        <w:gridCol w:w="3364"/>
        <w:gridCol w:w="620"/>
        <w:gridCol w:w="1153"/>
        <w:gridCol w:w="3603"/>
        <w:gridCol w:w="648"/>
        <w:gridCol w:w="1172"/>
        <w:gridCol w:w="353"/>
        <w:gridCol w:w="1160"/>
        <w:gridCol w:w="366"/>
        <w:gridCol w:w="1358"/>
        <w:gridCol w:w="167"/>
        <w:gridCol w:w="1538"/>
      </w:tblGrid>
      <w:tr>
        <w:tblPrEx>
          <w:tblCellMar>
            <w:top w:w="0" w:type="dxa"/>
            <w:left w:w="108" w:type="dxa"/>
            <w:bottom w:w="0" w:type="dxa"/>
            <w:right w:w="108" w:type="dxa"/>
          </w:tblCellMar>
        </w:tblPrEx>
        <w:trPr>
          <w:trHeight w:val="217" w:hRule="atLeast"/>
        </w:trPr>
        <w:tc>
          <w:tcPr>
            <w:tcW w:w="5000" w:type="pct"/>
            <w:gridSpan w:val="12"/>
            <w:tcBorders>
              <w:top w:val="nil"/>
              <w:left w:val="nil"/>
              <w:bottom w:val="nil"/>
              <w:right w:val="nil"/>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eastAsia" w:ascii="宋体" w:hAnsi="宋体" w:eastAsia="宋体" w:cs="宋体"/>
                <w:b/>
                <w:bCs/>
                <w:color w:val="000000"/>
                <w:kern w:val="0"/>
                <w:sz w:val="32"/>
                <w:szCs w:val="32"/>
              </w:rPr>
              <w:t>财政拨款收入支出决算总表</w:t>
            </w:r>
          </w:p>
        </w:tc>
      </w:tr>
      <w:tr>
        <w:tblPrEx>
          <w:tblCellMar>
            <w:top w:w="0" w:type="dxa"/>
            <w:left w:w="108" w:type="dxa"/>
            <w:bottom w:w="0" w:type="dxa"/>
            <w:right w:w="108" w:type="dxa"/>
          </w:tblCellMar>
        </w:tblPrEx>
        <w:trPr>
          <w:trHeight w:val="181" w:hRule="atLeast"/>
        </w:trPr>
        <w:tc>
          <w:tcPr>
            <w:tcW w:w="1657" w:type="pct"/>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rPr>
            </w:pP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p>
        </w:tc>
        <w:tc>
          <w:tcPr>
            <w:tcW w:w="37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p>
        </w:tc>
        <w:tc>
          <w:tcPr>
            <w:tcW w:w="488"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p>
        </w:tc>
        <w:tc>
          <w:tcPr>
            <w:tcW w:w="556"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p>
        </w:tc>
        <w:tc>
          <w:tcPr>
            <w:tcW w:w="547"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181" w:hRule="atLeast"/>
        </w:trPr>
        <w:tc>
          <w:tcPr>
            <w:tcW w:w="1657" w:type="pct"/>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部门：祁阳市委办公室</w:t>
            </w:r>
            <w:r>
              <w:rPr>
                <w:rFonts w:hint="eastAsia" w:ascii="宋体" w:hAnsi="宋体" w:eastAsia="宋体" w:cs="宋体"/>
                <w:kern w:val="0"/>
                <w:sz w:val="20"/>
                <w:szCs w:val="20"/>
              </w:rPr>
              <w:t>　</w:t>
            </w:r>
          </w:p>
        </w:tc>
        <w:tc>
          <w:tcPr>
            <w:tcW w:w="1162"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0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8" w:type="pct"/>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88"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6"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47" w:type="pct"/>
            <w:gridSpan w:val="2"/>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32" w:hRule="atLeast"/>
        </w:trPr>
        <w:tc>
          <w:tcPr>
            <w:tcW w:w="1657"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收入</w:t>
            </w:r>
          </w:p>
        </w:tc>
        <w:tc>
          <w:tcPr>
            <w:tcW w:w="3342" w:type="pct"/>
            <w:gridSpan w:val="9"/>
            <w:tcBorders>
              <w:top w:val="single" w:color="auto" w:sz="4" w:space="0"/>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支出</w:t>
            </w:r>
          </w:p>
        </w:tc>
      </w:tr>
      <w:tr>
        <w:tblPrEx>
          <w:tblCellMar>
            <w:top w:w="0" w:type="dxa"/>
            <w:left w:w="108" w:type="dxa"/>
            <w:bottom w:w="0" w:type="dxa"/>
            <w:right w:w="108" w:type="dxa"/>
          </w:tblCellMar>
        </w:tblPrEx>
        <w:trPr>
          <w:trHeight w:val="274"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行次</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492" w:type="pct"/>
            <w:gridSpan w:val="2"/>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一般公共预算财政拨款</w:t>
            </w:r>
          </w:p>
        </w:tc>
        <w:tc>
          <w:tcPr>
            <w:tcW w:w="492" w:type="pct"/>
            <w:gridSpan w:val="2"/>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政府性基金预算财政拨款</w:t>
            </w:r>
          </w:p>
        </w:tc>
        <w:tc>
          <w:tcPr>
            <w:tcW w:w="493" w:type="pct"/>
            <w:tcBorders>
              <w:top w:val="nil"/>
              <w:left w:val="nil"/>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国有资本经营预算财政拨款</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栏    次</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一、一般公共预算财政拨款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1246.89</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1246.89</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二、政府性基金预算财政拨款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三、国有资本经营预算财政拨款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76.02</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76.02</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25.75</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25.75</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50</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4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82.97</w:t>
            </w:r>
          </w:p>
        </w:tc>
        <w:tc>
          <w:tcPr>
            <w:tcW w:w="4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82.97</w:t>
            </w:r>
          </w:p>
        </w:tc>
        <w:tc>
          <w:tcPr>
            <w:tcW w:w="49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single" w:color="auto" w:sz="4" w:space="0"/>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58</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righ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本年收入合计</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59</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年初财政拨款结转和结余</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60</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一般公共预算财政拨款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96"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政府性基金预算财政拨款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snapToGrid w:val="0"/>
              <w:rPr>
                <w:rFonts w:hint="eastAsia" w:ascii="宋体" w:hAnsi="宋体" w:eastAsia="宋体" w:cs="宋体"/>
                <w:kern w:val="0"/>
                <w:sz w:val="21"/>
                <w:szCs w:val="21"/>
              </w:rPr>
            </w:pPr>
            <w:r>
              <w:rPr>
                <w:rFonts w:hint="eastAsia" w:ascii="宋体" w:hAnsi="宋体" w:eastAsia="宋体" w:cs="宋体"/>
                <w:kern w:val="0"/>
                <w:sz w:val="21"/>
                <w:szCs w:val="21"/>
              </w:rPr>
              <w:t>国有资本经营预算财政拨款</w:t>
            </w:r>
          </w:p>
        </w:tc>
        <w:tc>
          <w:tcPr>
            <w:tcW w:w="200"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4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总计</w:t>
            </w:r>
          </w:p>
        </w:tc>
        <w:tc>
          <w:tcPr>
            <w:tcW w:w="200"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371" w:type="pct"/>
            <w:tcBorders>
              <w:top w:val="nil"/>
              <w:left w:val="nil"/>
              <w:bottom w:val="single" w:color="auto" w:sz="4" w:space="0"/>
              <w:right w:val="single" w:color="auto" w:sz="4" w:space="0"/>
            </w:tcBorders>
            <w:shd w:val="clear" w:color="auto" w:fill="auto"/>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1162"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2" w:type="pct"/>
            <w:gridSpan w:val="2"/>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492" w:type="pct"/>
            <w:gridSpan w:val="2"/>
            <w:tcBorders>
              <w:top w:val="nil"/>
              <w:left w:val="nil"/>
              <w:bottom w:val="single" w:color="auto" w:sz="4" w:space="0"/>
              <w:right w:val="single" w:color="auto" w:sz="4" w:space="0"/>
            </w:tcBorders>
            <w:shd w:val="clear" w:color="000000" w:fill="FFFFFF"/>
            <w:noWrap/>
            <w:vAlign w:val="center"/>
          </w:tcPr>
          <w:p>
            <w:pPr>
              <w:widowControl/>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1431.63</w:t>
            </w:r>
          </w:p>
        </w:tc>
        <w:tc>
          <w:tcPr>
            <w:tcW w:w="492" w:type="pct"/>
            <w:gridSpan w:val="2"/>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493" w:type="pct"/>
            <w:tcBorders>
              <w:top w:val="nil"/>
              <w:left w:val="nil"/>
              <w:bottom w:val="single" w:color="auto" w:sz="4" w:space="0"/>
              <w:right w:val="single" w:color="auto" w:sz="4" w:space="0"/>
            </w:tcBorders>
            <w:shd w:val="clear" w:color="auto" w:fill="auto"/>
            <w:noWrap/>
            <w:vAlign w:val="center"/>
          </w:tcPr>
          <w:p>
            <w:pPr>
              <w:widowControl/>
              <w:snapToGrid w:val="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bl>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注：本表反映部门本年度一般公共预算财政拨款、政府性基金预算财政拨款和国有资本经营预算财政拨款的总收支和年末结转结余情况。</w:t>
      </w:r>
    </w:p>
    <w:p>
      <w:pPr>
        <w:widowControl/>
        <w:jc w:val="center"/>
        <w:rPr>
          <w:rFonts w:hint="eastAsia" w:ascii="宋体" w:hAnsi="宋体" w:eastAsia="宋体" w:cs="宋体"/>
          <w:b/>
          <w:bCs/>
          <w:kern w:val="0"/>
          <w:sz w:val="32"/>
          <w:szCs w:val="32"/>
        </w:rPr>
      </w:pPr>
    </w:p>
    <w:p>
      <w:pPr>
        <w:widowControl/>
        <w:jc w:val="center"/>
        <w:rPr>
          <w:rFonts w:hint="default" w:ascii="Times New Roman" w:hAnsi="Times New Roman" w:eastAsia="仿宋_GB2312" w:cs="Times New Roman"/>
          <w:b/>
          <w:bCs/>
          <w:color w:val="000000"/>
          <w:kern w:val="0"/>
          <w:sz w:val="20"/>
          <w:szCs w:val="20"/>
        </w:rPr>
      </w:pPr>
      <w:r>
        <w:rPr>
          <w:rFonts w:hint="eastAsia" w:ascii="宋体" w:hAnsi="宋体" w:eastAsia="宋体" w:cs="宋体"/>
          <w:b/>
          <w:bCs/>
          <w:kern w:val="0"/>
          <w:sz w:val="32"/>
          <w:szCs w:val="32"/>
        </w:rPr>
        <w:t>一般公共预算财政拨款支出决算表</w:t>
      </w:r>
      <w:bookmarkEnd w:id="1"/>
    </w:p>
    <w:tbl>
      <w:tblPr>
        <w:tblStyle w:val="9"/>
        <w:tblW w:w="5000" w:type="pct"/>
        <w:jc w:val="center"/>
        <w:tblLayout w:type="fixed"/>
        <w:tblCellMar>
          <w:top w:w="0" w:type="dxa"/>
          <w:left w:w="108" w:type="dxa"/>
          <w:bottom w:w="0" w:type="dxa"/>
          <w:right w:w="108" w:type="dxa"/>
        </w:tblCellMar>
      </w:tblPr>
      <w:tblGrid>
        <w:gridCol w:w="99"/>
        <w:gridCol w:w="898"/>
        <w:gridCol w:w="166"/>
        <w:gridCol w:w="3073"/>
        <w:gridCol w:w="1059"/>
        <w:gridCol w:w="272"/>
        <w:gridCol w:w="731"/>
        <w:gridCol w:w="2049"/>
        <w:gridCol w:w="247"/>
        <w:gridCol w:w="809"/>
        <w:gridCol w:w="1056"/>
        <w:gridCol w:w="1471"/>
        <w:gridCol w:w="2598"/>
        <w:gridCol w:w="974"/>
        <w:gridCol w:w="112"/>
      </w:tblGrid>
      <w:tr>
        <w:tblPrEx>
          <w:tblCellMar>
            <w:top w:w="0" w:type="dxa"/>
            <w:left w:w="108" w:type="dxa"/>
            <w:bottom w:w="0" w:type="dxa"/>
            <w:right w:w="108" w:type="dxa"/>
          </w:tblCellMar>
        </w:tblPrEx>
        <w:trPr>
          <w:gridBefore w:val="1"/>
          <w:gridAfter w:val="1"/>
          <w:wBefore w:w="32" w:type="pct"/>
          <w:wAfter w:w="34" w:type="pct"/>
          <w:trHeight w:val="306" w:hRule="atLeast"/>
          <w:jc w:val="center"/>
        </w:trPr>
        <w:tc>
          <w:tcPr>
            <w:tcW w:w="1751" w:type="pct"/>
            <w:gridSpan w:val="5"/>
            <w:tcBorders>
              <w:top w:val="nil"/>
              <w:left w:val="nil"/>
              <w:bottom w:val="nil"/>
              <w:right w:val="nil"/>
            </w:tcBorders>
            <w:shd w:val="clear" w:color="auto" w:fill="auto"/>
            <w:vAlign w:val="center"/>
          </w:tcPr>
          <w:p>
            <w:pPr>
              <w:widowControl/>
              <w:jc w:val="left"/>
              <w:rPr>
                <w:rFonts w:hint="eastAsia" w:ascii="宋体" w:hAnsi="宋体" w:eastAsia="宋体" w:cs="宋体"/>
                <w:color w:val="000000"/>
                <w:kern w:val="0"/>
                <w:sz w:val="20"/>
                <w:szCs w:val="20"/>
              </w:rPr>
            </w:pPr>
          </w:p>
        </w:tc>
        <w:tc>
          <w:tcPr>
            <w:tcW w:w="3180" w:type="pct"/>
            <w:gridSpan w:val="8"/>
            <w:tcBorders>
              <w:top w:val="nil"/>
              <w:left w:val="nil"/>
              <w:bottom w:val="nil"/>
              <w:right w:val="nil"/>
            </w:tcBorders>
            <w:shd w:val="clear" w:color="auto" w:fill="auto"/>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tc>
      </w:tr>
      <w:tr>
        <w:tblPrEx>
          <w:tblCellMar>
            <w:top w:w="0" w:type="dxa"/>
            <w:left w:w="108" w:type="dxa"/>
            <w:bottom w:w="0" w:type="dxa"/>
            <w:right w:w="108" w:type="dxa"/>
          </w:tblCellMar>
        </w:tblPrEx>
        <w:trPr>
          <w:gridBefore w:val="1"/>
          <w:gridAfter w:val="1"/>
          <w:wBefore w:w="32" w:type="pct"/>
          <w:wAfter w:w="34" w:type="pct"/>
          <w:trHeight w:val="306" w:hRule="atLeast"/>
          <w:jc w:val="center"/>
        </w:trPr>
        <w:tc>
          <w:tcPr>
            <w:tcW w:w="1751"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 w:val="20"/>
                <w:szCs w:val="20"/>
              </w:rPr>
            </w:pPr>
            <w:r>
              <w:rPr>
                <w:rFonts w:hint="eastAsia" w:ascii="宋体" w:hAnsi="宋体" w:eastAsia="宋体" w:cs="宋体"/>
                <w:color w:val="000000"/>
                <w:kern w:val="0"/>
                <w:sz w:val="20"/>
                <w:szCs w:val="20"/>
              </w:rPr>
              <w:t>部门：祁阳市委办公室</w:t>
            </w:r>
          </w:p>
        </w:tc>
        <w:tc>
          <w:tcPr>
            <w:tcW w:w="3180" w:type="pct"/>
            <w:gridSpan w:val="8"/>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Before w:val="1"/>
          <w:gridAfter w:val="1"/>
          <w:wBefore w:w="32" w:type="pct"/>
          <w:wAfter w:w="34" w:type="pct"/>
          <w:trHeight w:val="306" w:hRule="atLeast"/>
          <w:jc w:val="center"/>
        </w:trPr>
        <w:tc>
          <w:tcPr>
            <w:tcW w:w="175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 xml:space="preserve">项 </w:t>
            </w:r>
            <w:r>
              <w:rPr>
                <w:rFonts w:hint="eastAsia" w:ascii="宋体" w:hAnsi="宋体" w:eastAsia="宋体" w:cs="宋体"/>
                <w:bCs/>
                <w:color w:val="000000"/>
                <w:kern w:val="0"/>
                <w:sz w:val="21"/>
                <w:szCs w:val="21"/>
              </w:rPr>
              <w:t xml:space="preserve">   </w:t>
            </w:r>
            <w:r>
              <w:rPr>
                <w:rFonts w:hint="eastAsia" w:ascii="宋体" w:hAnsi="宋体" w:eastAsia="宋体" w:cs="宋体"/>
                <w:bCs/>
                <w:kern w:val="0"/>
                <w:sz w:val="21"/>
                <w:szCs w:val="21"/>
              </w:rPr>
              <w:t>目</w:t>
            </w:r>
          </w:p>
        </w:tc>
        <w:tc>
          <w:tcPr>
            <w:tcW w:w="318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本年支出</w:t>
            </w:r>
          </w:p>
        </w:tc>
      </w:tr>
      <w:tr>
        <w:tblPrEx>
          <w:tblCellMar>
            <w:top w:w="0" w:type="dxa"/>
            <w:left w:w="108" w:type="dxa"/>
            <w:bottom w:w="0" w:type="dxa"/>
            <w:right w:w="108" w:type="dxa"/>
          </w:tblCellMar>
        </w:tblPrEx>
        <w:trPr>
          <w:gridBefore w:val="1"/>
          <w:gridAfter w:val="1"/>
          <w:wBefore w:w="32" w:type="pct"/>
          <w:wAfter w:w="34" w:type="pct"/>
          <w:trHeight w:val="373"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bCs/>
                <w:kern w:val="0"/>
                <w:sz w:val="21"/>
                <w:szCs w:val="21"/>
              </w:rPr>
            </w:pPr>
            <w:r>
              <w:rPr>
                <w:rFonts w:hint="eastAsia" w:ascii="宋体" w:hAnsi="宋体" w:eastAsia="宋体" w:cs="宋体"/>
                <w:bCs/>
                <w:kern w:val="0"/>
                <w:sz w:val="21"/>
                <w:szCs w:val="21"/>
              </w:rPr>
              <w:t>功能分类科目编码</w:t>
            </w:r>
          </w:p>
        </w:tc>
        <w:tc>
          <w:tcPr>
            <w:tcW w:w="14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科目名称</w:t>
            </w:r>
          </w:p>
        </w:tc>
        <w:tc>
          <w:tcPr>
            <w:tcW w:w="96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小计</w:t>
            </w:r>
          </w:p>
        </w:tc>
        <w:tc>
          <w:tcPr>
            <w:tcW w:w="10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基本支出</w:t>
            </w:r>
          </w:p>
        </w:tc>
        <w:tc>
          <w:tcPr>
            <w:tcW w:w="1142" w:type="pct"/>
            <w:gridSpan w:val="2"/>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项目支出</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1751"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栏次</w:t>
            </w:r>
          </w:p>
        </w:tc>
        <w:tc>
          <w:tcPr>
            <w:tcW w:w="96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6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142"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1751"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1431.63</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835.56</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596.07</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一般公共服务支出</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1246.89</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650.82</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政府办公厅（室）及相关机构事务</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56.74</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56.74</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2010301</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55.00</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55.00</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2010302</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1.74</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1.74</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党委办公厅（室）及相关机构事务</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1088.12</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492.04</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2013101</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行政运行</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492.04</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492.04</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2013102</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一般行政管理事务</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596.07</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596.07</w:t>
            </w: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其他一般公共服务支出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102.03</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2019999</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其他一般公共服务支出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102.03</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102.03</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社会保障和就业支出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76.02</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76.02</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行政事业单位养老支出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54.88</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2080505</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机关事业单位基本养老保险缴费支出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54.88</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54.88</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抚恤</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21.15</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21.15</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2080801</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死亡抚恤</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15.15</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15.15</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2080899</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其他优抚支出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6.00</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卫生健康支出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25.75</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行政事业单位医疗</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25.75</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2101101</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行政单位医疗</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25.75</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25.75</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w:t>
            </w:r>
          </w:p>
        </w:tc>
        <w:tc>
          <w:tcPr>
            <w:tcW w:w="1410" w:type="pct"/>
            <w:gridSpan w:val="3"/>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住房保障支出</w:t>
            </w:r>
          </w:p>
        </w:tc>
        <w:tc>
          <w:tcPr>
            <w:tcW w:w="969"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1068" w:type="pct"/>
            <w:gridSpan w:val="3"/>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82.97</w:t>
            </w:r>
          </w:p>
        </w:tc>
        <w:tc>
          <w:tcPr>
            <w:tcW w:w="1142" w:type="pct"/>
            <w:gridSpan w:val="2"/>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w:t>
            </w:r>
          </w:p>
        </w:tc>
        <w:tc>
          <w:tcPr>
            <w:tcW w:w="1410" w:type="pct"/>
            <w:gridSpan w:val="3"/>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住房改革支出</w:t>
            </w:r>
          </w:p>
        </w:tc>
        <w:tc>
          <w:tcPr>
            <w:tcW w:w="969"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1068" w:type="pct"/>
            <w:gridSpan w:val="3"/>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82.97</w:t>
            </w:r>
          </w:p>
        </w:tc>
        <w:tc>
          <w:tcPr>
            <w:tcW w:w="1142" w:type="pct"/>
            <w:gridSpan w:val="2"/>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2210201</w:t>
            </w:r>
          </w:p>
        </w:tc>
        <w:tc>
          <w:tcPr>
            <w:tcW w:w="141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rPr>
              <w:t xml:space="preserve">  住房公积金</w:t>
            </w:r>
          </w:p>
        </w:tc>
        <w:tc>
          <w:tcPr>
            <w:tcW w:w="96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82.97</w:t>
            </w:r>
          </w:p>
        </w:tc>
        <w:tc>
          <w:tcPr>
            <w:tcW w:w="106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eastAsia="宋体" w:cs="宋体"/>
                <w:sz w:val="21"/>
                <w:szCs w:val="21"/>
              </w:rPr>
              <w:t>82.97</w:t>
            </w:r>
          </w:p>
        </w:tc>
        <w:tc>
          <w:tcPr>
            <w:tcW w:w="11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gridBefore w:val="1"/>
          <w:gridAfter w:val="1"/>
          <w:wBefore w:w="32" w:type="pct"/>
          <w:wAfter w:w="34" w:type="pct"/>
          <w:trHeight w:val="331" w:hRule="atLeast"/>
          <w:jc w:val="center"/>
        </w:trPr>
        <w:tc>
          <w:tcPr>
            <w:tcW w:w="4932" w:type="pct"/>
            <w:gridSpan w:val="13"/>
            <w:tcBorders>
              <w:top w:val="single" w:color="auto" w:sz="4" w:space="0"/>
              <w:left w:val="nil"/>
              <w:bottom w:val="nil"/>
              <w:right w:val="nil"/>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注：本表反映部门本年度一般公共预算财政拨款支出情况。</w:t>
            </w:r>
          </w:p>
          <w:p>
            <w:pPr>
              <w:pStyle w:val="2"/>
              <w:rPr>
                <w:rFonts w:hint="eastAsia"/>
              </w:rPr>
            </w:pP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 w:val="32"/>
                <w:szCs w:val="32"/>
              </w:rPr>
            </w:pPr>
            <w:bookmarkStart w:id="2" w:name="RANGE!A1:I34"/>
            <w:r>
              <w:rPr>
                <w:rFonts w:hint="eastAsia" w:ascii="宋体" w:hAnsi="宋体" w:eastAsia="宋体" w:cs="宋体"/>
                <w:b/>
                <w:bCs/>
                <w:color w:val="000000"/>
                <w:kern w:val="0"/>
                <w:sz w:val="32"/>
                <w:szCs w:val="32"/>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tc>
      </w:tr>
      <w:tr>
        <w:tblPrEx>
          <w:tblCellMar>
            <w:top w:w="0" w:type="dxa"/>
            <w:left w:w="108" w:type="dxa"/>
            <w:bottom w:w="0" w:type="dxa"/>
            <w:right w:w="108" w:type="dxa"/>
          </w:tblCellMar>
        </w:tblPrEx>
        <w:trPr>
          <w:trHeight w:val="113" w:hRule="atLeast"/>
          <w:jc w:val="center"/>
        </w:trPr>
        <w:tc>
          <w:tcPr>
            <w:tcW w:w="1696" w:type="pct"/>
            <w:gridSpan w:val="5"/>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部门：祁阳市委办公室</w:t>
            </w:r>
          </w:p>
        </w:tc>
        <w:tc>
          <w:tcPr>
            <w:tcW w:w="321"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rPr>
            </w:pPr>
          </w:p>
        </w:tc>
        <w:tc>
          <w:tcPr>
            <w:tcW w:w="656"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rPr>
            </w:pPr>
          </w:p>
        </w:tc>
        <w:tc>
          <w:tcPr>
            <w:tcW w:w="338" w:type="pct"/>
            <w:gridSpan w:val="2"/>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rPr>
            </w:pPr>
          </w:p>
        </w:tc>
        <w:tc>
          <w:tcPr>
            <w:tcW w:w="338"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 w:val="20"/>
                <w:szCs w:val="20"/>
              </w:rPr>
            </w:pPr>
          </w:p>
        </w:tc>
        <w:tc>
          <w:tcPr>
            <w:tcW w:w="1649" w:type="pct"/>
            <w:gridSpan w:val="4"/>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113" w:hRule="atLeast"/>
          <w:jc w:val="center"/>
        </w:trPr>
        <w:tc>
          <w:tcPr>
            <w:tcW w:w="32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经济分类科目编码</w:t>
            </w:r>
          </w:p>
        </w:tc>
        <w:tc>
          <w:tcPr>
            <w:tcW w:w="10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3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经济分类科目编码</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3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经济分类科目编码</w:t>
            </w:r>
          </w:p>
        </w:tc>
        <w:tc>
          <w:tcPr>
            <w:tcW w:w="13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r>
      <w:tr>
        <w:tblPrEx>
          <w:tblCellMar>
            <w:top w:w="0" w:type="dxa"/>
            <w:left w:w="108" w:type="dxa"/>
            <w:bottom w:w="0" w:type="dxa"/>
            <w:right w:w="108" w:type="dxa"/>
          </w:tblCellMar>
        </w:tblPrEx>
        <w:trPr>
          <w:trHeight w:val="284" w:hRule="exact"/>
          <w:jc w:val="center"/>
        </w:trPr>
        <w:tc>
          <w:tcPr>
            <w:tcW w:w="32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w:t>
            </w:r>
          </w:p>
        </w:tc>
        <w:tc>
          <w:tcPr>
            <w:tcW w:w="103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工资福利支出</w:t>
            </w:r>
          </w:p>
        </w:tc>
        <w:tc>
          <w:tcPr>
            <w:tcW w:w="10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653.70</w:t>
            </w:r>
          </w:p>
        </w:tc>
        <w:tc>
          <w:tcPr>
            <w:tcW w:w="32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w:t>
            </w:r>
          </w:p>
        </w:tc>
        <w:tc>
          <w:tcPr>
            <w:tcW w:w="65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商品和服务支出</w:t>
            </w:r>
          </w:p>
        </w:tc>
        <w:tc>
          <w:tcPr>
            <w:tcW w:w="105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160.71</w:t>
            </w:r>
          </w:p>
        </w:tc>
        <w:tc>
          <w:tcPr>
            <w:tcW w:w="338"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307</w:t>
            </w:r>
          </w:p>
        </w:tc>
        <w:tc>
          <w:tcPr>
            <w:tcW w:w="130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债务利息及费用支出</w:t>
            </w:r>
          </w:p>
        </w:tc>
        <w:tc>
          <w:tcPr>
            <w:tcW w:w="1086" w:type="dxa"/>
            <w:gridSpan w:val="2"/>
            <w:tcBorders>
              <w:top w:val="single" w:color="auto" w:sz="4" w:space="0"/>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30101</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基本工资</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265.13</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28.59</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30701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国内债务付息</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30102</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津贴补贴</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129.36</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30202</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印刷费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7.70</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30702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国外债务付息</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30103</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奖金</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85.63</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30203</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咨询费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资本性支出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30106</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伙食补助费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手续费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房屋建筑物购建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30107</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绩效工资</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水费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办公设备购置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30108</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机关事业单位基本养老保险缴费</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54.88</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电费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31003</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专用设备购置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30109</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职业年金缴费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邮电费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31005</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基础设施建设</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30110</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职工基本医疗保险缴费</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25.75</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取暖费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31006</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大型修缮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30111</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公务员医疗补助缴费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30209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物业管理费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31007</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信息网络及软件购置更新</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30112</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其他社会保障缴费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差旅费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9.10</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31008</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物资储备</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30113</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住房公积金</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82.97</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30212</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因公出国（境）费用</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31009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土地补偿</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30114</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30213</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维修（护）费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18.50</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31010</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安置补助</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30199</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其他工资福利支出</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租赁费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地上附着物和青苗补偿</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对个人和家庭的补助</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21.15</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会议费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12.87</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拆迁补偿</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30301</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离休费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培训费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3.45</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31013</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30302</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退休费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公务接待费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9.52</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31019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其他交通工具购置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30303</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退职（役）费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30218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专用材料费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31021</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文物和陈列品购置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30304</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抚恤金</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21.15</w:t>
            </w: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30224</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被装购置费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31022</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无形资产购置</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30305</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生活补助</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30225</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专用燃料费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31099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其他资本性支出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30306</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救济费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30226</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劳务费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其他支出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30307</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医疗费补助</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30227</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委托业务费</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39906</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赠与</w:t>
            </w:r>
          </w:p>
        </w:tc>
        <w:tc>
          <w:tcPr>
            <w:tcW w:w="1086"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30308</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助学金</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30228</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工会经费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18.65</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39907</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国家赔偿费用支出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30309</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奖励金</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30229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福利费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8.14</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39908</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对民间非营利组织和群众性自治组织补贴</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30310</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个人农业生产补贴</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30231</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公务用车运行维护费</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15.62</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39999</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其他支出</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30311</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代缴社会保险费</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30239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其他交通费用</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26.63</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30399</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其他对个人和家庭的补助</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30240</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税金及附加费用</w:t>
            </w:r>
          </w:p>
        </w:tc>
        <w:tc>
          <w:tcPr>
            <w:tcW w:w="105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320"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3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59"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c>
          <w:tcPr>
            <w:tcW w:w="32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30299</w:t>
            </w:r>
          </w:p>
        </w:tc>
        <w:tc>
          <w:tcPr>
            <w:tcW w:w="65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其他商品和服务支出</w:t>
            </w:r>
          </w:p>
        </w:tc>
        <w:tc>
          <w:tcPr>
            <w:tcW w:w="105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0.74</w:t>
            </w:r>
          </w:p>
        </w:tc>
        <w:tc>
          <w:tcPr>
            <w:tcW w:w="33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30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086" w:type="dxa"/>
            <w:gridSpan w:val="2"/>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284" w:hRule="exact"/>
          <w:jc w:val="center"/>
        </w:trPr>
        <w:tc>
          <w:tcPr>
            <w:tcW w:w="13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人员经费合计</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674.85</w:t>
            </w:r>
          </w:p>
        </w:tc>
        <w:tc>
          <w:tcPr>
            <w:tcW w:w="2956" w:type="pct"/>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公用经费合计</w:t>
            </w:r>
          </w:p>
        </w:tc>
        <w:tc>
          <w:tcPr>
            <w:tcW w:w="1086"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160.71</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注：本表反映部门本年度一般公共预算财政拨款基本支出明细情况。</w:t>
            </w:r>
          </w:p>
        </w:tc>
      </w:tr>
    </w:tbl>
    <w:p>
      <w:pPr>
        <w:widowControl/>
        <w:jc w:val="center"/>
        <w:rPr>
          <w:rFonts w:hint="eastAsia" w:ascii="宋体" w:hAnsi="宋体" w:eastAsia="宋体" w:cs="宋体"/>
          <w:color w:val="000000"/>
          <w:kern w:val="0"/>
          <w:sz w:val="32"/>
          <w:szCs w:val="32"/>
        </w:rPr>
      </w:pPr>
    </w:p>
    <w:p>
      <w:pPr>
        <w:widowControl/>
        <w:jc w:val="center"/>
        <w:rPr>
          <w:rFonts w:hint="default" w:ascii="Times New Roman" w:hAnsi="Times New Roman" w:eastAsia="仿宋_GB2312" w:cs="Times New Roman"/>
          <w:color w:val="000000"/>
          <w:kern w:val="0"/>
          <w:szCs w:val="21"/>
        </w:rPr>
      </w:pPr>
      <w:r>
        <w:rPr>
          <w:rFonts w:hint="eastAsia" w:ascii="宋体" w:hAnsi="宋体" w:eastAsia="宋体" w:cs="宋体"/>
          <w:b/>
          <w:bCs/>
          <w:color w:val="000000"/>
          <w:kern w:val="0"/>
          <w:sz w:val="32"/>
          <w:szCs w:val="32"/>
        </w:rPr>
        <w:t xml:space="preserve">一般公共预算财政拨款“三公”经费支出决算表           </w:t>
      </w:r>
      <w:r>
        <w:rPr>
          <w:rFonts w:hint="default" w:ascii="Times New Roman" w:hAnsi="Times New Roman" w:eastAsia="仿宋_GB2312" w:cs="Times New Roman"/>
          <w:color w:val="000000"/>
          <w:kern w:val="0"/>
          <w:szCs w:val="21"/>
        </w:rPr>
        <w:t xml:space="preserve">                                                                                                                   </w:t>
      </w:r>
    </w:p>
    <w:tbl>
      <w:tblPr>
        <w:tblStyle w:val="9"/>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pPr>
              <w:widowControl/>
              <w:jc w:val="center"/>
              <w:rPr>
                <w:rFonts w:hint="eastAsia" w:ascii="宋体" w:hAnsi="宋体" w:eastAsia="宋体" w:cs="宋体"/>
                <w:kern w:val="0"/>
                <w:sz w:val="20"/>
                <w:szCs w:val="20"/>
              </w:rPr>
            </w:pPr>
          </w:p>
        </w:tc>
        <w:tc>
          <w:tcPr>
            <w:tcW w:w="2506" w:type="pct"/>
            <w:gridSpan w:val="6"/>
            <w:tcBorders>
              <w:top w:val="nil"/>
              <w:left w:val="nil"/>
              <w:bottom w:val="nil"/>
              <w:right w:val="nil"/>
            </w:tcBorders>
            <w:shd w:val="clear" w:color="auto" w:fill="auto"/>
            <w:vAlign w:val="center"/>
          </w:tcPr>
          <w:p>
            <w:pPr>
              <w:widowControl/>
              <w:jc w:val="right"/>
              <w:rPr>
                <w:rFonts w:hint="eastAsia" w:ascii="宋体" w:hAnsi="宋体" w:eastAsia="宋体" w:cs="宋体"/>
                <w:kern w:val="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部门：祁阳市委办公室</w:t>
            </w:r>
          </w:p>
        </w:tc>
        <w:tc>
          <w:tcPr>
            <w:tcW w:w="2506" w:type="pct"/>
            <w:gridSpan w:val="6"/>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97"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w:t>
            </w:r>
          </w:p>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w:t>
            </w:r>
          </w:p>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420" w:type="pct"/>
            <w:vMerge w:val="continue"/>
            <w:tcBorders>
              <w:top w:val="single" w:color="auto" w:sz="4" w:space="0"/>
              <w:left w:val="nil"/>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公务用车</w:t>
            </w:r>
            <w:r>
              <w:rPr>
                <w:rFonts w:hint="eastAsia" w:ascii="宋体" w:hAnsi="宋体" w:eastAsia="宋体" w:cs="宋体"/>
                <w:kern w:val="0"/>
                <w:sz w:val="21"/>
                <w:szCs w:val="21"/>
              </w:rPr>
              <w:br w:type="textWrapping"/>
            </w:r>
            <w:r>
              <w:rPr>
                <w:rFonts w:hint="eastAsia" w:ascii="宋体" w:hAnsi="宋体" w:eastAsia="宋体" w:cs="宋体"/>
                <w:kern w:val="0"/>
                <w:sz w:val="21"/>
                <w:szCs w:val="21"/>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2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21"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01" w:type="pct"/>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r>
      <w:tr>
        <w:tblPrEx>
          <w:tblCellMar>
            <w:top w:w="0" w:type="dxa"/>
            <w:left w:w="108" w:type="dxa"/>
            <w:bottom w:w="0" w:type="dxa"/>
            <w:right w:w="108" w:type="dxa"/>
          </w:tblCellMar>
        </w:tblPrEx>
        <w:trPr>
          <w:trHeight w:val="397"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30.00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p>
        </w:tc>
        <w:tc>
          <w:tcPr>
            <w:tcW w:w="1296"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19.00</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p>
        </w:tc>
        <w:tc>
          <w:tcPr>
            <w:tcW w:w="1305"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19.00</w:t>
            </w:r>
          </w:p>
        </w:tc>
        <w:tc>
          <w:tcPr>
            <w:tcW w:w="1324"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11.00</w:t>
            </w:r>
          </w:p>
        </w:tc>
        <w:tc>
          <w:tcPr>
            <w:tcW w:w="1296"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25.14</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p>
        </w:tc>
        <w:tc>
          <w:tcPr>
            <w:tcW w:w="1296"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15.62</w:t>
            </w:r>
          </w:p>
        </w:tc>
        <w:tc>
          <w:tcPr>
            <w:tcW w:w="1296" w:type="dxa"/>
            <w:tcBorders>
              <w:top w:val="nil"/>
              <w:left w:val="nil"/>
              <w:bottom w:val="single" w:color="auto" w:sz="8" w:space="0"/>
              <w:right w:val="single" w:color="auto" w:sz="4" w:space="0"/>
            </w:tcBorders>
            <w:shd w:val="clear" w:color="auto" w:fill="auto"/>
            <w:vAlign w:val="center"/>
          </w:tcPr>
          <w:p>
            <w:pPr>
              <w:jc w:val="center"/>
              <w:rPr>
                <w:rFonts w:hint="eastAsia" w:ascii="宋体" w:hAnsi="宋体" w:eastAsia="宋体" w:cs="宋体"/>
                <w:kern w:val="0"/>
                <w:sz w:val="21"/>
                <w:szCs w:val="21"/>
              </w:rPr>
            </w:pPr>
          </w:p>
        </w:tc>
        <w:tc>
          <w:tcPr>
            <w:tcW w:w="1305" w:type="dxa"/>
            <w:tcBorders>
              <w:top w:val="nil"/>
              <w:left w:val="nil"/>
              <w:bottom w:val="single" w:color="auto" w:sz="8" w:space="0"/>
              <w:right w:val="nil"/>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15.62</w:t>
            </w:r>
          </w:p>
        </w:tc>
        <w:tc>
          <w:tcPr>
            <w:tcW w:w="1242" w:type="dxa"/>
            <w:tcBorders>
              <w:top w:val="nil"/>
              <w:left w:val="single" w:color="auto" w:sz="4" w:space="0"/>
              <w:bottom w:val="single" w:color="auto" w:sz="8" w:space="0"/>
              <w:right w:val="single" w:color="auto" w:sz="8" w:space="0"/>
            </w:tcBorders>
            <w:shd w:val="clear" w:color="auto" w:fill="auto"/>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9.52</w:t>
            </w:r>
          </w:p>
        </w:tc>
      </w:tr>
    </w:tbl>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br w:type="page"/>
      </w:r>
    </w:p>
    <w:p>
      <w:pPr>
        <w:pStyle w:val="2"/>
        <w:rPr>
          <w:rFonts w:hint="default" w:ascii="Times New Roman" w:hAnsi="Times New Roman" w:eastAsia="仿宋_GB2312" w:cs="Times New Roman"/>
          <w:sz w:val="18"/>
          <w:szCs w:val="18"/>
        </w:rPr>
      </w:pPr>
    </w:p>
    <w:p>
      <w:pPr>
        <w:widowControl/>
        <w:jc w:val="center"/>
        <w:rPr>
          <w:rFonts w:hint="default" w:ascii="Times New Roman" w:hAnsi="Times New Roman" w:eastAsia="仿宋_GB2312" w:cs="Times New Roman"/>
          <w:color w:val="000000"/>
          <w:kern w:val="0"/>
          <w:szCs w:val="21"/>
        </w:rPr>
      </w:pPr>
      <w:r>
        <w:rPr>
          <w:rFonts w:hint="eastAsia" w:ascii="宋体" w:hAnsi="宋体" w:eastAsia="宋体" w:cs="宋体"/>
          <w:b/>
          <w:bCs/>
          <w:kern w:val="0"/>
          <w:sz w:val="32"/>
          <w:szCs w:val="32"/>
        </w:rPr>
        <w:t>政府性基金预算财政拨款收入支出决算表</w:t>
      </w:r>
      <w:r>
        <w:rPr>
          <w:rFonts w:hint="eastAsia" w:ascii="宋体" w:hAnsi="宋体" w:eastAsia="宋体" w:cs="宋体"/>
          <w:b/>
          <w:bCs/>
          <w:color w:val="000000"/>
          <w:kern w:val="0"/>
          <w:sz w:val="32"/>
          <w:szCs w:val="32"/>
        </w:rPr>
        <w:t xml:space="preserve">   </w:t>
      </w:r>
      <w:r>
        <w:rPr>
          <w:rFonts w:hint="default" w:ascii="Times New Roman" w:hAnsi="Times New Roman" w:eastAsia="仿宋_GB2312" w:cs="Times New Roman"/>
          <w:color w:val="000000"/>
          <w:kern w:val="0"/>
          <w:szCs w:val="21"/>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9"/>
        <w:gridCol w:w="4087"/>
        <w:gridCol w:w="1716"/>
        <w:gridCol w:w="1716"/>
        <w:gridCol w:w="1710"/>
        <w:gridCol w:w="1716"/>
        <w:gridCol w:w="1738"/>
        <w:gridCol w:w="17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rPr>
            </w:pPr>
          </w:p>
        </w:tc>
        <w:tc>
          <w:tcPr>
            <w:tcW w:w="556"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rPr>
            </w:pPr>
          </w:p>
        </w:tc>
        <w:tc>
          <w:tcPr>
            <w:tcW w:w="556" w:type="pct"/>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rPr>
            </w:pPr>
          </w:p>
        </w:tc>
        <w:tc>
          <w:tcPr>
            <w:tcW w:w="1673" w:type="pct"/>
            <w:gridSpan w:val="3"/>
            <w:tcBorders>
              <w:top w:val="nil"/>
              <w:left w:val="nil"/>
              <w:bottom w:val="nil"/>
              <w:right w:val="nil"/>
            </w:tcBorders>
            <w:shd w:val="clear" w:color="auto" w:fill="auto"/>
            <w:vAlign w:val="center"/>
          </w:tcPr>
          <w:p>
            <w:pPr>
              <w:widowControl/>
              <w:jc w:val="center"/>
              <w:rPr>
                <w:rFonts w:hint="eastAsia" w:ascii="宋体" w:hAnsi="宋体" w:eastAsia="宋体" w:cs="宋体"/>
                <w:b/>
                <w:kern w:val="0"/>
                <w:sz w:val="20"/>
                <w:szCs w:val="20"/>
              </w:rPr>
            </w:pPr>
          </w:p>
        </w:tc>
        <w:tc>
          <w:tcPr>
            <w:tcW w:w="562" w:type="pct"/>
            <w:tcBorders>
              <w:top w:val="nil"/>
              <w:left w:val="nil"/>
              <w:bottom w:val="nil"/>
              <w:right w:val="nil"/>
            </w:tcBorders>
            <w:shd w:val="clear" w:color="auto" w:fill="auto"/>
            <w:vAlign w:val="center"/>
          </w:tcPr>
          <w:p>
            <w:pPr>
              <w:widowControl/>
              <w:jc w:val="right"/>
              <w:rPr>
                <w:rFonts w:hint="eastAsia" w:ascii="宋体" w:hAnsi="宋体" w:eastAsia="宋体" w:cs="宋体"/>
                <w:b/>
                <w:kern w:val="0"/>
                <w:sz w:val="20"/>
                <w:szCs w:val="20"/>
              </w:rPr>
            </w:pPr>
            <w:r>
              <w:rPr>
                <w:rFonts w:hint="eastAsia" w:ascii="宋体" w:hAnsi="宋体" w:eastAsia="宋体" w:cs="宋体"/>
                <w:color w:val="000000"/>
                <w:kern w:val="0"/>
                <w:sz w:val="20"/>
                <w:szCs w:val="20"/>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kern w:val="0"/>
                <w:sz w:val="20"/>
                <w:szCs w:val="20"/>
              </w:rPr>
            </w:pPr>
            <w:r>
              <w:rPr>
                <w:rFonts w:hint="eastAsia" w:ascii="宋体" w:hAnsi="宋体" w:eastAsia="宋体" w:cs="宋体"/>
                <w:color w:val="000000"/>
                <w:kern w:val="0"/>
                <w:sz w:val="20"/>
                <w:szCs w:val="20"/>
              </w:rPr>
              <w:t>部门：祁阳市委办公室</w:t>
            </w:r>
          </w:p>
        </w:tc>
        <w:tc>
          <w:tcPr>
            <w:tcW w:w="556"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rPr>
            </w:pPr>
          </w:p>
        </w:tc>
        <w:tc>
          <w:tcPr>
            <w:tcW w:w="556" w:type="pct"/>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b/>
                <w:kern w:val="0"/>
                <w:sz w:val="20"/>
                <w:szCs w:val="20"/>
              </w:rPr>
            </w:pPr>
          </w:p>
        </w:tc>
        <w:tc>
          <w:tcPr>
            <w:tcW w:w="562" w:type="pct"/>
            <w:tcBorders>
              <w:top w:val="nil"/>
              <w:left w:val="nil"/>
              <w:bottom w:val="single" w:color="auto" w:sz="4" w:space="0"/>
              <w:right w:val="nil"/>
            </w:tcBorders>
            <w:shd w:val="clear" w:color="auto" w:fill="auto"/>
            <w:vAlign w:val="center"/>
          </w:tcPr>
          <w:p>
            <w:pPr>
              <w:widowControl/>
              <w:jc w:val="right"/>
              <w:rPr>
                <w:rFonts w:hint="eastAsia" w:ascii="宋体" w:hAnsi="宋体" w:eastAsia="宋体" w:cs="宋体"/>
                <w:b/>
                <w:kern w:val="0"/>
                <w:sz w:val="20"/>
                <w:szCs w:val="20"/>
              </w:rPr>
            </w:pPr>
            <w:r>
              <w:rPr>
                <w:rFonts w:hint="eastAsia" w:ascii="宋体" w:hAnsi="宋体" w:eastAsia="宋体" w:cs="宋体"/>
                <w:color w:val="000000"/>
                <w:kern w:val="0"/>
                <w:sz w:val="20"/>
                <w:szCs w:val="20"/>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 xml:space="preserve">项 </w:t>
            </w:r>
            <w:r>
              <w:rPr>
                <w:rFonts w:hint="eastAsia" w:ascii="宋体" w:hAnsi="宋体" w:eastAsia="宋体" w:cs="宋体"/>
                <w:bCs/>
                <w:color w:val="000000"/>
                <w:kern w:val="0"/>
                <w:sz w:val="21"/>
                <w:szCs w:val="21"/>
              </w:rPr>
              <w:t xml:space="preserve">   </w:t>
            </w:r>
            <w:r>
              <w:rPr>
                <w:rFonts w:hint="eastAsia" w:ascii="宋体" w:hAnsi="宋体" w:eastAsia="宋体" w:cs="宋体"/>
                <w:bCs/>
                <w:kern w:val="0"/>
                <w:sz w:val="21"/>
                <w:szCs w:val="21"/>
              </w:rPr>
              <w:t>目</w:t>
            </w: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年初结转和结余</w:t>
            </w: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本年支出</w:t>
            </w:r>
          </w:p>
        </w:tc>
        <w:tc>
          <w:tcPr>
            <w:tcW w:w="5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功能分类科目编码</w:t>
            </w:r>
          </w:p>
        </w:tc>
        <w:tc>
          <w:tcPr>
            <w:tcW w:w="1323"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科目名称</w:t>
            </w: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4"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小计</w:t>
            </w:r>
          </w:p>
        </w:tc>
        <w:tc>
          <w:tcPr>
            <w:tcW w:w="556"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 xml:space="preserve">基本支出  </w:t>
            </w:r>
          </w:p>
        </w:tc>
        <w:tc>
          <w:tcPr>
            <w:tcW w:w="561" w:type="pct"/>
            <w:vMerge w:val="restart"/>
            <w:tcBorders>
              <w:top w:val="single" w:color="auto" w:sz="4" w:space="0"/>
              <w:bottom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项目支出</w:t>
            </w:r>
          </w:p>
        </w:tc>
        <w:tc>
          <w:tcPr>
            <w:tcW w:w="562"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1323"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4"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61"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62"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1323"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4"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56"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61" w:type="pct"/>
            <w:vMerge w:val="continue"/>
            <w:tcBorders>
              <w:top w:val="single" w:color="auto" w:sz="4" w:space="0"/>
              <w:bottom w:val="single" w:color="auto" w:sz="4" w:space="0"/>
            </w:tcBorders>
            <w:vAlign w:val="center"/>
          </w:tcPr>
          <w:p>
            <w:pPr>
              <w:widowControl/>
              <w:jc w:val="left"/>
              <w:rPr>
                <w:rFonts w:hint="eastAsia" w:ascii="宋体" w:hAnsi="宋体" w:eastAsia="宋体" w:cs="宋体"/>
                <w:bCs/>
                <w:kern w:val="0"/>
                <w:sz w:val="21"/>
                <w:szCs w:val="21"/>
              </w:rPr>
            </w:pPr>
          </w:p>
        </w:tc>
        <w:tc>
          <w:tcPr>
            <w:tcW w:w="562" w:type="pct"/>
            <w:vMerge w:val="continue"/>
            <w:tcBorders>
              <w:top w:val="single" w:color="auto" w:sz="4" w:space="0"/>
              <w:bottom w:val="single" w:color="auto" w:sz="4" w:space="0"/>
              <w:right w:val="single" w:color="auto" w:sz="4" w:space="0"/>
            </w:tcBorders>
            <w:vAlign w:val="center"/>
          </w:tcPr>
          <w:p>
            <w:pPr>
              <w:widowControl/>
              <w:jc w:val="left"/>
              <w:rPr>
                <w:rFonts w:hint="eastAsia" w:ascii="宋体" w:hAnsi="宋体" w:eastAsia="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栏次</w:t>
            </w:r>
          </w:p>
        </w:tc>
        <w:tc>
          <w:tcPr>
            <w:tcW w:w="556"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556"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2</w:t>
            </w:r>
          </w:p>
        </w:tc>
        <w:tc>
          <w:tcPr>
            <w:tcW w:w="554"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3</w:t>
            </w:r>
          </w:p>
        </w:tc>
        <w:tc>
          <w:tcPr>
            <w:tcW w:w="556"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4</w:t>
            </w:r>
          </w:p>
        </w:tc>
        <w:tc>
          <w:tcPr>
            <w:tcW w:w="561"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5</w:t>
            </w:r>
          </w:p>
        </w:tc>
        <w:tc>
          <w:tcPr>
            <w:tcW w:w="562" w:type="pct"/>
            <w:tcBorders>
              <w:top w:val="single" w:color="auto" w:sz="4" w:space="0"/>
            </w:tcBorders>
            <w:shd w:val="clear" w:color="auto" w:fill="auto"/>
            <w:vAlign w:val="center"/>
          </w:tcPr>
          <w:p>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3348" w:type="pct"/>
            <w:gridSpan w:val="6"/>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本单位没有政府性基金收入，也没有使用政府性基金安排的支出，故本表无数据。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27"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323"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4"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1"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62"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bl>
    <w:p>
      <w:pPr>
        <w:widowControl/>
        <w:jc w:val="left"/>
        <w:rPr>
          <w:rFonts w:hint="default" w:ascii="Times New Roman" w:hAnsi="Times New Roman" w:eastAsia="仿宋_GB2312" w:cs="Times New Roman"/>
          <w:kern w:val="0"/>
          <w:sz w:val="18"/>
          <w:szCs w:val="18"/>
        </w:rPr>
      </w:pPr>
      <w:r>
        <w:rPr>
          <w:rFonts w:hint="eastAsia" w:ascii="宋体" w:hAnsi="宋体" w:eastAsia="宋体" w:cs="宋体"/>
          <w:kern w:val="0"/>
          <w:sz w:val="21"/>
          <w:szCs w:val="21"/>
        </w:rPr>
        <w:t>注：本表反映部门本年度政府性基金预算财政拨款收入、支出及结转和结余情况。</w:t>
      </w:r>
    </w:p>
    <w:p>
      <w:pPr>
        <w:widowControl/>
        <w:jc w:val="left"/>
        <w:rPr>
          <w:rFonts w:hint="default" w:ascii="Times New Roman" w:hAnsi="Times New Roman" w:eastAsia="仿宋_GB2312" w:cs="Times New Roman"/>
          <w:color w:val="FF0000"/>
          <w:kern w:val="0"/>
          <w:sz w:val="18"/>
          <w:szCs w:val="18"/>
        </w:rPr>
      </w:pPr>
    </w:p>
    <w:p>
      <w:pPr>
        <w:widowControl/>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br w:type="page"/>
      </w:r>
    </w:p>
    <w:tbl>
      <w:tblPr>
        <w:tblStyle w:val="9"/>
        <w:tblW w:w="4918" w:type="pct"/>
        <w:tblInd w:w="114" w:type="dxa"/>
        <w:tblLayout w:type="autofit"/>
        <w:tblCellMar>
          <w:top w:w="0" w:type="dxa"/>
          <w:left w:w="108" w:type="dxa"/>
          <w:bottom w:w="0" w:type="dxa"/>
          <w:right w:w="108" w:type="dxa"/>
        </w:tblCellMar>
      </w:tblPr>
      <w:tblGrid>
        <w:gridCol w:w="974"/>
        <w:gridCol w:w="4518"/>
        <w:gridCol w:w="3317"/>
        <w:gridCol w:w="3317"/>
        <w:gridCol w:w="3232"/>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hint="default" w:ascii="Times New Roman" w:hAnsi="Times New Roman" w:eastAsia="仿宋_GB2312" w:cs="Times New Roman"/>
                <w:kern w:val="0"/>
                <w:sz w:val="32"/>
                <w:szCs w:val="32"/>
              </w:rPr>
            </w:pPr>
            <w:r>
              <w:rPr>
                <w:rFonts w:hint="eastAsia" w:ascii="宋体" w:hAnsi="宋体" w:eastAsia="宋体" w:cs="宋体"/>
                <w:b/>
                <w:bCs/>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788" w:type="pct"/>
            <w:gridSpan w:val="2"/>
            <w:tcBorders>
              <w:top w:val="nil"/>
              <w:left w:val="nil"/>
              <w:bottom w:val="nil"/>
              <w:right w:val="nil"/>
            </w:tcBorders>
            <w:shd w:val="clear" w:color="000000" w:fill="FFFFFF"/>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0"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0" w:type="pct"/>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788" w:type="pct"/>
            <w:gridSpan w:val="2"/>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0"/>
                <w:szCs w:val="20"/>
              </w:rPr>
            </w:pPr>
            <w:r>
              <w:rPr>
                <w:rFonts w:hint="eastAsia" w:ascii="宋体" w:hAnsi="宋体" w:eastAsia="宋体" w:cs="宋体"/>
                <w:color w:val="000000"/>
                <w:kern w:val="0"/>
                <w:sz w:val="20"/>
                <w:szCs w:val="20"/>
              </w:rPr>
              <w:t>部门：祁阳市委办公室</w:t>
            </w:r>
          </w:p>
        </w:tc>
        <w:tc>
          <w:tcPr>
            <w:tcW w:w="1080"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80" w:type="pct"/>
            <w:tcBorders>
              <w:top w:val="nil"/>
              <w:left w:val="nil"/>
              <w:bottom w:val="single" w:color="auto" w:sz="8" w:space="0"/>
              <w:right w:val="nil"/>
            </w:tcBorders>
            <w:shd w:val="clear" w:color="000000" w:fill="FFFFFF"/>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049" w:type="pct"/>
            <w:tcBorders>
              <w:top w:val="nil"/>
              <w:left w:val="nil"/>
              <w:bottom w:val="nil"/>
              <w:right w:val="nil"/>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1788"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项 </w:t>
            </w:r>
            <w:r>
              <w:rPr>
                <w:rFonts w:hint="eastAsia" w:ascii="宋体" w:hAnsi="宋体" w:eastAsia="宋体" w:cs="宋体"/>
                <w:color w:val="000000"/>
                <w:kern w:val="0"/>
                <w:sz w:val="21"/>
                <w:szCs w:val="21"/>
              </w:rPr>
              <w:t xml:space="preserve">   </w:t>
            </w:r>
            <w:r>
              <w:rPr>
                <w:rFonts w:hint="eastAsia" w:ascii="宋体" w:hAnsi="宋体" w:eastAsia="宋体" w:cs="宋体"/>
                <w:kern w:val="0"/>
                <w:sz w:val="21"/>
                <w:szCs w:val="21"/>
              </w:rPr>
              <w:t>目</w:t>
            </w:r>
          </w:p>
        </w:tc>
        <w:tc>
          <w:tcPr>
            <w:tcW w:w="3211"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本年支出</w:t>
            </w:r>
          </w:p>
        </w:tc>
      </w:tr>
      <w:tr>
        <w:tblPrEx>
          <w:tblCellMar>
            <w:top w:w="0" w:type="dxa"/>
            <w:left w:w="108" w:type="dxa"/>
            <w:bottom w:w="0" w:type="dxa"/>
            <w:right w:w="108" w:type="dxa"/>
          </w:tblCellMar>
        </w:tblPrEx>
        <w:trPr>
          <w:trHeight w:val="402" w:hRule="atLeast"/>
        </w:trPr>
        <w:tc>
          <w:tcPr>
            <w:tcW w:w="317"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功能分类科目编码</w:t>
            </w:r>
          </w:p>
        </w:tc>
        <w:tc>
          <w:tcPr>
            <w:tcW w:w="147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科目名称</w:t>
            </w:r>
          </w:p>
        </w:tc>
        <w:tc>
          <w:tcPr>
            <w:tcW w:w="108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108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xml:space="preserve">基本支出  </w:t>
            </w:r>
          </w:p>
        </w:tc>
        <w:tc>
          <w:tcPr>
            <w:tcW w:w="10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项目支出</w:t>
            </w:r>
          </w:p>
        </w:tc>
      </w:tr>
      <w:tr>
        <w:tblPrEx>
          <w:tblCellMar>
            <w:top w:w="0" w:type="dxa"/>
            <w:left w:w="108" w:type="dxa"/>
            <w:bottom w:w="0" w:type="dxa"/>
            <w:right w:w="108" w:type="dxa"/>
          </w:tblCellMar>
        </w:tblPrEx>
        <w:trPr>
          <w:trHeight w:val="402" w:hRule="atLeast"/>
        </w:trPr>
        <w:tc>
          <w:tcPr>
            <w:tcW w:w="317"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1471"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1080"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1080"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104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317"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1471"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1"/>
                <w:szCs w:val="21"/>
              </w:rPr>
            </w:pPr>
          </w:p>
        </w:tc>
        <w:tc>
          <w:tcPr>
            <w:tcW w:w="1080"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1080"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c>
          <w:tcPr>
            <w:tcW w:w="1049" w:type="pct"/>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402" w:hRule="atLeast"/>
        </w:trPr>
        <w:tc>
          <w:tcPr>
            <w:tcW w:w="1788"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栏次</w:t>
            </w:r>
          </w:p>
        </w:tc>
        <w:tc>
          <w:tcPr>
            <w:tcW w:w="10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08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4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r>
      <w:tr>
        <w:tblPrEx>
          <w:tblCellMar>
            <w:top w:w="0" w:type="dxa"/>
            <w:left w:w="108" w:type="dxa"/>
            <w:bottom w:w="0" w:type="dxa"/>
            <w:right w:w="108" w:type="dxa"/>
          </w:tblCellMar>
        </w:tblPrEx>
        <w:trPr>
          <w:trHeight w:val="402" w:hRule="atLeast"/>
        </w:trPr>
        <w:tc>
          <w:tcPr>
            <w:tcW w:w="1788"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3211" w:type="pct"/>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本单位无国有资本经营预算财政拨款支出，故本表无数据。</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402" w:hRule="atLeast"/>
        </w:trPr>
        <w:tc>
          <w:tcPr>
            <w:tcW w:w="317"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471"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80"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1049" w:type="pct"/>
            <w:tcBorders>
              <w:top w:val="nil"/>
              <w:left w:val="nil"/>
              <w:bottom w:val="single" w:color="auto" w:sz="8" w:space="0"/>
              <w:right w:val="single" w:color="auto" w:sz="4" w:space="0"/>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注：本表反映部门本年度国有资本经营预算财政拨款支出情况。</w:t>
            </w:r>
          </w:p>
          <w:p>
            <w:pPr>
              <w:widowControl/>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本单位无国有资本经营预算财政拨款支出，故本表无数据。</w:t>
            </w:r>
          </w:p>
        </w:tc>
      </w:tr>
    </w:tbl>
    <w:p>
      <w:pPr>
        <w:pStyle w:val="14"/>
        <w:rPr>
          <w:rFonts w:hint="default" w:ascii="Times New Roman" w:hAnsi="Times New Roman" w:eastAsia="仿宋_GB2312" w:cs="Times New Roman"/>
          <w:sz w:val="72"/>
          <w:szCs w:val="72"/>
        </w:rPr>
        <w:sectPr>
          <w:pgSz w:w="16838" w:h="11906" w:orient="landscape"/>
          <w:pgMar w:top="720" w:right="720" w:bottom="720" w:left="720" w:header="851" w:footer="992" w:gutter="0"/>
          <w:cols w:space="425" w:num="1"/>
          <w:docGrid w:type="lines" w:linePitch="312" w:charSpace="0"/>
        </w:sect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第三部分</w:t>
      </w:r>
    </w:p>
    <w:p>
      <w:pPr>
        <w:pStyle w:val="14"/>
        <w:jc w:val="center"/>
        <w:rPr>
          <w:rFonts w:hint="default" w:ascii="Times New Roman" w:hAnsi="Times New Roman" w:eastAsia="仿宋_GB2312" w:cs="Times New Roman"/>
          <w:sz w:val="70"/>
          <w:szCs w:val="70"/>
        </w:rPr>
      </w:pPr>
    </w:p>
    <w:p>
      <w:pPr>
        <w:pStyle w:val="14"/>
        <w:jc w:val="center"/>
        <w:rPr>
          <w:rFonts w:hint="default" w:ascii="Times New Roman" w:hAnsi="Times New Roman" w:eastAsia="仿宋_GB2312" w:cs="Times New Roman"/>
          <w:sz w:val="70"/>
          <w:szCs w:val="70"/>
        </w:rPr>
      </w:pPr>
      <w:r>
        <w:rPr>
          <w:rFonts w:hint="default" w:ascii="Times New Roman" w:hAnsi="Times New Roman" w:eastAsia="仿宋_GB2312" w:cs="Times New Roman"/>
          <w:sz w:val="70"/>
          <w:szCs w:val="70"/>
        </w:rPr>
        <w:t>2021年度部门决算情况说明</w:t>
      </w:r>
    </w:p>
    <w:p>
      <w:pPr>
        <w:widowControl/>
        <w:jc w:val="left"/>
        <w:rPr>
          <w:rFonts w:hint="default" w:ascii="Times New Roman" w:hAnsi="Times New Roman" w:eastAsia="仿宋_GB2312" w:cs="Times New Roman"/>
          <w:color w:val="000000"/>
          <w:kern w:val="0"/>
          <w:sz w:val="70"/>
          <w:szCs w:val="70"/>
        </w:rPr>
      </w:pPr>
      <w:r>
        <w:rPr>
          <w:rFonts w:hint="default" w:ascii="Times New Roman" w:hAnsi="Times New Roman" w:eastAsia="仿宋_GB2312" w:cs="Times New Roman"/>
          <w:sz w:val="70"/>
          <w:szCs w:val="70"/>
        </w:rPr>
        <w:br w:type="page"/>
      </w:r>
    </w:p>
    <w:p>
      <w:pPr>
        <w:pStyle w:val="14"/>
        <w:rPr>
          <w:rFonts w:hint="default" w:ascii="Times New Roman" w:hAnsi="Times New Roman" w:eastAsia="仿宋_GB2312" w:cs="Times New Roman"/>
          <w:sz w:val="32"/>
          <w:szCs w:val="32"/>
        </w:rPr>
      </w:pP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一、收入支出决算总体情况说明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2021年度收、支总计1431.63万元。与上年相比，减少515.82万元，减少26.49%，主要是因为开源节流，减少了办公费支出，接待费支出，会议费支出、公务用车支出、差旅支出、保密专项工程未结账等。</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二、收入决算情况说明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2021年度收入合计1431.63万元，其中：财政拨款收入1431.63万元，占100%；上级补助收入0万元，占0%；事业收入0万元，占0%；经营收入0万元，占0%；附属单位上缴收入0万元，占0%；其他收入0万元，占0%。</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三、支出决算情况说明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2021年度支出合计1431.63万元，其中：基本支出835.56万元，占58.4%；项目支出596.07万元，占42.6%；上缴上级支出0万元，占0%；经营支出0万元，占0%；对附属单位补助支出0万元，占0%。</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四、财政拨款收入支出决算总体情况说明</w:t>
      </w:r>
    </w:p>
    <w:p>
      <w:pPr>
        <w:pStyle w:val="1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2021年度财政拨款收、支总计1431.63万元，与上年相比，减少515.82万元，减少26.49%，主要是本单位以过紧日子为目标，减少了办公费支出，接待费支出，会议费支出、公务用车支出、差旅支出、保密专项工程未结账等。</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五、一般公共预算财政拨款支出决算情况说明</w:t>
      </w:r>
    </w:p>
    <w:p>
      <w:pPr>
        <w:pStyle w:val="14"/>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（一）财政拨款支出决算总体情况</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财政拨款支出1431.63万元，占本年支出合计的100%，与上年相比，减少515.82万元，减少26.49%，主要因为开源节流，减少了办公费支出，接待费支出，会议费支出、公务用车支出、差旅支出、保密专项工程未结账等。</w:t>
      </w:r>
    </w:p>
    <w:p>
      <w:pPr>
        <w:pStyle w:val="14"/>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（二）财政拨款支出决算结构情况</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财政拨款支出1431.63万元，主要用于以下方面：一般公共服务（201）支出1246.89万元，占87.1%；社会保障和就业（208）支出76.02万元，占5.31%；卫生健康（210）支出25.75万元，占1.8%；住房保障（221）支出82.97万元，占5.79%。</w:t>
      </w:r>
    </w:p>
    <w:p>
      <w:pPr>
        <w:pStyle w:val="14"/>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（三）财政拨款支出决算具体情况</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2021年度财政拨款支出年初预算数为1014.57万元，支出决算数为1431.63万元，完成年初预算的141.11%，其中：</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1、一般公共服务支出（201）政府办公厅（室）及相关机构事务（20103）行政运行（2010301）。</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年初预算为0万元，支出决算为55万元，由于预算数为0，无法计算百分比，决算数大于年初预算数的主要原因是：财政追加预算。</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2、一般公共服务支出（201）政府办公厅（室）及相关机构事务（20103）一般行政管理事务（2010302）。</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年初预算为0万元，支出决算为1.74万元，由于预算数为0，无法计算百分比，决算数大于年初预算数的主要原因是：财政追加预算。</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3、一般公共服务支出（201）党委办公厅（室）及相关机构事务（20131）行政运行（2013101）。</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年初预算为575.73万元，支出决算为492.04万元，完成年初预算的85.46%，决算数小于年初预算数的主要原因是：办公费支出，接待费支出，会议费支出、公务用车支出、差旅支出等减少。</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4、一般公共服务支出（201）党委办公厅（室）及相关机构事务（20131）一般行政管理事务（2013102）。</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年初预算为358.21万元，支出决算为596.07万元，完成年初预算的166.4%，决算数小于年初预算数的主要原因是：财政追加预算。</w:t>
      </w:r>
    </w:p>
    <w:p>
      <w:pPr>
        <w:pStyle w:val="14"/>
        <w:numPr>
          <w:ilvl w:val="255"/>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5、一般公共服务支出（201）其他一般公共服务支出（20199）其他一般公共服务支出（2019999）。</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年初预算为0万元，支出决算为102.03万元，由于预算数为0，无法计算百分比，决算数大于年初预算数的主要原因是：财政追加预算。</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6、社会保障和就业支出（208）行政事业单位养老支出（20805）机关事业单位基本养老保险缴费支出（2080505）。</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年初预算为54.88万元，支出决算为54.88万元，完成年初预算的完成年初预算的100%，决算数等于年初预算数的主要原因是：严格按照年初预算数执行。</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7、社会保障和就业支出（208）抚恤（20808）死亡抚恤（2080801）。</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年初预算为0万元，支出决算为15.15万元，由于预算数为0，无法计算百分比，决算数大于年初预算数的主要原因是：财政追加预算。</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8、社会保障和就业支出（208）抚恤（20808）其他优抚支出（2080899）。</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年初预算为0万元，支出决算为6万元，由于预算数为0，无法计算百分比，决算数大于年初预算数的主要原因是：财政追加预算。</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9、卫生健康支出（210）行政事业单位医疗（21011）行政单位医疗（2101101）。</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年初预算为25.75万元，支出决算为25.75万元，完成年初预算的100%，决算数等于年初预算数的主要原因是：严格按照年初预算数执行。</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10、住房保障支出（221）住房改革支出（22102）住房公积金（2210201）。</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年初预算为0万元，支出决算为82.97万元，由于预算数为0，无法计算百分比，决算数大于年初预算数的主要原因是：项目没有纳入单位预算，由公共财政统一支付。</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六、一般公共预算财政拨款基本支出决算情况说明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财政拨款基本支出835.56万元，其中：人员经费674.85万元，占基本支出的80.77%，主要包括基本工资、津贴补贴、奖金、伙食补助费、绩效工资、机关事业单位基本养老保险缴费、职工基本医疗补助缴费、住房公积金。公用经费160.71万元，占基本支出的19.23%，主要包括办公费、印刷费、咨询费、手续费、水电费、邮电费、差旅费、维修费、会议费、培训费、公务接待费、工会经费、公务用车运行维护费、其他交通费、其他商品服务支出等。</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七、一般公共预算财政拨款“三公”经费支出决算情况说明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（一）“三公”经费财政拨款支出决算总体情况说明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2021年度“三公”经费财政拨款支出预算为30万元，支出决算为25.14万元，完成预算的83.8%，其中：</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因公出国（境）费支出预算为0万元，支出决算为0万元，由于预算数为0，无法计算百分比，决算数与预算数持平的原因是无因公出国（境）费支出，与上年相比持平，无增减变化的原因是无因公出国费支出。</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接待费支出预算为11万元，支出决算为9.52万元，完成预算的86.55%，决算数小于预算数的主要原因是减少了公务接及会务接待，与上年相比减少0.38万元，减少3.84%，减少的主要原因是切实按照八项规定的要求进行公务接待，减少了会务接待。</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公务用车购置费支出预算为0万元，支出决算为0万元，由于预算数为0，无法计算百分比，决算数与预算数持平的原因是无公务用车购置费支出，与上年相比持平，无增减变化的原因是无公务用车购置费支出。</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预算为19万元，支出决算为15.62万元，完成预算的82.21%，决算数小于预算数的主要原因是移交了一台公务用车到公车平台管理中心，与上年相比减少0.37万元，减少2.31%，减少的主要原因是减少了一台公务用车。</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（二）“三公”经费财政拨款支出决算具体情况说明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2021年度“三公”经费财政拨款支出决算中，公务接待费支出决算9.52万元，占37.87%，因公出国（境）费支出决算0万元，占0%，公务用车购置费及运行维护费支出决算15.62万元，占62.13%。其中：</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1、因公出国（境）费支出决算为0万元，全年安排因公出国（境）团</w:t>
      </w:r>
      <w:r>
        <w:rPr>
          <w:rFonts w:hint="eastAsia" w:ascii="Times New Roman" w:hAnsi="Times New Roman" w:eastAsia="仿宋_GB2312" w:cs="Times New Roman"/>
          <w:sz w:val="32"/>
          <w:szCs w:val="32"/>
          <w:lang w:val="en-US" w:eastAsia="zh-CN"/>
        </w:rPr>
        <w:t>0个，人次0人</w:t>
      </w:r>
      <w:r>
        <w:rPr>
          <w:rFonts w:hint="default" w:ascii="Times New Roman" w:hAnsi="Times New Roman" w:eastAsia="仿宋_GB2312" w:cs="Times New Roman"/>
          <w:sz w:val="32"/>
          <w:szCs w:val="32"/>
        </w:rPr>
        <w:t>。</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2、公务接待费支出决算为9.52万元，全年共接待来访团组119个、来宾952人次，主要是各市市间相互交流调研、上级调研等发生的接待支出。</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用车购置费及运行维护费支出决算为15.62万元，其中：公务用车购置费0万元，更新公务用车0辆。公务用车运行维护费15.62万元，主要是车辆维修、加油、保养、保险等支出，截止2021年12月31日，我单位开支财政拨款的公务用车年初保有量为3辆，8月份移交一台公务车到公车平台，年终保有量为2台。</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八、政府性基金预算收入支出决算情况</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2021年度本单位无政府性基金收支。</w:t>
      </w:r>
    </w:p>
    <w:p>
      <w:pPr>
        <w:pStyle w:val="14"/>
        <w:keepNext w:val="0"/>
        <w:keepLines w:val="0"/>
        <w:pageBreakBefore w:val="0"/>
        <w:widowControl w:val="0"/>
        <w:numPr>
          <w:ilvl w:val="0"/>
          <w:numId w:val="2"/>
        </w:numPr>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机关运行经费支出说明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本部门2021年度机关运行经费支出160.71万元，比年初预算数减少22.23万元，降低12.15%。主要原因是：减少了办公费支出，接待费支出，会议费支出、公务用车支出、差旅支出等。</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十、一般性支出情况说明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本部门开支会议费12.87万元，用于召开每季度全市经济工作推进会议，人数800人，内容为年初全市经济工作会议、二季度全市经济工作会议、三季度全市经济工作会议、四季度全市经济工作会议；开支培训费3.45万元，用于参加上级组织的各项培训支出，人数600人，内容为机要保密培训会、信息工作培训会、文秘工作培训会；未举办节庆、晚会、论坛、赛事活动，开支0万元。</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十一、政府采购支出说明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十二、国有资产占用情况说明</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2021年12月31日，部门共有车辆2辆，其中，主要领导干部用车1辆，机要通信用车1辆、应急保障用车0辆、执法执勤用车0辆、特种专业技术用车0辆、其他用车0辆；单位价值50万元以上通用设备0台（套）；单位价值100万元以上专用设备0台（套）。</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十三、2021年度预算绩效情况</w:t>
      </w:r>
    </w:p>
    <w:p>
      <w:pPr>
        <w:pStyle w:val="14"/>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val="0"/>
          <w:bCs/>
          <w:sz w:val="32"/>
          <w:szCs w:val="32"/>
        </w:rPr>
        <w:t>本部门2021年整体支出1431.63万元，其中项目支出596.07万元，本年度无重点项目支出。</w:t>
      </w:r>
    </w:p>
    <w:p>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（1）绩效管理评价工作开展情况</w:t>
      </w:r>
      <w:r>
        <w:rPr>
          <w:rFonts w:hint="default" w:ascii="Times New Roman" w:hAnsi="Times New Roman" w:eastAsia="仿宋_GB2312" w:cs="Times New Roman"/>
          <w:color w:val="000000"/>
          <w:kern w:val="0"/>
          <w:sz w:val="32"/>
          <w:szCs w:val="32"/>
        </w:rPr>
        <w:t>。</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根据预算绩效管理要求，我部门组织对2021 年度一般公共预算项目支出全面开展绩效自评，其中，一级项目0个，二级项目2个，共涉及资金596.07万元，占一般公共预算项目支出总额的100%。组织对2021年度0个政府性基金预算项目支出开展绩效自评，共涉及资金0万元，占政府性基金预算项目支出总额的0%。组织对2021 年度0个国有资本经营预算项目支出开展绩效自评，共涉及资金0万元，占国有资本经营预算项目支出总额的0%。</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组织对“史志工作”“机要保密工作”等2个项目开展了部门评价，涉及一般公共预算支出596.07万元，政府性基金预算支出0万元，国有资本经营预算支出0 万元。从评价情况来看史志工作和机要保密工作都本着勤俭节约的原则，既按时完成了全年定下的任务，又节约了成本支出。</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祁阳市委办公室”1个单位开展整体支出绩效评价，涉及一般公共预算支出1431.63万元，政府性基金预算支出0万元。从评价情况来看，2021年度我单位围绕年初预算确定的绩效目标，积极稳妥地推动各项工作任务的落实，凝心聚力，务实创新，圆满完成了年度绩效目标。</w:t>
      </w:r>
    </w:p>
    <w:p>
      <w:pPr>
        <w:autoSpaceDE w:val="0"/>
        <w:autoSpaceDN w:val="0"/>
        <w:adjustRightInd w:val="0"/>
        <w:ind w:firstLine="640" w:firstLineChars="200"/>
        <w:jc w:val="left"/>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（2）部门决算中项目绩效自评结果。</w:t>
      </w:r>
    </w:p>
    <w:p>
      <w:pPr>
        <w:pStyle w:val="14"/>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史志工作项目绩效自评综述：根据年初设定的绩效目标，项目绩效自评得分为100分。项目全年预算数为52.6万元，执行数为52.6万元，完成预算的100%。项目绩效目标完成情况：一是完成了祁阳党史的编辑；二是完成了祁市史的编辑。发现的主要问题及原因：一是编辑主动性不够强。下一步改进措施：提高每个党史编辑人员的主观能动性。</w:t>
      </w:r>
    </w:p>
    <w:p>
      <w:pPr>
        <w:autoSpaceDE w:val="0"/>
        <w:autoSpaceDN w:val="0"/>
        <w:adjustRightInd w:val="0"/>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kern w:val="0"/>
          <w:sz w:val="32"/>
          <w:szCs w:val="32"/>
        </w:rPr>
        <w:t>（3）部门评价项目绩效评价结果。</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单位将绩效理念融入预算管理全过程，加强内部控制，全面规范预算编制、预算执行、预算监督，强化预算工作基础，整体提升预算管理水平，提高财政资源配置效率，部门整体绩效评价报告已作为附件进行公开。</w:t>
      </w:r>
    </w:p>
    <w:p>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1"/>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十四、国有资本经营预算</w:t>
      </w:r>
      <w:bookmarkStart w:id="3" w:name="_GoBack"/>
      <w:bookmarkEnd w:id="3"/>
      <w:r>
        <w:rPr>
          <w:rFonts w:hint="default" w:ascii="Times New Roman" w:hAnsi="Times New Roman" w:eastAsia="仿宋_GB2312" w:cs="Times New Roman"/>
          <w:b/>
          <w:bCs/>
          <w:color w:val="auto"/>
          <w:sz w:val="32"/>
          <w:szCs w:val="32"/>
        </w:rPr>
        <w:t>财政拨款支出决算情况</w:t>
      </w:r>
    </w:p>
    <w:p>
      <w:pPr>
        <w:pStyle w:val="14"/>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2021年度国有资本经营预算财政拨款支出0万元，其中基本支出0万元，项目支出0万元。本单位无国有资本经营预算支出。</w:t>
      </w:r>
    </w:p>
    <w:p>
      <w:pPr>
        <w:pStyle w:val="2"/>
        <w:rPr>
          <w:rFonts w:hint="default" w:ascii="Times New Roman" w:hAnsi="Times New Roman" w:eastAsia="仿宋_GB2312" w:cs="Times New Roma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ind w:firstLine="640" w:firstLineChars="200"/>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第四部分</w:t>
      </w:r>
    </w:p>
    <w:p>
      <w:pPr>
        <w:jc w:val="center"/>
        <w:rPr>
          <w:rFonts w:hint="default" w:ascii="Times New Roman" w:hAnsi="Times New Roman" w:eastAsia="仿宋_GB2312" w:cs="Times New Roman"/>
          <w:color w:val="000000"/>
          <w:kern w:val="0"/>
          <w:sz w:val="70"/>
          <w:szCs w:val="70"/>
        </w:rPr>
      </w:pPr>
    </w:p>
    <w:p>
      <w:pPr>
        <w:jc w:val="center"/>
        <w:rPr>
          <w:rFonts w:hint="default" w:ascii="Times New Roman" w:hAnsi="Times New Roman" w:eastAsia="仿宋_GB2312" w:cs="Times New Roman"/>
          <w:color w:val="000000"/>
          <w:kern w:val="0"/>
          <w:sz w:val="70"/>
          <w:szCs w:val="70"/>
        </w:rPr>
      </w:pPr>
      <w:r>
        <w:rPr>
          <w:rFonts w:hint="default" w:ascii="Times New Roman" w:hAnsi="Times New Roman" w:eastAsia="仿宋_GB2312" w:cs="Times New Roman"/>
          <w:color w:val="000000"/>
          <w:kern w:val="0"/>
          <w:sz w:val="70"/>
          <w:szCs w:val="70"/>
        </w:rPr>
        <w:t>名词解释</w:t>
      </w:r>
    </w:p>
    <w:p>
      <w:pP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br w:type="page"/>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一、收入科目</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1、财政拨款收入：指财政当年拨付的资金。</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2、事业收入：指事业单位开展专业业务活动及辅助活动取得的收入。</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3、经营收入：指事业单位在专业业务活动及其辅助活动之外开展非独立核算经营活动取得的收入。</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4、其他收入：指除上述“财政拨款收入”、“事业收入”、“经营收入”等以外的收入。</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6、上年结转：指以前年尚未完成、结转到本年按有关规定继续使用的资金。</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二、支出科目</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1、基本支出：是为保障其机构正常运转、完成日常工作任务而发生人员支出和公用支出。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2、项目支出：是指在基本支出之外完成特定行政任务和事业发展目标所发生的支出。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3、工资福利支出：反映单位开支的在职职工和编制外长期聘用人员的各类劳动报酬，以及为上述人员缴纳的各项社会保险费等。</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4、商品和服务支出：反映单位购买商品和服务的支出。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5、对个人和家庭的补助：反映单位用于对个人和家庭的补助支出。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三、“三公”经费科目</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1、因公出国（境）费用：反映单位公务出国（境）的国际旅费、国内城市间交通费、住宿费、伙食费、培训费、公杂费等支出。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2、公务接待费：反映单位按规定开支的各类公务接待（含外宾接待）费用。</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3、公务用车运行维护费：反映单位公务用车租用费、燃料费、维修费、过路过桥费、保险费、安全奖励费用等支出。</w:t>
      </w:r>
    </w:p>
    <w:p>
      <w:pPr>
        <w:widowControl/>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机关运行经费：是指各部门的公用经费，包括办公及印刷费、邮电费、报刊费、差旅费、会议费、工会费、公务接待费、培训费、福利费、日常维修费、专用资料及一般设备购置费、办公用房水电费、办公用房取暖费、办公用房物业管理费、公务用车运行维护费以及其他费用。</w:t>
      </w:r>
    </w:p>
    <w:p>
      <w:pPr>
        <w:widowControl/>
        <w:spacing w:line="600" w:lineRule="exact"/>
        <w:rPr>
          <w:rFonts w:hint="default" w:ascii="Times New Roman" w:hAnsi="Times New Roman" w:eastAsia="仿宋_GB2312" w:cs="Times New Roman"/>
          <w:bCs/>
          <w:kern w:val="0"/>
          <w:sz w:val="36"/>
          <w:szCs w:val="36"/>
        </w:rPr>
      </w:pPr>
    </w:p>
    <w:p>
      <w:pPr>
        <w:widowControl/>
        <w:jc w:val="left"/>
        <w:rPr>
          <w:rFonts w:hint="default" w:ascii="Times New Roman" w:hAnsi="Times New Roman" w:eastAsia="仿宋_GB2312" w:cs="Times New Roman"/>
          <w:color w:val="000000"/>
          <w:kern w:val="0"/>
          <w:sz w:val="70"/>
          <w:szCs w:val="70"/>
        </w:rPr>
      </w:pPr>
      <w:r>
        <w:rPr>
          <w:rFonts w:hint="default" w:ascii="Times New Roman" w:hAnsi="Times New Roman" w:eastAsia="仿宋_GB2312" w:cs="Times New Roman"/>
          <w:color w:val="000000"/>
          <w:kern w:val="0"/>
          <w:sz w:val="70"/>
          <w:szCs w:val="70"/>
        </w:rPr>
        <w:br w:type="page"/>
      </w: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jc w:val="center"/>
        <w:rPr>
          <w:rFonts w:hint="default" w:ascii="Times New Roman" w:hAnsi="Times New Roman" w:eastAsia="仿宋_GB2312" w:cs="Times New Roman"/>
          <w:sz w:val="72"/>
          <w:szCs w:val="72"/>
        </w:rPr>
      </w:pPr>
    </w:p>
    <w:p>
      <w:pPr>
        <w:pStyle w:val="14"/>
        <w:ind w:firstLine="640" w:firstLineChars="200"/>
        <w:rPr>
          <w:rFonts w:hint="default" w:ascii="Times New Roman" w:hAnsi="Times New Roman" w:eastAsia="仿宋_GB2312" w:cs="Times New Roman"/>
          <w:sz w:val="32"/>
          <w:szCs w:val="32"/>
        </w:rPr>
      </w:pPr>
    </w:p>
    <w:p>
      <w:pPr>
        <w:pStyle w:val="14"/>
        <w:jc w:val="center"/>
        <w:rPr>
          <w:rFonts w:hint="default" w:ascii="Times New Roman" w:hAnsi="Times New Roman" w:eastAsia="仿宋_GB2312" w:cs="Times New Roman"/>
          <w:sz w:val="72"/>
          <w:szCs w:val="72"/>
        </w:rPr>
      </w:pPr>
      <w:r>
        <w:rPr>
          <w:rFonts w:hint="default" w:ascii="Times New Roman" w:hAnsi="Times New Roman" w:eastAsia="仿宋_GB2312" w:cs="Times New Roman"/>
          <w:sz w:val="72"/>
          <w:szCs w:val="72"/>
        </w:rPr>
        <w:t>第五部分</w:t>
      </w:r>
    </w:p>
    <w:p>
      <w:pPr>
        <w:jc w:val="center"/>
        <w:rPr>
          <w:rFonts w:hint="default" w:ascii="Times New Roman" w:hAnsi="Times New Roman" w:eastAsia="仿宋_GB2312" w:cs="Times New Roman"/>
          <w:color w:val="000000"/>
          <w:kern w:val="0"/>
          <w:sz w:val="70"/>
          <w:szCs w:val="70"/>
        </w:rPr>
      </w:pPr>
    </w:p>
    <w:p>
      <w:pPr>
        <w:jc w:val="center"/>
        <w:rPr>
          <w:rFonts w:hint="default" w:ascii="Times New Roman" w:hAnsi="Times New Roman" w:eastAsia="仿宋_GB2312" w:cs="Times New Roman"/>
          <w:color w:val="000000"/>
          <w:kern w:val="0"/>
          <w:sz w:val="70"/>
          <w:szCs w:val="70"/>
        </w:rPr>
      </w:pPr>
      <w:r>
        <w:rPr>
          <w:rFonts w:hint="default" w:ascii="Times New Roman" w:hAnsi="Times New Roman" w:eastAsia="仿宋_GB2312" w:cs="Times New Roman"/>
          <w:color w:val="000000"/>
          <w:kern w:val="0"/>
          <w:sz w:val="70"/>
          <w:szCs w:val="70"/>
        </w:rPr>
        <w:t>附件</w:t>
      </w: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left"/>
        <w:rPr>
          <w:rFonts w:hint="default" w:ascii="Times New Roman" w:hAnsi="Times New Roman" w:eastAsia="仿宋_GB2312" w:cs="Times New Roman"/>
          <w:b/>
          <w:color w:val="000000"/>
          <w:kern w:val="0"/>
          <w:sz w:val="32"/>
          <w:szCs w:val="32"/>
        </w:rPr>
      </w:pPr>
    </w:p>
    <w:p>
      <w:pPr>
        <w:widowControl/>
        <w:jc w:val="center"/>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祁阳市委办公室</w:t>
      </w:r>
    </w:p>
    <w:p>
      <w:pPr>
        <w:widowControl/>
        <w:jc w:val="center"/>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2021年度部门整体支出绩效评价报告</w:t>
      </w:r>
    </w:p>
    <w:p>
      <w:pPr>
        <w:pStyle w:val="2"/>
        <w:rPr>
          <w:rFonts w:hint="default" w:ascii="Times New Roman" w:hAnsi="Times New Roman" w:eastAsia="仿宋_GB2312" w:cs="Times New Roman"/>
        </w:rPr>
      </w:pP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2021年，市委办公室以习近平新时代中国特色社会主义思想为指导，全面贯彻落实党的十九大和十九届二中、三中全会精神，紧紧围绕市委各项中心工作认真履行职责，以创新为动力，以服务为根本，以“五大”体系建设为主抓手，尽心当参谋，尽职抓协调，尽力强保障，以求真务实的工作作风，充分发挥了“坚强前哨”“巩固后院”“核心智库”“运转中枢”的作用，确保了市委机关高效有序运转，为领导正确指挥和决策工作提供了有力保证。</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统筹协调顺畅高效。积极履行牵头抓总、统筹协调职责，全力服务于市委的各项决策部署。及时制定了全市每周重要工作安排和每月重点工作安排，确保了市委突出重点、抓住关键，有计划、分步骤，有条不紊地开展工作。2021年3月-6月，做好了省委第四巡视组巡视祁阳的后续整改工作，7月至9月又牵头做好了省委巡视组反馈问题的工作。切实落实党内报告制度，做好了市委与上下级之间的沟通协调工作，及时做好了市委向上级党委请示报告工作。其中每个季度的经济工作会扎实开展了“三比三看”活动，深入推进河长制工作。</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以文辅政精益求精。一是文稿起草再上水平。每次文稿起草都力求精品，质量上有新提高、新突破。全年共撰写讲话、致辞、汇报、主持词、理论文章等各类文稿420余篇、230余万字。二是媒体上稿再获突破。积极总结宣传祁阳经验、祁阳做法、祁阳特质，在人民日报、人民网、湖南日报、红网、等主流媒体、刊物多次上稿，为市委决策参考发挥了积极作用。</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综合信息及时准确。关注市内工作重点信息反馈，聚焦社会各界关注的热点难点等重点工作，积极挖掘各类高质量的信息，为党委领导全面掌握情况、指导基层工作提供了有价值的依据和参考，全年共拟定信息预约选题26个，收集各类信息518条，向省委办、市委办上报信息419条。为上级党委领导决策提供了一定的参谋作用。严格落实紧急信息迟报、瞒报、漏报责任追究制度，全年没有发生迟报、瞒报、漏报现象。</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精文简会成效显著。严格落实中央八项规定精神，大力精减文件会议，提高文件和会议的质量和效率。全年下发文件减少28个，同比下降20%，会议纪要减少16个，同比下降24%，规范性文件减少4个，大型会议减少6次，避免了“以文件落实文件，以会议落实会议”等现象，让领导干部集中更多的时间和精力抓落实。深入推进接待工作科学规范、便捷高效、务实节俭，组织了祁阳市考察团赴郴州市等兄弟市市区乡村振兴、全域旅游系列考察活动，顺利完成国家脱贫攻坚专项评估、省市领导调研和兄弟市市区赴祁考察活动等26次接待任务。</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督查督办深入扎实。以坚决的态度、有力的举措和过硬的作风履行党委办公室抓落实的基本职能，推动市委各项决策部署落地生根。全年共下发《督查通知》24件，印发《常委办公会议落实情况通报》12期，通报市委常会会议落实情况24余次，办理市委主要领导重要批示198件，市委主要领导批示82件，组织相关单位30余个、180余人次开展了省委巡视反馈问题整改、工作落实年、易地扶贫搬迁、综治民调、省级文明市城创建、重点项目建设“百日攻坚”等督查活动24次，编发《督查通报》24期，有力推动了各项工作的开展。积极开展督查检查考核事项清理工作，督查检查考核事项减少42%。</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六）值班工作有条不紊。充分发挥市委枢纽和调度中心作用，严格执行24小时带班值班制度和市党政主要领导外出请示报告制度，认真对待群众来电来访，快速处置紧急突发事件，高效处理上级电报文件和领导批示。截至12月31日，累计发放各类会议和活动通知360个，签收处理普通公文423份，密级文件272份，电报218份，接待群众来访249批次。 </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机要保密安全畅通。进一步加强密码通信保障能力建设，顺利通过了“国家扶贫工作重点开发市密码通信保障能力提升工程”省委办公厅初验和中办机要局远程视频验收，装备了两台套基于CDMA网络通信的应急密码通信设备。强力抓好保密行政管理工作，加强对全市重点涉密单位和重点涉密人员保密检查和管理，开展保密知识宣传教育，全年没有发生失泄密情况。抓好电子政务内网运行维护保障，电子政务内网安全保密分级保护建设高分通过省保密测评中心通过，受到市委办多次表扬。高位推动党政系统信息化建设，安全可靠应用试点工作已在全市直单位全面启动。2021年永州市机要保密局评为市级先进单位。</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八）宣传阵地亮点纷呈。全年共编制发行了12期《今日祁阳》，主要开设了“祁阳时政、基层之声、祁阳历史、脱贫攻坚看祁阳、聚焦十九大”等专栏，坚持正面宣传为主，多形式、宽领域、广角度地反映了全市经济和社会发展情况，讲好了祁阳故事，倾听好了百姓心声，传播好了党的声音，赢得了广大读者的赞誉。</w:t>
      </w:r>
    </w:p>
    <w:p>
      <w:pPr>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（九）改革创新精准落地。按照中央、省、市统一要求部署，严格做好承接落实工作，开展了6大部分内容 20项重点改革任务。各项改革事项责任单位制定和细化了改革方案、改革举措，明确了改革任务书、时间表、路线图、责任人。截至目前，20项改革任务稳步推进，各项改革均圆满完成了序时工作进度要求，改革创新对经济社会发展的驱动、助推作用显著。</w:t>
      </w:r>
    </w:p>
    <w:p>
      <w:pPr>
        <w:jc w:val="left"/>
        <w:rPr>
          <w:rFonts w:hint="default" w:ascii="Times New Roman" w:hAnsi="Times New Roman" w:eastAsia="仿宋_GB2312" w:cs="Times New Roman"/>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2B01A"/>
    <w:multiLevelType w:val="singleLevel"/>
    <w:tmpl w:val="1652B01A"/>
    <w:lvl w:ilvl="0" w:tentative="0">
      <w:start w:val="2"/>
      <w:numFmt w:val="decimal"/>
      <w:lvlText w:val="%1."/>
      <w:lvlJc w:val="left"/>
      <w:pPr>
        <w:tabs>
          <w:tab w:val="left" w:pos="312"/>
        </w:tabs>
      </w:pPr>
    </w:lvl>
  </w:abstractNum>
  <w:abstractNum w:abstractNumId="1">
    <w:nsid w:val="3CB771B2"/>
    <w:multiLevelType w:val="singleLevel"/>
    <w:tmpl w:val="3CB771B2"/>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1D9C"/>
    <w:rsid w:val="000873EF"/>
    <w:rsid w:val="000A3F69"/>
    <w:rsid w:val="000B0D56"/>
    <w:rsid w:val="00103957"/>
    <w:rsid w:val="00124A1F"/>
    <w:rsid w:val="00152C6D"/>
    <w:rsid w:val="00162D39"/>
    <w:rsid w:val="001678BD"/>
    <w:rsid w:val="00182373"/>
    <w:rsid w:val="00193FE9"/>
    <w:rsid w:val="001A67DB"/>
    <w:rsid w:val="001B3C72"/>
    <w:rsid w:val="001B5208"/>
    <w:rsid w:val="001C2CFF"/>
    <w:rsid w:val="001C3C29"/>
    <w:rsid w:val="001C72CD"/>
    <w:rsid w:val="001D51E5"/>
    <w:rsid w:val="001E080D"/>
    <w:rsid w:val="001E53D0"/>
    <w:rsid w:val="001F0C3B"/>
    <w:rsid w:val="001F19D2"/>
    <w:rsid w:val="001F5145"/>
    <w:rsid w:val="00202C14"/>
    <w:rsid w:val="00202C82"/>
    <w:rsid w:val="00214427"/>
    <w:rsid w:val="00226CB7"/>
    <w:rsid w:val="00264552"/>
    <w:rsid w:val="00264EF9"/>
    <w:rsid w:val="00265724"/>
    <w:rsid w:val="0027426B"/>
    <w:rsid w:val="002B4AD7"/>
    <w:rsid w:val="002B5AB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92529"/>
    <w:rsid w:val="00492D70"/>
    <w:rsid w:val="004B0CEE"/>
    <w:rsid w:val="004B2897"/>
    <w:rsid w:val="00500E5F"/>
    <w:rsid w:val="005122EF"/>
    <w:rsid w:val="0051441A"/>
    <w:rsid w:val="00517C33"/>
    <w:rsid w:val="00517D5F"/>
    <w:rsid w:val="00521AF2"/>
    <w:rsid w:val="00523644"/>
    <w:rsid w:val="005248D3"/>
    <w:rsid w:val="0054069E"/>
    <w:rsid w:val="00544866"/>
    <w:rsid w:val="00574D19"/>
    <w:rsid w:val="005767CC"/>
    <w:rsid w:val="00590D9F"/>
    <w:rsid w:val="00595D26"/>
    <w:rsid w:val="005A74E6"/>
    <w:rsid w:val="005B404E"/>
    <w:rsid w:val="005D4D55"/>
    <w:rsid w:val="005E2CFB"/>
    <w:rsid w:val="005F2103"/>
    <w:rsid w:val="005F3D1C"/>
    <w:rsid w:val="00621E92"/>
    <w:rsid w:val="0062378F"/>
    <w:rsid w:val="00627980"/>
    <w:rsid w:val="00641842"/>
    <w:rsid w:val="0064585C"/>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622A9"/>
    <w:rsid w:val="00786C1E"/>
    <w:rsid w:val="00787B42"/>
    <w:rsid w:val="007C4539"/>
    <w:rsid w:val="007C4EDA"/>
    <w:rsid w:val="007F3657"/>
    <w:rsid w:val="00812ED5"/>
    <w:rsid w:val="008277D9"/>
    <w:rsid w:val="0084478C"/>
    <w:rsid w:val="0086638C"/>
    <w:rsid w:val="008A3E8D"/>
    <w:rsid w:val="009237C4"/>
    <w:rsid w:val="00940083"/>
    <w:rsid w:val="00944C48"/>
    <w:rsid w:val="00947256"/>
    <w:rsid w:val="00950252"/>
    <w:rsid w:val="00957873"/>
    <w:rsid w:val="00960CCD"/>
    <w:rsid w:val="00967F5D"/>
    <w:rsid w:val="00980D9B"/>
    <w:rsid w:val="009A0F95"/>
    <w:rsid w:val="009B3ADF"/>
    <w:rsid w:val="009C3B52"/>
    <w:rsid w:val="009E6817"/>
    <w:rsid w:val="009E6E9A"/>
    <w:rsid w:val="00A01D2B"/>
    <w:rsid w:val="00A42218"/>
    <w:rsid w:val="00A5692B"/>
    <w:rsid w:val="00A70249"/>
    <w:rsid w:val="00A70B02"/>
    <w:rsid w:val="00A71D9F"/>
    <w:rsid w:val="00A835B5"/>
    <w:rsid w:val="00A92E9F"/>
    <w:rsid w:val="00AA07C2"/>
    <w:rsid w:val="00AA26A5"/>
    <w:rsid w:val="00AD3CBD"/>
    <w:rsid w:val="00AF2714"/>
    <w:rsid w:val="00AF4A9E"/>
    <w:rsid w:val="00B00F76"/>
    <w:rsid w:val="00B068DB"/>
    <w:rsid w:val="00B25203"/>
    <w:rsid w:val="00B33BEA"/>
    <w:rsid w:val="00B57C9F"/>
    <w:rsid w:val="00B63572"/>
    <w:rsid w:val="00B845B3"/>
    <w:rsid w:val="00B85D8B"/>
    <w:rsid w:val="00BA1DC7"/>
    <w:rsid w:val="00BB4A40"/>
    <w:rsid w:val="00BD0771"/>
    <w:rsid w:val="00BD4FB4"/>
    <w:rsid w:val="00BD6C3E"/>
    <w:rsid w:val="00BE3674"/>
    <w:rsid w:val="00C10681"/>
    <w:rsid w:val="00C3049A"/>
    <w:rsid w:val="00C31B1E"/>
    <w:rsid w:val="00C77645"/>
    <w:rsid w:val="00C849A8"/>
    <w:rsid w:val="00CE04C3"/>
    <w:rsid w:val="00CE5406"/>
    <w:rsid w:val="00CE76A0"/>
    <w:rsid w:val="00D06E3A"/>
    <w:rsid w:val="00D148C6"/>
    <w:rsid w:val="00D17A8A"/>
    <w:rsid w:val="00D415BA"/>
    <w:rsid w:val="00D63780"/>
    <w:rsid w:val="00D644EE"/>
    <w:rsid w:val="00D72FC4"/>
    <w:rsid w:val="00D75489"/>
    <w:rsid w:val="00DD06FF"/>
    <w:rsid w:val="00DD5FE9"/>
    <w:rsid w:val="00E00C7A"/>
    <w:rsid w:val="00E052B4"/>
    <w:rsid w:val="00E209CF"/>
    <w:rsid w:val="00E37D6C"/>
    <w:rsid w:val="00E55B68"/>
    <w:rsid w:val="00E57A65"/>
    <w:rsid w:val="00E67BE6"/>
    <w:rsid w:val="00E8683C"/>
    <w:rsid w:val="00EA2B72"/>
    <w:rsid w:val="00EA3DC7"/>
    <w:rsid w:val="00F315AE"/>
    <w:rsid w:val="00F50281"/>
    <w:rsid w:val="00F51199"/>
    <w:rsid w:val="00F74360"/>
    <w:rsid w:val="00F77578"/>
    <w:rsid w:val="00F83946"/>
    <w:rsid w:val="00FB462F"/>
    <w:rsid w:val="00FD0EC3"/>
    <w:rsid w:val="00FD7EFB"/>
    <w:rsid w:val="00FE16FA"/>
    <w:rsid w:val="00FE328A"/>
    <w:rsid w:val="00FE6269"/>
    <w:rsid w:val="00FF5CD6"/>
    <w:rsid w:val="013A4E00"/>
    <w:rsid w:val="01D1453B"/>
    <w:rsid w:val="033879A6"/>
    <w:rsid w:val="0520214C"/>
    <w:rsid w:val="05AB2D7A"/>
    <w:rsid w:val="05F654C2"/>
    <w:rsid w:val="07E40392"/>
    <w:rsid w:val="080739FF"/>
    <w:rsid w:val="08F96942"/>
    <w:rsid w:val="0A822B22"/>
    <w:rsid w:val="0C5D192B"/>
    <w:rsid w:val="0D36333A"/>
    <w:rsid w:val="0D7111BC"/>
    <w:rsid w:val="0F8C280E"/>
    <w:rsid w:val="0F931483"/>
    <w:rsid w:val="0F967436"/>
    <w:rsid w:val="11050ACA"/>
    <w:rsid w:val="12155212"/>
    <w:rsid w:val="130F0CDD"/>
    <w:rsid w:val="14067278"/>
    <w:rsid w:val="15EF7861"/>
    <w:rsid w:val="177A2E1A"/>
    <w:rsid w:val="17D2725E"/>
    <w:rsid w:val="17DF189D"/>
    <w:rsid w:val="181A629A"/>
    <w:rsid w:val="18417422"/>
    <w:rsid w:val="18950986"/>
    <w:rsid w:val="19254E25"/>
    <w:rsid w:val="19281B2F"/>
    <w:rsid w:val="1A440E01"/>
    <w:rsid w:val="1A4B59CE"/>
    <w:rsid w:val="1A4B710F"/>
    <w:rsid w:val="1A5F061A"/>
    <w:rsid w:val="1A761427"/>
    <w:rsid w:val="1CA94A00"/>
    <w:rsid w:val="1D0664D9"/>
    <w:rsid w:val="1D0D0549"/>
    <w:rsid w:val="1D185F33"/>
    <w:rsid w:val="1D2736E9"/>
    <w:rsid w:val="1D2D5631"/>
    <w:rsid w:val="1D9319F0"/>
    <w:rsid w:val="1DEF77E3"/>
    <w:rsid w:val="21BF1279"/>
    <w:rsid w:val="21E64147"/>
    <w:rsid w:val="22683576"/>
    <w:rsid w:val="24084702"/>
    <w:rsid w:val="2436731B"/>
    <w:rsid w:val="247B3B2A"/>
    <w:rsid w:val="258F065A"/>
    <w:rsid w:val="26A87734"/>
    <w:rsid w:val="27287D84"/>
    <w:rsid w:val="288B5901"/>
    <w:rsid w:val="298E2471"/>
    <w:rsid w:val="30ED52A6"/>
    <w:rsid w:val="319941E5"/>
    <w:rsid w:val="31EB3F29"/>
    <w:rsid w:val="328858F3"/>
    <w:rsid w:val="331F7372"/>
    <w:rsid w:val="33930C20"/>
    <w:rsid w:val="348944EE"/>
    <w:rsid w:val="34FF4604"/>
    <w:rsid w:val="350C5A51"/>
    <w:rsid w:val="3513157E"/>
    <w:rsid w:val="3601278A"/>
    <w:rsid w:val="36EB2C9D"/>
    <w:rsid w:val="37F91DFC"/>
    <w:rsid w:val="38167642"/>
    <w:rsid w:val="382E0A5C"/>
    <w:rsid w:val="387B7CB7"/>
    <w:rsid w:val="39754190"/>
    <w:rsid w:val="3B40257B"/>
    <w:rsid w:val="3C0637C5"/>
    <w:rsid w:val="3ECC729E"/>
    <w:rsid w:val="3F456695"/>
    <w:rsid w:val="41A95B48"/>
    <w:rsid w:val="42A6360C"/>
    <w:rsid w:val="436E048A"/>
    <w:rsid w:val="43EC7BBD"/>
    <w:rsid w:val="43F71D59"/>
    <w:rsid w:val="44A8653A"/>
    <w:rsid w:val="45B47174"/>
    <w:rsid w:val="48F93AA9"/>
    <w:rsid w:val="49E54986"/>
    <w:rsid w:val="4A120C87"/>
    <w:rsid w:val="4AC00E41"/>
    <w:rsid w:val="4B3612A5"/>
    <w:rsid w:val="4D7F68B7"/>
    <w:rsid w:val="4D9515C0"/>
    <w:rsid w:val="4E797DDC"/>
    <w:rsid w:val="4F70618A"/>
    <w:rsid w:val="53E73A84"/>
    <w:rsid w:val="546A55B5"/>
    <w:rsid w:val="546C0B97"/>
    <w:rsid w:val="547F3042"/>
    <w:rsid w:val="54C55ACA"/>
    <w:rsid w:val="55A64150"/>
    <w:rsid w:val="55D23A08"/>
    <w:rsid w:val="566A3CE9"/>
    <w:rsid w:val="57405985"/>
    <w:rsid w:val="575064EA"/>
    <w:rsid w:val="57AE108B"/>
    <w:rsid w:val="595E6596"/>
    <w:rsid w:val="596926C2"/>
    <w:rsid w:val="5A7B4E1B"/>
    <w:rsid w:val="5A836875"/>
    <w:rsid w:val="5B041BCF"/>
    <w:rsid w:val="5C2634BB"/>
    <w:rsid w:val="5CC76FE6"/>
    <w:rsid w:val="5CED4C08"/>
    <w:rsid w:val="61482810"/>
    <w:rsid w:val="617B314A"/>
    <w:rsid w:val="6205537F"/>
    <w:rsid w:val="639712C8"/>
    <w:rsid w:val="65941FB1"/>
    <w:rsid w:val="65FF7E30"/>
    <w:rsid w:val="67AE17DA"/>
    <w:rsid w:val="6A7B1437"/>
    <w:rsid w:val="6C116020"/>
    <w:rsid w:val="6C444A11"/>
    <w:rsid w:val="6C465F5C"/>
    <w:rsid w:val="6F3A4760"/>
    <w:rsid w:val="6FBD6428"/>
    <w:rsid w:val="710574EE"/>
    <w:rsid w:val="72B94E61"/>
    <w:rsid w:val="73775FE8"/>
    <w:rsid w:val="741A22DF"/>
    <w:rsid w:val="756643B1"/>
    <w:rsid w:val="75950C25"/>
    <w:rsid w:val="75CD7239"/>
    <w:rsid w:val="788A5CA4"/>
    <w:rsid w:val="78915924"/>
    <w:rsid w:val="78A42123"/>
    <w:rsid w:val="79BA7488"/>
    <w:rsid w:val="7C552837"/>
    <w:rsid w:val="7ED2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B2B0-4230-4086-BAE2-9C99CC2553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11574</Words>
  <Characters>13843</Characters>
  <Lines>120</Lines>
  <Paragraphs>33</Paragraphs>
  <TotalTime>13</TotalTime>
  <ScaleCrop>false</ScaleCrop>
  <LinksUpToDate>false</LinksUpToDate>
  <CharactersWithSpaces>14868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2022-10-28T02:30:00Z</cp:lastPrinted>
  <dcterms:modified xsi:type="dcterms:W3CDTF">2023-09-26T02:35:48Z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ACF008FE0C9D485997B55FD30D80E798</vt:lpwstr>
  </property>
</Properties>
</file>