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bidi w:val="0"/>
        <w:snapToGrid/>
        <w:spacing w:line="600" w:lineRule="exact"/>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kinsoku/>
        <w:wordWrap/>
        <w:overflowPunct/>
        <w:topLinePunct w:val="0"/>
        <w:bidi w:val="0"/>
        <w:snapToGrid/>
        <w:spacing w:line="600" w:lineRule="exact"/>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kinsoku/>
        <w:wordWrap/>
        <w:overflowPunct/>
        <w:topLinePunct w:val="0"/>
        <w:bidi w:val="0"/>
        <w:snapToGrid/>
        <w:spacing w:line="600" w:lineRule="exact"/>
        <w:ind w:firstLine="1680" w:firstLineChars="200"/>
        <w:jc w:val="center"/>
        <w:rPr>
          <w:rFonts w:asciiTheme="minorEastAsia" w:hAnsiTheme="minorEastAsia" w:eastAsiaTheme="minorEastAsia"/>
          <w:sz w:val="84"/>
          <w:szCs w:val="84"/>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ind w:firstLine="1680" w:firstLineChars="200"/>
        <w:jc w:val="center"/>
        <w:textAlignment w:val="auto"/>
        <w:rPr>
          <w:rFonts w:asciiTheme="minorEastAsia" w:hAnsiTheme="minorEastAsia" w:eastAsiaTheme="minorEastAsia"/>
          <w:sz w:val="84"/>
          <w:szCs w:val="84"/>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ind w:firstLine="1680" w:firstLineChars="200"/>
        <w:jc w:val="center"/>
        <w:textAlignment w:val="auto"/>
        <w:rPr>
          <w:rFonts w:asciiTheme="minorEastAsia" w:hAnsiTheme="minorEastAsia" w:eastAsiaTheme="minorEastAsia"/>
          <w:sz w:val="84"/>
          <w:szCs w:val="84"/>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jc w:val="both"/>
        <w:textAlignment w:val="auto"/>
        <w:rPr>
          <w:rFonts w:asciiTheme="minorEastAsia" w:hAnsiTheme="minorEastAsia" w:eastAsiaTheme="minorEastAsia"/>
          <w:sz w:val="84"/>
          <w:szCs w:val="84"/>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Theme="majorEastAsia" w:hAnsiTheme="majorEastAsia" w:eastAsiaTheme="majorEastAsia" w:cstheme="majorEastAsia"/>
          <w:sz w:val="84"/>
          <w:szCs w:val="84"/>
          <w:highlight w:val="none"/>
        </w:rPr>
      </w:pPr>
      <w:r>
        <w:rPr>
          <w:rFonts w:hint="eastAsia" w:asciiTheme="majorEastAsia" w:hAnsiTheme="majorEastAsia" w:eastAsiaTheme="majorEastAsia" w:cstheme="majorEastAsia"/>
          <w:sz w:val="84"/>
          <w:szCs w:val="84"/>
          <w:highlight w:val="none"/>
        </w:rPr>
        <w:t>2021年度</w:t>
      </w:r>
    </w:p>
    <w:p>
      <w:pPr>
        <w:pStyle w:val="14"/>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Theme="majorEastAsia" w:hAnsiTheme="majorEastAsia" w:eastAsiaTheme="majorEastAsia" w:cstheme="majorEastAsia"/>
          <w:sz w:val="84"/>
          <w:szCs w:val="84"/>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Theme="majorEastAsia" w:hAnsiTheme="majorEastAsia" w:eastAsiaTheme="majorEastAsia" w:cstheme="majorEastAsia"/>
          <w:sz w:val="84"/>
          <w:szCs w:val="84"/>
          <w:highlight w:val="none"/>
        </w:rPr>
      </w:pPr>
      <w:r>
        <w:rPr>
          <w:rFonts w:hint="eastAsia" w:asciiTheme="majorEastAsia" w:hAnsiTheme="majorEastAsia" w:eastAsiaTheme="majorEastAsia" w:cstheme="majorEastAsia"/>
          <w:sz w:val="84"/>
          <w:szCs w:val="84"/>
          <w:highlight w:val="none"/>
        </w:rPr>
        <w:t>祁阳市森林公安局部门决算</w:t>
      </w:r>
    </w:p>
    <w:p>
      <w:pPr>
        <w:pStyle w:val="14"/>
        <w:keepNext w:val="0"/>
        <w:keepLines w:val="0"/>
        <w:pageBreakBefore w:val="0"/>
        <w:widowControl w:val="0"/>
        <w:kinsoku/>
        <w:wordWrap/>
        <w:overflowPunct/>
        <w:topLinePunct w:val="0"/>
        <w:autoSpaceDE w:val="0"/>
        <w:autoSpaceDN w:val="0"/>
        <w:bidi w:val="0"/>
        <w:adjustRightInd w:val="0"/>
        <w:snapToGrid/>
        <w:spacing w:line="1000" w:lineRule="exact"/>
        <w:ind w:firstLine="1120" w:firstLineChars="200"/>
        <w:jc w:val="center"/>
        <w:textAlignment w:val="auto"/>
        <w:rPr>
          <w:rFonts w:asciiTheme="minorEastAsia" w:hAnsiTheme="minorEastAsia" w:eastAsiaTheme="minorEastAsia"/>
          <w:sz w:val="56"/>
          <w:szCs w:val="56"/>
          <w:highlight w:val="none"/>
        </w:rPr>
      </w:pPr>
    </w:p>
    <w:p>
      <w:pPr>
        <w:pStyle w:val="14"/>
        <w:keepNext w:val="0"/>
        <w:keepLines w:val="0"/>
        <w:pageBreakBefore w:val="0"/>
        <w:kinsoku/>
        <w:wordWrap/>
        <w:overflowPunct/>
        <w:topLinePunct w:val="0"/>
        <w:bidi w:val="0"/>
        <w:snapToGrid/>
        <w:spacing w:line="600" w:lineRule="exact"/>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kinsoku/>
        <w:wordWrap/>
        <w:overflowPunct/>
        <w:topLinePunct w:val="0"/>
        <w:bidi w:val="0"/>
        <w:snapToGrid/>
        <w:spacing w:line="600" w:lineRule="exact"/>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kinsoku/>
        <w:wordWrap/>
        <w:overflowPunct/>
        <w:topLinePunct w:val="0"/>
        <w:bidi w:val="0"/>
        <w:snapToGrid/>
        <w:spacing w:line="600" w:lineRule="exact"/>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kinsoku/>
        <w:wordWrap/>
        <w:overflowPunct/>
        <w:topLinePunct w:val="0"/>
        <w:bidi w:val="0"/>
        <w:snapToGrid/>
        <w:spacing w:line="600" w:lineRule="exact"/>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kinsoku/>
        <w:wordWrap/>
        <w:overflowPunct/>
        <w:topLinePunct w:val="0"/>
        <w:bidi w:val="0"/>
        <w:snapToGrid/>
        <w:spacing w:line="600" w:lineRule="exact"/>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kinsoku/>
        <w:wordWrap/>
        <w:overflowPunct/>
        <w:topLinePunct w:val="0"/>
        <w:bidi w:val="0"/>
        <w:snapToGrid/>
        <w:spacing w:line="600" w:lineRule="exact"/>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kinsoku/>
        <w:wordWrap/>
        <w:overflowPunct/>
        <w:topLinePunct w:val="0"/>
        <w:bidi w:val="0"/>
        <w:snapToGrid/>
        <w:spacing w:line="600" w:lineRule="exact"/>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kinsoku/>
        <w:wordWrap/>
        <w:overflowPunct/>
        <w:topLinePunct w:val="0"/>
        <w:bidi w:val="0"/>
        <w:snapToGrid/>
        <w:spacing w:line="600" w:lineRule="exact"/>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kinsoku/>
        <w:wordWrap/>
        <w:overflowPunct/>
        <w:topLinePunct w:val="0"/>
        <w:bidi w:val="0"/>
        <w:snapToGrid/>
        <w:spacing w:line="600" w:lineRule="exact"/>
        <w:jc w:val="both"/>
        <w:rPr>
          <w:rFonts w:asciiTheme="minorEastAsia" w:hAnsiTheme="minorEastAsia" w:eastAsiaTheme="minorEastAsia"/>
          <w:b/>
          <w:sz w:val="36"/>
          <w:szCs w:val="28"/>
          <w:highlight w:val="none"/>
        </w:rPr>
      </w:pPr>
    </w:p>
    <w:p>
      <w:pPr>
        <w:pStyle w:val="14"/>
        <w:keepNext w:val="0"/>
        <w:keepLines w:val="0"/>
        <w:pageBreakBefore w:val="0"/>
        <w:kinsoku/>
        <w:wordWrap/>
        <w:overflowPunct/>
        <w:topLinePunct w:val="0"/>
        <w:bidi w:val="0"/>
        <w:snapToGrid/>
        <w:spacing w:line="600" w:lineRule="exact"/>
        <w:jc w:val="both"/>
        <w:rPr>
          <w:rFonts w:asciiTheme="minorEastAsia" w:hAnsiTheme="minorEastAsia" w:eastAsiaTheme="minorEastAsia"/>
          <w:b/>
          <w:sz w:val="36"/>
          <w:szCs w:val="28"/>
          <w:highlight w:val="none"/>
        </w:rPr>
      </w:pPr>
      <w:bookmarkStart w:id="3" w:name="_GoBack"/>
      <w:bookmarkEnd w:id="3"/>
    </w:p>
    <w:p>
      <w:pPr>
        <w:pStyle w:val="14"/>
        <w:keepNext w:val="0"/>
        <w:keepLines w:val="0"/>
        <w:pageBreakBefore w:val="0"/>
        <w:kinsoku/>
        <w:wordWrap/>
        <w:overflowPunct/>
        <w:topLinePunct w:val="0"/>
        <w:bidi w:val="0"/>
        <w:snapToGrid/>
        <w:spacing w:line="600" w:lineRule="exact"/>
        <w:ind w:firstLine="723" w:firstLineChars="200"/>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pPr>
        <w:pStyle w:val="14"/>
        <w:keepNext w:val="0"/>
        <w:keepLines w:val="0"/>
        <w:pageBreakBefore w:val="0"/>
        <w:kinsoku/>
        <w:wordWrap/>
        <w:overflowPunct/>
        <w:topLinePunct w:val="0"/>
        <w:bidi w:val="0"/>
        <w:snapToGrid/>
        <w:spacing w:line="600" w:lineRule="exact"/>
        <w:ind w:firstLine="562" w:firstLineChars="200"/>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第一部分祁阳市森林公安局单位概况</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4"/>
        <w:keepNext w:val="0"/>
        <w:keepLines w:val="0"/>
        <w:pageBreakBefore w:val="0"/>
        <w:kinsoku/>
        <w:wordWrap/>
        <w:overflowPunct/>
        <w:topLinePunct w:val="0"/>
        <w:bidi w:val="0"/>
        <w:snapToGrid/>
        <w:spacing w:line="600" w:lineRule="exact"/>
        <w:ind w:firstLine="562" w:firstLineChars="200"/>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 xml:space="preserve">第二部分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4"/>
        <w:keepNext w:val="0"/>
        <w:keepLines w:val="0"/>
        <w:pageBreakBefore w:val="0"/>
        <w:kinsoku/>
        <w:wordWrap/>
        <w:overflowPunct/>
        <w:topLinePunct w:val="0"/>
        <w:bidi w:val="0"/>
        <w:snapToGrid/>
        <w:spacing w:line="600" w:lineRule="exact"/>
        <w:ind w:firstLine="562" w:firstLineChars="200"/>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 xml:space="preserve">第三部分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kinsoku/>
        <w:wordWrap/>
        <w:overflowPunct/>
        <w:topLinePunct w:val="0"/>
        <w:bidi w:val="0"/>
        <w:snapToGrid/>
        <w:spacing w:line="600" w:lineRule="exact"/>
        <w:ind w:firstLine="560" w:firstLineChars="200"/>
        <w:jc w:val="left"/>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十三、国有资本经营预算财政拨款支出决算情况</w:t>
      </w:r>
    </w:p>
    <w:p>
      <w:pPr>
        <w:pStyle w:val="14"/>
        <w:keepNext w:val="0"/>
        <w:keepLines w:val="0"/>
        <w:pageBreakBefore w:val="0"/>
        <w:kinsoku/>
        <w:wordWrap/>
        <w:overflowPunct/>
        <w:topLinePunct w:val="0"/>
        <w:bidi w:val="0"/>
        <w:snapToGrid/>
        <w:spacing w:line="600" w:lineRule="exact"/>
        <w:ind w:firstLine="560" w:firstLineChars="20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十四、2021年度预算绩效情况说明</w:t>
      </w:r>
    </w:p>
    <w:p>
      <w:pPr>
        <w:keepNext w:val="0"/>
        <w:keepLines w:val="0"/>
        <w:pageBreakBefore w:val="0"/>
        <w:kinsoku/>
        <w:wordWrap/>
        <w:overflowPunct/>
        <w:topLinePunct w:val="0"/>
        <w:autoSpaceDE w:val="0"/>
        <w:autoSpaceDN w:val="0"/>
        <w:bidi w:val="0"/>
        <w:adjustRightInd w:val="0"/>
        <w:snapToGrid/>
        <w:spacing w:line="600" w:lineRule="exact"/>
        <w:ind w:firstLine="562" w:firstLineChars="200"/>
        <w:jc w:val="left"/>
        <w:rPr>
          <w:rFonts w:cs="黑体" w:asciiTheme="minorEastAsia" w:hAnsiTheme="minorEastAsia"/>
          <w:b/>
          <w:color w:val="000000"/>
          <w:kern w:val="0"/>
          <w:sz w:val="28"/>
          <w:szCs w:val="28"/>
          <w:highlight w:val="none"/>
        </w:rPr>
      </w:pPr>
    </w:p>
    <w:p>
      <w:pPr>
        <w:keepNext w:val="0"/>
        <w:keepLines w:val="0"/>
        <w:pageBreakBefore w:val="0"/>
        <w:kinsoku/>
        <w:wordWrap/>
        <w:overflowPunct/>
        <w:topLinePunct w:val="0"/>
        <w:autoSpaceDE w:val="0"/>
        <w:autoSpaceDN w:val="0"/>
        <w:bidi w:val="0"/>
        <w:adjustRightInd w:val="0"/>
        <w:snapToGrid/>
        <w:spacing w:line="600" w:lineRule="exact"/>
        <w:ind w:firstLine="562" w:firstLineChars="200"/>
        <w:jc w:val="left"/>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pPr>
        <w:keepNext w:val="0"/>
        <w:keepLines w:val="0"/>
        <w:pageBreakBefore w:val="0"/>
        <w:kinsoku/>
        <w:wordWrap/>
        <w:overflowPunct/>
        <w:topLinePunct w:val="0"/>
        <w:autoSpaceDE w:val="0"/>
        <w:autoSpaceDN w:val="0"/>
        <w:bidi w:val="0"/>
        <w:adjustRightInd w:val="0"/>
        <w:snapToGrid/>
        <w:spacing w:line="600" w:lineRule="exact"/>
        <w:ind w:firstLine="562" w:firstLineChars="200"/>
        <w:jc w:val="left"/>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ind w:firstLine="1446" w:firstLineChars="200"/>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val="0"/>
          <w:bCs w:val="0"/>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val="0"/>
          <w:bCs w:val="0"/>
          <w:sz w:val="72"/>
          <w:szCs w:val="72"/>
          <w:highlight w:val="none"/>
        </w:rPr>
      </w:pPr>
      <w:r>
        <w:rPr>
          <w:rFonts w:hint="eastAsia" w:asciiTheme="minorEastAsia" w:hAnsiTheme="minorEastAsia"/>
          <w:b w:val="0"/>
          <w:bCs w:val="0"/>
          <w:sz w:val="72"/>
          <w:szCs w:val="72"/>
          <w:highlight w:val="none"/>
        </w:rPr>
        <w:t>第一部分</w:t>
      </w:r>
    </w:p>
    <w:p>
      <w:pPr>
        <w:keepNext w:val="0"/>
        <w:keepLines w:val="0"/>
        <w:pageBreakBefore w:val="0"/>
        <w:widowControl w:val="0"/>
        <w:kinsoku/>
        <w:wordWrap/>
        <w:overflowPunct/>
        <w:topLinePunct w:val="0"/>
        <w:autoSpaceDE/>
        <w:autoSpaceDN/>
        <w:bidi w:val="0"/>
        <w:adjustRightInd/>
        <w:snapToGrid/>
        <w:spacing w:line="1000" w:lineRule="exact"/>
        <w:ind w:firstLine="1440" w:firstLineChars="200"/>
        <w:jc w:val="center"/>
        <w:textAlignment w:val="auto"/>
        <w:rPr>
          <w:rFonts w:hint="eastAsia" w:asciiTheme="minorEastAsia" w:hAnsiTheme="minorEastAsia"/>
          <w:b w:val="0"/>
          <w:bCs w:val="0"/>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val="0"/>
          <w:bCs w:val="0"/>
          <w:sz w:val="72"/>
          <w:szCs w:val="72"/>
          <w:highlight w:val="none"/>
        </w:rPr>
      </w:pPr>
      <w:r>
        <w:rPr>
          <w:rFonts w:hint="eastAsia" w:asciiTheme="minorEastAsia" w:hAnsiTheme="minorEastAsia"/>
          <w:b w:val="0"/>
          <w:bCs w:val="0"/>
          <w:sz w:val="72"/>
          <w:szCs w:val="72"/>
          <w:highlight w:val="none"/>
        </w:rPr>
        <w:t>祁阳市森林公安局单位概况</w:t>
      </w: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pStyle w:val="2"/>
        <w:rPr>
          <w:rFonts w:asciiTheme="minorEastAsia" w:hAnsiTheme="minorEastAsia"/>
          <w:sz w:val="72"/>
          <w:szCs w:val="72"/>
          <w:highlight w:val="none"/>
        </w:rPr>
      </w:pPr>
    </w:p>
    <w:p>
      <w:pPr>
        <w:pStyle w:val="3"/>
        <w:rPr>
          <w:rFonts w:asciiTheme="minorEastAsia" w:hAnsiTheme="minorEastAsia"/>
          <w:sz w:val="72"/>
          <w:szCs w:val="72"/>
          <w:highlight w:val="none"/>
        </w:rPr>
      </w:pPr>
    </w:p>
    <w:p>
      <w:pPr>
        <w:rPr>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pStyle w:val="15"/>
        <w:keepNext w:val="0"/>
        <w:keepLines w:val="0"/>
        <w:pageBreakBefore w:val="0"/>
        <w:kinsoku/>
        <w:wordWrap/>
        <w:overflowPunct/>
        <w:topLinePunct w:val="0"/>
        <w:bidi w:val="0"/>
        <w:snapToGrid/>
        <w:spacing w:line="600" w:lineRule="exact"/>
        <w:ind w:left="0" w:leftChars="0" w:firstLine="0" w:firstLineChars="0"/>
        <w:jc w:val="left"/>
        <w:rPr>
          <w:rFonts w:asciiTheme="minorEastAsia" w:hAnsiTheme="minorEastAsia"/>
          <w:sz w:val="32"/>
          <w:szCs w:val="32"/>
          <w:highlight w:val="none"/>
        </w:rPr>
      </w:pPr>
    </w:p>
    <w:p>
      <w:pPr>
        <w:pStyle w:val="15"/>
        <w:keepNext w:val="0"/>
        <w:keepLines w:val="0"/>
        <w:pageBreakBefore w:val="0"/>
        <w:kinsoku/>
        <w:wordWrap/>
        <w:overflowPunct/>
        <w:topLinePunct w:val="0"/>
        <w:bidi w:val="0"/>
        <w:snapToGrid/>
        <w:spacing w:line="600" w:lineRule="exact"/>
        <w:ind w:firstLine="643" w:firstLineChars="200"/>
        <w:jc w:val="left"/>
        <w:rPr>
          <w:rFonts w:asciiTheme="minorEastAsia" w:hAnsiTheme="minorEastAsia"/>
          <w:b/>
          <w:bCs/>
          <w:sz w:val="32"/>
          <w:szCs w:val="32"/>
          <w:highlight w:val="none"/>
        </w:rPr>
      </w:pPr>
      <w:r>
        <w:rPr>
          <w:rFonts w:hint="eastAsia" w:asciiTheme="minorEastAsia" w:hAnsiTheme="minorEastAsia"/>
          <w:b/>
          <w:bCs/>
          <w:sz w:val="32"/>
          <w:szCs w:val="32"/>
          <w:highlight w:val="none"/>
        </w:rPr>
        <w:t>一、</w:t>
      </w:r>
      <w:r>
        <w:rPr>
          <w:rFonts w:asciiTheme="minorEastAsia" w:hAnsiTheme="minorEastAsia"/>
          <w:b/>
          <w:bCs/>
          <w:sz w:val="32"/>
          <w:szCs w:val="32"/>
          <w:highlight w:val="none"/>
        </w:rPr>
        <w:t>部门职责</w:t>
      </w:r>
    </w:p>
    <w:p>
      <w:pPr>
        <w:pStyle w:val="15"/>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1.承担森林和草原防火工作，负责火场警戒、交通疏导、治安维护、火案侦破等，查处森林和草原领域其他违法犯罪行为，协同林业局开展防火宣传、火灾隐患排查、重点领域巡护、违规用火处罚等工作。</w:t>
      </w:r>
    </w:p>
    <w:p>
      <w:pPr>
        <w:pStyle w:val="15"/>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2.掌握生态环境、生物安全等领域犯罪动态，拟定预防、打击对策。</w:t>
      </w:r>
    </w:p>
    <w:p>
      <w:pPr>
        <w:pStyle w:val="15"/>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3.组织开展对生态环境、生物安全等领域犯罪案件的侦查工作。</w:t>
      </w:r>
    </w:p>
    <w:p>
      <w:pPr>
        <w:pStyle w:val="15"/>
        <w:keepNext w:val="0"/>
        <w:keepLines w:val="0"/>
        <w:pageBreakBefore w:val="0"/>
        <w:kinsoku/>
        <w:wordWrap/>
        <w:overflowPunct/>
        <w:topLinePunct w:val="0"/>
        <w:bidi w:val="0"/>
        <w:snapToGrid/>
        <w:spacing w:line="600" w:lineRule="exact"/>
        <w:ind w:firstLine="643" w:firstLineChars="200"/>
        <w:jc w:val="left"/>
        <w:rPr>
          <w:rFonts w:asciiTheme="minorEastAsia" w:hAnsiTheme="minorEastAsia"/>
          <w:b/>
          <w:bCs/>
          <w:sz w:val="32"/>
          <w:szCs w:val="32"/>
          <w:highlight w:val="none"/>
        </w:rPr>
      </w:pPr>
      <w:r>
        <w:rPr>
          <w:rFonts w:hint="eastAsia" w:asciiTheme="minorEastAsia" w:hAnsiTheme="minorEastAsia"/>
          <w:b/>
          <w:bCs/>
          <w:sz w:val="32"/>
          <w:szCs w:val="32"/>
          <w:highlight w:val="none"/>
        </w:rPr>
        <w:t>二、机构设置及决算单位构成</w:t>
      </w:r>
    </w:p>
    <w:p>
      <w:pPr>
        <w:pStyle w:val="15"/>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（一）内设机构设置。祁阳市森林公安局内设机构包括：刑侦治安股、法制股、消防股、大江派出所、挂榜山派出所。</w:t>
      </w:r>
    </w:p>
    <w:p>
      <w:pPr>
        <w:pStyle w:val="15"/>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（二）决算单位构成。祁阳市森林公安局2021年部门决算公开单位构成包括：祁阳市森林公安局本级。</w:t>
      </w:r>
    </w:p>
    <w:p>
      <w:pPr>
        <w:keepNext w:val="0"/>
        <w:keepLines w:val="0"/>
        <w:pageBreakBefore w:val="0"/>
        <w:kinsoku/>
        <w:wordWrap/>
        <w:overflowPunct/>
        <w:topLinePunct w:val="0"/>
        <w:bidi w:val="0"/>
        <w:snapToGrid/>
        <w:spacing w:line="600" w:lineRule="exact"/>
        <w:ind w:firstLine="560" w:firstLineChars="200"/>
        <w:jc w:val="left"/>
        <w:rPr>
          <w:rFonts w:asciiTheme="minorEastAsia" w:hAnsiTheme="minorEastAsia"/>
          <w:sz w:val="28"/>
          <w:szCs w:val="32"/>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560" w:firstLineChars="200"/>
        <w:jc w:val="center"/>
        <w:rPr>
          <w:rFonts w:asciiTheme="minorEastAsia" w:hAnsiTheme="minorEastAsia"/>
          <w:sz w:val="28"/>
          <w:szCs w:val="28"/>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bCs/>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b w:val="0"/>
          <w:bCs w:val="0"/>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heme="minorEastAsia" w:hAnsiTheme="minorEastAsia"/>
          <w:b w:val="0"/>
          <w:bCs w:val="0"/>
          <w:sz w:val="72"/>
          <w:szCs w:val="72"/>
          <w:highlight w:val="none"/>
        </w:rPr>
      </w:pPr>
      <w:r>
        <w:rPr>
          <w:rFonts w:hint="eastAsia" w:asciiTheme="minorEastAsia" w:hAnsiTheme="minorEastAsia"/>
          <w:b w:val="0"/>
          <w:bCs w:val="0"/>
          <w:sz w:val="72"/>
          <w:szCs w:val="72"/>
          <w:highlight w:val="none"/>
        </w:rPr>
        <w:t>第二部分</w:t>
      </w:r>
    </w:p>
    <w:p>
      <w:pPr>
        <w:keepNext w:val="0"/>
        <w:keepLines w:val="0"/>
        <w:pageBreakBefore w:val="0"/>
        <w:widowControl w:val="0"/>
        <w:kinsoku/>
        <w:wordWrap/>
        <w:overflowPunct/>
        <w:topLinePunct w:val="0"/>
        <w:autoSpaceDE/>
        <w:autoSpaceDN/>
        <w:bidi w:val="0"/>
        <w:adjustRightInd/>
        <w:snapToGrid/>
        <w:spacing w:line="1000" w:lineRule="exact"/>
        <w:ind w:firstLine="1440" w:firstLineChars="200"/>
        <w:jc w:val="center"/>
        <w:textAlignment w:val="auto"/>
        <w:rPr>
          <w:rFonts w:asciiTheme="minorEastAsia" w:hAnsiTheme="minorEastAsia"/>
          <w:b w:val="0"/>
          <w:bCs w:val="0"/>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heme="minorEastAsia" w:hAnsiTheme="minorEastAsia"/>
          <w:b w:val="0"/>
          <w:bCs w:val="0"/>
          <w:sz w:val="72"/>
          <w:szCs w:val="72"/>
          <w:highlight w:val="none"/>
        </w:rPr>
      </w:pPr>
      <w:r>
        <w:rPr>
          <w:rFonts w:hint="eastAsia" w:asciiTheme="minorEastAsia" w:hAnsiTheme="minorEastAsia"/>
          <w:b w:val="0"/>
          <w:bCs w:val="0"/>
          <w:sz w:val="72"/>
          <w:szCs w:val="72"/>
          <w:highlight w:val="none"/>
        </w:rPr>
        <w:t>2021年度部门决算表</w:t>
      </w:r>
    </w:p>
    <w:p>
      <w:pPr>
        <w:keepNext w:val="0"/>
        <w:keepLines w:val="0"/>
        <w:pageBreakBefore w:val="0"/>
        <w:widowControl w:val="0"/>
        <w:kinsoku/>
        <w:wordWrap/>
        <w:overflowPunct/>
        <w:topLinePunct w:val="0"/>
        <w:autoSpaceDE/>
        <w:autoSpaceDN/>
        <w:bidi w:val="0"/>
        <w:adjustRightInd/>
        <w:snapToGrid/>
        <w:spacing w:line="1000" w:lineRule="exact"/>
        <w:ind w:firstLine="1440" w:firstLineChars="200"/>
        <w:jc w:val="center"/>
        <w:textAlignment w:val="auto"/>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sz w:val="72"/>
          <w:szCs w:val="72"/>
          <w:highlight w:val="none"/>
        </w:rPr>
      </w:pPr>
    </w:p>
    <w:p>
      <w:pPr>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pPr>
    </w:p>
    <w:p>
      <w:pPr>
        <w:keepNext w:val="0"/>
        <w:keepLines w:val="0"/>
        <w:pageBreakBefore w:val="0"/>
        <w:kinsoku/>
        <w:wordWrap/>
        <w:overflowPunct/>
        <w:topLinePunct w:val="0"/>
        <w:bidi w:val="0"/>
        <w:snapToGrid/>
        <w:spacing w:line="600" w:lineRule="exact"/>
        <w:ind w:firstLine="640" w:firstLineChars="200"/>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643"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40"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1"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11"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部门：祁阳市森林公安局</w:t>
            </w:r>
          </w:p>
        </w:tc>
        <w:tc>
          <w:tcPr>
            <w:tcW w:w="240"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1"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11"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2461" w:type="pct"/>
            <w:gridSpan w:val="3"/>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1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827"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81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353.15</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253.93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39</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40</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十二、农林水支出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十三、交通运输支出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47</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48</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49</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55</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56</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二十六、抗疫特别国债安排的支出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57</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353.15</w:t>
            </w: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本年支出合计</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58</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353.15</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59</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年初结转和结余</w:t>
            </w: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年末结转和结余</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 w:val="21"/>
                <w:szCs w:val="21"/>
                <w:highlight w:val="none"/>
              </w:rPr>
            </w:pP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353.15</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353.15</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注：1.本表反映部门本年度的总收支和年末结转结余情况。</w:t>
            </w:r>
          </w:p>
          <w:p>
            <w:pPr>
              <w:keepNext w:val="0"/>
              <w:keepLines w:val="0"/>
              <w:pageBreakBefore w:val="0"/>
              <w:widowControl/>
              <w:kinsoku/>
              <w:wordWrap/>
              <w:overflowPunct/>
              <w:topLinePunct w:val="0"/>
              <w:bidi w:val="0"/>
              <w:snapToGrid/>
              <w:spacing w:line="6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2.本套报表金额单位转换时可能存在尾数误差。</w:t>
            </w:r>
          </w:p>
        </w:tc>
      </w:tr>
    </w:tbl>
    <w:p>
      <w:pPr>
        <w:keepNext w:val="0"/>
        <w:keepLines w:val="0"/>
        <w:pageBreakBefore w:val="0"/>
        <w:kinsoku/>
        <w:wordWrap/>
        <w:overflowPunct/>
        <w:topLinePunct w:val="0"/>
        <w:bidi w:val="0"/>
        <w:snapToGrid/>
        <w:spacing w:line="600" w:lineRule="exact"/>
        <w:ind w:firstLine="640" w:firstLineChars="200"/>
        <w:rPr>
          <w:rFonts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69"/>
        <w:gridCol w:w="4477"/>
        <w:gridCol w:w="1450"/>
        <w:gridCol w:w="1453"/>
        <w:gridCol w:w="1327"/>
        <w:gridCol w:w="1342"/>
        <w:gridCol w:w="1342"/>
        <w:gridCol w:w="1355"/>
        <w:gridCol w:w="1413"/>
      </w:tblGrid>
      <w:tr>
        <w:tblPrEx>
          <w:tblCellMar>
            <w:top w:w="0" w:type="dxa"/>
            <w:left w:w="0" w:type="dxa"/>
            <w:bottom w:w="0" w:type="dxa"/>
            <w:right w:w="0" w:type="dxa"/>
          </w:tblCellMar>
        </w:tblPrEx>
        <w:trPr>
          <w:trHeight w:val="239"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643" w:firstLineChars="200"/>
              <w:jc w:val="center"/>
              <w:rPr>
                <w:rFonts w:ascii="Times New Roman" w:hAnsi="Times New Roman" w:cs="Times New Roman"/>
                <w:color w:val="000000"/>
                <w:sz w:val="32"/>
                <w:szCs w:val="32"/>
                <w:highlight w:val="none"/>
              </w:rPr>
            </w:pPr>
            <w:r>
              <w:rPr>
                <w:rFonts w:ascii="Times New Roman" w:hAnsi="Times New Roman" w:cs="Times New Roman"/>
                <w:b/>
                <w:bCs/>
                <w:color w:val="000000"/>
                <w:sz w:val="32"/>
                <w:szCs w:val="32"/>
                <w:highlight w:val="none"/>
              </w:rPr>
              <w:t>收入决算表</w:t>
            </w:r>
          </w:p>
        </w:tc>
      </w:tr>
      <w:tr>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公开02表</w:t>
            </w:r>
          </w:p>
        </w:tc>
      </w:tr>
      <w:tr>
        <w:tblPrEx>
          <w:tblCellMar>
            <w:top w:w="0" w:type="dxa"/>
            <w:left w:w="0" w:type="dxa"/>
            <w:bottom w:w="0" w:type="dxa"/>
            <w:right w:w="0" w:type="dxa"/>
          </w:tblCellMar>
        </w:tblPrEx>
        <w:trPr>
          <w:trHeight w:val="102"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部门：</w:t>
            </w:r>
            <w:r>
              <w:rPr>
                <w:rFonts w:hint="eastAsia" w:ascii="宋体" w:hAnsi="宋体" w:eastAsia="宋体" w:cs="宋体"/>
                <w:sz w:val="20"/>
                <w:szCs w:val="20"/>
                <w:highlight w:val="none"/>
              </w:rPr>
              <w:t>　祁阳市森林公安局</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00" w:firstLineChars="20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单位：万元</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附属单位</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上缴收入</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功能分类</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科目编码</w:t>
            </w:r>
          </w:p>
        </w:tc>
        <w:tc>
          <w:tcPr>
            <w:tcW w:w="1451"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145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szCs w:val="21"/>
                <w:highlight w:val="none"/>
              </w:rPr>
            </w:pP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458"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r>
      <w:tr>
        <w:tblPrEx>
          <w:tblCellMar>
            <w:top w:w="0" w:type="dxa"/>
            <w:left w:w="0" w:type="dxa"/>
            <w:bottom w:w="0" w:type="dxa"/>
            <w:right w:w="0" w:type="dxa"/>
          </w:tblCellMar>
        </w:tblPrEx>
        <w:trPr>
          <w:trHeight w:val="115"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353.15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353.15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2019999</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25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253.93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253.93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公安</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240.93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240.93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9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2040201</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209.27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209.27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2040202</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2040299</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其他公安支出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17.66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17.66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9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20499</w:t>
            </w:r>
          </w:p>
        </w:tc>
        <w:tc>
          <w:tcPr>
            <w:tcW w:w="145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其他公共安全支出</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4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2049999</w:t>
            </w:r>
          </w:p>
        </w:tc>
        <w:tc>
          <w:tcPr>
            <w:tcW w:w="1451"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其他公共安全支出</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47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4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trHeight w:val="9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2080505</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2101101</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农林水支出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21302</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林业和草原</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2130202</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9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住房保障支出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w:t>
            </w:r>
          </w:p>
        </w:tc>
        <w:tc>
          <w:tcPr>
            <w:tcW w:w="145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住房改革支出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167"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2210201</w:t>
            </w:r>
          </w:p>
        </w:tc>
        <w:tc>
          <w:tcPr>
            <w:tcW w:w="145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住房公积金</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7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3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ind w:firstLine="420" w:firstLineChars="200"/>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12"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szCs w:val="21"/>
                <w:highlight w:val="none"/>
              </w:rPr>
            </w:pPr>
            <w:r>
              <w:rPr>
                <w:rFonts w:hint="eastAsia" w:ascii="宋体" w:hAnsi="宋体" w:eastAsia="宋体" w:cs="宋体"/>
                <w:szCs w:val="21"/>
                <w:highlight w:val="none"/>
              </w:rPr>
              <w:t>注：本表反映部门本年度取得的各项收入情况。</w:t>
            </w:r>
          </w:p>
        </w:tc>
      </w:tr>
    </w:tbl>
    <w:p>
      <w:pPr>
        <w:keepNext w:val="0"/>
        <w:keepLines w:val="0"/>
        <w:pageBreakBefore w:val="0"/>
        <w:widowControl/>
        <w:kinsoku/>
        <w:wordWrap/>
        <w:overflowPunct/>
        <w:topLinePunct w:val="0"/>
        <w:bidi w:val="0"/>
        <w:snapToGrid/>
        <w:spacing w:line="600" w:lineRule="exact"/>
        <w:ind w:firstLine="640"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6" w:type="pct"/>
        <w:tblInd w:w="93" w:type="dxa"/>
        <w:tblLayout w:type="fixed"/>
        <w:tblCellMar>
          <w:top w:w="0" w:type="dxa"/>
          <w:left w:w="108" w:type="dxa"/>
          <w:bottom w:w="0" w:type="dxa"/>
          <w:right w:w="108" w:type="dxa"/>
        </w:tblCellMar>
      </w:tblPr>
      <w:tblGrid>
        <w:gridCol w:w="1194"/>
        <w:gridCol w:w="4550"/>
        <w:gridCol w:w="1692"/>
        <w:gridCol w:w="1662"/>
        <w:gridCol w:w="1554"/>
        <w:gridCol w:w="1578"/>
        <w:gridCol w:w="1578"/>
        <w:gridCol w:w="1606"/>
      </w:tblGrid>
      <w:tr>
        <w:tblPrEx>
          <w:tblCellMar>
            <w:top w:w="0" w:type="dxa"/>
            <w:left w:w="108" w:type="dxa"/>
            <w:bottom w:w="0" w:type="dxa"/>
            <w:right w:w="108" w:type="dxa"/>
          </w:tblCellMar>
        </w:tblPrEx>
        <w:trPr>
          <w:trHeight w:val="337" w:hRule="atLeast"/>
        </w:trPr>
        <w:tc>
          <w:tcPr>
            <w:tcW w:w="5000" w:type="pct"/>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643"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支出决算表</w:t>
            </w:r>
          </w:p>
        </w:tc>
      </w:tr>
      <w:tr>
        <w:tblPrEx>
          <w:tblCellMar>
            <w:top w:w="0" w:type="dxa"/>
            <w:left w:w="108" w:type="dxa"/>
            <w:bottom w:w="0" w:type="dxa"/>
            <w:right w:w="108" w:type="dxa"/>
          </w:tblCellMar>
        </w:tblPrEx>
        <w:trPr>
          <w:trHeight w:val="90" w:hRule="atLeast"/>
        </w:trPr>
        <w:tc>
          <w:tcPr>
            <w:tcW w:w="1863" w:type="pct"/>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4"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8"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blPrEx>
          <w:tblCellMar>
            <w:top w:w="0" w:type="dxa"/>
            <w:left w:w="108" w:type="dxa"/>
            <w:bottom w:w="0" w:type="dxa"/>
            <w:right w:w="108" w:type="dxa"/>
          </w:tblCellMar>
        </w:tblPrEx>
        <w:trPr>
          <w:trHeight w:val="137" w:hRule="atLeast"/>
        </w:trPr>
        <w:tc>
          <w:tcPr>
            <w:tcW w:w="1863" w:type="pct"/>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kern w:val="0"/>
                <w:sz w:val="20"/>
                <w:szCs w:val="20"/>
                <w:highlight w:val="none"/>
              </w:rPr>
              <w:t>　祁阳市森林公安局　</w:t>
            </w:r>
          </w:p>
        </w:tc>
        <w:tc>
          <w:tcPr>
            <w:tcW w:w="54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4"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8"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基本支出</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经营支出</w:t>
            </w:r>
          </w:p>
        </w:tc>
        <w:tc>
          <w:tcPr>
            <w:tcW w:w="5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对附属单位</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补助支出</w:t>
            </w:r>
          </w:p>
        </w:tc>
      </w:tr>
      <w:tr>
        <w:tblPrEx>
          <w:tblCellMar>
            <w:top w:w="0" w:type="dxa"/>
            <w:left w:w="108" w:type="dxa"/>
            <w:bottom w:w="0" w:type="dxa"/>
            <w:right w:w="108" w:type="dxa"/>
          </w:tblCellMar>
        </w:tblPrEx>
        <w:trPr>
          <w:trHeight w:val="450" w:hRule="atLeast"/>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1476"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47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04"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18"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CellMar>
            <w:top w:w="0" w:type="dxa"/>
            <w:left w:w="108" w:type="dxa"/>
            <w:bottom w:w="0" w:type="dxa"/>
            <w:right w:w="108" w:type="dxa"/>
          </w:tblCellMar>
        </w:tblPrEx>
        <w:trPr>
          <w:trHeight w:val="312"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合计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353.15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329.15</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24.00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201</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20199</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2019999</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45.26</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公共安全支出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253.93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239.93</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公安</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240.93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226.93</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2040201</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209.27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209.27</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2040202</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2040299</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其他公安支出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17.66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17.66</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其他公共安全支出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13.00</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2049999</w:t>
            </w:r>
          </w:p>
        </w:tc>
        <w:tc>
          <w:tcPr>
            <w:tcW w:w="1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其他公共安全支出</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13.00</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w:t>
            </w:r>
          </w:p>
        </w:tc>
        <w:tc>
          <w:tcPr>
            <w:tcW w:w="1476"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社会保障和就业支出</w:t>
            </w:r>
          </w:p>
        </w:tc>
        <w:tc>
          <w:tcPr>
            <w:tcW w:w="54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c>
          <w:tcPr>
            <w:tcW w:w="53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c>
          <w:tcPr>
            <w:tcW w:w="50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2080505</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20.74</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0"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2101101</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9.58</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农林水支出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21302</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林业和草原</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2130202</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2210201</w:t>
            </w:r>
          </w:p>
        </w:tc>
        <w:tc>
          <w:tcPr>
            <w:tcW w:w="1476"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kinsoku/>
              <w:wordWrap/>
              <w:overflowPunct/>
              <w:topLinePunct w:val="0"/>
              <w:bidi w:val="0"/>
              <w:snapToGrid/>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13.64</w:t>
            </w:r>
          </w:p>
        </w:tc>
        <w:tc>
          <w:tcPr>
            <w:tcW w:w="50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注：本表反映部门本年度各项支出情况。</w:t>
            </w:r>
          </w:p>
        </w:tc>
      </w:tr>
    </w:tbl>
    <w:p>
      <w:pPr>
        <w:keepNext w:val="0"/>
        <w:keepLines w:val="0"/>
        <w:pageBreakBefore w:val="0"/>
        <w:widowControl/>
        <w:kinsoku/>
        <w:wordWrap/>
        <w:overflowPunct/>
        <w:topLinePunct w:val="0"/>
        <w:bidi w:val="0"/>
        <w:snapToGrid/>
        <w:spacing w:line="600" w:lineRule="exact"/>
        <w:ind w:firstLine="640" w:firstLineChars="200"/>
        <w:jc w:val="center"/>
        <w:rPr>
          <w:rFonts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4958" w:type="pct"/>
        <w:tblInd w:w="126" w:type="dxa"/>
        <w:tblLayout w:type="fixed"/>
        <w:tblCellMar>
          <w:top w:w="0" w:type="dxa"/>
          <w:left w:w="108" w:type="dxa"/>
          <w:bottom w:w="0" w:type="dxa"/>
          <w:right w:w="108" w:type="dxa"/>
        </w:tblCellMar>
      </w:tblPr>
      <w:tblGrid>
        <w:gridCol w:w="3357"/>
        <w:gridCol w:w="687"/>
        <w:gridCol w:w="1093"/>
        <w:gridCol w:w="3598"/>
        <w:gridCol w:w="647"/>
        <w:gridCol w:w="1174"/>
        <w:gridCol w:w="1511"/>
        <w:gridCol w:w="1722"/>
        <w:gridCol w:w="1694"/>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643"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175" w:hRule="atLeast"/>
        </w:trPr>
        <w:tc>
          <w:tcPr>
            <w:tcW w:w="1659" w:type="pct"/>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6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8"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6"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5"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公开04表</w:t>
            </w:r>
          </w:p>
        </w:tc>
      </w:tr>
      <w:tr>
        <w:tblPrEx>
          <w:tblCellMar>
            <w:top w:w="0" w:type="dxa"/>
            <w:left w:w="108" w:type="dxa"/>
            <w:bottom w:w="0" w:type="dxa"/>
            <w:right w:w="108" w:type="dxa"/>
          </w:tblCellMar>
        </w:tblPrEx>
        <w:trPr>
          <w:trHeight w:val="112" w:hRule="atLeast"/>
        </w:trPr>
        <w:tc>
          <w:tcPr>
            <w:tcW w:w="1659" w:type="pct"/>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kern w:val="0"/>
                <w:sz w:val="20"/>
                <w:szCs w:val="20"/>
                <w:highlight w:val="none"/>
              </w:rPr>
              <w:t>　祁阳市森林公安局</w:t>
            </w:r>
          </w:p>
        </w:tc>
        <w:tc>
          <w:tcPr>
            <w:tcW w:w="1162"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9"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8"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6"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5" w:type="pct"/>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105" w:hRule="atLeast"/>
        </w:trPr>
        <w:tc>
          <w:tcPr>
            <w:tcW w:w="165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收入</w:t>
            </w:r>
          </w:p>
        </w:tc>
        <w:tc>
          <w:tcPr>
            <w:tcW w:w="3340" w:type="pct"/>
            <w:gridSpan w:val="6"/>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支出</w:t>
            </w:r>
          </w:p>
        </w:tc>
      </w:tr>
      <w:tr>
        <w:tblPrEx>
          <w:tblCellMar>
            <w:top w:w="0" w:type="dxa"/>
            <w:left w:w="108" w:type="dxa"/>
            <w:bottom w:w="0" w:type="dxa"/>
            <w:right w:w="108" w:type="dxa"/>
          </w:tblCellMar>
        </w:tblPrEx>
        <w:trPr>
          <w:trHeight w:val="630"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行次</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政府性基金预算财政拨款</w:t>
            </w:r>
          </w:p>
        </w:tc>
        <w:tc>
          <w:tcPr>
            <w:tcW w:w="5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国有资本经营预算财政拨款</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    次</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一、一般公共预算财政拨款</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353.15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33</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二、政府性基金预算财政拨款</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34</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三、国有资本经营预算财政拨款</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36</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253.93</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253.93</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37</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38</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39</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41</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十一、城乡社区支出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43</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3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十二、农林水支出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44</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46</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47</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16</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48</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49</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19</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3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90"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21</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53</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54</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55</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56</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w:t>
            </w:r>
          </w:p>
        </w:tc>
        <w:tc>
          <w:tcPr>
            <w:tcW w:w="3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二十五、债务付息支出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57</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26</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58</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本年收入合计</w:t>
            </w:r>
          </w:p>
        </w:tc>
        <w:tc>
          <w:tcPr>
            <w:tcW w:w="2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27</w:t>
            </w:r>
          </w:p>
        </w:tc>
        <w:tc>
          <w:tcPr>
            <w:tcW w:w="3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353.15　</w:t>
            </w:r>
          </w:p>
        </w:tc>
        <w:tc>
          <w:tcPr>
            <w:tcW w:w="116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本年支出合计</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59</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353.15</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353.15</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年初财政拨款结转和结余</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28</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年末财政拨款结转和结余</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60</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一般公共预算财政拨款</w:t>
            </w:r>
          </w:p>
        </w:tc>
        <w:tc>
          <w:tcPr>
            <w:tcW w:w="2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29</w:t>
            </w:r>
          </w:p>
        </w:tc>
        <w:tc>
          <w:tcPr>
            <w:tcW w:w="3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61</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政府性基金预算财政拨款</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62</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国有资本经营预算财政拨款</w:t>
            </w:r>
          </w:p>
        </w:tc>
        <w:tc>
          <w:tcPr>
            <w:tcW w:w="22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31</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63</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222"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32</w:t>
            </w:r>
          </w:p>
        </w:tc>
        <w:tc>
          <w:tcPr>
            <w:tcW w:w="3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b/>
                <w:bCs/>
                <w:kern w:val="0"/>
                <w:szCs w:val="21"/>
                <w:highlight w:val="none"/>
              </w:rPr>
              <w:t>353.15</w:t>
            </w:r>
            <w:r>
              <w:rPr>
                <w:rFonts w:hint="eastAsia" w:ascii="宋体" w:hAnsi="宋体" w:eastAsia="宋体" w:cs="宋体"/>
                <w:kern w:val="0"/>
                <w:szCs w:val="21"/>
                <w:highlight w:val="none"/>
              </w:rPr>
              <w:t>　</w:t>
            </w:r>
          </w:p>
        </w:tc>
        <w:tc>
          <w:tcPr>
            <w:tcW w:w="1162"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22" w:firstLineChars="20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64</w:t>
            </w:r>
          </w:p>
        </w:tc>
        <w:tc>
          <w:tcPr>
            <w:tcW w:w="37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353.15</w:t>
            </w:r>
          </w:p>
        </w:tc>
        <w:tc>
          <w:tcPr>
            <w:tcW w:w="488"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353.15</w:t>
            </w:r>
          </w:p>
        </w:tc>
        <w:tc>
          <w:tcPr>
            <w:tcW w:w="5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注：本表反映部门本年度一般公共预算财政拨款、政府性基金预算财政拨款和国有资本经营预算财政拨款的总收支和年末结转结余情况。</w:t>
            </w:r>
          </w:p>
        </w:tc>
      </w:tr>
    </w:tbl>
    <w:p>
      <w:pPr>
        <w:keepNext w:val="0"/>
        <w:keepLines w:val="0"/>
        <w:pageBreakBefore w:val="0"/>
        <w:kinsoku/>
        <w:wordWrap/>
        <w:overflowPunct/>
        <w:topLinePunct w:val="0"/>
        <w:bidi w:val="0"/>
        <w:snapToGrid/>
        <w:spacing w:line="600" w:lineRule="exact"/>
        <w:ind w:firstLine="640" w:firstLineChars="200"/>
        <w:rPr>
          <w:rFonts w:cs="Times New Roman" w:asciiTheme="minorEastAsia" w:hAnsiTheme="minorEastAsia"/>
          <w:kern w:val="0"/>
          <w:sz w:val="32"/>
          <w:szCs w:val="32"/>
          <w:highlight w:val="none"/>
        </w:rPr>
      </w:pPr>
      <w:r>
        <w:rPr>
          <w:rFonts w:cs="Times New Roman" w:asciiTheme="minorEastAsia" w:hAnsiTheme="minorEastAsia"/>
          <w:kern w:val="0"/>
          <w:sz w:val="32"/>
          <w:szCs w:val="32"/>
          <w:highlight w:val="none"/>
        </w:rPr>
        <w:br w:type="page"/>
      </w:r>
    </w:p>
    <w:p>
      <w:pPr>
        <w:keepNext w:val="0"/>
        <w:keepLines w:val="0"/>
        <w:pageBreakBefore w:val="0"/>
        <w:widowControl/>
        <w:kinsoku/>
        <w:wordWrap/>
        <w:overflowPunct/>
        <w:topLinePunct w:val="0"/>
        <w:bidi w:val="0"/>
        <w:snapToGrid/>
        <w:spacing w:line="600" w:lineRule="exact"/>
        <w:ind w:firstLine="643" w:firstLineChars="200"/>
        <w:jc w:val="center"/>
        <w:rPr>
          <w:rFonts w:cs="Times New Roman" w:asciiTheme="minorEastAsia" w:hAnsiTheme="minorEastAsia"/>
          <w:color w:val="000000"/>
          <w:kern w:val="0"/>
          <w:sz w:val="20"/>
          <w:szCs w:val="20"/>
          <w:highlight w:val="none"/>
        </w:rPr>
      </w:pPr>
      <w:r>
        <w:rPr>
          <w:rFonts w:cs="Times New Roman" w:asciiTheme="minorEastAsia" w:hAnsiTheme="minorEastAsia"/>
          <w:b/>
          <w:bCs/>
          <w:kern w:val="0"/>
          <w:sz w:val="32"/>
          <w:szCs w:val="32"/>
          <w:highlight w:val="none"/>
        </w:rPr>
        <w:t>一般公共预算财政拨款支出决算表</w:t>
      </w:r>
      <w:bookmarkEnd w:id="1"/>
      <w:r>
        <w:rPr>
          <w:rFonts w:cs="Times New Roman" w:asciiTheme="minorEastAsia" w:hAnsiTheme="minorEastAsia"/>
          <w:b/>
          <w:bCs/>
          <w:color w:val="000000"/>
          <w:kern w:val="0"/>
          <w:sz w:val="32"/>
          <w:szCs w:val="32"/>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p>
    <w:tbl>
      <w:tblPr>
        <w:tblStyle w:val="9"/>
        <w:tblW w:w="4946" w:type="pct"/>
        <w:jc w:val="center"/>
        <w:tblLayout w:type="autofit"/>
        <w:tblCellMar>
          <w:top w:w="0" w:type="dxa"/>
          <w:left w:w="108" w:type="dxa"/>
          <w:bottom w:w="0" w:type="dxa"/>
          <w:right w:w="108" w:type="dxa"/>
        </w:tblCellMar>
      </w:tblPr>
      <w:tblGrid>
        <w:gridCol w:w="1161"/>
        <w:gridCol w:w="4476"/>
        <w:gridCol w:w="3203"/>
        <w:gridCol w:w="3234"/>
        <w:gridCol w:w="3371"/>
      </w:tblGrid>
      <w:tr>
        <w:tblPrEx>
          <w:tblCellMar>
            <w:top w:w="0" w:type="dxa"/>
            <w:left w:w="108" w:type="dxa"/>
            <w:bottom w:w="0" w:type="dxa"/>
            <w:right w:w="108" w:type="dxa"/>
          </w:tblCellMar>
        </w:tblPrEx>
        <w:trPr>
          <w:trHeight w:val="167" w:hRule="atLeast"/>
          <w:jc w:val="center"/>
        </w:trPr>
        <w:tc>
          <w:tcPr>
            <w:tcW w:w="1825"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color w:val="000000"/>
                <w:kern w:val="0"/>
                <w:sz w:val="20"/>
                <w:szCs w:val="20"/>
                <w:highlight w:val="none"/>
              </w:rPr>
            </w:pPr>
          </w:p>
        </w:tc>
        <w:tc>
          <w:tcPr>
            <w:tcW w:w="3174" w:type="pct"/>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公开05表</w:t>
            </w:r>
          </w:p>
        </w:tc>
      </w:tr>
      <w:tr>
        <w:tblPrEx>
          <w:tblCellMar>
            <w:top w:w="0" w:type="dxa"/>
            <w:left w:w="108" w:type="dxa"/>
            <w:bottom w:w="0" w:type="dxa"/>
            <w:right w:w="108" w:type="dxa"/>
          </w:tblCellMar>
        </w:tblPrEx>
        <w:trPr>
          <w:trHeight w:val="195" w:hRule="atLeast"/>
          <w:jc w:val="center"/>
        </w:trPr>
        <w:tc>
          <w:tcPr>
            <w:tcW w:w="1825" w:type="pct"/>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部门：祁阳市森林公安局</w:t>
            </w:r>
          </w:p>
        </w:tc>
        <w:tc>
          <w:tcPr>
            <w:tcW w:w="3174" w:type="pct"/>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242" w:hRule="atLeast"/>
          <w:jc w:val="center"/>
        </w:trPr>
        <w:tc>
          <w:tcPr>
            <w:tcW w:w="18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31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本年支出</w:t>
            </w:r>
          </w:p>
        </w:tc>
      </w:tr>
      <w:tr>
        <w:tblPrEx>
          <w:tblCellMar>
            <w:top w:w="0" w:type="dxa"/>
            <w:left w:w="108" w:type="dxa"/>
            <w:bottom w:w="0" w:type="dxa"/>
            <w:right w:w="108" w:type="dxa"/>
          </w:tblCellMar>
        </w:tblPrEx>
        <w:trPr>
          <w:trHeight w:val="495" w:hRule="atLeast"/>
          <w:jc w:val="center"/>
        </w:trPr>
        <w:tc>
          <w:tcPr>
            <w:tcW w:w="376"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功能分类科目编码</w:t>
            </w:r>
          </w:p>
        </w:tc>
        <w:tc>
          <w:tcPr>
            <w:tcW w:w="14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10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小计</w:t>
            </w:r>
          </w:p>
        </w:tc>
        <w:tc>
          <w:tcPr>
            <w:tcW w:w="10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基本支出</w:t>
            </w:r>
          </w:p>
        </w:tc>
        <w:tc>
          <w:tcPr>
            <w:tcW w:w="1089"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项目支出</w:t>
            </w:r>
          </w:p>
        </w:tc>
      </w:tr>
      <w:tr>
        <w:tblPrEx>
          <w:tblCellMar>
            <w:top w:w="0" w:type="dxa"/>
            <w:left w:w="108" w:type="dxa"/>
            <w:bottom w:w="0" w:type="dxa"/>
            <w:right w:w="108" w:type="dxa"/>
          </w:tblCellMar>
        </w:tblPrEx>
        <w:trPr>
          <w:trHeight w:val="360" w:hRule="atLeast"/>
          <w:jc w:val="center"/>
        </w:trPr>
        <w:tc>
          <w:tcPr>
            <w:tcW w:w="376" w:type="pct"/>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44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03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0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089" w:type="pct"/>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r>
      <w:tr>
        <w:tblPrEx>
          <w:tblCellMar>
            <w:top w:w="0" w:type="dxa"/>
            <w:left w:w="108" w:type="dxa"/>
            <w:bottom w:w="0" w:type="dxa"/>
            <w:right w:w="108" w:type="dxa"/>
          </w:tblCellMar>
        </w:tblPrEx>
        <w:trPr>
          <w:trHeight w:val="312" w:hRule="atLeast"/>
          <w:jc w:val="center"/>
        </w:trPr>
        <w:tc>
          <w:tcPr>
            <w:tcW w:w="376" w:type="pct"/>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44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03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0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1089" w:type="pct"/>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r>
      <w:tr>
        <w:tblPrEx>
          <w:tblCellMar>
            <w:top w:w="0" w:type="dxa"/>
            <w:left w:w="108" w:type="dxa"/>
            <w:bottom w:w="0" w:type="dxa"/>
            <w:right w:w="108" w:type="dxa"/>
          </w:tblCellMar>
        </w:tblPrEx>
        <w:trPr>
          <w:trHeight w:val="312" w:hRule="atLeast"/>
          <w:jc w:val="center"/>
        </w:trPr>
        <w:tc>
          <w:tcPr>
            <w:tcW w:w="1825"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栏次</w:t>
            </w:r>
          </w:p>
        </w:tc>
        <w:tc>
          <w:tcPr>
            <w:tcW w:w="103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04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1089"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r>
      <w:tr>
        <w:tblPrEx>
          <w:tblCellMar>
            <w:top w:w="0" w:type="dxa"/>
            <w:left w:w="108" w:type="dxa"/>
            <w:bottom w:w="0" w:type="dxa"/>
            <w:right w:w="108" w:type="dxa"/>
          </w:tblCellMar>
        </w:tblPrEx>
        <w:trPr>
          <w:trHeight w:val="312" w:hRule="atLeast"/>
          <w:jc w:val="center"/>
        </w:trPr>
        <w:tc>
          <w:tcPr>
            <w:tcW w:w="1825"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合计</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353.15</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329.15</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24.00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一般公共服务支出</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其他一般公共服务支出</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2019999</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其他一般公共服务支出</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45.26</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公共安全支出</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253.93</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239.93</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公安</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240.93</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226.93</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2040201</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行政运行</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209.27</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209.27</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2040202</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一般行政管理事务</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14.00</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2040299</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其他公安支出</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17.66</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17.66</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20499</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其他公共安全支出</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2049999</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其他公共安全支出</w:t>
            </w:r>
          </w:p>
        </w:tc>
        <w:tc>
          <w:tcPr>
            <w:tcW w:w="10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13.00</w:t>
            </w:r>
          </w:p>
        </w:tc>
        <w:tc>
          <w:tcPr>
            <w:tcW w:w="10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w:t>
            </w:r>
          </w:p>
        </w:tc>
        <w:tc>
          <w:tcPr>
            <w:tcW w:w="1449" w:type="pct"/>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社会保障和就业支出</w:t>
            </w:r>
          </w:p>
        </w:tc>
        <w:tc>
          <w:tcPr>
            <w:tcW w:w="1037" w:type="pct"/>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1047" w:type="pct"/>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1089"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行政事业单位养老支出</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2080505</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机关事业单位基本养老保险缴费支出</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卫生健康支出</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行政事业单位医疗</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2101101</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行政单位医疗</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农林水支出</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21302</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林业和草原</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2130202</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一般行政管理事务</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w:t>
            </w:r>
          </w:p>
        </w:tc>
        <w:tc>
          <w:tcPr>
            <w:tcW w:w="1449" w:type="pct"/>
            <w:tcBorders>
              <w:top w:val="nil"/>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住房保障支出</w:t>
            </w:r>
          </w:p>
        </w:tc>
        <w:tc>
          <w:tcPr>
            <w:tcW w:w="103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1047" w:type="pct"/>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10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12"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w:t>
            </w:r>
          </w:p>
        </w:tc>
        <w:tc>
          <w:tcPr>
            <w:tcW w:w="144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住房改革支出</w:t>
            </w:r>
          </w:p>
        </w:tc>
        <w:tc>
          <w:tcPr>
            <w:tcW w:w="103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10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10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90" w:hRule="atLeast"/>
          <w:jc w:val="center"/>
        </w:trPr>
        <w:tc>
          <w:tcPr>
            <w:tcW w:w="376"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2210201</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6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 xml:space="preserve">  住房公积金</w:t>
            </w:r>
          </w:p>
        </w:tc>
        <w:tc>
          <w:tcPr>
            <w:tcW w:w="103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104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10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jc w:val="center"/>
        </w:trPr>
        <w:tc>
          <w:tcPr>
            <w:tcW w:w="5000" w:type="pct"/>
            <w:gridSpan w:val="5"/>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注：本表反映部门本年度一般公共预算财政拨款支出情况。</w:t>
            </w:r>
          </w:p>
        </w:tc>
      </w:tr>
    </w:tbl>
    <w:p>
      <w:pPr>
        <w:keepNext w:val="0"/>
        <w:keepLines w:val="0"/>
        <w:pageBreakBefore w:val="0"/>
        <w:widowControl/>
        <w:kinsoku/>
        <w:wordWrap/>
        <w:overflowPunct/>
        <w:topLinePunct w:val="0"/>
        <w:bidi w:val="0"/>
        <w:snapToGrid/>
        <w:spacing w:line="600" w:lineRule="exact"/>
        <w:ind w:firstLine="420" w:firstLineChars="200"/>
        <w:jc w:val="center"/>
        <w:rPr>
          <w:rFonts w:cs="Times New Roman" w:asciiTheme="minorEastAsia" w:hAnsiTheme="minorEastAsia"/>
          <w:bCs/>
          <w:kern w:val="0"/>
          <w:szCs w:val="21"/>
          <w:highlight w:val="none"/>
        </w:rPr>
      </w:pPr>
      <w:r>
        <w:rPr>
          <w:rFonts w:cs="Times New Roman" w:asciiTheme="minorEastAsia" w:hAnsiTheme="minorEastAsia"/>
          <w:bCs/>
          <w:kern w:val="0"/>
          <w:szCs w:val="21"/>
          <w:highlight w:val="none"/>
        </w:rPr>
        <w:br w:type="page"/>
      </w:r>
    </w:p>
    <w:tbl>
      <w:tblPr>
        <w:tblStyle w:val="9"/>
        <w:tblW w:w="0" w:type="auto"/>
        <w:jc w:val="center"/>
        <w:tblLayout w:type="autofit"/>
        <w:tblCellMar>
          <w:top w:w="0" w:type="dxa"/>
          <w:left w:w="108" w:type="dxa"/>
          <w:bottom w:w="0" w:type="dxa"/>
          <w:right w:w="108" w:type="dxa"/>
        </w:tblCellMar>
      </w:tblPr>
      <w:tblGrid>
        <w:gridCol w:w="1306"/>
        <w:gridCol w:w="3156"/>
        <w:gridCol w:w="851"/>
        <w:gridCol w:w="1306"/>
        <w:gridCol w:w="2106"/>
        <w:gridCol w:w="792"/>
        <w:gridCol w:w="1306"/>
        <w:gridCol w:w="3996"/>
        <w:gridCol w:w="795"/>
      </w:tblGrid>
      <w:tr>
        <w:tblPrEx>
          <w:tblCellMar>
            <w:top w:w="0" w:type="dxa"/>
            <w:left w:w="108" w:type="dxa"/>
            <w:bottom w:w="0" w:type="dxa"/>
            <w:right w:w="108" w:type="dxa"/>
          </w:tblCellMar>
        </w:tblPrEx>
        <w:trPr>
          <w:trHeight w:val="524" w:hRule="atLeast"/>
          <w:jc w:val="center"/>
        </w:trPr>
        <w:tc>
          <w:tcPr>
            <w:tcW w:w="0" w:type="auto"/>
            <w:gridSpan w:val="9"/>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643" w:firstLineChars="200"/>
              <w:jc w:val="center"/>
              <w:rPr>
                <w:rFonts w:cs="宋体" w:asciiTheme="minorEastAsia" w:hAnsiTheme="minorEastAsia"/>
                <w:color w:val="000000"/>
                <w:kern w:val="0"/>
                <w:szCs w:val="32"/>
                <w:highlight w:val="none"/>
              </w:rPr>
            </w:pPr>
            <w:r>
              <w:rPr>
                <w:rFonts w:cs="Times New Roman" w:asciiTheme="minorEastAsia" w:hAnsiTheme="minorEastAsia"/>
                <w:b/>
                <w:bCs/>
                <w:kern w:val="0"/>
                <w:sz w:val="32"/>
                <w:szCs w:val="32"/>
                <w:highlight w:val="none"/>
              </w:rPr>
              <w:br w:type="page"/>
            </w:r>
            <w:bookmarkStart w:id="2" w:name="RANGE!A1:I34"/>
            <w:r>
              <w:rPr>
                <w:rFonts w:hint="eastAsia" w:cs="宋体" w:asciiTheme="minorEastAsia" w:hAnsiTheme="minorEastAsia"/>
                <w:b/>
                <w:bCs/>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90" w:hRule="atLeast"/>
          <w:jc w:val="center"/>
        </w:trPr>
        <w:tc>
          <w:tcPr>
            <w:tcW w:w="0" w:type="auto"/>
            <w:gridSpan w:val="9"/>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公开06表</w:t>
            </w:r>
          </w:p>
        </w:tc>
      </w:tr>
      <w:tr>
        <w:tblPrEx>
          <w:tblCellMar>
            <w:top w:w="0" w:type="dxa"/>
            <w:left w:w="108" w:type="dxa"/>
            <w:bottom w:w="0" w:type="dxa"/>
            <w:right w:w="108" w:type="dxa"/>
          </w:tblCellMar>
        </w:tblPrEx>
        <w:trPr>
          <w:trHeight w:val="113" w:hRule="atLeast"/>
          <w:jc w:val="center"/>
        </w:trPr>
        <w:tc>
          <w:tcPr>
            <w:tcW w:w="0" w:type="auto"/>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部门：祁阳市森林公安局</w:t>
            </w:r>
          </w:p>
        </w:tc>
        <w:tc>
          <w:tcPr>
            <w:tcW w:w="0" w:type="auto"/>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color w:val="000000"/>
                <w:kern w:val="0"/>
                <w:sz w:val="20"/>
                <w:szCs w:val="20"/>
                <w:highlight w:val="none"/>
              </w:rPr>
            </w:pPr>
          </w:p>
        </w:tc>
        <w:tc>
          <w:tcPr>
            <w:tcW w:w="0" w:type="auto"/>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color w:val="000000"/>
                <w:kern w:val="0"/>
                <w:sz w:val="20"/>
                <w:szCs w:val="20"/>
                <w:highlight w:val="none"/>
              </w:rPr>
            </w:pPr>
          </w:p>
        </w:tc>
        <w:tc>
          <w:tcPr>
            <w:tcW w:w="0" w:type="auto"/>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color w:val="000000"/>
                <w:kern w:val="0"/>
                <w:sz w:val="20"/>
                <w:szCs w:val="20"/>
                <w:highlight w:val="none"/>
              </w:rPr>
            </w:pPr>
          </w:p>
        </w:tc>
        <w:tc>
          <w:tcPr>
            <w:tcW w:w="0" w:type="auto"/>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color w:val="000000"/>
                <w:kern w:val="0"/>
                <w:sz w:val="20"/>
                <w:szCs w:val="20"/>
                <w:highlight w:val="none"/>
              </w:rPr>
            </w:pPr>
          </w:p>
        </w:tc>
        <w:tc>
          <w:tcPr>
            <w:tcW w:w="0" w:type="auto"/>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11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经济分类科目编码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决算数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经济分类科目编码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决算数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经济分类科目编码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决算数</w:t>
            </w:r>
          </w:p>
        </w:tc>
      </w:tr>
      <w:tr>
        <w:tblPrEx>
          <w:tblCellMar>
            <w:top w:w="0" w:type="dxa"/>
            <w:left w:w="108" w:type="dxa"/>
            <w:bottom w:w="0" w:type="dxa"/>
            <w:right w:w="108" w:type="dxa"/>
          </w:tblCellMar>
        </w:tblPrEx>
        <w:trPr>
          <w:trHeight w:val="57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工资福利支出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298.49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商品和服务支出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30.66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债务利息及费用支出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54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基本工资</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102.08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办公费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30701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国内债务付息</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54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津贴补贴</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99.38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印刷费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30702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国外债务付息</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9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奖金</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咨询费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资本性支出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1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伙食补助费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手续费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房屋建筑物购建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6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绩效工资</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办公设备购置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0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20.74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专用设备购置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8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30109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职业年金缴费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邮电费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基础设施建设</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86"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职工基本医疗保险缴费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取暖费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大型修缮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7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30111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公务员医疗补助缴费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30209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物业管理费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信息网络及软件购置更新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83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其他社会保障缴费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差旅费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8.50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物资储备</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81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因公出国（境）费用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土地补偿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7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30114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医疗费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维修（护）费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10.70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安置补助</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7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其他工资福利支出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11.05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租赁费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31011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1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会议费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拆迁补偿</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5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离休费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培训费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31013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公务用车购置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2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退休费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公务接待费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0.80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其他交通工具购置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6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退职（役）费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30218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专用材料费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31021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文物和陈列品购置</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85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抚恤金</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30224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被装购置费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31022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无形资产购置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生活补助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30225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专用燃料费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31099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其他资本性支出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1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救济费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30226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劳务费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0.47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4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医疗费补助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30227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委托业务费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39906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赠与</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4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助学金</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30228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工会经费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39907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国家赔偿费用支出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906"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30309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奖励金</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30229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福利费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39908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84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个人农业生产补贴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公务用车运行维护费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1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30311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代缴社会保险费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30239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其他交通费用</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0.20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29"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30399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30240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税金及附加费用</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5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30299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napToGrid/>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79" w:hRule="exac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val="0"/>
                <w:bCs w:val="0"/>
                <w:kern w:val="0"/>
                <w:szCs w:val="21"/>
                <w:highlight w:val="none"/>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298.49</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val="0"/>
                <w:bCs w:val="0"/>
                <w:kern w:val="0"/>
                <w:szCs w:val="21"/>
                <w:highlight w:val="none"/>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30.66</w:t>
            </w:r>
          </w:p>
        </w:tc>
      </w:tr>
      <w:tr>
        <w:tblPrEx>
          <w:tblCellMar>
            <w:top w:w="0" w:type="dxa"/>
            <w:left w:w="108" w:type="dxa"/>
            <w:bottom w:w="0" w:type="dxa"/>
            <w:right w:w="108" w:type="dxa"/>
          </w:tblCellMar>
        </w:tblPrEx>
        <w:trPr>
          <w:trHeight w:val="284" w:hRule="exact"/>
          <w:jc w:val="center"/>
        </w:trPr>
        <w:tc>
          <w:tcPr>
            <w:tcW w:w="0" w:type="auto"/>
            <w:gridSpan w:val="9"/>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注：本表反映部门本年度一般公共预算财政拨款基本支出明细情况。</w:t>
            </w:r>
          </w:p>
        </w:tc>
      </w:tr>
    </w:tbl>
    <w:p>
      <w:pPr>
        <w:keepNext w:val="0"/>
        <w:keepLines w:val="0"/>
        <w:pageBreakBefore w:val="0"/>
        <w:widowControl/>
        <w:kinsoku/>
        <w:wordWrap/>
        <w:overflowPunct/>
        <w:topLinePunct w:val="0"/>
        <w:bidi w:val="0"/>
        <w:snapToGrid/>
        <w:spacing w:line="600" w:lineRule="exact"/>
        <w:ind w:firstLine="643" w:firstLineChars="200"/>
        <w:jc w:val="center"/>
        <w:rPr>
          <w:rFonts w:cs="Times New Roman" w:asciiTheme="minorEastAsia" w:hAnsiTheme="minorEastAsia"/>
          <w:color w:val="000000"/>
          <w:kern w:val="0"/>
          <w:szCs w:val="21"/>
          <w:highlight w:val="none"/>
        </w:rPr>
      </w:pPr>
      <w:r>
        <w:rPr>
          <w:rFonts w:hint="eastAsia" w:cs="Times New Roman" w:asciiTheme="minorEastAsia" w:hAnsiTheme="minorEastAsia"/>
          <w:b/>
          <w:bCs/>
          <w:color w:val="000000"/>
          <w:kern w:val="0"/>
          <w:sz w:val="32"/>
          <w:szCs w:val="32"/>
          <w:highlight w:val="none"/>
        </w:rPr>
        <w:t>一般公共预算财政拨款“三公”经费支出决算表</w:t>
      </w:r>
      <w:r>
        <w:rPr>
          <w:rFonts w:cs="Times New Roman" w:asciiTheme="minorEastAsia" w:hAnsiTheme="minorEastAsia"/>
          <w:b/>
          <w:bCs/>
          <w:color w:val="000000"/>
          <w:kern w:val="0"/>
          <w:sz w:val="32"/>
          <w:szCs w:val="32"/>
          <w:highlight w:val="none"/>
        </w:rPr>
        <w:t xml:space="preserve">     </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9"/>
        <w:tblW w:w="4941" w:type="pct"/>
        <w:jc w:val="center"/>
        <w:tblLayout w:type="autofit"/>
        <w:tblCellMar>
          <w:top w:w="0" w:type="dxa"/>
          <w:left w:w="108" w:type="dxa"/>
          <w:bottom w:w="0" w:type="dxa"/>
          <w:right w:w="108" w:type="dxa"/>
        </w:tblCellMar>
      </w:tblPr>
      <w:tblGrid>
        <w:gridCol w:w="1182"/>
        <w:gridCol w:w="1293"/>
        <w:gridCol w:w="1293"/>
        <w:gridCol w:w="1293"/>
        <w:gridCol w:w="1308"/>
        <w:gridCol w:w="1330"/>
        <w:gridCol w:w="1293"/>
        <w:gridCol w:w="1293"/>
        <w:gridCol w:w="1293"/>
        <w:gridCol w:w="1293"/>
        <w:gridCol w:w="1308"/>
        <w:gridCol w:w="1251"/>
      </w:tblGrid>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kern w:val="0"/>
                <w:sz w:val="20"/>
                <w:szCs w:val="20"/>
                <w:highlight w:val="none"/>
              </w:rPr>
            </w:pPr>
          </w:p>
        </w:tc>
        <w:tc>
          <w:tcPr>
            <w:tcW w:w="2506" w:type="pct"/>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公开07表</w:t>
            </w:r>
          </w:p>
        </w:tc>
      </w:tr>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部门：祁阳市森林公安局</w:t>
            </w:r>
          </w:p>
        </w:tc>
        <w:tc>
          <w:tcPr>
            <w:tcW w:w="2506" w:type="pct"/>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c>
          <w:tcPr>
            <w:tcW w:w="419"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03"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p>
        </w:tc>
        <w:tc>
          <w:tcPr>
            <w:tcW w:w="41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运行费</w:t>
            </w: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419" w:type="pct"/>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41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运行费</w:t>
            </w:r>
          </w:p>
        </w:tc>
        <w:tc>
          <w:tcPr>
            <w:tcW w:w="403" w:type="pct"/>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bidi w:val="0"/>
              <w:snapToGrid/>
              <w:spacing w:line="600" w:lineRule="exact"/>
              <w:ind w:firstLine="420" w:firstLineChars="20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383"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25.00</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2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w:t>
            </w:r>
          </w:p>
        </w:tc>
        <w:tc>
          <w:tcPr>
            <w:tcW w:w="42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5.00</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24.40</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2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w:t>
            </w:r>
          </w:p>
        </w:tc>
        <w:tc>
          <w:tcPr>
            <w:tcW w:w="403"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4.40</w:t>
            </w:r>
          </w:p>
        </w:tc>
      </w:tr>
    </w:tbl>
    <w:p>
      <w:pPr>
        <w:widowControl/>
        <w:jc w:val="left"/>
        <w:rPr>
          <w:rFonts w:cs="宋体" w:asciiTheme="minorEastAsia" w:hAnsiTheme="minorEastAsia"/>
          <w:kern w:val="0"/>
          <w:sz w:val="24"/>
          <w:szCs w:val="24"/>
          <w:highlight w:val="none"/>
        </w:rPr>
      </w:pPr>
      <w:r>
        <w:rPr>
          <w:rFonts w:hint="eastAsia" w:ascii="宋体" w:hAnsi="宋体" w:eastAsia="宋体" w:cs="宋体"/>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highlight w:val="none"/>
        </w:rPr>
        <w:br w:type="page"/>
      </w:r>
    </w:p>
    <w:p>
      <w:pPr>
        <w:keepNext w:val="0"/>
        <w:keepLines w:val="0"/>
        <w:pageBreakBefore w:val="0"/>
        <w:kinsoku/>
        <w:wordWrap/>
        <w:overflowPunct/>
        <w:topLinePunct w:val="0"/>
        <w:autoSpaceDE w:val="0"/>
        <w:autoSpaceDN w:val="0"/>
        <w:bidi w:val="0"/>
        <w:adjustRightInd w:val="0"/>
        <w:snapToGrid/>
        <w:spacing w:line="600" w:lineRule="exact"/>
        <w:ind w:left="315" w:leftChars="150" w:firstLine="480" w:firstLineChars="200"/>
        <w:jc w:val="left"/>
        <w:rPr>
          <w:rFonts w:cs="宋体" w:asciiTheme="minorEastAsia" w:hAnsiTheme="minorEastAsia"/>
          <w:kern w:val="0"/>
          <w:sz w:val="24"/>
          <w:szCs w:val="24"/>
          <w:highlight w:val="none"/>
        </w:rPr>
      </w:pPr>
    </w:p>
    <w:p>
      <w:pPr>
        <w:keepNext w:val="0"/>
        <w:keepLines w:val="0"/>
        <w:pageBreakBefore w:val="0"/>
        <w:widowControl/>
        <w:kinsoku/>
        <w:wordWrap/>
        <w:overflowPunct/>
        <w:topLinePunct w:val="0"/>
        <w:bidi w:val="0"/>
        <w:snapToGrid/>
        <w:spacing w:line="600" w:lineRule="exact"/>
        <w:ind w:firstLine="643" w:firstLineChars="200"/>
        <w:jc w:val="center"/>
        <w:rPr>
          <w:rFonts w:cs="Times New Roman" w:asciiTheme="minorEastAsia" w:hAnsiTheme="minorEastAsia"/>
          <w:color w:val="000000"/>
          <w:kern w:val="0"/>
          <w:szCs w:val="21"/>
          <w:highlight w:val="none"/>
        </w:rPr>
      </w:pPr>
      <w:r>
        <w:rPr>
          <w:rFonts w:cs="Times New Roman" w:asciiTheme="minorEastAsia" w:hAnsiTheme="minorEastAsia"/>
          <w:b/>
          <w:bCs/>
          <w:kern w:val="0"/>
          <w:sz w:val="32"/>
          <w:szCs w:val="32"/>
          <w:highlight w:val="none"/>
        </w:rPr>
        <w:t>政府性基金预算财政拨款收入支出决算表</w:t>
      </w:r>
      <w:r>
        <w:rPr>
          <w:rFonts w:cs="Times New Roman" w:asciiTheme="minorEastAsia" w:hAnsiTheme="minorEastAsia"/>
          <w:b/>
          <w:bCs/>
          <w:color w:val="000000"/>
          <w:kern w:val="0"/>
          <w:sz w:val="32"/>
          <w:szCs w:val="32"/>
          <w:highlight w:val="none"/>
        </w:rPr>
        <w:t xml:space="preserve">   </w:t>
      </w:r>
      <w:r>
        <w:rPr>
          <w:rFonts w:cs="Times New Roman" w:asciiTheme="minorEastAsia" w:hAnsiTheme="minorEastAsia"/>
          <w:color w:val="000000"/>
          <w:kern w:val="0"/>
          <w:szCs w:val="21"/>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557"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557"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1673" w:type="pct"/>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561"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部门：祁阳市森林公安局</w:t>
            </w:r>
          </w:p>
        </w:tc>
        <w:tc>
          <w:tcPr>
            <w:tcW w:w="557" w:type="pct"/>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557" w:type="pct"/>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1673" w:type="pct"/>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2" w:firstLineChars="200"/>
              <w:jc w:val="center"/>
              <w:rPr>
                <w:rFonts w:hint="eastAsia" w:ascii="宋体" w:hAnsi="宋体" w:eastAsia="宋体" w:cs="宋体"/>
                <w:b/>
                <w:kern w:val="0"/>
                <w:sz w:val="20"/>
                <w:szCs w:val="20"/>
                <w:highlight w:val="none"/>
              </w:rPr>
            </w:pPr>
          </w:p>
        </w:tc>
        <w:tc>
          <w:tcPr>
            <w:tcW w:w="561" w:type="pct"/>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5" w:type="pct"/>
            <w:vMerge w:val="restart"/>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273"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60"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1273"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60"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57" w:type="pct"/>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57" w:type="pct"/>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55" w:type="pct"/>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7" w:type="pct"/>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60" w:type="pct"/>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61" w:type="pct"/>
            <w:tcBorders>
              <w:top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3348" w:type="pct"/>
            <w:gridSpan w:val="6"/>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本单位没有政府性基金收入，也没有使用政府性基金安排的支出，故本表无数据。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bl>
    <w:p>
      <w:pPr>
        <w:keepNext w:val="0"/>
        <w:keepLines w:val="0"/>
        <w:pageBreakBefore w:val="0"/>
        <w:widowControl/>
        <w:kinsoku/>
        <w:wordWrap/>
        <w:overflowPunct/>
        <w:topLinePunct w:val="0"/>
        <w:bidi w:val="0"/>
        <w:snapToGrid/>
        <w:spacing w:line="6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注：本表反映部门本年度政府性基金预算财政拨款收入、支出及结转和结余情况。</w:t>
      </w:r>
    </w:p>
    <w:p>
      <w:pPr>
        <w:keepNext w:val="0"/>
        <w:keepLines w:val="0"/>
        <w:pageBreakBefore w:val="0"/>
        <w:widowControl/>
        <w:kinsoku/>
        <w:wordWrap/>
        <w:overflowPunct/>
        <w:topLinePunct w:val="0"/>
        <w:bidi w:val="0"/>
        <w:snapToGrid/>
        <w:spacing w:line="600" w:lineRule="exact"/>
        <w:ind w:firstLine="420" w:firstLineChars="200"/>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9" w:type="pct"/>
        <w:tblInd w:w="114" w:type="dxa"/>
        <w:tblLayout w:type="autofit"/>
        <w:tblCellMar>
          <w:top w:w="0" w:type="dxa"/>
          <w:left w:w="108" w:type="dxa"/>
          <w:bottom w:w="0" w:type="dxa"/>
          <w:right w:w="108" w:type="dxa"/>
        </w:tblCellMar>
      </w:tblPr>
      <w:tblGrid>
        <w:gridCol w:w="1330"/>
        <w:gridCol w:w="4166"/>
        <w:gridCol w:w="3320"/>
        <w:gridCol w:w="3321"/>
        <w:gridCol w:w="3224"/>
      </w:tblGrid>
      <w:tr>
        <w:tblPrEx>
          <w:tblCellMar>
            <w:top w:w="0" w:type="dxa"/>
            <w:left w:w="108" w:type="dxa"/>
            <w:bottom w:w="0" w:type="dxa"/>
            <w:right w:w="108" w:type="dxa"/>
          </w:tblCellMar>
        </w:tblPrEx>
        <w:trPr>
          <w:trHeight w:val="720" w:hRule="atLeast"/>
        </w:trPr>
        <w:tc>
          <w:tcPr>
            <w:tcW w:w="15361" w:type="dxa"/>
            <w:gridSpan w:val="5"/>
            <w:tcBorders>
              <w:top w:val="nil"/>
              <w:left w:val="nil"/>
              <w:bottom w:val="nil"/>
              <w:right w:val="nil"/>
            </w:tcBorders>
            <w:shd w:val="clear" w:color="000000" w:fill="FFFFFF"/>
            <w:vAlign w:val="center"/>
          </w:tcPr>
          <w:p>
            <w:pPr>
              <w:keepNext w:val="0"/>
              <w:keepLines w:val="0"/>
              <w:pageBreakBefore w:val="0"/>
              <w:widowControl/>
              <w:kinsoku/>
              <w:wordWrap/>
              <w:overflowPunct/>
              <w:topLinePunct w:val="0"/>
              <w:bidi w:val="0"/>
              <w:snapToGrid/>
              <w:spacing w:line="600" w:lineRule="exact"/>
              <w:jc w:val="center"/>
              <w:rPr>
                <w:rFonts w:cs="宋体" w:asciiTheme="minorEastAsia" w:hAnsiTheme="minorEastAsia"/>
                <w:kern w:val="0"/>
                <w:sz w:val="32"/>
                <w:szCs w:val="32"/>
                <w:highlight w:val="none"/>
              </w:rPr>
            </w:pPr>
            <w:r>
              <w:rPr>
                <w:rFonts w:hint="eastAsia" w:cs="宋体" w:asciiTheme="minorEastAsia" w:hAnsiTheme="minorEastAsia"/>
                <w:b/>
                <w:bCs/>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5496" w:type="dxa"/>
            <w:gridSpan w:val="2"/>
            <w:tcBorders>
              <w:top w:val="nil"/>
              <w:left w:val="nil"/>
              <w:bottom w:val="nil"/>
              <w:right w:val="nil"/>
            </w:tcBorders>
            <w:shd w:val="clear" w:color="000000" w:fill="FFFFFF"/>
            <w:vAlign w:val="center"/>
          </w:tcPr>
          <w:p>
            <w:pPr>
              <w:keepNext w:val="0"/>
              <w:keepLines w:val="0"/>
              <w:pageBreakBefore w:val="0"/>
              <w:widowControl/>
              <w:kinsoku/>
              <w:wordWrap/>
              <w:overflowPunct/>
              <w:topLinePunct w:val="0"/>
              <w:bidi w:val="0"/>
              <w:snapToGrid/>
              <w:spacing w:line="600" w:lineRule="exact"/>
              <w:ind w:firstLine="400" w:firstLineChars="20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20" w:type="dxa"/>
            <w:tcBorders>
              <w:top w:val="nil"/>
              <w:left w:val="nil"/>
              <w:bottom w:val="nil"/>
              <w:right w:val="nil"/>
            </w:tcBorders>
            <w:shd w:val="clear" w:color="000000" w:fill="FFFFFF"/>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21" w:type="dxa"/>
            <w:tcBorders>
              <w:top w:val="nil"/>
              <w:left w:val="nil"/>
              <w:bottom w:val="nil"/>
              <w:right w:val="nil"/>
            </w:tcBorders>
            <w:shd w:val="clear" w:color="000000" w:fill="FFFFFF"/>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24"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5496"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部门：祁阳市森林公安局</w:t>
            </w:r>
          </w:p>
        </w:tc>
        <w:tc>
          <w:tcPr>
            <w:tcW w:w="3320" w:type="dxa"/>
            <w:tcBorders>
              <w:top w:val="nil"/>
              <w:left w:val="nil"/>
              <w:bottom w:val="single" w:color="auto" w:sz="8" w:space="0"/>
              <w:right w:val="nil"/>
            </w:tcBorders>
            <w:shd w:val="clear" w:color="000000" w:fill="FFFFFF"/>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21" w:type="dxa"/>
            <w:tcBorders>
              <w:top w:val="nil"/>
              <w:left w:val="nil"/>
              <w:bottom w:val="single" w:color="auto" w:sz="8" w:space="0"/>
              <w:right w:val="nil"/>
            </w:tcBorders>
            <w:shd w:val="clear" w:color="000000" w:fill="FFFFFF"/>
            <w:vAlign w:val="center"/>
          </w:tcPr>
          <w:p>
            <w:pPr>
              <w:keepNext w:val="0"/>
              <w:keepLines w:val="0"/>
              <w:pageBreakBefore w:val="0"/>
              <w:widowControl/>
              <w:kinsoku/>
              <w:wordWrap/>
              <w:overflowPunct/>
              <w:topLinePunct w:val="0"/>
              <w:bidi w:val="0"/>
              <w:snapToGrid/>
              <w:spacing w:line="600" w:lineRule="exact"/>
              <w:ind w:firstLine="400" w:firstLineChars="20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24"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bidi w:val="0"/>
              <w:snapToGrid/>
              <w:spacing w:line="600" w:lineRule="exact"/>
              <w:ind w:firstLine="400" w:firstLineChars="20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549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    目</w:t>
            </w:r>
          </w:p>
        </w:tc>
        <w:tc>
          <w:tcPr>
            <w:tcW w:w="9865" w:type="dxa"/>
            <w:gridSpan w:val="3"/>
            <w:tcBorders>
              <w:top w:val="single" w:color="auto" w:sz="8"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本年支出</w:t>
            </w:r>
          </w:p>
        </w:tc>
      </w:tr>
      <w:tr>
        <w:tblPrEx>
          <w:tblCellMar>
            <w:top w:w="0" w:type="dxa"/>
            <w:left w:w="108" w:type="dxa"/>
            <w:bottom w:w="0" w:type="dxa"/>
            <w:right w:w="108" w:type="dxa"/>
          </w:tblCellMar>
        </w:tblPrEx>
        <w:trPr>
          <w:trHeight w:val="402" w:hRule="atLeast"/>
        </w:trPr>
        <w:tc>
          <w:tcPr>
            <w:tcW w:w="133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功能分类科目编码</w:t>
            </w:r>
          </w:p>
        </w:tc>
        <w:tc>
          <w:tcPr>
            <w:tcW w:w="416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科目名称</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332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xml:space="preserve">基本支出  </w:t>
            </w:r>
          </w:p>
        </w:tc>
        <w:tc>
          <w:tcPr>
            <w:tcW w:w="322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项目支出</w:t>
            </w:r>
          </w:p>
        </w:tc>
      </w:tr>
      <w:tr>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r>
      <w:tr>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p>
        </w:tc>
      </w:tr>
      <w:tr>
        <w:tblPrEx>
          <w:tblCellMar>
            <w:top w:w="0" w:type="dxa"/>
            <w:left w:w="108" w:type="dxa"/>
            <w:bottom w:w="0" w:type="dxa"/>
            <w:right w:w="108" w:type="dxa"/>
          </w:tblCellMar>
        </w:tblPrEx>
        <w:trPr>
          <w:trHeight w:val="402" w:hRule="atLeast"/>
        </w:trPr>
        <w:tc>
          <w:tcPr>
            <w:tcW w:w="549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栏次</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r>
      <w:tr>
        <w:tblPrEx>
          <w:tblCellMar>
            <w:top w:w="0" w:type="dxa"/>
            <w:left w:w="108" w:type="dxa"/>
            <w:bottom w:w="0" w:type="dxa"/>
            <w:right w:w="108" w:type="dxa"/>
          </w:tblCellMar>
        </w:tblPrEx>
        <w:trPr>
          <w:trHeight w:val="402" w:hRule="atLeast"/>
        </w:trPr>
        <w:tc>
          <w:tcPr>
            <w:tcW w:w="5496"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合计</w:t>
            </w:r>
          </w:p>
        </w:tc>
        <w:tc>
          <w:tcPr>
            <w:tcW w:w="9865"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本单位无国有资本经营预算财政拨款支出，故本表无数据。</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416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32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c>
          <w:tcPr>
            <w:tcW w:w="322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600" w:lineRule="exact"/>
              <w:jc w:val="center"/>
              <w:rPr>
                <w:rFonts w:ascii="Times New Roman" w:hAnsi="Times New Roman" w:cs="Times New Roman"/>
                <w:kern w:val="0"/>
                <w:szCs w:val="21"/>
                <w:highlight w:val="none"/>
              </w:rPr>
            </w:pPr>
            <w:r>
              <w:rPr>
                <w:rFonts w:ascii="Times New Roman" w:hAnsi="Times New Roman" w:cs="Times New Roman"/>
                <w:kern w:val="0"/>
                <w:szCs w:val="21"/>
                <w:highlight w:val="none"/>
              </w:rPr>
              <w:t>　</w:t>
            </w:r>
          </w:p>
        </w:tc>
      </w:tr>
      <w:tr>
        <w:tblPrEx>
          <w:tblCellMar>
            <w:top w:w="0" w:type="dxa"/>
            <w:left w:w="108" w:type="dxa"/>
            <w:bottom w:w="0" w:type="dxa"/>
            <w:right w:w="108" w:type="dxa"/>
          </w:tblCellMar>
        </w:tblPrEx>
        <w:trPr>
          <w:trHeight w:val="720" w:hRule="atLeast"/>
        </w:trPr>
        <w:tc>
          <w:tcPr>
            <w:tcW w:w="15361" w:type="dxa"/>
            <w:gridSpan w:val="5"/>
            <w:tcBorders>
              <w:top w:val="single" w:color="auto" w:sz="8" w:space="0"/>
              <w:left w:val="nil"/>
              <w:bottom w:val="nil"/>
              <w:right w:val="nil"/>
            </w:tcBorders>
            <w:shd w:val="clear" w:color="auto" w:fill="auto"/>
            <w:vAlign w:val="center"/>
          </w:tcPr>
          <w:p>
            <w:pPr>
              <w:keepNext w:val="0"/>
              <w:keepLines w:val="0"/>
              <w:pageBreakBefore w:val="0"/>
              <w:widowControl/>
              <w:kinsoku/>
              <w:wordWrap/>
              <w:overflowPunct/>
              <w:topLinePunct w:val="0"/>
              <w:bidi w:val="0"/>
              <w:snapToGrid/>
              <w:spacing w:line="600" w:lineRule="exact"/>
              <w:jc w:val="left"/>
              <w:rPr>
                <w:rFonts w:ascii="Times New Roman" w:hAnsi="Times New Roman" w:cs="Times New Roman"/>
                <w:kern w:val="0"/>
                <w:szCs w:val="21"/>
                <w:highlight w:val="none"/>
              </w:rPr>
            </w:pPr>
            <w:r>
              <w:rPr>
                <w:rFonts w:ascii="Times New Roman" w:hAnsi="Times New Roman" w:cs="Times New Roman"/>
                <w:kern w:val="0"/>
                <w:szCs w:val="21"/>
                <w:highlight w:val="none"/>
              </w:rPr>
              <w:t>注：本表反映部门本年度国有资本经营预算财政拨款支出情况。</w:t>
            </w:r>
          </w:p>
          <w:p>
            <w:pPr>
              <w:keepNext w:val="0"/>
              <w:keepLines w:val="0"/>
              <w:pageBreakBefore w:val="0"/>
              <w:widowControl/>
              <w:kinsoku/>
              <w:wordWrap/>
              <w:overflowPunct/>
              <w:topLinePunct w:val="0"/>
              <w:bidi w:val="0"/>
              <w:snapToGrid/>
              <w:spacing w:line="600" w:lineRule="exact"/>
              <w:jc w:val="left"/>
              <w:rPr>
                <w:rFonts w:ascii="Times New Roman" w:hAnsi="Times New Roman" w:cs="Times New Roman"/>
                <w:kern w:val="0"/>
                <w:szCs w:val="21"/>
                <w:highlight w:val="none"/>
              </w:rPr>
            </w:pPr>
            <w:r>
              <w:rPr>
                <w:rFonts w:ascii="Times New Roman" w:hAnsi="Times New Roman" w:cs="Times New Roman"/>
                <w:kern w:val="0"/>
                <w:szCs w:val="21"/>
                <w:highlight w:val="none"/>
              </w:rPr>
              <w:t>本单位无国有资本经营预算财政拨款支出，故本表无数据。</w:t>
            </w:r>
          </w:p>
        </w:tc>
      </w:tr>
    </w:tbl>
    <w:p>
      <w:pPr>
        <w:pStyle w:val="14"/>
        <w:keepNext w:val="0"/>
        <w:keepLines w:val="0"/>
        <w:pageBreakBefore w:val="0"/>
        <w:kinsoku/>
        <w:wordWrap/>
        <w:overflowPunct/>
        <w:topLinePunct w:val="0"/>
        <w:bidi w:val="0"/>
        <w:snapToGrid/>
        <w:spacing w:line="600" w:lineRule="exact"/>
        <w:ind w:firstLine="1440" w:firstLineChars="200"/>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pStyle w:val="14"/>
        <w:keepNext w:val="0"/>
        <w:keepLines w:val="0"/>
        <w:pageBreakBefore w:val="0"/>
        <w:kinsoku/>
        <w:wordWrap/>
        <w:overflowPunct/>
        <w:topLinePunct w:val="0"/>
        <w:bidi w:val="0"/>
        <w:snapToGrid/>
        <w:spacing w:line="600" w:lineRule="exact"/>
        <w:ind w:firstLine="1440" w:firstLineChars="200"/>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Theme="minorEastAsia" w:hAnsiTheme="minorEastAsia" w:eastAsiaTheme="minorEastAsia"/>
          <w:b w:val="0"/>
          <w:bCs w:val="0"/>
          <w:sz w:val="72"/>
          <w:szCs w:val="72"/>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第三部分</w:t>
      </w:r>
    </w:p>
    <w:p>
      <w:pPr>
        <w:pStyle w:val="14"/>
        <w:keepNext w:val="0"/>
        <w:keepLines w:val="0"/>
        <w:pageBreakBefore w:val="0"/>
        <w:widowControl w:val="0"/>
        <w:kinsoku/>
        <w:wordWrap/>
        <w:overflowPunct/>
        <w:topLinePunct w:val="0"/>
        <w:autoSpaceDE w:val="0"/>
        <w:autoSpaceDN w:val="0"/>
        <w:bidi w:val="0"/>
        <w:adjustRightInd w:val="0"/>
        <w:snapToGrid/>
        <w:spacing w:line="1000" w:lineRule="exact"/>
        <w:ind w:firstLine="1440" w:firstLineChars="200"/>
        <w:jc w:val="center"/>
        <w:textAlignment w:val="auto"/>
        <w:rPr>
          <w:rFonts w:asciiTheme="minorEastAsia" w:hAnsiTheme="minorEastAsia" w:eastAsiaTheme="minorEastAsia"/>
          <w:b w:val="0"/>
          <w:bCs w:val="0"/>
          <w:sz w:val="72"/>
          <w:szCs w:val="72"/>
          <w:highlight w:val="none"/>
        </w:rPr>
      </w:pPr>
    </w:p>
    <w:p>
      <w:pPr>
        <w:pStyle w:val="14"/>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asciiTheme="minorEastAsia" w:hAnsiTheme="minorEastAsia" w:eastAsiaTheme="minorEastAsia"/>
          <w:b w:val="0"/>
          <w:bCs w:val="0"/>
          <w:sz w:val="72"/>
          <w:szCs w:val="72"/>
          <w:highlight w:val="none"/>
        </w:rPr>
      </w:pPr>
      <w:r>
        <w:rPr>
          <w:rFonts w:asciiTheme="minorEastAsia" w:hAnsiTheme="minorEastAsia" w:eastAsiaTheme="minorEastAsia"/>
          <w:b w:val="0"/>
          <w:bCs w:val="0"/>
          <w:sz w:val="72"/>
          <w:szCs w:val="72"/>
          <w:highlight w:val="none"/>
        </w:rPr>
        <w:t>20</w:t>
      </w:r>
      <w:r>
        <w:rPr>
          <w:rFonts w:hint="eastAsia" w:asciiTheme="minorEastAsia" w:hAnsiTheme="minorEastAsia" w:eastAsiaTheme="minorEastAsia"/>
          <w:b w:val="0"/>
          <w:bCs w:val="0"/>
          <w:sz w:val="72"/>
          <w:szCs w:val="72"/>
          <w:highlight w:val="none"/>
        </w:rPr>
        <w:t>21年度部门决算情况说明</w:t>
      </w:r>
    </w:p>
    <w:p>
      <w:pPr>
        <w:keepNext w:val="0"/>
        <w:keepLines w:val="0"/>
        <w:pageBreakBefore w:val="0"/>
        <w:widowControl/>
        <w:kinsoku/>
        <w:wordWrap/>
        <w:overflowPunct/>
        <w:topLinePunct w:val="0"/>
        <w:bidi w:val="0"/>
        <w:snapToGrid/>
        <w:spacing w:line="600" w:lineRule="exact"/>
        <w:ind w:firstLine="1400" w:firstLineChars="200"/>
        <w:jc w:val="left"/>
        <w:rPr>
          <w:rFonts w:cs="黑体" w:asciiTheme="minorEastAsia" w:hAnsiTheme="minorEastAsia"/>
          <w:color w:val="000000"/>
          <w:kern w:val="0"/>
          <w:sz w:val="70"/>
          <w:szCs w:val="70"/>
          <w:highlight w:val="none"/>
        </w:rPr>
      </w:pPr>
      <w:r>
        <w:rPr>
          <w:rFonts w:asciiTheme="minorEastAsia" w:hAnsiTheme="minorEastAsia"/>
          <w:sz w:val="70"/>
          <w:szCs w:val="70"/>
          <w:highlight w:val="none"/>
        </w:rPr>
        <w:br w:type="page"/>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lang w:val="zh-CN"/>
        </w:rPr>
      </w:pPr>
      <w:r>
        <w:rPr>
          <w:rFonts w:hint="eastAsia" w:asciiTheme="minorEastAsia" w:hAnsiTheme="minorEastAsia" w:eastAsiaTheme="minorEastAsia"/>
          <w:sz w:val="32"/>
          <w:szCs w:val="32"/>
          <w:highlight w:val="none"/>
        </w:rPr>
        <w:t>2021年度收、支总计353.15万元。本单位是2021年新独立编制决算的单位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2021年度收入合计353.15万元，其中：财政拨款收入353.15万元，占100%；上级补助收入0万元，占0%；事业收入0万元，占0%；经营收入0万元，占0%；附属单位上缴收入0万元，占0%；其他收入0万元，占0%。</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2021年度支出合计353.15万元，其中：基本支出329.15万元，占93.2%；项目支出24万元，占6.8%；上缴上级支出0万元，占0%；经营支出0万元，占0%；对附属单位补助支出0万元，占0%。</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2021年度财政拨款收、支总计353.15万元。本单位是2021年新独立编制决算的单位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2021年度财政拨款支出353.15万元，占本年支出合计的100%，本单位是2021年新独立编制决算的单位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353.15万元，主要用于以下方面：一般公共服务（201）支出45.26万元，占12.82%；公共安全（204）支出253.93万元，占71.9%；社会保障和就业（208）支出20.74万元，占5.87%；卫生健康（210）支出9.58万元，占2.71%；农林水（213）支出10万元，占2.83%；住房保障（221）支出13.64万元，占3.87%.</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color w:val="000000" w:themeColor="text1"/>
          <w:sz w:val="32"/>
          <w:szCs w:val="32"/>
          <w:highlight w:val="none"/>
        </w:rPr>
        <w:t>274.8</w:t>
      </w:r>
      <w:r>
        <w:rPr>
          <w:rFonts w:hint="eastAsia" w:asciiTheme="minorEastAsia" w:hAnsiTheme="minorEastAsia" w:eastAsiaTheme="minorEastAsia"/>
          <w:sz w:val="32"/>
          <w:szCs w:val="32"/>
          <w:highlight w:val="none"/>
        </w:rPr>
        <w:t>万元，支出决算数为353.15万元，完成年初预算的128.51%，其中：</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1、一般公共服务支出（201）其他一般公共服务支出（20199）其他一般公共服务支出（2019999）。</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年初预算为0万元，支出决算为45.26万元，由于预算数为0，无法计算百分比，决算数大于年初预算数的主要原因是：财政追加预算。</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2、公共安全支出（204）公安（20402）行政运行（2040201）。</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年初预算为239.48万元，支出决算为209.27万元，完成年初预算的87.92%，决算数小于年初预算数的主要原因是：部分行政运行经费用于项目支出。</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3、公共安全支出（204）公安（20402）一般行政管理事务（2040202）。</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年初预算为5万元，支出决算为14万元，完成年初预算的280%，决算数大于年初预算数的主要原因是：部分行政运行经费用于项目支出。</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4、公共安全支出（204）公安（20402）其他公安支出（2040299）。</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年初预算为0万元，支出决算为17.66万元，由于预算数为0，无法计算百分比，决算数大于年初预算数的主要原因是：财政追加预算。</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5、公共安全支出（204）其他公共安全支出（20499）其他公共安全支出（2049999）。</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年初预算为0万元，支出决算为13万元，由于预算数为0，无法计算百分比，决算数大于年初预算数的主要原因是：财政追加预算。</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6、社会保障和就业支出（208）行政事业单位养老支出（20805）机关事业单位基本养老保险缴费支出（2080505）。</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年初预算为20.74万元，支出决算为20.74万元，完成年初预算的100%，决算数等于年初预算数的主要原因是：单位人员无变动，严格按照年初预算数执行。</w:t>
      </w:r>
    </w:p>
    <w:p>
      <w:pPr>
        <w:pStyle w:val="14"/>
        <w:keepNext w:val="0"/>
        <w:keepLines w:val="0"/>
        <w:pageBreakBefore w:val="0"/>
        <w:numPr>
          <w:ilvl w:val="0"/>
          <w:numId w:val="1"/>
        </w:numPr>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卫生健康支出（210）行政事业单位医疗（21011）行政单位医疗（2101101）。</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年初预算为9.58万元，支出决算为9.58万元，完成年初预算的100%，决算数等于年初预算数的主要原因是：单位人员无变动，严格按照年初预算数执行。</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8、农林水支出（213）林业和草原（21302）一般行政管理事务（2130202）。</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年初预算为0万元，支出决算为10万元，由于预算数为0，无法计算百分比，决算数大于年初预算数的主要原因是：财政追加预算。</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9、</w:t>
      </w:r>
      <w:r>
        <w:rPr>
          <w:rFonts w:hint="eastAsia" w:asciiTheme="minorEastAsia" w:hAnsiTheme="minorEastAsia" w:eastAsiaTheme="minorEastAsia" w:cstheme="minorEastAsia"/>
          <w:color w:val="auto"/>
          <w:sz w:val="32"/>
          <w:szCs w:val="32"/>
          <w:highlight w:val="none"/>
        </w:rPr>
        <w:t>住房保障支出（221）住房改革支出（22102）住房公积金（2210201）。</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年初预算为0万元，支出决算为13.64万元，由于预算数为0，无法计算百分比，</w:t>
      </w:r>
      <w:r>
        <w:rPr>
          <w:rFonts w:hint="eastAsia" w:asciiTheme="minorEastAsia" w:hAnsiTheme="minorEastAsia" w:eastAsiaTheme="minorEastAsia"/>
          <w:color w:val="auto"/>
          <w:sz w:val="32"/>
          <w:szCs w:val="32"/>
          <w:highlight w:val="none"/>
        </w:rPr>
        <w:t>决算数大于年初预算数的主要原因是：项目没有纳入单位预算，由公共财政统一支付。</w:t>
      </w:r>
      <w:r>
        <w:rPr>
          <w:rFonts w:hint="eastAsia" w:asciiTheme="minorEastAsia" w:hAnsiTheme="minorEastAsia" w:eastAsiaTheme="minorEastAsia"/>
          <w:sz w:val="32"/>
          <w:szCs w:val="32"/>
          <w:highlight w:val="none"/>
        </w:rPr>
        <w:t xml:space="preserve"> </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i/>
          <w:color w:val="auto"/>
          <w:sz w:val="32"/>
          <w:szCs w:val="32"/>
          <w:highlight w:val="none"/>
        </w:rPr>
      </w:pPr>
      <w:r>
        <w:rPr>
          <w:rFonts w:hint="eastAsia" w:asciiTheme="minorEastAsia" w:hAnsiTheme="minorEastAsia" w:eastAsiaTheme="minorEastAsia"/>
          <w:color w:val="auto"/>
          <w:sz w:val="32"/>
          <w:szCs w:val="32"/>
          <w:highlight w:val="none"/>
        </w:rPr>
        <w:t>2021年度财政拨款基本支出329.15万元，其中：人员经费298.49万元，占基本支出的90.69%，主要包括基本工资、津贴补贴、奖金、</w:t>
      </w:r>
      <w:r>
        <w:rPr>
          <w:rFonts w:hint="eastAsia" w:asciiTheme="minorEastAsia" w:hAnsiTheme="minorEastAsia" w:eastAsiaTheme="minorEastAsia"/>
          <w:color w:val="auto"/>
          <w:sz w:val="32"/>
          <w:szCs w:val="32"/>
          <w:highlight w:val="none"/>
          <w:lang w:val="zh-CN"/>
        </w:rPr>
        <w:t>机关事业单位基本养老保险缴费、职工基本医疗保险缴费、住房公积金、其他工资福利支出等</w:t>
      </w:r>
      <w:r>
        <w:rPr>
          <w:rFonts w:hint="eastAsia" w:asciiTheme="minorEastAsia" w:hAnsiTheme="minorEastAsia" w:eastAsiaTheme="minorEastAsia"/>
          <w:color w:val="auto"/>
          <w:sz w:val="32"/>
          <w:szCs w:val="32"/>
          <w:highlight w:val="none"/>
        </w:rPr>
        <w:t>；公用经费30.66万元，占基本支出的9.31%，主要包括办公费、电费、差旅费、维修（护）费、公务接待费、劳务费、公务用车运行维护费、其他商品和服务支出等。</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2021年度“三公”经费财政拨款支出预算为25万元，支出决算为24.4万元，完成预算的97.6%，其中：</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因公出国（境）费支出预算为0万元，支出决算为0万元，由于预算数为0，无法计算百分比，决算与预算持平的原因是无因公出国（境）费支出，本单位是2021年新独立编制决算的单位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公务接待费支出预算为5万元，支出决算为4.4万元，完成预算的88%，决算数小于年初预算数的主要原因是本部门认真贯彻落实中央八项规定精神，坚持厉行节约，严格控制公务接待费， 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公务用车购置费支出预算为0万元，支出决算为0万元，由于预算数为0，无法计算百分比，决算与预算持平的原因是无公务用车购置费支出，本单位是2021年新独立编制决算的单位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公务用车运行维护费支出预算为20万元，支出决算为20万元，完成预算的100%，决算数与年初预算数一致的主要原因是严格按照年初预算数执行，本单位是2021年新独立编制决算的单位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rPr>
        <w:t>0</w:t>
      </w:r>
      <w:r>
        <w:rPr>
          <w:rFonts w:hint="eastAsia" w:asciiTheme="minorEastAsia" w:hAnsiTheme="minorEastAsia" w:eastAsiaTheme="minorEastAsia"/>
          <w:sz w:val="32"/>
          <w:szCs w:val="32"/>
          <w:highlight w:val="none"/>
          <w:lang w:val="zh-CN"/>
        </w:rPr>
        <w:t>年决算数据，无增减变化对比情况</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2021年度“三公”经费财政拨款支出决算中，公务接待费支出决算4.4万元，占18.03%，因公出国（境）费支出决算0万元，占0%，公务用车购置费及运行维护费支出决算20万元，占81.97%。其中：</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1、因公出国（境）费支出决算为0万元，全年安排因公出国（境）团组0个，累计0人次。</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2、公务接待费支出决算为4.4万元，全年共接待来访团组15个、来宾152人次，主要是外县市来祁办案和单位交流工作经验发生的接待支出。</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公务用车购置费及运行维护费支出决算为20万元，其中：公务用车购置费0万元，更新公务用车0辆。公务用车运行维护费20万元，主要是修车、加油、保险、其他支出，截止2021年12月31日，我单位开支财政拨款的公务用车保有量为3辆。</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4"/>
        <w:keepNext w:val="0"/>
        <w:keepLines w:val="0"/>
        <w:pageBreakBefore w:val="0"/>
        <w:kinsoku/>
        <w:wordWrap/>
        <w:overflowPunct/>
        <w:topLinePunct w:val="0"/>
        <w:bidi w:val="0"/>
        <w:snapToGrid/>
        <w:spacing w:line="600" w:lineRule="exact"/>
        <w:ind w:firstLine="640" w:firstLineChars="200"/>
        <w:rPr>
          <w:rFonts w:ascii="仿宋_GB2312" w:eastAsia="仿宋_GB2312" w:hAnsiTheme="minorEastAsia"/>
          <w:sz w:val="32"/>
          <w:szCs w:val="32"/>
          <w:highlight w:val="none"/>
        </w:rPr>
      </w:pPr>
      <w:r>
        <w:rPr>
          <w:rFonts w:hint="eastAsia" w:asciiTheme="minorEastAsia" w:hAnsiTheme="minorEastAsia" w:eastAsiaTheme="minorEastAsia"/>
          <w:color w:val="auto"/>
          <w:sz w:val="32"/>
          <w:szCs w:val="32"/>
          <w:highlight w:val="none"/>
          <w:lang w:val="zh-CN"/>
        </w:rPr>
        <w:t>2021年度本单位无政府性基金收支</w:t>
      </w:r>
      <w:r>
        <w:rPr>
          <w:rFonts w:hint="eastAsia" w:asciiTheme="minorEastAsia" w:hAnsiTheme="minorEastAsia"/>
          <w:color w:val="auto"/>
          <w:sz w:val="32"/>
          <w:szCs w:val="32"/>
          <w:highlight w:val="none"/>
          <w:lang w:val="zh-CN"/>
        </w:rPr>
        <w:t>。</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color w:val="auto"/>
          <w:sz w:val="32"/>
          <w:szCs w:val="32"/>
          <w:highlight w:val="none"/>
          <w:lang w:val="zh-CN"/>
        </w:rPr>
      </w:pPr>
      <w:r>
        <w:rPr>
          <w:rFonts w:hint="eastAsia" w:asciiTheme="minorEastAsia" w:hAnsiTheme="minorEastAsia" w:eastAsiaTheme="minorEastAsia"/>
          <w:color w:val="auto"/>
          <w:sz w:val="32"/>
          <w:szCs w:val="32"/>
          <w:highlight w:val="none"/>
          <w:lang w:val="zh-CN"/>
        </w:rPr>
        <w:t>本部门2021年度机关运行经费支出30.66万元，机关运行经费指为保障本部门运行用于购买货物和服务的各项资金，包括办公及印刷费、邮电费、差旅费、会议费、福利费、日常维修费、专用材料及一般设备购置费、办公用房水电费、办公用房取暖费、办公用房物业管理费、公务用车运行维护费以及其他费用。比年初预算数减少</w:t>
      </w:r>
      <w:r>
        <w:rPr>
          <w:rFonts w:hint="eastAsia" w:asciiTheme="minorEastAsia" w:hAnsiTheme="minorEastAsia" w:eastAsiaTheme="minorEastAsia"/>
          <w:color w:val="auto"/>
          <w:sz w:val="32"/>
          <w:szCs w:val="32"/>
          <w:highlight w:val="none"/>
        </w:rPr>
        <w:t>19.34</w:t>
      </w:r>
      <w:r>
        <w:rPr>
          <w:rFonts w:hint="eastAsia" w:asciiTheme="minorEastAsia" w:hAnsiTheme="minorEastAsia" w:eastAsiaTheme="minorEastAsia"/>
          <w:color w:val="auto"/>
          <w:sz w:val="32"/>
          <w:szCs w:val="32"/>
          <w:highlight w:val="none"/>
          <w:lang w:val="zh-CN"/>
        </w:rPr>
        <w:t>万元，降低</w:t>
      </w:r>
      <w:r>
        <w:rPr>
          <w:rFonts w:hint="eastAsia" w:asciiTheme="minorEastAsia" w:hAnsiTheme="minorEastAsia" w:eastAsiaTheme="minorEastAsia"/>
          <w:color w:val="auto"/>
          <w:sz w:val="32"/>
          <w:szCs w:val="32"/>
          <w:highlight w:val="none"/>
        </w:rPr>
        <w:t>38.68</w:t>
      </w:r>
      <w:r>
        <w:rPr>
          <w:rFonts w:hint="eastAsia" w:asciiTheme="minorEastAsia" w:hAnsiTheme="minorEastAsia" w:eastAsiaTheme="minorEastAsia"/>
          <w:color w:val="auto"/>
          <w:sz w:val="32"/>
          <w:szCs w:val="32"/>
          <w:highlight w:val="none"/>
          <w:lang w:val="zh-CN"/>
        </w:rPr>
        <w:t>%。主要原因是：部分机关运行经费用于项目支出。</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pPr>
        <w:keepNext w:val="0"/>
        <w:keepLines w:val="0"/>
        <w:pageBreakBefore w:val="0"/>
        <w:kinsoku/>
        <w:wordWrap/>
        <w:overflowPunct/>
        <w:topLinePunct w:val="0"/>
        <w:bidi w:val="0"/>
        <w:snapToGrid/>
        <w:spacing w:line="600" w:lineRule="exact"/>
        <w:ind w:firstLine="640" w:firstLineChars="200"/>
        <w:rPr>
          <w:rFonts w:cs="黑体" w:asciiTheme="minorEastAsia" w:hAnsiTheme="minorEastAsia"/>
          <w:kern w:val="0"/>
          <w:sz w:val="32"/>
          <w:szCs w:val="32"/>
          <w:highlight w:val="none"/>
          <w:lang w:val="zh-CN"/>
        </w:rPr>
      </w:pPr>
      <w:r>
        <w:rPr>
          <w:rFonts w:hint="eastAsia" w:cs="黑体" w:asciiTheme="minorEastAsia" w:hAnsiTheme="minorEastAsia"/>
          <w:kern w:val="0"/>
          <w:sz w:val="32"/>
          <w:szCs w:val="32"/>
          <w:highlight w:val="none"/>
          <w:lang w:val="zh-CN"/>
        </w:rPr>
        <w:t>2021年度本部门开支会议费0万元，用于召开会议，人数0人；开支培训费0万元，用于开展业务培训，人数0人；未举办节庆、晚会、论坛、赛事活动，开支0万元。</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截至2021年12月31日，本单位共有车辆3辆，其中，</w:t>
      </w:r>
      <w:r>
        <w:rPr>
          <w:rFonts w:hint="eastAsia" w:asciiTheme="minorEastAsia" w:hAnsiTheme="minorEastAsia" w:eastAsiaTheme="minorEastAsia"/>
          <w:bCs/>
          <w:color w:val="auto"/>
          <w:sz w:val="32"/>
          <w:szCs w:val="32"/>
          <w:highlight w:val="none"/>
        </w:rPr>
        <w:t>主要领导干部用车</w:t>
      </w:r>
      <w:r>
        <w:rPr>
          <w:rFonts w:hint="eastAsia" w:asciiTheme="minorEastAsia" w:hAnsiTheme="minorEastAsia" w:eastAsiaTheme="minorEastAsia"/>
          <w:color w:val="auto"/>
          <w:sz w:val="32"/>
          <w:szCs w:val="32"/>
          <w:highlight w:val="none"/>
        </w:rPr>
        <w:t>0辆、机要通信用车0辆、应急保障用车0辆、执法执勤用车3辆、特种专业技术用车0辆、其他用车0辆；单位价值50万元以上通用设备0台；单位价值100万元以上专用设备0台。</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十三、国有资本经营预算财政拨款支出决算情况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2021年度国有资本经营预算财政拨款支出0万元，其中基本支出0万元，项目支出0万元。本单位无国有资本经营预算支出。</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十四、2021年度预算绩效情况说明</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本部门2021年整体支出353.15万元，其中项目支出24万元，本年度我单位没有重点项目支出。</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 xml:space="preserve">2021 </w:t>
      </w:r>
      <w:r>
        <w:rPr>
          <w:rFonts w:hint="eastAsia" w:cs="黑体" w:asciiTheme="minorEastAsia" w:hAnsiTheme="minorEastAsia"/>
          <w:color w:val="000000"/>
          <w:kern w:val="0"/>
          <w:sz w:val="32"/>
          <w:szCs w:val="32"/>
          <w:highlight w:val="none"/>
        </w:rPr>
        <w:t>年度一般公共预算项目支出全面开展绩效自评，其中，一级项目0个，二级项目2个，共涉及资金24万元，占一般公共预算项目支出总额的100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sz w:val="32"/>
          <w:szCs w:val="32"/>
          <w:highlight w:val="none"/>
        </w:rPr>
      </w:pPr>
      <w:r>
        <w:rPr>
          <w:rFonts w:hint="eastAsia" w:asciiTheme="minorEastAsia" w:hAnsiTheme="minorEastAsia"/>
          <w:sz w:val="32"/>
          <w:szCs w:val="32"/>
          <w:highlight w:val="none"/>
        </w:rPr>
        <w:t>组织对“专项业务费”等2个项目开展了部门评价，涉及一般公共预算支出24万元。从评价情况来看，</w:t>
      </w:r>
      <w:r>
        <w:rPr>
          <w:rFonts w:hint="eastAsia" w:asciiTheme="minorEastAsia" w:hAnsiTheme="minorEastAsia" w:eastAsiaTheme="minorEastAsia" w:cstheme="minorEastAsia"/>
          <w:sz w:val="32"/>
          <w:szCs w:val="32"/>
          <w:highlight w:val="none"/>
        </w:rPr>
        <w:t>项目绩效目标设置科学合理，资金分配规范及时，项目产出指标、效益指标、绩效指标均以达标。</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祁阳市森林公安局”本级1个单位开展整体支出绩效评价，涉及一般公共预算支出353.15万元。从评价情况来看，2021年度我单位积极稳妥地推动各项工作任务的落实，凝心聚力，务实创新，圆满完成了年度绩效目标。</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keepNext w:val="0"/>
        <w:keepLines w:val="0"/>
        <w:pageBreakBefore w:val="0"/>
        <w:widowControl/>
        <w:kinsoku/>
        <w:wordWrap/>
        <w:overflowPunct/>
        <w:topLinePunct w:val="0"/>
        <w:bidi w:val="0"/>
        <w:snapToGrid/>
        <w:spacing w:line="600" w:lineRule="exact"/>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专项业务费项目绩效自评综述：根据年初设定的绩效目标，项目绩效自评得分为良好分。项目全年预算数为0万元，执行数为24万元。项目绩效目标完成情况：一是</w:t>
      </w:r>
      <w:r>
        <w:rPr>
          <w:rFonts w:hint="eastAsia" w:asciiTheme="minorEastAsia" w:hAnsiTheme="minorEastAsia"/>
          <w:bCs/>
          <w:kern w:val="0"/>
          <w:sz w:val="32"/>
          <w:szCs w:val="32"/>
          <w:highlight w:val="none"/>
        </w:rPr>
        <w:t>严格执行专项业务经费开支</w:t>
      </w:r>
      <w:r>
        <w:rPr>
          <w:rFonts w:hint="eastAsia" w:cs="黑体" w:asciiTheme="minorEastAsia" w:hAnsiTheme="minorEastAsia"/>
          <w:color w:val="000000"/>
          <w:kern w:val="0"/>
          <w:sz w:val="32"/>
          <w:szCs w:val="32"/>
          <w:highlight w:val="none"/>
        </w:rPr>
        <w:t>；二是加强专项业务费的管理和监督。发现的主要问题及原因：</w:t>
      </w:r>
      <w:r>
        <w:rPr>
          <w:rFonts w:hint="eastAsia" w:asciiTheme="minorEastAsia" w:hAnsiTheme="minorEastAsia"/>
          <w:bCs/>
          <w:kern w:val="0"/>
          <w:sz w:val="32"/>
          <w:szCs w:val="32"/>
          <w:highlight w:val="none"/>
        </w:rPr>
        <w:t>存在预算编制不够完善，绩效管理工</w:t>
      </w:r>
      <w:r>
        <w:rPr>
          <w:rFonts w:hint="eastAsia" w:cs="黑体" w:asciiTheme="minorEastAsia" w:hAnsiTheme="minorEastAsia"/>
          <w:color w:val="000000"/>
          <w:kern w:val="0"/>
          <w:sz w:val="32"/>
          <w:szCs w:val="32"/>
          <w:highlight w:val="none"/>
        </w:rPr>
        <w:t>作有待加强等问题。下一步改进措施：加强预算编制的科学性、合理性，让预算编制更贴合实际，严格按照批复预算执行，加强预算绩效管理，增强预算约束力，用好用活各类财政资金，提高财政资金的使用效益。</w:t>
      </w:r>
    </w:p>
    <w:p>
      <w:pPr>
        <w:keepNext w:val="0"/>
        <w:keepLines w:val="0"/>
        <w:pageBreakBefore w:val="0"/>
        <w:widowControl/>
        <w:kinsoku/>
        <w:wordWrap/>
        <w:overflowPunct/>
        <w:topLinePunct w:val="0"/>
        <w:bidi w:val="0"/>
        <w:snapToGrid/>
        <w:spacing w:line="600" w:lineRule="exact"/>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专项业务费项目绩效自评综述：做到各项收支安排使用符合事业发展计划和财政政策的要求，确保了单位正常运行，较好地完成了2021年部门预算编制和决算汇总工作， 2021年目标任务基本完成，预算执行情况较好。</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本单位将绩效理念融入预算管理全过程，加强内部控制，全面规范预算编制、预算执行、预算监督，强化预算工作基础，整体提升预算管理水平，提高财政资源配置效率 ，部门整体绩效评价报告已作为附件进行公开。</w:t>
      </w:r>
    </w:p>
    <w:p>
      <w:pPr>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ascii="宋体" w:hAnsi="宋体" w:eastAsia="宋体"/>
          <w:sz w:val="32"/>
          <w:szCs w:val="32"/>
          <w:highlight w:val="none"/>
        </w:rPr>
        <w:br w:type="page"/>
      </w:r>
    </w:p>
    <w:p>
      <w:pPr>
        <w:pStyle w:val="8"/>
        <w:keepNext w:val="0"/>
        <w:keepLines w:val="0"/>
        <w:pageBreakBefore w:val="0"/>
        <w:kinsoku/>
        <w:wordWrap/>
        <w:overflowPunct/>
        <w:topLinePunct w:val="0"/>
        <w:bidi w:val="0"/>
        <w:snapToGrid/>
        <w:spacing w:before="0" w:beforeAutospacing="0" w:after="0" w:afterAutospacing="0" w:line="600" w:lineRule="exact"/>
        <w:ind w:firstLine="560" w:firstLineChars="200"/>
        <w:rPr>
          <w:rFonts w:cs="Times New Roman"/>
          <w:sz w:val="28"/>
          <w:szCs w:val="28"/>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widowControl w:val="0"/>
        <w:kinsoku/>
        <w:wordWrap/>
        <w:overflowPunct/>
        <w:topLinePunct w:val="0"/>
        <w:bidi w:val="0"/>
        <w:snapToGrid/>
        <w:spacing w:line="1000" w:lineRule="exact"/>
        <w:jc w:val="center"/>
        <w:textAlignment w:val="auto"/>
        <w:rPr>
          <w:rFonts w:ascii="仿宋_GB2312" w:eastAsia="仿宋_GB2312"/>
          <w:b w:val="0"/>
          <w:bCs w:val="0"/>
          <w:sz w:val="72"/>
          <w:szCs w:val="72"/>
          <w:highlight w:val="none"/>
        </w:rPr>
      </w:pPr>
      <w:r>
        <w:rPr>
          <w:rFonts w:hint="eastAsia" w:ascii="仿宋_GB2312" w:eastAsia="仿宋_GB2312"/>
          <w:b w:val="0"/>
          <w:bCs w:val="0"/>
          <w:sz w:val="72"/>
          <w:szCs w:val="72"/>
          <w:highlight w:val="none"/>
        </w:rPr>
        <w:t>第四部分</w:t>
      </w:r>
    </w:p>
    <w:p>
      <w:pPr>
        <w:keepNext w:val="0"/>
        <w:keepLines w:val="0"/>
        <w:pageBreakBefore w:val="0"/>
        <w:widowControl w:val="0"/>
        <w:kinsoku/>
        <w:wordWrap/>
        <w:overflowPunct/>
        <w:topLinePunct w:val="0"/>
        <w:bidi w:val="0"/>
        <w:snapToGrid/>
        <w:spacing w:line="1000" w:lineRule="exact"/>
        <w:ind w:firstLine="1440" w:firstLineChars="200"/>
        <w:jc w:val="center"/>
        <w:textAlignment w:val="auto"/>
        <w:rPr>
          <w:rFonts w:ascii="仿宋_GB2312" w:eastAsia="仿宋_GB2312" w:cs="黑体"/>
          <w:b w:val="0"/>
          <w:bCs w:val="0"/>
          <w:color w:val="000000"/>
          <w:kern w:val="0"/>
          <w:sz w:val="72"/>
          <w:szCs w:val="72"/>
          <w:highlight w:val="none"/>
        </w:rPr>
      </w:pPr>
    </w:p>
    <w:p>
      <w:pPr>
        <w:keepNext w:val="0"/>
        <w:keepLines w:val="0"/>
        <w:pageBreakBefore w:val="0"/>
        <w:widowControl w:val="0"/>
        <w:kinsoku/>
        <w:wordWrap/>
        <w:overflowPunct/>
        <w:topLinePunct w:val="0"/>
        <w:bidi w:val="0"/>
        <w:snapToGrid/>
        <w:spacing w:line="1000" w:lineRule="exact"/>
        <w:jc w:val="center"/>
        <w:textAlignment w:val="auto"/>
        <w:rPr>
          <w:rFonts w:ascii="仿宋_GB2312" w:eastAsia="仿宋_GB2312" w:cs="黑体"/>
          <w:b w:val="0"/>
          <w:bCs w:val="0"/>
          <w:color w:val="000000"/>
          <w:kern w:val="0"/>
          <w:sz w:val="72"/>
          <w:szCs w:val="72"/>
          <w:highlight w:val="none"/>
        </w:rPr>
      </w:pPr>
      <w:r>
        <w:rPr>
          <w:rFonts w:hint="eastAsia" w:ascii="仿宋_GB2312" w:eastAsia="仿宋_GB2312" w:cs="黑体"/>
          <w:b w:val="0"/>
          <w:bCs w:val="0"/>
          <w:color w:val="000000"/>
          <w:kern w:val="0"/>
          <w:sz w:val="72"/>
          <w:szCs w:val="72"/>
          <w:highlight w:val="none"/>
        </w:rPr>
        <w:t>名词解释</w:t>
      </w:r>
    </w:p>
    <w:p>
      <w:pPr>
        <w:keepNext w:val="0"/>
        <w:keepLines w:val="0"/>
        <w:pageBreakBefore w:val="0"/>
        <w:kinsoku/>
        <w:wordWrap/>
        <w:overflowPunct/>
        <w:topLinePunct w:val="0"/>
        <w:bidi w:val="0"/>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br w:type="page"/>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一、收入科目</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1、财政拨款收入：指财政当年拨付的资金。</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2、事业收入：指事业单位开展专业业务活动及辅助活动取得的收入。</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3、经营收入：指事业单位在专业业务活动及其辅助活动之外开展非独立核算经营活动取得的收入。</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4、其他收入：指除上述“财政拨款收入”、“事业收入”、“经营收入”等以外的收入。</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6、上年结转：指以前年尚未完成、结转到本年按有关规定继续使用的资金。</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二、支出科目</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1、基本支出：是为保障其机构正常运转、完成日常工作任务而发生人员支出和公用支出。</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2、项目支出：是指在基本支出之外完成特定行政任务和事业发展目标所发生的支出。</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3、工资福利支出：反映单位开支的在职职工和编制外长期聘用人员的各类劳动报酬，以及为上述人员缴纳的各项社会保险费等。</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4、商品和服务支出：反映单位购买商品和服务的支出。</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5、对个人和家庭的补助：反映单位用于对个人和家庭的补助支出。</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三、“三公”经费科目</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1、因公出国（境）费用：反映单位公务出国（境）的国际旅费、国内城市间交通费、住宿费、伙食费、培训费、公杂费等支出。</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2、公务接待费：反映单位按规定开支的各类公务接待（含外宾接待）费用。</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3、公务用车运行维护费：反映单位公务用车租用费、燃料费、维修费、过路过桥费、保险费、安全奖励费用等支出。</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四、机关运行费用</w:t>
      </w:r>
    </w:p>
    <w:p>
      <w:pPr>
        <w:pStyle w:val="14"/>
        <w:keepNext w:val="0"/>
        <w:keepLines w:val="0"/>
        <w:pageBreakBefore w:val="0"/>
        <w:kinsoku/>
        <w:wordWrap/>
        <w:overflowPunct/>
        <w:topLinePunct w:val="0"/>
        <w:bidi w:val="0"/>
        <w:snapToGrid/>
        <w:spacing w:line="600" w:lineRule="exact"/>
        <w:ind w:firstLine="640" w:firstLineChars="200"/>
        <w:rPr>
          <w:rFonts w:ascii="宋体" w:hAnsi="宋体" w:eastAsia="宋体"/>
          <w:sz w:val="32"/>
          <w:szCs w:val="32"/>
          <w:highlight w:val="none"/>
        </w:rPr>
      </w:pPr>
      <w:r>
        <w:rPr>
          <w:rFonts w:hint="eastAsia" w:ascii="宋体" w:hAnsi="宋体" w:eastAsia="宋体"/>
          <w:sz w:val="32"/>
          <w:szCs w:val="32"/>
          <w:highlight w:val="none"/>
        </w:rPr>
        <w:t>机关运行经费指为保障本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spacing w:line="600" w:lineRule="exact"/>
        <w:ind w:firstLine="560" w:firstLineChars="200"/>
        <w:rPr>
          <w:rFonts w:cs="Times New Roman"/>
          <w:sz w:val="28"/>
          <w:szCs w:val="28"/>
          <w:highlight w:val="none"/>
        </w:rPr>
      </w:pPr>
      <w:r>
        <w:rPr>
          <w:rFonts w:cs="Times New Roman"/>
          <w:sz w:val="28"/>
          <w:szCs w:val="28"/>
          <w:highlight w:val="none"/>
        </w:rPr>
        <w:br w:type="page"/>
      </w:r>
    </w:p>
    <w:p>
      <w:pPr>
        <w:pStyle w:val="8"/>
        <w:keepNext w:val="0"/>
        <w:keepLines w:val="0"/>
        <w:pageBreakBefore w:val="0"/>
        <w:kinsoku/>
        <w:wordWrap/>
        <w:overflowPunct/>
        <w:topLinePunct w:val="0"/>
        <w:bidi w:val="0"/>
        <w:snapToGrid/>
        <w:spacing w:before="0" w:beforeAutospacing="0" w:after="0" w:afterAutospacing="0" w:line="600" w:lineRule="exact"/>
        <w:ind w:firstLine="560" w:firstLineChars="200"/>
        <w:rPr>
          <w:rFonts w:cs="Times New Roman"/>
          <w:sz w:val="28"/>
          <w:szCs w:val="28"/>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sz w:val="72"/>
          <w:szCs w:val="72"/>
          <w:highlight w:val="none"/>
        </w:rPr>
      </w:pPr>
    </w:p>
    <w:p>
      <w:pPr>
        <w:pStyle w:val="14"/>
        <w:keepNext w:val="0"/>
        <w:keepLines w:val="0"/>
        <w:pageBreakBefore w:val="0"/>
        <w:kinsoku/>
        <w:wordWrap/>
        <w:overflowPunct/>
        <w:topLinePunct w:val="0"/>
        <w:bidi w:val="0"/>
        <w:snapToGrid/>
        <w:spacing w:line="600" w:lineRule="exact"/>
        <w:ind w:firstLine="1440" w:firstLineChars="200"/>
        <w:jc w:val="center"/>
        <w:rPr>
          <w:rFonts w:ascii="仿宋_GB2312" w:eastAsia="仿宋_GB2312"/>
          <w:b w:val="0"/>
          <w:bCs w:val="0"/>
          <w:sz w:val="72"/>
          <w:szCs w:val="72"/>
          <w:highlight w:val="none"/>
        </w:rPr>
      </w:pPr>
    </w:p>
    <w:p>
      <w:pPr>
        <w:pStyle w:val="14"/>
        <w:keepNext w:val="0"/>
        <w:keepLines w:val="0"/>
        <w:pageBreakBefore w:val="0"/>
        <w:widowControl w:val="0"/>
        <w:kinsoku/>
        <w:wordWrap/>
        <w:overflowPunct/>
        <w:topLinePunct w:val="0"/>
        <w:bidi w:val="0"/>
        <w:snapToGrid/>
        <w:spacing w:line="1000" w:lineRule="exact"/>
        <w:jc w:val="center"/>
        <w:textAlignment w:val="auto"/>
        <w:rPr>
          <w:rFonts w:ascii="仿宋_GB2312" w:eastAsia="仿宋_GB2312"/>
          <w:b w:val="0"/>
          <w:bCs w:val="0"/>
          <w:sz w:val="72"/>
          <w:szCs w:val="72"/>
          <w:highlight w:val="none"/>
        </w:rPr>
      </w:pPr>
      <w:r>
        <w:rPr>
          <w:rFonts w:hint="eastAsia" w:ascii="仿宋_GB2312" w:eastAsia="仿宋_GB2312"/>
          <w:b w:val="0"/>
          <w:bCs w:val="0"/>
          <w:sz w:val="72"/>
          <w:szCs w:val="72"/>
          <w:highlight w:val="none"/>
        </w:rPr>
        <w:t>第五部分</w:t>
      </w:r>
    </w:p>
    <w:p>
      <w:pPr>
        <w:keepNext w:val="0"/>
        <w:keepLines w:val="0"/>
        <w:pageBreakBefore w:val="0"/>
        <w:widowControl w:val="0"/>
        <w:kinsoku/>
        <w:wordWrap/>
        <w:overflowPunct/>
        <w:topLinePunct w:val="0"/>
        <w:bidi w:val="0"/>
        <w:snapToGrid/>
        <w:spacing w:line="1000" w:lineRule="exact"/>
        <w:ind w:firstLine="1440" w:firstLineChars="200"/>
        <w:jc w:val="center"/>
        <w:textAlignment w:val="auto"/>
        <w:rPr>
          <w:rFonts w:ascii="仿宋_GB2312" w:eastAsia="仿宋_GB2312" w:cs="黑体"/>
          <w:b w:val="0"/>
          <w:bCs w:val="0"/>
          <w:color w:val="000000"/>
          <w:kern w:val="0"/>
          <w:sz w:val="72"/>
          <w:szCs w:val="72"/>
          <w:highlight w:val="none"/>
        </w:rPr>
      </w:pPr>
    </w:p>
    <w:p>
      <w:pPr>
        <w:keepNext w:val="0"/>
        <w:keepLines w:val="0"/>
        <w:pageBreakBefore w:val="0"/>
        <w:widowControl w:val="0"/>
        <w:kinsoku/>
        <w:wordWrap/>
        <w:overflowPunct/>
        <w:topLinePunct w:val="0"/>
        <w:bidi w:val="0"/>
        <w:snapToGrid/>
        <w:spacing w:line="1000" w:lineRule="exact"/>
        <w:jc w:val="center"/>
        <w:textAlignment w:val="auto"/>
        <w:rPr>
          <w:rFonts w:ascii="仿宋_GB2312" w:eastAsia="仿宋_GB2312" w:cs="黑体"/>
          <w:b w:val="0"/>
          <w:bCs w:val="0"/>
          <w:color w:val="000000"/>
          <w:kern w:val="0"/>
          <w:sz w:val="72"/>
          <w:szCs w:val="72"/>
          <w:highlight w:val="none"/>
        </w:rPr>
      </w:pPr>
      <w:r>
        <w:rPr>
          <w:rFonts w:hint="eastAsia" w:ascii="仿宋_GB2312" w:eastAsia="仿宋_GB2312" w:cs="黑体"/>
          <w:b w:val="0"/>
          <w:bCs w:val="0"/>
          <w:color w:val="000000"/>
          <w:kern w:val="0"/>
          <w:sz w:val="72"/>
          <w:szCs w:val="72"/>
          <w:highlight w:val="none"/>
        </w:rPr>
        <w:t>附件</w:t>
      </w:r>
    </w:p>
    <w:p>
      <w:pPr>
        <w:keepNext w:val="0"/>
        <w:keepLines w:val="0"/>
        <w:pageBreakBefore w:val="0"/>
        <w:widowControl/>
        <w:kinsoku/>
        <w:wordWrap/>
        <w:overflowPunct/>
        <w:topLinePunct w:val="0"/>
        <w:bidi w:val="0"/>
        <w:snapToGrid/>
        <w:spacing w:line="600" w:lineRule="exact"/>
        <w:ind w:firstLine="1400" w:firstLineChars="200"/>
        <w:jc w:val="left"/>
        <w:rPr>
          <w:rFonts w:ascii="仿宋_GB2312" w:eastAsia="仿宋_GB2312" w:cs="黑体"/>
          <w:b/>
          <w:bCs/>
          <w:color w:val="000000"/>
          <w:kern w:val="0"/>
          <w:sz w:val="70"/>
          <w:szCs w:val="70"/>
          <w:highlight w:val="none"/>
        </w:rPr>
      </w:pPr>
      <w:r>
        <w:rPr>
          <w:rFonts w:hint="eastAsia" w:ascii="仿宋_GB2312" w:eastAsia="仿宋_GB2312" w:cs="黑体"/>
          <w:b/>
          <w:bCs/>
          <w:color w:val="000000"/>
          <w:kern w:val="0"/>
          <w:sz w:val="70"/>
          <w:szCs w:val="70"/>
          <w:highlight w:val="none"/>
        </w:rPr>
        <w:br w:type="page"/>
      </w:r>
    </w:p>
    <w:p>
      <w:pPr>
        <w:keepNext w:val="0"/>
        <w:keepLines w:val="0"/>
        <w:pageBreakBefore w:val="0"/>
        <w:kinsoku/>
        <w:wordWrap/>
        <w:overflowPunct/>
        <w:topLinePunct w:val="0"/>
        <w:bidi w:val="0"/>
        <w:snapToGrid/>
        <w:spacing w:line="600" w:lineRule="exact"/>
        <w:ind w:firstLine="1400" w:firstLineChars="200"/>
        <w:jc w:val="center"/>
        <w:rPr>
          <w:rFonts w:ascii="仿宋_GB2312" w:eastAsia="仿宋_GB2312" w:cs="黑体"/>
          <w:color w:val="000000"/>
          <w:kern w:val="0"/>
          <w:sz w:val="70"/>
          <w:szCs w:val="70"/>
          <w:highlight w:val="none"/>
        </w:rPr>
      </w:pPr>
    </w:p>
    <w:p>
      <w:pPr>
        <w:keepNext w:val="0"/>
        <w:keepLines w:val="0"/>
        <w:pageBreakBefore w:val="0"/>
        <w:kinsoku/>
        <w:wordWrap/>
        <w:overflowPunct/>
        <w:topLinePunct w:val="0"/>
        <w:bidi w:val="0"/>
        <w:snapToGrid/>
        <w:spacing w:line="600" w:lineRule="exact"/>
        <w:ind w:firstLine="720" w:firstLineChars="200"/>
        <w:jc w:val="center"/>
        <w:rPr>
          <w:rFonts w:hint="eastAsia" w:cs="黑体" w:asciiTheme="minorEastAsia" w:hAnsiTheme="minorEastAsia"/>
          <w:b/>
          <w:color w:val="000000"/>
          <w:kern w:val="0"/>
          <w:sz w:val="36"/>
          <w:szCs w:val="32"/>
          <w:highlight w:val="none"/>
        </w:rPr>
      </w:pPr>
      <w:r>
        <w:rPr>
          <w:rFonts w:hint="eastAsia" w:cs="黑体" w:asciiTheme="minorEastAsia" w:hAnsiTheme="minorEastAsia"/>
          <w:b/>
          <w:color w:val="000000"/>
          <w:kern w:val="0"/>
          <w:sz w:val="36"/>
          <w:szCs w:val="32"/>
          <w:highlight w:val="none"/>
        </w:rPr>
        <w:t>2021年度部门整体支出绩效评价报告</w:t>
      </w:r>
    </w:p>
    <w:p>
      <w:pPr>
        <w:pStyle w:val="2"/>
        <w:rPr>
          <w:highlight w:val="none"/>
        </w:rPr>
      </w:pP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一、单位基本情况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(一)机构组成</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祁阳市森林公安局内设机构包括：刑侦治安股、法制股、消防股、大江派出所、挂榜山派出所。</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(二)机构职能</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1.承担森林和草原防火工作，负责火场警戒、交通疏导、治安维护、火案侦破等，查处森林和草原领域其他违法犯罪行为，协同林业局开展防火宣传、火灾隐患排查、重点领域巡护、违规用火处罚等工作。</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2.掌握生态环境、生物安全等领域犯罪动态，拟定预防、打击对策。</w:t>
      </w:r>
    </w:p>
    <w:p>
      <w:pPr>
        <w:keepNext w:val="0"/>
        <w:keepLines w:val="0"/>
        <w:pageBreakBefore w:val="0"/>
        <w:widowControl/>
        <w:kinsoku/>
        <w:wordWrap/>
        <w:overflowPunct/>
        <w:topLinePunct w:val="0"/>
        <w:bidi w:val="0"/>
        <w:snapToGrid/>
        <w:spacing w:line="600" w:lineRule="exact"/>
        <w:ind w:firstLine="640" w:firstLineChars="200"/>
        <w:rPr>
          <w:rFonts w:hint="eastAsia" w:asciiTheme="minorEastAsia" w:hAnsiTheme="minorEastAsia"/>
          <w:bCs/>
          <w:kern w:val="0"/>
          <w:sz w:val="32"/>
          <w:szCs w:val="32"/>
          <w:highlight w:val="none"/>
        </w:rPr>
      </w:pPr>
      <w:r>
        <w:rPr>
          <w:rFonts w:hint="eastAsia" w:asciiTheme="minorEastAsia" w:hAnsiTheme="minorEastAsia"/>
          <w:bCs/>
          <w:kern w:val="0"/>
          <w:sz w:val="32"/>
          <w:szCs w:val="32"/>
          <w:highlight w:val="none"/>
        </w:rPr>
        <w:t>3.组织开展对生态环境、生物安全等领域犯罪案件的侦查工作。</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二、一般公共预算支出情况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2021年度财政拨款支出353.15万元，主要用于以下方面：一般公共服务（201）支出45.26万元，占12.82%；公共安全（204）支出253.93万元，占71.9%；社会保障和就业（208）支出20.74万元，占5.87%；卫生健康（210）支出9.58万元，占2.71%；农林水（213）支出10万元，占2.83%；住房保障（221）支出13.64万元，占3.87%.</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(一)、基本支出情况</w:t>
      </w:r>
    </w:p>
    <w:p>
      <w:pPr>
        <w:pStyle w:val="14"/>
        <w:keepNext w:val="0"/>
        <w:keepLines w:val="0"/>
        <w:pageBreakBefore w:val="0"/>
        <w:kinsoku/>
        <w:wordWrap/>
        <w:overflowPunct/>
        <w:topLinePunct w:val="0"/>
        <w:bidi w:val="0"/>
        <w:snapToGrid/>
        <w:spacing w:line="600" w:lineRule="exact"/>
        <w:ind w:firstLine="640" w:firstLineChars="200"/>
        <w:rPr>
          <w:rFonts w:asciiTheme="minorEastAsia" w:hAnsiTheme="minorEastAsia" w:eastAsiaTheme="minorEastAsia"/>
          <w:i/>
          <w:color w:val="auto"/>
          <w:sz w:val="32"/>
          <w:szCs w:val="32"/>
          <w:highlight w:val="none"/>
        </w:rPr>
      </w:pPr>
      <w:r>
        <w:rPr>
          <w:rFonts w:hint="eastAsia" w:asciiTheme="minorEastAsia" w:hAnsiTheme="minorEastAsia" w:eastAsiaTheme="minorEastAsia"/>
          <w:color w:val="auto"/>
          <w:sz w:val="32"/>
          <w:szCs w:val="32"/>
          <w:highlight w:val="none"/>
        </w:rPr>
        <w:t>2021年度财政拨款基本支出329.15万元，其中：人员经费298.49万元，占基本支出的90.69%，主要包括基本工资、津贴补贴、奖金、</w:t>
      </w:r>
      <w:r>
        <w:rPr>
          <w:rFonts w:hint="eastAsia" w:asciiTheme="minorEastAsia" w:hAnsiTheme="minorEastAsia" w:eastAsiaTheme="minorEastAsia"/>
          <w:color w:val="auto"/>
          <w:sz w:val="32"/>
          <w:szCs w:val="32"/>
          <w:highlight w:val="none"/>
          <w:lang w:val="zh-CN"/>
        </w:rPr>
        <w:t>机关事业单位基本养老保险缴费、职工基本医疗保险缴费、住房公积金、其他工资福利支出等</w:t>
      </w:r>
      <w:r>
        <w:rPr>
          <w:rFonts w:hint="eastAsia" w:asciiTheme="minorEastAsia" w:hAnsiTheme="minorEastAsia" w:eastAsiaTheme="minorEastAsia"/>
          <w:color w:val="auto"/>
          <w:sz w:val="32"/>
          <w:szCs w:val="32"/>
          <w:highlight w:val="none"/>
        </w:rPr>
        <w:t>；公用经费30.66万元，占基本支出的9.31%，主要包括办公费、电费、差旅费、维修（护）费、公务接待费、劳务费、公务用车运行维护费、其他商品和服务支出等。</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（二）项目支出情况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2021年本部门项目支出24万元，主要是部门为完成特定行政工作任务或事业发展目标而发生的支出，包括有关事业发展专项、专项业务费。其中：</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公共安全支出公安一般行政管理事务14万元，占项目支出58.33%，主要用于公共安全支出一般行政管理事务方面；</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农林水支出林业和草原一般行政管理事务10万元，占项目支出41.67%，主要用于公共安全支出一般行政管理事务方面。</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三、政府性基金预算支出情况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2021年度政府性基金预算支出0万元；其中基本支出0万元，项目支出0万元。</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四、国有资本经营预算支出情况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2021年度国有资本经营预算支出0万元；其中基本支出0万元，项目支出0万元。</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五、部门整体支出绩效情况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(一)部门预算管理。</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1.预算编制情况。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严格按照预算管理的相关规定和市级部门预算编制要求， 科学合理编制次年项目预算，按时完成了2021年预算编制工作。2021年祁阳市森林公安局预算总额为353.15万元，其中：当年财政拨款收入353.15万元。相应安排支出预算353.15万元，其中：人员支出298.49万元，日常公用支出30.66万元，项目支出是24万元</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2.执行管理情况。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一是行政运行保障情况。我单位严格按照年初预算安排，严格执行中央八项规定，厉行节约规范使用预算资金。收入上，严格执行 "收支两条线"管理制度，按规定使用非税票据并直接缴入国库，无隐瞒收入和其他违反国家收费管理规定的行为。在支出管理中， 认真执行国库集中支付、政府采购、公务卡报销、重点工作和大额支付上会集体决策等相关财务管理制度。认真做好每月与银行、财政局国库股的对账工作，加强动态监控，保障机关各项工作顺利开展。</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二是“三公”经费预算执行情况。我办严格按照中央省市的相关文件要求， 严控“三公经费”支出。2021年因公出国（境）经费支出0万元；2021年公务用车购置及运行维护费支出20万元完成预算100%，公务接待费支出4.4万元完成预算88%主要原因是贯彻执行中央八项规定和省委省政府十项规定，坚决杜绝奢侈浪费，有效控制公务接待费用。</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(二)结果应用情况。</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2.加强政府采购管理。严格按照《政府采购法》和《政府采购法实施条例》等相关管理规定，根据省采购目录和财政部门预算管理要求，编制政府采购计划，将采购项目全部纳入部门预算管理。</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3.加强固定资产管理。严格按照</w:t>
      </w:r>
      <w:r>
        <w:rPr>
          <w:rFonts w:hint="eastAsia" w:asciiTheme="minorEastAsia" w:hAnsiTheme="minorEastAsia"/>
          <w:bCs/>
          <w:kern w:val="0"/>
          <w:sz w:val="32"/>
          <w:szCs w:val="32"/>
          <w:highlight w:val="none"/>
          <w:lang w:eastAsia="zh-CN"/>
        </w:rPr>
        <w:t>市</w:t>
      </w:r>
      <w:r>
        <w:rPr>
          <w:rFonts w:hint="eastAsia" w:asciiTheme="minorEastAsia" w:hAnsiTheme="minorEastAsia"/>
          <w:bCs/>
          <w:kern w:val="0"/>
          <w:sz w:val="32"/>
          <w:szCs w:val="32"/>
          <w:highlight w:val="none"/>
        </w:rPr>
        <w:t>财政局财政资产管理家具配置标准、新增资产配置流程、处置审批制度等相关文件要求，做好固定资产采买、报废、调整等相关管理工作。部门资产录入固定资产管理系统，建资产管理卡片， 及时更新资产管理信息系统数据，做到账实相符、账卡相符。</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六、存在的问题及原因分析</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2021年，我办严格按照年初预算批复认真组织实施， 严格执行财经纪律相关管理规定，做到各项收支安排使用符合事业发展计划和财政政策的要求，确保了单位正常运行，较好地完成了2021年部门预算编制和决算汇总工作， 2021年目标任务基本完成，预算执行情况较好。但仍存在预算编制不够完善，绩效管理工作有待加强等问题。</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
          <w:bCs w:val="0"/>
          <w:kern w:val="0"/>
          <w:sz w:val="32"/>
          <w:szCs w:val="32"/>
          <w:highlight w:val="none"/>
        </w:rPr>
      </w:pPr>
      <w:r>
        <w:rPr>
          <w:rFonts w:hint="eastAsia" w:asciiTheme="minorEastAsia" w:hAnsiTheme="minorEastAsia"/>
          <w:b/>
          <w:bCs w:val="0"/>
          <w:kern w:val="0"/>
          <w:sz w:val="32"/>
          <w:szCs w:val="32"/>
          <w:highlight w:val="none"/>
        </w:rPr>
        <w:t>七、下一步改进措施</w:t>
      </w:r>
    </w:p>
    <w:p>
      <w:pPr>
        <w:keepNext w:val="0"/>
        <w:keepLines w:val="0"/>
        <w:pageBreakBefore w:val="0"/>
        <w:widowControl/>
        <w:kinsoku/>
        <w:wordWrap/>
        <w:overflowPunct/>
        <w:topLinePunct w:val="0"/>
        <w:bidi w:val="0"/>
        <w:snapToGrid/>
        <w:spacing w:line="600" w:lineRule="exact"/>
        <w:ind w:firstLine="640" w:firstLineChars="2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在今后的工作中，我局按照新《预算法》的要求，加强预算编制的科学性、合理性，让预算编制更贴合实际，严格按照批复预算执行，加强预算绩效管理，增强预算约束力，用好用活各类财政资金，提高财政资金的使用效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90B27"/>
    <w:multiLevelType w:val="singleLevel"/>
    <w:tmpl w:val="88090B2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ZWQ5YWEyOWZkZDYzYWYzNjliMzQ5M2Q2YzQzOGYifQ=="/>
  </w:docVars>
  <w:rsids>
    <w:rsidRoot w:val="004506F9"/>
    <w:rsid w:val="00013957"/>
    <w:rsid w:val="0002229B"/>
    <w:rsid w:val="000273BD"/>
    <w:rsid w:val="000415B7"/>
    <w:rsid w:val="00041E3F"/>
    <w:rsid w:val="00055DAA"/>
    <w:rsid w:val="00060DD4"/>
    <w:rsid w:val="00061F7B"/>
    <w:rsid w:val="000658A3"/>
    <w:rsid w:val="00074155"/>
    <w:rsid w:val="00082BD8"/>
    <w:rsid w:val="000873EF"/>
    <w:rsid w:val="000A3F69"/>
    <w:rsid w:val="000E3F9B"/>
    <w:rsid w:val="00103957"/>
    <w:rsid w:val="001217B1"/>
    <w:rsid w:val="00124A1F"/>
    <w:rsid w:val="00152C6D"/>
    <w:rsid w:val="00162D39"/>
    <w:rsid w:val="001678BD"/>
    <w:rsid w:val="00182373"/>
    <w:rsid w:val="001A67DB"/>
    <w:rsid w:val="001C2AEB"/>
    <w:rsid w:val="001C3C29"/>
    <w:rsid w:val="001D51E5"/>
    <w:rsid w:val="001E080D"/>
    <w:rsid w:val="001E53D0"/>
    <w:rsid w:val="001F0C3B"/>
    <w:rsid w:val="001F5145"/>
    <w:rsid w:val="00202C14"/>
    <w:rsid w:val="00202C82"/>
    <w:rsid w:val="00214427"/>
    <w:rsid w:val="00223438"/>
    <w:rsid w:val="00226CB7"/>
    <w:rsid w:val="00232AFB"/>
    <w:rsid w:val="00264552"/>
    <w:rsid w:val="00264EF9"/>
    <w:rsid w:val="00265724"/>
    <w:rsid w:val="0027426B"/>
    <w:rsid w:val="002820D2"/>
    <w:rsid w:val="00284F06"/>
    <w:rsid w:val="002A001F"/>
    <w:rsid w:val="002C54B5"/>
    <w:rsid w:val="002D6582"/>
    <w:rsid w:val="002E0A30"/>
    <w:rsid w:val="002F09CE"/>
    <w:rsid w:val="003130C4"/>
    <w:rsid w:val="00316C4B"/>
    <w:rsid w:val="0032192B"/>
    <w:rsid w:val="00336CC3"/>
    <w:rsid w:val="003479BD"/>
    <w:rsid w:val="00366F66"/>
    <w:rsid w:val="0037197D"/>
    <w:rsid w:val="003768D5"/>
    <w:rsid w:val="003904F7"/>
    <w:rsid w:val="003910F3"/>
    <w:rsid w:val="003C4197"/>
    <w:rsid w:val="003C47E6"/>
    <w:rsid w:val="003C4FC2"/>
    <w:rsid w:val="003D56A5"/>
    <w:rsid w:val="003E2331"/>
    <w:rsid w:val="004077AF"/>
    <w:rsid w:val="00416E61"/>
    <w:rsid w:val="0042790C"/>
    <w:rsid w:val="004405F5"/>
    <w:rsid w:val="004506F9"/>
    <w:rsid w:val="004717A2"/>
    <w:rsid w:val="00473DF3"/>
    <w:rsid w:val="00487911"/>
    <w:rsid w:val="00491741"/>
    <w:rsid w:val="004A0227"/>
    <w:rsid w:val="004B0CEE"/>
    <w:rsid w:val="004C30DC"/>
    <w:rsid w:val="00500E5F"/>
    <w:rsid w:val="005122EF"/>
    <w:rsid w:val="0051441A"/>
    <w:rsid w:val="00517C33"/>
    <w:rsid w:val="00517D5F"/>
    <w:rsid w:val="00521672"/>
    <w:rsid w:val="00521AF2"/>
    <w:rsid w:val="00523644"/>
    <w:rsid w:val="0054069E"/>
    <w:rsid w:val="00544866"/>
    <w:rsid w:val="00560C69"/>
    <w:rsid w:val="00570944"/>
    <w:rsid w:val="00574D19"/>
    <w:rsid w:val="005767CC"/>
    <w:rsid w:val="00583123"/>
    <w:rsid w:val="00590D9F"/>
    <w:rsid w:val="00595D26"/>
    <w:rsid w:val="005A72D8"/>
    <w:rsid w:val="005A74E6"/>
    <w:rsid w:val="005B404E"/>
    <w:rsid w:val="005D4D55"/>
    <w:rsid w:val="005D54F4"/>
    <w:rsid w:val="005E2CFB"/>
    <w:rsid w:val="005F2103"/>
    <w:rsid w:val="005F3D1C"/>
    <w:rsid w:val="005F404C"/>
    <w:rsid w:val="00611E0D"/>
    <w:rsid w:val="0062378F"/>
    <w:rsid w:val="00641842"/>
    <w:rsid w:val="00651EEC"/>
    <w:rsid w:val="0067139E"/>
    <w:rsid w:val="00686673"/>
    <w:rsid w:val="0069193C"/>
    <w:rsid w:val="00691E8C"/>
    <w:rsid w:val="006A22C4"/>
    <w:rsid w:val="006A348B"/>
    <w:rsid w:val="006A351B"/>
    <w:rsid w:val="006B0422"/>
    <w:rsid w:val="006C1B53"/>
    <w:rsid w:val="006C5E41"/>
    <w:rsid w:val="006D7730"/>
    <w:rsid w:val="006E5284"/>
    <w:rsid w:val="006F21A2"/>
    <w:rsid w:val="006F3EB5"/>
    <w:rsid w:val="00702E34"/>
    <w:rsid w:val="00704395"/>
    <w:rsid w:val="00710FE7"/>
    <w:rsid w:val="00717621"/>
    <w:rsid w:val="00720FF1"/>
    <w:rsid w:val="00727A53"/>
    <w:rsid w:val="007435EF"/>
    <w:rsid w:val="00773E0F"/>
    <w:rsid w:val="00787B42"/>
    <w:rsid w:val="007C4539"/>
    <w:rsid w:val="007C4EDA"/>
    <w:rsid w:val="007F3657"/>
    <w:rsid w:val="00812ED5"/>
    <w:rsid w:val="008277D9"/>
    <w:rsid w:val="008279E4"/>
    <w:rsid w:val="00843F93"/>
    <w:rsid w:val="0084478C"/>
    <w:rsid w:val="00850F11"/>
    <w:rsid w:val="00852661"/>
    <w:rsid w:val="0086638C"/>
    <w:rsid w:val="008943FA"/>
    <w:rsid w:val="008A3E8D"/>
    <w:rsid w:val="008E65F4"/>
    <w:rsid w:val="009237C4"/>
    <w:rsid w:val="00944C48"/>
    <w:rsid w:val="00950252"/>
    <w:rsid w:val="0096719A"/>
    <w:rsid w:val="00967F5D"/>
    <w:rsid w:val="009A0F95"/>
    <w:rsid w:val="009A3693"/>
    <w:rsid w:val="009A3ADD"/>
    <w:rsid w:val="009B3ADF"/>
    <w:rsid w:val="009B468C"/>
    <w:rsid w:val="009C3B52"/>
    <w:rsid w:val="009C62C5"/>
    <w:rsid w:val="009D6590"/>
    <w:rsid w:val="009E6817"/>
    <w:rsid w:val="009E6E9A"/>
    <w:rsid w:val="009F5E83"/>
    <w:rsid w:val="00A01D2B"/>
    <w:rsid w:val="00A01EE9"/>
    <w:rsid w:val="00A42218"/>
    <w:rsid w:val="00A513C1"/>
    <w:rsid w:val="00A62358"/>
    <w:rsid w:val="00A70249"/>
    <w:rsid w:val="00A70B02"/>
    <w:rsid w:val="00A71D9F"/>
    <w:rsid w:val="00A92E9F"/>
    <w:rsid w:val="00A97931"/>
    <w:rsid w:val="00AC0422"/>
    <w:rsid w:val="00AD3CBD"/>
    <w:rsid w:val="00AF4A9E"/>
    <w:rsid w:val="00B33BEA"/>
    <w:rsid w:val="00B36D99"/>
    <w:rsid w:val="00B57C9F"/>
    <w:rsid w:val="00B61CFA"/>
    <w:rsid w:val="00B63572"/>
    <w:rsid w:val="00B6612C"/>
    <w:rsid w:val="00B845B3"/>
    <w:rsid w:val="00B85D8B"/>
    <w:rsid w:val="00BB4A40"/>
    <w:rsid w:val="00BB7C64"/>
    <w:rsid w:val="00BD6C3E"/>
    <w:rsid w:val="00BE3674"/>
    <w:rsid w:val="00C10681"/>
    <w:rsid w:val="00C3049A"/>
    <w:rsid w:val="00C30667"/>
    <w:rsid w:val="00C31B1E"/>
    <w:rsid w:val="00C73B59"/>
    <w:rsid w:val="00C77645"/>
    <w:rsid w:val="00CC26CA"/>
    <w:rsid w:val="00CE04C3"/>
    <w:rsid w:val="00CE76A0"/>
    <w:rsid w:val="00D148C6"/>
    <w:rsid w:val="00D17A8A"/>
    <w:rsid w:val="00D415BA"/>
    <w:rsid w:val="00D43E6C"/>
    <w:rsid w:val="00D63780"/>
    <w:rsid w:val="00D644EE"/>
    <w:rsid w:val="00D75489"/>
    <w:rsid w:val="00D80FB4"/>
    <w:rsid w:val="00D82CD0"/>
    <w:rsid w:val="00D84138"/>
    <w:rsid w:val="00D854A8"/>
    <w:rsid w:val="00DC39BC"/>
    <w:rsid w:val="00DD06FF"/>
    <w:rsid w:val="00DD5FE9"/>
    <w:rsid w:val="00E00C7A"/>
    <w:rsid w:val="00E209CF"/>
    <w:rsid w:val="00E37D6C"/>
    <w:rsid w:val="00E55B68"/>
    <w:rsid w:val="00E67BE6"/>
    <w:rsid w:val="00E8683C"/>
    <w:rsid w:val="00E8788A"/>
    <w:rsid w:val="00EA2B72"/>
    <w:rsid w:val="00EB646E"/>
    <w:rsid w:val="00ED2E5E"/>
    <w:rsid w:val="00F24B32"/>
    <w:rsid w:val="00F6319A"/>
    <w:rsid w:val="00F74360"/>
    <w:rsid w:val="00F82C31"/>
    <w:rsid w:val="00F95165"/>
    <w:rsid w:val="00FB462F"/>
    <w:rsid w:val="00FC765C"/>
    <w:rsid w:val="00FE16FA"/>
    <w:rsid w:val="00FE328A"/>
    <w:rsid w:val="00FE6269"/>
    <w:rsid w:val="00FF5CD6"/>
    <w:rsid w:val="035678CB"/>
    <w:rsid w:val="04524BF7"/>
    <w:rsid w:val="0520214C"/>
    <w:rsid w:val="05AB2D7A"/>
    <w:rsid w:val="05E021D5"/>
    <w:rsid w:val="0A426D43"/>
    <w:rsid w:val="0C50423D"/>
    <w:rsid w:val="0D7111BC"/>
    <w:rsid w:val="0F1F6A0C"/>
    <w:rsid w:val="14B2044D"/>
    <w:rsid w:val="14C842E9"/>
    <w:rsid w:val="15A01E97"/>
    <w:rsid w:val="162F477D"/>
    <w:rsid w:val="167C7F54"/>
    <w:rsid w:val="16ED2288"/>
    <w:rsid w:val="181A629A"/>
    <w:rsid w:val="181D20F8"/>
    <w:rsid w:val="1A331F5A"/>
    <w:rsid w:val="1A3C75B6"/>
    <w:rsid w:val="1A4B59CE"/>
    <w:rsid w:val="1BD23590"/>
    <w:rsid w:val="1C7C24C7"/>
    <w:rsid w:val="1D2D5631"/>
    <w:rsid w:val="1DAC2F1A"/>
    <w:rsid w:val="1DEF77E3"/>
    <w:rsid w:val="21CF6CF5"/>
    <w:rsid w:val="224A14FF"/>
    <w:rsid w:val="22D141D3"/>
    <w:rsid w:val="22DE4A80"/>
    <w:rsid w:val="2436731B"/>
    <w:rsid w:val="24F5224D"/>
    <w:rsid w:val="250747B6"/>
    <w:rsid w:val="25864737"/>
    <w:rsid w:val="26C5495F"/>
    <w:rsid w:val="26FF6A2D"/>
    <w:rsid w:val="27B846FB"/>
    <w:rsid w:val="27E63620"/>
    <w:rsid w:val="281B7F9E"/>
    <w:rsid w:val="28BE5CD7"/>
    <w:rsid w:val="29454F9F"/>
    <w:rsid w:val="2EE4774E"/>
    <w:rsid w:val="313C1E8F"/>
    <w:rsid w:val="319776A0"/>
    <w:rsid w:val="34262D1E"/>
    <w:rsid w:val="350C5A51"/>
    <w:rsid w:val="3513157E"/>
    <w:rsid w:val="3601278A"/>
    <w:rsid w:val="36535624"/>
    <w:rsid w:val="36EB2C9D"/>
    <w:rsid w:val="37C25749"/>
    <w:rsid w:val="38167642"/>
    <w:rsid w:val="382E0A5C"/>
    <w:rsid w:val="3A1A1297"/>
    <w:rsid w:val="3AE15EB8"/>
    <w:rsid w:val="3B40257B"/>
    <w:rsid w:val="3C0637C5"/>
    <w:rsid w:val="3C956066"/>
    <w:rsid w:val="3E824F32"/>
    <w:rsid w:val="3EB07073"/>
    <w:rsid w:val="3ECC729E"/>
    <w:rsid w:val="3EEA4CD8"/>
    <w:rsid w:val="3F456695"/>
    <w:rsid w:val="3FD62EBA"/>
    <w:rsid w:val="40E610CD"/>
    <w:rsid w:val="432F2D08"/>
    <w:rsid w:val="436E048A"/>
    <w:rsid w:val="43F71D59"/>
    <w:rsid w:val="46AF0279"/>
    <w:rsid w:val="46EC0AA4"/>
    <w:rsid w:val="472732CD"/>
    <w:rsid w:val="47A44039"/>
    <w:rsid w:val="485C482D"/>
    <w:rsid w:val="4B3612A5"/>
    <w:rsid w:val="4BAE394D"/>
    <w:rsid w:val="4BDF3FDF"/>
    <w:rsid w:val="4DBD7C20"/>
    <w:rsid w:val="4E024886"/>
    <w:rsid w:val="4E8D6FCE"/>
    <w:rsid w:val="4EB10AF8"/>
    <w:rsid w:val="4FE35D07"/>
    <w:rsid w:val="511F6336"/>
    <w:rsid w:val="520E2D4A"/>
    <w:rsid w:val="521F2220"/>
    <w:rsid w:val="52C56DB1"/>
    <w:rsid w:val="53E161BB"/>
    <w:rsid w:val="55AE655F"/>
    <w:rsid w:val="55E53FF3"/>
    <w:rsid w:val="566A3CE9"/>
    <w:rsid w:val="56E878F7"/>
    <w:rsid w:val="57405985"/>
    <w:rsid w:val="575064EA"/>
    <w:rsid w:val="57557EB6"/>
    <w:rsid w:val="57AE108B"/>
    <w:rsid w:val="595E6596"/>
    <w:rsid w:val="596926C2"/>
    <w:rsid w:val="5C2634BB"/>
    <w:rsid w:val="5C6B239E"/>
    <w:rsid w:val="5FED0D07"/>
    <w:rsid w:val="5FFF7A84"/>
    <w:rsid w:val="617B314A"/>
    <w:rsid w:val="618B574F"/>
    <w:rsid w:val="62125318"/>
    <w:rsid w:val="632C0081"/>
    <w:rsid w:val="637C13A7"/>
    <w:rsid w:val="63BA77AE"/>
    <w:rsid w:val="646D33DD"/>
    <w:rsid w:val="66805F84"/>
    <w:rsid w:val="67EA3063"/>
    <w:rsid w:val="67EF5FB1"/>
    <w:rsid w:val="6B1F63E4"/>
    <w:rsid w:val="6B726221"/>
    <w:rsid w:val="6C116020"/>
    <w:rsid w:val="6F3A4760"/>
    <w:rsid w:val="71EF4A75"/>
    <w:rsid w:val="723B53D9"/>
    <w:rsid w:val="72896976"/>
    <w:rsid w:val="72B94E61"/>
    <w:rsid w:val="73012015"/>
    <w:rsid w:val="73423314"/>
    <w:rsid w:val="73775FE8"/>
    <w:rsid w:val="738A06AD"/>
    <w:rsid w:val="75950C25"/>
    <w:rsid w:val="776502A1"/>
    <w:rsid w:val="78782D79"/>
    <w:rsid w:val="789B3E8B"/>
    <w:rsid w:val="78DD1BB9"/>
    <w:rsid w:val="7945168D"/>
    <w:rsid w:val="7AF538AC"/>
    <w:rsid w:val="7B997E4C"/>
    <w:rsid w:val="7C61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64CA-BFAA-44E5-B620-1300E5FA5F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10604</Words>
  <Characters>12851</Characters>
  <Lines>114</Lines>
  <Paragraphs>32</Paragraphs>
  <TotalTime>14</TotalTime>
  <ScaleCrop>false</ScaleCrop>
  <LinksUpToDate>false</LinksUpToDate>
  <CharactersWithSpaces>14023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2023-09-26T07:45:36Z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AE67E29AA3814DCA9AFBD93BF040AC35_13</vt:lpwstr>
  </property>
</Properties>
</file>