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4"/>
        <w:jc w:val="center"/>
        <w:rPr>
          <w:rFonts w:hint="eastAsia" w:ascii="宋体" w:hAnsi="宋体" w:eastAsia="宋体" w:cs="宋体"/>
          <w:sz w:val="56"/>
          <w:szCs w:val="56"/>
          <w:highlight w:val="none"/>
        </w:rPr>
      </w:pPr>
      <w:bookmarkStart w:id="3" w:name="_GoBack"/>
    </w:p>
    <w:p>
      <w:pPr>
        <w:pStyle w:val="14"/>
        <w:jc w:val="center"/>
        <w:rPr>
          <w:rFonts w:hint="eastAsia" w:ascii="宋体" w:hAnsi="宋体" w:eastAsia="宋体" w:cs="宋体"/>
          <w:sz w:val="56"/>
          <w:szCs w:val="56"/>
          <w:highlight w:val="none"/>
        </w:rPr>
      </w:pPr>
    </w:p>
    <w:p>
      <w:pPr>
        <w:pStyle w:val="14"/>
        <w:jc w:val="center"/>
        <w:rPr>
          <w:rFonts w:hint="eastAsia" w:ascii="宋体" w:hAnsi="宋体" w:eastAsia="宋体" w:cs="宋体"/>
          <w:sz w:val="84"/>
          <w:szCs w:val="84"/>
          <w:highlight w:val="none"/>
        </w:rPr>
      </w:pPr>
    </w:p>
    <w:p>
      <w:pPr>
        <w:pStyle w:val="14"/>
        <w:jc w:val="center"/>
        <w:rPr>
          <w:rFonts w:hint="eastAsia" w:ascii="宋体" w:hAnsi="宋体" w:eastAsia="宋体" w:cs="宋体"/>
          <w:sz w:val="84"/>
          <w:szCs w:val="84"/>
          <w:highlight w:val="none"/>
        </w:rPr>
      </w:pPr>
    </w:p>
    <w:p>
      <w:pPr>
        <w:pStyle w:val="14"/>
        <w:jc w:val="center"/>
        <w:rPr>
          <w:rFonts w:hint="eastAsia" w:asciiTheme="majorEastAsia" w:hAnsiTheme="majorEastAsia" w:eastAsiaTheme="majorEastAsia" w:cstheme="majorEastAsia"/>
          <w:sz w:val="84"/>
          <w:szCs w:val="84"/>
          <w:highlight w:val="none"/>
        </w:rPr>
      </w:pPr>
      <w:r>
        <w:rPr>
          <w:rFonts w:hint="eastAsia" w:asciiTheme="majorEastAsia" w:hAnsiTheme="majorEastAsia" w:eastAsiaTheme="majorEastAsia" w:cstheme="majorEastAsia"/>
          <w:sz w:val="84"/>
          <w:szCs w:val="84"/>
          <w:highlight w:val="none"/>
        </w:rPr>
        <w:t>2021年度</w:t>
      </w:r>
    </w:p>
    <w:p>
      <w:pPr>
        <w:pStyle w:val="14"/>
        <w:jc w:val="center"/>
        <w:rPr>
          <w:rFonts w:hint="eastAsia" w:ascii="宋体" w:hAnsi="宋体" w:eastAsia="宋体" w:cs="宋体"/>
          <w:sz w:val="84"/>
          <w:szCs w:val="84"/>
          <w:highlight w:val="none"/>
        </w:rPr>
      </w:pPr>
      <w:r>
        <w:rPr>
          <w:rFonts w:hint="eastAsia" w:asciiTheme="majorEastAsia" w:hAnsiTheme="majorEastAsia" w:eastAsiaTheme="majorEastAsia" w:cstheme="majorEastAsia"/>
          <w:sz w:val="84"/>
          <w:szCs w:val="84"/>
          <w:highlight w:val="none"/>
        </w:rPr>
        <w:t>祁阳市信访局部门决算</w:t>
      </w:r>
    </w:p>
    <w:p>
      <w:pPr>
        <w:pStyle w:val="14"/>
        <w:jc w:val="center"/>
        <w:rPr>
          <w:rFonts w:hint="eastAsia" w:ascii="宋体" w:hAnsi="宋体" w:eastAsia="宋体" w:cs="宋体"/>
          <w:sz w:val="56"/>
          <w:szCs w:val="56"/>
          <w:highlight w:val="none"/>
        </w:rPr>
      </w:pPr>
    </w:p>
    <w:p>
      <w:pPr>
        <w:pStyle w:val="14"/>
        <w:jc w:val="center"/>
        <w:rPr>
          <w:rFonts w:hint="eastAsia" w:ascii="宋体" w:hAnsi="宋体" w:eastAsia="宋体" w:cs="宋体"/>
          <w:sz w:val="56"/>
          <w:szCs w:val="56"/>
          <w:highlight w:val="none"/>
        </w:rPr>
      </w:pPr>
    </w:p>
    <w:p>
      <w:pPr>
        <w:pStyle w:val="14"/>
        <w:jc w:val="center"/>
        <w:rPr>
          <w:rFonts w:hint="eastAsia" w:ascii="宋体" w:hAnsi="宋体" w:eastAsia="宋体" w:cs="宋体"/>
          <w:sz w:val="56"/>
          <w:szCs w:val="56"/>
          <w:highlight w:val="none"/>
        </w:rPr>
      </w:pPr>
    </w:p>
    <w:p>
      <w:pPr>
        <w:pStyle w:val="14"/>
        <w:jc w:val="center"/>
        <w:rPr>
          <w:rFonts w:hint="eastAsia" w:ascii="宋体" w:hAnsi="宋体" w:eastAsia="宋体" w:cs="宋体"/>
          <w:sz w:val="56"/>
          <w:szCs w:val="56"/>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jc w:val="center"/>
        <w:rPr>
          <w:rFonts w:hint="eastAsia" w:ascii="宋体" w:hAnsi="宋体" w:eastAsia="宋体" w:cs="宋体"/>
          <w:sz w:val="32"/>
          <w:szCs w:val="32"/>
          <w:highlight w:val="none"/>
        </w:rPr>
      </w:pPr>
    </w:p>
    <w:p>
      <w:pPr>
        <w:pStyle w:val="14"/>
        <w:spacing w:line="500" w:lineRule="exact"/>
        <w:jc w:val="center"/>
        <w:rPr>
          <w:rFonts w:hint="eastAsia" w:ascii="宋体" w:hAnsi="宋体" w:eastAsia="宋体" w:cs="宋体"/>
          <w:b/>
          <w:sz w:val="36"/>
          <w:szCs w:val="28"/>
          <w:highlight w:val="none"/>
        </w:rPr>
      </w:pPr>
      <w:r>
        <w:rPr>
          <w:rFonts w:hint="eastAsia" w:ascii="宋体" w:hAnsi="宋体" w:eastAsia="宋体" w:cs="宋体"/>
          <w:b/>
          <w:sz w:val="36"/>
          <w:szCs w:val="28"/>
          <w:highlight w:val="none"/>
        </w:rPr>
        <w:t>目录</w:t>
      </w:r>
    </w:p>
    <w:p>
      <w:pPr>
        <w:pStyle w:val="14"/>
        <w:spacing w:line="5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第一部分祁阳市信访局单位概况</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一、部门职责</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二、机构设置及决算单位构成</w:t>
      </w:r>
    </w:p>
    <w:p>
      <w:pPr>
        <w:pStyle w:val="14"/>
        <w:spacing w:line="5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第二部分2021年度部门决算表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一、收入支出决算总表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二、收入决算表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三、支出决算表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四、财政拨款收入支出决算总表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五、一般公共预算财政拨款支出决算表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六、一般公共预算财政拨款基本支出决算明细表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七、一般公共预算财政拨款“三公”经费支出决算表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八、政府性基金预算财政拨款收入支出决算表</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九、国有资本经营预算财政拨款支出决算表</w:t>
      </w:r>
    </w:p>
    <w:p>
      <w:pPr>
        <w:pStyle w:val="14"/>
        <w:spacing w:line="5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第三部分2021年度部门决算情况说明</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一、收入支出决算总体情况说明</w:t>
      </w:r>
    </w:p>
    <w:p>
      <w:pPr>
        <w:spacing w:line="500" w:lineRule="exact"/>
        <w:ind w:firstLine="700" w:firstLineChars="25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二、收入决算情况说明</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三、支出决算情况说明</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四、财政拨款收入支出决算总体情况说明</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五、一般公共预算财政拨款支出决算情况说明</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六、一般公共预算财政拨款基本支出决算情况说明</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七、一般公共预算财政拨款“三公”经费支出决算情况说明</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八、政府性基金预算收入支出决算情况</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九、机关运行经费支出说明</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十、一般性支出情况说明</w:t>
      </w:r>
    </w:p>
    <w:p>
      <w:pPr>
        <w:autoSpaceDE w:val="0"/>
        <w:autoSpaceDN w:val="0"/>
        <w:adjustRightInd w:val="0"/>
        <w:spacing w:line="500" w:lineRule="exact"/>
        <w:ind w:firstLine="700" w:firstLineChars="250"/>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十一、政府采购支出说明</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十二、国有资产占用情况说明</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十三、2021年度预算绩效情况说明</w:t>
      </w:r>
    </w:p>
    <w:p>
      <w:pPr>
        <w:pStyle w:val="14"/>
        <w:spacing w:line="500" w:lineRule="exact"/>
        <w:ind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rPr>
        <w:t>十四、国有资本经营预算财政拨款支出决算情况</w:t>
      </w:r>
    </w:p>
    <w:p>
      <w:pPr>
        <w:autoSpaceDE w:val="0"/>
        <w:autoSpaceDN w:val="0"/>
        <w:adjustRightInd w:val="0"/>
        <w:spacing w:line="500" w:lineRule="exact"/>
        <w:jc w:val="left"/>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第四部分名词解释</w:t>
      </w:r>
    </w:p>
    <w:p>
      <w:pPr>
        <w:autoSpaceDE w:val="0"/>
        <w:autoSpaceDN w:val="0"/>
        <w:adjustRightInd w:val="0"/>
        <w:spacing w:line="500" w:lineRule="exact"/>
        <w:jc w:val="left"/>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第五部分附件</w:t>
      </w: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pStyle w:val="2"/>
        <w:rPr>
          <w:rFonts w:hint="eastAsia" w:ascii="宋体" w:hAnsi="宋体" w:eastAsia="宋体" w:cs="宋体"/>
          <w:sz w:val="72"/>
          <w:szCs w:val="72"/>
          <w:highlight w:val="none"/>
        </w:rPr>
      </w:pPr>
    </w:p>
    <w:p>
      <w:pPr>
        <w:pStyle w:val="3"/>
        <w:rPr>
          <w:rFonts w:hint="eastAsia" w:ascii="宋体" w:hAnsi="宋体" w:eastAsia="宋体" w:cs="宋体"/>
          <w:sz w:val="72"/>
          <w:szCs w:val="72"/>
          <w:highlight w:val="none"/>
        </w:rPr>
      </w:pPr>
    </w:p>
    <w:p>
      <w:pPr>
        <w:rPr>
          <w:rFonts w:hint="eastAsia" w:ascii="宋体" w:hAnsi="宋体" w:eastAsia="宋体" w:cs="宋体"/>
          <w:sz w:val="72"/>
          <w:szCs w:val="72"/>
          <w:highlight w:val="none"/>
        </w:rPr>
      </w:pPr>
    </w:p>
    <w:p>
      <w:pPr>
        <w:pStyle w:val="2"/>
        <w:rPr>
          <w:rFonts w:hint="eastAsia"/>
          <w:highlight w:val="none"/>
        </w:rPr>
      </w:pPr>
    </w:p>
    <w:p>
      <w:pPr>
        <w:jc w:val="center"/>
        <w:rPr>
          <w:rFonts w:hint="eastAsia" w:ascii="宋体" w:hAnsi="宋体" w:eastAsia="宋体" w:cs="宋体"/>
          <w:sz w:val="72"/>
          <w:szCs w:val="72"/>
          <w:highlight w:val="none"/>
        </w:rPr>
      </w:pPr>
    </w:p>
    <w:p>
      <w:pPr>
        <w:rPr>
          <w:rFonts w:hint="eastAsia" w:ascii="宋体" w:hAnsi="宋体" w:eastAsia="宋体" w:cs="宋体"/>
          <w:sz w:val="72"/>
          <w:szCs w:val="72"/>
          <w:highlight w:val="none"/>
        </w:rPr>
      </w:pPr>
    </w:p>
    <w:p>
      <w:pPr>
        <w:pStyle w:val="2"/>
        <w:rPr>
          <w:rFonts w:hint="eastAsia" w:ascii="宋体" w:hAnsi="宋体" w:eastAsia="宋体" w:cs="宋体"/>
          <w:sz w:val="72"/>
          <w:szCs w:val="72"/>
          <w:highlight w:val="none"/>
        </w:rPr>
      </w:pPr>
    </w:p>
    <w:p>
      <w:pPr>
        <w:pStyle w:val="3"/>
        <w:rPr>
          <w:rFonts w:hint="eastAsia" w:ascii="宋体" w:hAnsi="宋体" w:eastAsia="宋体" w:cs="宋体"/>
          <w:sz w:val="72"/>
          <w:szCs w:val="72"/>
          <w:highlight w:val="none"/>
        </w:rPr>
      </w:pPr>
    </w:p>
    <w:p>
      <w:pPr>
        <w:rPr>
          <w:rFonts w:hint="eastAsia" w:ascii="宋体" w:hAnsi="宋体" w:eastAsia="宋体" w:cs="宋体"/>
          <w:sz w:val="72"/>
          <w:szCs w:val="72"/>
          <w:highlight w:val="none"/>
        </w:rPr>
      </w:pPr>
    </w:p>
    <w:p>
      <w:pPr>
        <w:pStyle w:val="2"/>
        <w:rPr>
          <w:rFonts w:hint="eastAsia"/>
          <w:highlight w:val="none"/>
        </w:rPr>
      </w:pPr>
    </w:p>
    <w:p>
      <w:pPr>
        <w:pStyle w:val="14"/>
        <w:jc w:val="center"/>
        <w:rPr>
          <w:rFonts w:hint="eastAsia" w:asciiTheme="minorEastAsia" w:hAnsiTheme="minorEastAsia" w:eastAsiaTheme="minorEastAsia" w:cstheme="minorEastAsia"/>
          <w:b w:val="0"/>
          <w:bCs w:val="0"/>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r>
        <w:rPr>
          <w:rFonts w:hint="eastAsia" w:asciiTheme="minorEastAsia" w:hAnsiTheme="minorEastAsia" w:eastAsiaTheme="minorEastAsia" w:cstheme="minorEastAsia"/>
          <w:b w:val="0"/>
          <w:bCs w:val="0"/>
          <w:sz w:val="72"/>
          <w:szCs w:val="72"/>
          <w:highlight w:val="none"/>
        </w:rPr>
        <w:t>第一部分</w:t>
      </w:r>
    </w:p>
    <w:p>
      <w:pPr>
        <w:pStyle w:val="14"/>
        <w:jc w:val="center"/>
        <w:rPr>
          <w:rFonts w:hint="eastAsia" w:asciiTheme="minorEastAsia" w:hAnsiTheme="minorEastAsia" w:eastAsiaTheme="minorEastAsia" w:cstheme="minorEastAsia"/>
          <w:b w:val="0"/>
          <w:bCs w:val="0"/>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r>
        <w:rPr>
          <w:rFonts w:hint="eastAsia" w:asciiTheme="minorEastAsia" w:hAnsiTheme="minorEastAsia" w:eastAsiaTheme="minorEastAsia" w:cstheme="minorEastAsia"/>
          <w:b w:val="0"/>
          <w:bCs w:val="0"/>
          <w:sz w:val="72"/>
          <w:szCs w:val="72"/>
          <w:highlight w:val="none"/>
        </w:rPr>
        <w:t>祁阳市信访局单位概况</w:t>
      </w:r>
    </w:p>
    <w:p>
      <w:pPr>
        <w:jc w:val="center"/>
        <w:rPr>
          <w:rFonts w:hint="eastAsia" w:ascii="宋体" w:hAnsi="宋体" w:eastAsia="宋体" w:cs="宋体"/>
          <w:b/>
          <w:bCs/>
          <w:sz w:val="72"/>
          <w:szCs w:val="72"/>
          <w:highlight w:val="none"/>
        </w:rPr>
      </w:pPr>
    </w:p>
    <w:p>
      <w:pPr>
        <w:jc w:val="center"/>
        <w:rPr>
          <w:rFonts w:hint="eastAsia" w:ascii="宋体" w:hAnsi="宋体" w:eastAsia="宋体" w:cs="宋体"/>
          <w:b/>
          <w:bCs/>
          <w:sz w:val="72"/>
          <w:szCs w:val="72"/>
          <w:highlight w:val="none"/>
        </w:rPr>
      </w:pP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pStyle w:val="15"/>
        <w:ind w:left="0" w:leftChars="0" w:firstLine="0" w:firstLineChars="0"/>
        <w:jc w:val="left"/>
        <w:rPr>
          <w:rFonts w:hint="eastAsia" w:ascii="宋体" w:hAnsi="宋体" w:eastAsia="宋体" w:cs="宋体"/>
          <w:sz w:val="32"/>
          <w:szCs w:val="32"/>
          <w:highlight w:val="none"/>
        </w:rPr>
      </w:pPr>
    </w:p>
    <w:p>
      <w:pPr>
        <w:pStyle w:val="15"/>
        <w:ind w:firstLine="64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一、部门职责</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负责处理中央、国家机关、省委、省人大、省政府、省政协、市委、市人大、市政府、市政协统转信件，负责处理人民群众和境外人士给县委、县人民政府及其领导同志的来信，接待人民群众到县委、县人民政府来访，做好县委、县人民政府领导同志接待上访群众的组织服务工作。</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承办中央和国家机关、省委和省人民政府、市委和市人民政府、县委和县人民政府以及县委办公室、县人民政府办公室交办的信访事项，督促检查领导同志批示件的落实情况，向各镇、县直部门交办信访事项，督促检查交办事项的处理落实情况。</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（三）综合反映人民群众在来信来访中提出的重要意见、建议和问题，开展调查研究，提供信访信息，为县委、县人民政府决策和指导工作服务。</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（四）协同有关部门处理跨镇、跨部门的重大信访问题；协调处理群众赴京到省、市和来县上访和异常、突发性信访事项。</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（五）指导全县信访业务，研究起草有关信访工作的规范性文件，开展对信访工作的宣传和理论研讨，总结推广信访工作经验，提出改进和加强信访工作的意见</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（六）掌握全县信访工作动态，提出加强信访工作队伍建设的措施，对信访工作的失职、渎职行为提出处理建议；组织信访干部的培训；指导信访部门的办公自动化建设。</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编制全县调处山林、水利、土地权属纠纷的中、近期计划，制订巩固调处纠纷成果、发展边界睦邻友好关系的具体措施，协助有关部门做好预防和制止群众性械斗工作，维护全县农村社会稳定。</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拟订全县有关调处纠纷工作的规范性文件，对全县各镇内山林、水利、土地权属纠纷的调处进行督促指导和协调。</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（九）承办县委、县人民政府及县委办公室、县人民政府办公室交办的其他事项。</w:t>
      </w:r>
    </w:p>
    <w:p>
      <w:pPr>
        <w:pStyle w:val="15"/>
        <w:ind w:firstLine="64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二、机构设置及决算单位构成</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内设机构设置。祁阳市信访局内设机构包括：办公室、办信室（加挂网络信访室牌子）、政策法规股（对外称祁阳市人民政府信访事项复查复核委员会办公室）、调处纠纷股四个职能股室。另下设市信访接待中心，为市信访局所属副科级公益类事业单位。</w:t>
      </w:r>
    </w:p>
    <w:p>
      <w:pPr>
        <w:pStyle w:val="15"/>
        <w:ind w:firstLine="64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（二）决算单位构成。祁阳市信访局2021年部门决算公开单位构成包括：祁阳市信访局本级。</w:t>
      </w:r>
    </w:p>
    <w:p>
      <w:pPr>
        <w:jc w:val="left"/>
        <w:rPr>
          <w:rFonts w:hint="eastAsia" w:ascii="宋体" w:hAnsi="宋体" w:eastAsia="宋体" w:cs="宋体"/>
          <w:sz w:val="28"/>
          <w:szCs w:val="32"/>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p>
    <w:p>
      <w:pPr>
        <w:jc w:val="center"/>
        <w:rPr>
          <w:rFonts w:hint="eastAsia" w:ascii="宋体" w:hAnsi="宋体" w:eastAsia="宋体" w:cs="宋体"/>
          <w:b w:val="0"/>
          <w:bCs w:val="0"/>
          <w:sz w:val="72"/>
          <w:szCs w:val="72"/>
          <w:highlight w:val="none"/>
        </w:rPr>
      </w:pPr>
    </w:p>
    <w:p>
      <w:pPr>
        <w:jc w:val="center"/>
        <w:rPr>
          <w:rFonts w:hint="eastAsia" w:ascii="宋体" w:hAnsi="宋体" w:eastAsia="宋体" w:cs="宋体"/>
          <w:b w:val="0"/>
          <w:bCs w:val="0"/>
          <w:sz w:val="72"/>
          <w:szCs w:val="72"/>
          <w:highlight w:val="none"/>
        </w:rPr>
      </w:pPr>
    </w:p>
    <w:p>
      <w:pPr>
        <w:jc w:val="center"/>
        <w:rPr>
          <w:rFonts w:hint="eastAsia" w:ascii="宋体" w:hAnsi="宋体" w:eastAsia="宋体" w:cs="宋体"/>
          <w:b w:val="0"/>
          <w:bCs w:val="0"/>
          <w:sz w:val="72"/>
          <w:szCs w:val="72"/>
          <w:highlight w:val="none"/>
        </w:rPr>
      </w:pPr>
    </w:p>
    <w:p>
      <w:pPr>
        <w:jc w:val="center"/>
        <w:rPr>
          <w:rFonts w:hint="eastAsia" w:ascii="宋体" w:hAnsi="宋体" w:eastAsia="宋体" w:cs="宋体"/>
          <w:b w:val="0"/>
          <w:bCs w:val="0"/>
          <w:sz w:val="72"/>
          <w:szCs w:val="72"/>
          <w:highlight w:val="none"/>
        </w:rPr>
      </w:pPr>
    </w:p>
    <w:p>
      <w:pPr>
        <w:jc w:val="center"/>
        <w:rPr>
          <w:rFonts w:hint="eastAsia" w:ascii="宋体" w:hAnsi="宋体" w:eastAsia="宋体" w:cs="宋体"/>
          <w:b w:val="0"/>
          <w:bCs w:val="0"/>
          <w:sz w:val="72"/>
          <w:szCs w:val="72"/>
          <w:highlight w:val="none"/>
        </w:rPr>
      </w:pPr>
    </w:p>
    <w:p>
      <w:pPr>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rPr>
        <w:t>第二部分</w:t>
      </w:r>
    </w:p>
    <w:p>
      <w:pPr>
        <w:jc w:val="center"/>
        <w:rPr>
          <w:rFonts w:hint="eastAsia" w:ascii="宋体" w:hAnsi="宋体" w:eastAsia="宋体" w:cs="宋体"/>
          <w:b w:val="0"/>
          <w:bCs w:val="0"/>
          <w:sz w:val="72"/>
          <w:szCs w:val="72"/>
          <w:highlight w:val="none"/>
        </w:rPr>
      </w:pPr>
    </w:p>
    <w:p>
      <w:pPr>
        <w:jc w:val="center"/>
        <w:rPr>
          <w:rFonts w:hint="eastAsia" w:ascii="宋体" w:hAnsi="宋体" w:eastAsia="宋体" w:cs="宋体"/>
          <w:b/>
          <w:bCs/>
          <w:sz w:val="72"/>
          <w:szCs w:val="72"/>
          <w:highlight w:val="none"/>
        </w:rPr>
      </w:pPr>
      <w:r>
        <w:rPr>
          <w:rFonts w:hint="eastAsia" w:ascii="宋体" w:hAnsi="宋体" w:eastAsia="宋体" w:cs="宋体"/>
          <w:b w:val="0"/>
          <w:bCs w:val="0"/>
          <w:sz w:val="72"/>
          <w:szCs w:val="72"/>
          <w:highlight w:val="none"/>
        </w:rPr>
        <w:t>2021年度部门决算表</w:t>
      </w: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jc w:val="center"/>
        <w:rPr>
          <w:rFonts w:hint="eastAsia" w:ascii="宋体" w:hAnsi="宋体" w:eastAsia="宋体" w:cs="宋体"/>
          <w:sz w:val="72"/>
          <w:szCs w:val="72"/>
          <w:highlight w:val="none"/>
        </w:rPr>
      </w:pPr>
    </w:p>
    <w:p>
      <w:pPr>
        <w:jc w:val="left"/>
        <w:rPr>
          <w:rFonts w:hint="eastAsia" w:ascii="宋体" w:hAnsi="宋体" w:eastAsia="宋体" w:cs="宋体"/>
          <w:sz w:val="32"/>
          <w:szCs w:val="32"/>
          <w:highlight w:val="none"/>
        </w:rPr>
        <w:sectPr>
          <w:pgSz w:w="11906" w:h="16838"/>
          <w:pgMar w:top="1417" w:right="1587" w:bottom="1417" w:left="1587" w:header="851" w:footer="992" w:gutter="0"/>
          <w:cols w:space="425" w:num="1"/>
          <w:docGrid w:type="lines" w:linePitch="312" w:charSpace="0"/>
        </w:sectPr>
      </w:pPr>
    </w:p>
    <w:tbl>
      <w:tblPr>
        <w:tblStyle w:val="9"/>
        <w:tblW w:w="4911" w:type="pct"/>
        <w:tblInd w:w="118" w:type="dxa"/>
        <w:tblLayout w:type="autofit"/>
        <w:tblCellMar>
          <w:top w:w="0" w:type="dxa"/>
          <w:left w:w="108" w:type="dxa"/>
          <w:bottom w:w="0" w:type="dxa"/>
          <w:right w:w="108" w:type="dxa"/>
        </w:tblCellMar>
      </w:tblPr>
      <w:tblGrid>
        <w:gridCol w:w="4515"/>
        <w:gridCol w:w="736"/>
        <w:gridCol w:w="2537"/>
        <w:gridCol w:w="4174"/>
        <w:gridCol w:w="886"/>
        <w:gridCol w:w="2488"/>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jc w:val="center"/>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收入支出决算总表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40"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8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公开01表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部门：祁阳市信访局</w:t>
            </w:r>
          </w:p>
        </w:tc>
        <w:tc>
          <w:tcPr>
            <w:tcW w:w="240"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8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单位：万元</w:t>
            </w:r>
          </w:p>
        </w:tc>
      </w:tr>
      <w:tr>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支出</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行次</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决算数</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    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    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736.54</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687.73</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33</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34</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35</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36</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37</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38</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827"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39</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26.08</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8.92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41</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43</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44</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46</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16</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47</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48</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49</w:t>
            </w:r>
          </w:p>
        </w:tc>
        <w:tc>
          <w:tcPr>
            <w:tcW w:w="8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13.81</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51</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21</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53</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23</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54</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24</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二十四、债务还本支出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55</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25</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二十五、债务付息支出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56</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26</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二十六、抗疫特别国债安排的支出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57</w:t>
            </w:r>
          </w:p>
        </w:tc>
        <w:tc>
          <w:tcPr>
            <w:tcW w:w="8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本年收入合计</w:t>
            </w: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27</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736.54</w:t>
            </w: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本年支出合计</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58</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736.54</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Cs w:val="21"/>
                <w:highlight w:val="none"/>
              </w:rPr>
            </w:pPr>
            <w:r>
              <w:rPr>
                <w:rFonts w:hint="eastAsia" w:ascii="宋体" w:hAnsi="宋体" w:eastAsia="宋体" w:cs="宋体"/>
                <w:kern w:val="0"/>
                <w:szCs w:val="21"/>
                <w:highlight w:val="none"/>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28</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结余分配</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59</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Cs w:val="21"/>
                <w:highlight w:val="none"/>
              </w:rPr>
            </w:pPr>
            <w:r>
              <w:rPr>
                <w:rFonts w:hint="eastAsia" w:ascii="宋体" w:hAnsi="宋体" w:eastAsia="宋体" w:cs="宋体"/>
                <w:kern w:val="0"/>
                <w:szCs w:val="21"/>
                <w:highlight w:val="none"/>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kern w:val="0"/>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60</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kern w:val="0"/>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Cs w:val="21"/>
                <w:highlight w:val="none"/>
              </w:rPr>
            </w:pP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61</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736.54</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736.54</w:t>
            </w:r>
          </w:p>
        </w:tc>
      </w:tr>
      <w:tr>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注：1.本表反映部门本年度的总收支和年末结转结余情况。</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 xml:space="preserve"> 2.本套报表金额单位转换时可能存在尾数误差。</w:t>
            </w:r>
          </w:p>
        </w:tc>
      </w:tr>
    </w:tbl>
    <w:p>
      <w:pP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br w:type="page"/>
      </w:r>
    </w:p>
    <w:tbl>
      <w:tblPr>
        <w:tblStyle w:val="9"/>
        <w:tblW w:w="19044" w:type="dxa"/>
        <w:tblInd w:w="0" w:type="dxa"/>
        <w:tblLayout w:type="fixed"/>
        <w:tblCellMar>
          <w:top w:w="0" w:type="dxa"/>
          <w:left w:w="0" w:type="dxa"/>
          <w:bottom w:w="0" w:type="dxa"/>
          <w:right w:w="0" w:type="dxa"/>
        </w:tblCellMar>
      </w:tblPr>
      <w:tblGrid>
        <w:gridCol w:w="33"/>
        <w:gridCol w:w="1112"/>
        <w:gridCol w:w="2250"/>
        <w:gridCol w:w="624"/>
        <w:gridCol w:w="1152"/>
        <w:gridCol w:w="576"/>
        <w:gridCol w:w="1451"/>
        <w:gridCol w:w="242"/>
        <w:gridCol w:w="1209"/>
        <w:gridCol w:w="121"/>
        <w:gridCol w:w="332"/>
        <w:gridCol w:w="316"/>
        <w:gridCol w:w="556"/>
        <w:gridCol w:w="618"/>
        <w:gridCol w:w="67"/>
        <w:gridCol w:w="656"/>
        <w:gridCol w:w="789"/>
        <w:gridCol w:w="134"/>
        <w:gridCol w:w="418"/>
        <w:gridCol w:w="1161"/>
        <w:gridCol w:w="11"/>
        <w:gridCol w:w="184"/>
        <w:gridCol w:w="1405"/>
        <w:gridCol w:w="12"/>
        <w:gridCol w:w="89"/>
        <w:gridCol w:w="3526"/>
      </w:tblGrid>
      <w:tr>
        <w:tblPrEx>
          <w:tblCellMar>
            <w:top w:w="0" w:type="dxa"/>
            <w:left w:w="0" w:type="dxa"/>
            <w:bottom w:w="0" w:type="dxa"/>
            <w:right w:w="0" w:type="dxa"/>
          </w:tblCellMar>
        </w:tblPrEx>
        <w:trPr>
          <w:gridAfter w:val="2"/>
          <w:wAfter w:w="3615" w:type="dxa"/>
          <w:trHeight w:val="435" w:hRule="atLeast"/>
        </w:trPr>
        <w:tc>
          <w:tcPr>
            <w:tcW w:w="15429" w:type="dxa"/>
            <w:gridSpan w:val="24"/>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收入决算表</w:t>
            </w:r>
          </w:p>
        </w:tc>
      </w:tr>
      <w:tr>
        <w:tblPrEx>
          <w:tblCellMar>
            <w:top w:w="0" w:type="dxa"/>
            <w:left w:w="0" w:type="dxa"/>
            <w:bottom w:w="0" w:type="dxa"/>
            <w:right w:w="0" w:type="dxa"/>
          </w:tblCellMar>
        </w:tblPrEx>
        <w:trPr>
          <w:gridAfter w:val="2"/>
          <w:wAfter w:w="3615" w:type="dxa"/>
          <w:trHeight w:val="285" w:hRule="atLeast"/>
        </w:trPr>
        <w:tc>
          <w:tcPr>
            <w:tcW w:w="5747"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5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25"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5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公开02表</w:t>
            </w:r>
          </w:p>
        </w:tc>
      </w:tr>
      <w:tr>
        <w:tblPrEx>
          <w:tblCellMar>
            <w:top w:w="0" w:type="dxa"/>
            <w:left w:w="0" w:type="dxa"/>
            <w:bottom w:w="0" w:type="dxa"/>
            <w:right w:w="0" w:type="dxa"/>
          </w:tblCellMar>
        </w:tblPrEx>
        <w:trPr>
          <w:gridAfter w:val="2"/>
          <w:wAfter w:w="3615" w:type="dxa"/>
          <w:trHeight w:val="285" w:hRule="atLeast"/>
        </w:trPr>
        <w:tc>
          <w:tcPr>
            <w:tcW w:w="5747"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eastAsia="宋体" w:cs="宋体"/>
                <w:szCs w:val="21"/>
                <w:highlight w:val="none"/>
              </w:rPr>
            </w:pPr>
            <w:r>
              <w:rPr>
                <w:rFonts w:hint="eastAsia" w:ascii="宋体" w:hAnsi="宋体" w:eastAsia="宋体" w:cs="宋体"/>
                <w:color w:val="000000"/>
                <w:szCs w:val="21"/>
                <w:highlight w:val="none"/>
              </w:rPr>
              <w:t>部门：</w:t>
            </w:r>
            <w:r>
              <w:rPr>
                <w:rFonts w:hint="eastAsia" w:ascii="宋体" w:hAnsi="宋体" w:eastAsia="宋体" w:cs="宋体"/>
                <w:szCs w:val="21"/>
                <w:highlight w:val="none"/>
              </w:rPr>
              <w:t>　</w:t>
            </w:r>
            <w:r>
              <w:rPr>
                <w:rFonts w:hint="eastAsia" w:ascii="宋体" w:hAnsi="宋体" w:eastAsia="宋体" w:cs="宋体"/>
                <w:color w:val="000000"/>
                <w:kern w:val="0"/>
                <w:szCs w:val="21"/>
                <w:highlight w:val="none"/>
              </w:rPr>
              <w:t>祁阳市信访局</w:t>
            </w:r>
          </w:p>
        </w:tc>
        <w:tc>
          <w:tcPr>
            <w:tcW w:w="14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5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25"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w:t>
            </w:r>
          </w:p>
        </w:tc>
        <w:tc>
          <w:tcPr>
            <w:tcW w:w="134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5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单位：万元</w:t>
            </w:r>
          </w:p>
        </w:tc>
      </w:tr>
      <w:tr>
        <w:tblPrEx>
          <w:tblCellMar>
            <w:top w:w="0" w:type="dxa"/>
            <w:left w:w="0" w:type="dxa"/>
            <w:bottom w:w="0" w:type="dxa"/>
            <w:right w:w="0" w:type="dxa"/>
          </w:tblCellMar>
        </w:tblPrEx>
        <w:trPr>
          <w:gridAfter w:val="2"/>
          <w:wAfter w:w="3615" w:type="dxa"/>
          <w:trHeight w:val="180" w:hRule="atLeast"/>
        </w:trPr>
        <w:tc>
          <w:tcPr>
            <w:tcW w:w="5747"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项    目</w:t>
            </w:r>
          </w:p>
        </w:tc>
        <w:tc>
          <w:tcPr>
            <w:tcW w:w="14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本年收入合计</w:t>
            </w:r>
          </w:p>
        </w:tc>
        <w:tc>
          <w:tcPr>
            <w:tcW w:w="145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财政拨款收入</w:t>
            </w:r>
          </w:p>
        </w:tc>
        <w:tc>
          <w:tcPr>
            <w:tcW w:w="1325"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上级补助收入</w:t>
            </w:r>
          </w:p>
        </w:tc>
        <w:tc>
          <w:tcPr>
            <w:tcW w:w="134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事业收入</w:t>
            </w:r>
          </w:p>
        </w:tc>
        <w:tc>
          <w:tcPr>
            <w:tcW w:w="134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经营收入</w:t>
            </w:r>
          </w:p>
        </w:tc>
        <w:tc>
          <w:tcPr>
            <w:tcW w:w="1356"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附属单位上缴收入</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其他收入</w:t>
            </w:r>
          </w:p>
        </w:tc>
      </w:tr>
      <w:tr>
        <w:tblPrEx>
          <w:tblCellMar>
            <w:top w:w="0" w:type="dxa"/>
            <w:left w:w="0" w:type="dxa"/>
            <w:bottom w:w="0" w:type="dxa"/>
            <w:right w:w="0" w:type="dxa"/>
          </w:tblCellMar>
        </w:tblPrEx>
        <w:trPr>
          <w:gridAfter w:val="2"/>
          <w:wAfter w:w="3615" w:type="dxa"/>
          <w:trHeight w:val="450" w:hRule="atLeast"/>
        </w:trPr>
        <w:tc>
          <w:tcPr>
            <w:tcW w:w="114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功能分类</w:t>
            </w:r>
          </w:p>
          <w:p>
            <w:pPr>
              <w:jc w:val="center"/>
              <w:rPr>
                <w:rFonts w:hint="eastAsia" w:ascii="宋体" w:hAnsi="宋体" w:eastAsia="宋体" w:cs="宋体"/>
                <w:szCs w:val="21"/>
                <w:highlight w:val="none"/>
              </w:rPr>
            </w:pPr>
            <w:r>
              <w:rPr>
                <w:rFonts w:hint="eastAsia" w:ascii="宋体" w:hAnsi="宋体" w:eastAsia="宋体" w:cs="宋体"/>
                <w:szCs w:val="21"/>
                <w:highlight w:val="none"/>
              </w:rPr>
              <w:t>科目编码</w:t>
            </w:r>
          </w:p>
        </w:tc>
        <w:tc>
          <w:tcPr>
            <w:tcW w:w="4602" w:type="dxa"/>
            <w:gridSpan w:val="4"/>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科目名称</w:t>
            </w:r>
          </w:p>
        </w:tc>
        <w:tc>
          <w:tcPr>
            <w:tcW w:w="145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45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325"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34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34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35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12" w:hRule="atLeast"/>
        </w:trPr>
        <w:tc>
          <w:tcPr>
            <w:tcW w:w="114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4602" w:type="dxa"/>
            <w:gridSpan w:val="4"/>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45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45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325"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34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34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35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5747"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栏次</w:t>
            </w:r>
          </w:p>
        </w:tc>
        <w:tc>
          <w:tcPr>
            <w:tcW w:w="14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32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34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34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356"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4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7</w:t>
            </w:r>
          </w:p>
        </w:tc>
      </w:tr>
      <w:tr>
        <w:tblPrEx>
          <w:tblCellMar>
            <w:top w:w="0" w:type="dxa"/>
            <w:left w:w="0" w:type="dxa"/>
            <w:bottom w:w="0" w:type="dxa"/>
            <w:right w:w="0" w:type="dxa"/>
          </w:tblCellMar>
        </w:tblPrEx>
        <w:trPr>
          <w:gridAfter w:val="2"/>
          <w:wAfter w:w="3615" w:type="dxa"/>
          <w:trHeight w:val="359" w:hRule="atLeast"/>
        </w:trPr>
        <w:tc>
          <w:tcPr>
            <w:tcW w:w="5747"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合计</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736.54</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736.54</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一般公共服务支出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687.73</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687.73</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政府办公厅（室）及相关机构事务</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651.57</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651.57</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2010301</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行政运行</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143.67</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143.67</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2010302</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一般行政管理事务</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8.50</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8.50</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2010308</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信访事务</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499.40</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499.40</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其他一般公共服务支出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2019999</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其他一般公共服务支出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社会保障和就业支出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26.08</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26.08</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行政事业单位养老支出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2080505</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机关事业单位基本养老保险缴费支出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20808</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抚恤</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2080899</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其他优抚支出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卫生健康支出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行政事业单位医疗</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2101101</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行政单位医疗</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　</w:t>
            </w: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住房保障支出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住房改革支出</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gridAfter w:val="2"/>
          <w:wAfter w:w="3615" w:type="dxa"/>
          <w:trHeight w:val="359"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2210201</w:t>
            </w:r>
          </w:p>
        </w:tc>
        <w:tc>
          <w:tcPr>
            <w:tcW w:w="4602"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住房公积金</w:t>
            </w:r>
          </w:p>
        </w:tc>
        <w:tc>
          <w:tcPr>
            <w:tcW w:w="14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45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325"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4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3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Cs w:val="21"/>
                <w:highlight w:val="none"/>
              </w:rPr>
            </w:pPr>
          </w:p>
        </w:tc>
      </w:tr>
      <w:tr>
        <w:tblPrEx>
          <w:tblCellMar>
            <w:top w:w="0" w:type="dxa"/>
            <w:left w:w="0" w:type="dxa"/>
            <w:bottom w:w="0" w:type="dxa"/>
            <w:right w:w="0" w:type="dxa"/>
          </w:tblCellMar>
        </w:tblPrEx>
        <w:trPr>
          <w:trHeight w:val="359" w:hRule="atLeast"/>
        </w:trPr>
        <w:tc>
          <w:tcPr>
            <w:tcW w:w="15429" w:type="dxa"/>
            <w:gridSpan w:val="24"/>
            <w:tcBorders>
              <w:top w:val="nil"/>
              <w:left w:val="nil"/>
              <w:bottom w:val="nil"/>
              <w:right w:val="nil"/>
            </w:tcBorders>
            <w:shd w:val="clear" w:color="auto" w:fill="auto"/>
            <w:tcMar>
              <w:top w:w="15" w:type="dxa"/>
              <w:left w:w="15" w:type="dxa"/>
              <w:bottom w:w="0" w:type="dxa"/>
              <w:right w:w="15" w:type="dxa"/>
            </w:tcMar>
            <w:vAlign w:val="center"/>
          </w:tcPr>
          <w:p>
            <w:pPr>
              <w:rPr>
                <w:rFonts w:hint="eastAsia" w:ascii="宋体" w:hAnsi="宋体" w:eastAsia="宋体" w:cs="宋体"/>
                <w:szCs w:val="21"/>
                <w:highlight w:val="none"/>
              </w:rPr>
            </w:pPr>
            <w:r>
              <w:rPr>
                <w:rFonts w:hint="eastAsia" w:ascii="宋体" w:hAnsi="宋体" w:eastAsia="宋体" w:cs="宋体"/>
                <w:szCs w:val="21"/>
                <w:highlight w:val="none"/>
              </w:rPr>
              <w:t>注：本表反映部门本年度取得的各项收入情况。</w:t>
            </w:r>
          </w:p>
        </w:tc>
        <w:tc>
          <w:tcPr>
            <w:tcW w:w="3615" w:type="dxa"/>
            <w:gridSpan w:val="2"/>
            <w:vAlign w:val="center"/>
          </w:tcPr>
          <w:p>
            <w:pPr>
              <w:widowControl/>
              <w:jc w:val="lef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435" w:hRule="atLeast"/>
        </w:trPr>
        <w:tc>
          <w:tcPr>
            <w:tcW w:w="15417" w:type="dxa"/>
            <w:gridSpan w:val="23"/>
            <w:tcBorders>
              <w:top w:val="nil"/>
              <w:left w:val="nil"/>
              <w:bottom w:val="nil"/>
              <w:right w:val="nil"/>
            </w:tcBorders>
            <w:shd w:val="clear" w:color="auto" w:fill="auto"/>
            <w:noWrap/>
            <w:vAlign w:val="center"/>
          </w:tcPr>
          <w:p>
            <w:pPr>
              <w:widowControl/>
              <w:jc w:val="center"/>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br w:type="page"/>
            </w:r>
            <w:r>
              <w:rPr>
                <w:rFonts w:hint="eastAsia" w:ascii="宋体" w:hAnsi="宋体" w:eastAsia="宋体" w:cs="宋体"/>
                <w:color w:val="000000"/>
                <w:kern w:val="0"/>
                <w:sz w:val="32"/>
                <w:szCs w:val="32"/>
                <w:highlight w:val="none"/>
              </w:rPr>
              <w:t>支出决算表</w:t>
            </w:r>
          </w:p>
        </w:tc>
      </w:tr>
      <w:tr>
        <w:tblPrEx>
          <w:tblCellMar>
            <w:top w:w="0" w:type="dxa"/>
            <w:left w:w="108" w:type="dxa"/>
            <w:bottom w:w="0" w:type="dxa"/>
            <w:right w:w="108" w:type="dxa"/>
          </w:tblCellMar>
        </w:tblPrEx>
        <w:trPr>
          <w:gridAfter w:val="3"/>
          <w:wAfter w:w="3627" w:type="dxa"/>
          <w:trHeight w:val="285" w:hRule="atLeast"/>
        </w:trPr>
        <w:tc>
          <w:tcPr>
            <w:tcW w:w="5747" w:type="dxa"/>
            <w:gridSpan w:val="6"/>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3"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62"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7" w:type="dxa"/>
            <w:gridSpan w:val="4"/>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公开03表</w:t>
            </w:r>
          </w:p>
        </w:tc>
      </w:tr>
      <w:tr>
        <w:tblPrEx>
          <w:tblCellMar>
            <w:top w:w="0" w:type="dxa"/>
            <w:left w:w="108" w:type="dxa"/>
            <w:bottom w:w="0" w:type="dxa"/>
            <w:right w:w="108" w:type="dxa"/>
          </w:tblCellMar>
        </w:tblPrEx>
        <w:trPr>
          <w:gridAfter w:val="3"/>
          <w:wAfter w:w="3627" w:type="dxa"/>
          <w:trHeight w:val="285" w:hRule="atLeast"/>
        </w:trPr>
        <w:tc>
          <w:tcPr>
            <w:tcW w:w="5747" w:type="dxa"/>
            <w:gridSpan w:val="6"/>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部门：祁阳市信访局</w:t>
            </w:r>
          </w:p>
        </w:tc>
        <w:tc>
          <w:tcPr>
            <w:tcW w:w="1693"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62"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57" w:type="dxa"/>
            <w:gridSpan w:val="4"/>
            <w:tcBorders>
              <w:top w:val="nil"/>
              <w:left w:val="nil"/>
              <w:bottom w:val="nil"/>
              <w:right w:val="nil"/>
            </w:tcBorders>
            <w:shd w:val="clear" w:color="000000" w:fill="FFFFFF"/>
            <w:noWrap/>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1579"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单位：万元</w:t>
            </w:r>
          </w:p>
        </w:tc>
      </w:tr>
      <w:tr>
        <w:tblPrEx>
          <w:tblCellMar>
            <w:top w:w="0" w:type="dxa"/>
            <w:left w:w="108" w:type="dxa"/>
            <w:bottom w:w="0" w:type="dxa"/>
            <w:right w:w="108" w:type="dxa"/>
          </w:tblCellMar>
        </w:tblPrEx>
        <w:trPr>
          <w:gridAfter w:val="3"/>
          <w:wAfter w:w="3627" w:type="dxa"/>
          <w:trHeight w:val="352" w:hRule="atLeast"/>
        </w:trPr>
        <w:tc>
          <w:tcPr>
            <w:tcW w:w="5747"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169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本年支出合计</w:t>
            </w:r>
          </w:p>
        </w:tc>
        <w:tc>
          <w:tcPr>
            <w:tcW w:w="166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基本支出</w:t>
            </w:r>
          </w:p>
        </w:tc>
        <w:tc>
          <w:tcPr>
            <w:tcW w:w="1557"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项目支出</w:t>
            </w:r>
          </w:p>
        </w:tc>
        <w:tc>
          <w:tcPr>
            <w:tcW w:w="15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上缴上级支出</w:t>
            </w:r>
          </w:p>
        </w:tc>
        <w:tc>
          <w:tcPr>
            <w:tcW w:w="15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经营支出</w:t>
            </w:r>
          </w:p>
        </w:tc>
        <w:tc>
          <w:tcPr>
            <w:tcW w:w="160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对附属单位</w:t>
            </w:r>
          </w:p>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补助支出</w:t>
            </w:r>
          </w:p>
        </w:tc>
      </w:tr>
      <w:tr>
        <w:tblPrEx>
          <w:tblCellMar>
            <w:top w:w="0" w:type="dxa"/>
            <w:left w:w="108" w:type="dxa"/>
            <w:bottom w:w="0" w:type="dxa"/>
            <w:right w:w="108" w:type="dxa"/>
          </w:tblCellMar>
        </w:tblPrEx>
        <w:trPr>
          <w:gridAfter w:val="3"/>
          <w:wAfter w:w="3627" w:type="dxa"/>
          <w:trHeight w:val="450" w:hRule="atLeast"/>
        </w:trPr>
        <w:tc>
          <w:tcPr>
            <w:tcW w:w="114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功能分类科目编码</w:t>
            </w:r>
          </w:p>
        </w:tc>
        <w:tc>
          <w:tcPr>
            <w:tcW w:w="4602" w:type="dxa"/>
            <w:gridSpan w:val="4"/>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科目名称</w:t>
            </w:r>
          </w:p>
        </w:tc>
        <w:tc>
          <w:tcPr>
            <w:tcW w:w="16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66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55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5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5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6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12" w:hRule="atLeast"/>
        </w:trPr>
        <w:tc>
          <w:tcPr>
            <w:tcW w:w="11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460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6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66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55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5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5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6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5747"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栏次</w:t>
            </w:r>
          </w:p>
        </w:tc>
        <w:tc>
          <w:tcPr>
            <w:tcW w:w="169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66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55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57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157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160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r>
      <w:tr>
        <w:tblPrEx>
          <w:tblCellMar>
            <w:top w:w="0" w:type="dxa"/>
            <w:left w:w="108" w:type="dxa"/>
            <w:bottom w:w="0" w:type="dxa"/>
            <w:right w:w="108" w:type="dxa"/>
          </w:tblCellMar>
        </w:tblPrEx>
        <w:trPr>
          <w:gridAfter w:val="3"/>
          <w:wAfter w:w="3627" w:type="dxa"/>
          <w:trHeight w:val="355" w:hRule="atLeast"/>
        </w:trPr>
        <w:tc>
          <w:tcPr>
            <w:tcW w:w="5747"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736.54</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736.54</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一般公共服务支出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687.73</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687.73</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政府办公厅（室）及相关机构事务</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651.57</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651.57</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2010301</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行政运行</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143.67</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143.67</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2010302</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一般行政管理事务</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8.50</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8.50</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2010308</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信访事务</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499.40</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499.40</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其他一般公共服务支出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2019999</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其他一般公共服务支出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社会保障和就业支出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26.08</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26.08</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行政事业单位养老支出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2080505</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机关事业单位基本养老保险缴费支出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20808</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抚恤</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2080899</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其他优抚支出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卫生健康支出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行政事业单位医疗</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2101101</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行政单位医疗</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住房保障支出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住房改革支出</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14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2210201</w:t>
            </w:r>
          </w:p>
        </w:tc>
        <w:tc>
          <w:tcPr>
            <w:tcW w:w="4602" w:type="dxa"/>
            <w:gridSpan w:val="4"/>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住房公积金</w:t>
            </w:r>
          </w:p>
        </w:tc>
        <w:tc>
          <w:tcPr>
            <w:tcW w:w="1693"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662"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55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5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After w:val="3"/>
          <w:wAfter w:w="3627" w:type="dxa"/>
          <w:trHeight w:val="355" w:hRule="atLeast"/>
        </w:trPr>
        <w:tc>
          <w:tcPr>
            <w:tcW w:w="15417" w:type="dxa"/>
            <w:gridSpan w:val="23"/>
            <w:tcBorders>
              <w:top w:val="nil"/>
              <w:left w:val="nil"/>
              <w:bottom w:val="nil"/>
              <w:right w:val="nil"/>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注：本表反映部门本年度各项支出情况。</w:t>
            </w:r>
          </w:p>
        </w:tc>
      </w:tr>
      <w:tr>
        <w:tblPrEx>
          <w:tblCellMar>
            <w:top w:w="0" w:type="dxa"/>
            <w:left w:w="108" w:type="dxa"/>
            <w:bottom w:w="0" w:type="dxa"/>
            <w:right w:w="108" w:type="dxa"/>
          </w:tblCellMar>
        </w:tblPrEx>
        <w:trPr>
          <w:gridBefore w:val="1"/>
          <w:gridAfter w:val="1"/>
          <w:wBefore w:w="33" w:type="dxa"/>
          <w:wAfter w:w="3526" w:type="dxa"/>
          <w:trHeight w:val="360" w:hRule="atLeast"/>
        </w:trPr>
        <w:tc>
          <w:tcPr>
            <w:tcW w:w="15485" w:type="dxa"/>
            <w:gridSpan w:val="24"/>
            <w:tcBorders>
              <w:top w:val="nil"/>
              <w:left w:val="nil"/>
              <w:bottom w:val="nil"/>
              <w:right w:val="nil"/>
            </w:tcBorders>
            <w:shd w:val="clear" w:color="auto" w:fill="auto"/>
            <w:noWrap/>
            <w:vAlign w:val="center"/>
          </w:tcPr>
          <w:p>
            <w:pPr>
              <w:widowControl/>
              <w:jc w:val="center"/>
              <w:rPr>
                <w:rFonts w:hint="eastAsia" w:ascii="宋体" w:hAnsi="宋体" w:eastAsia="宋体" w:cs="宋体"/>
                <w:color w:val="000000"/>
                <w:kern w:val="0"/>
                <w:sz w:val="32"/>
                <w:szCs w:val="32"/>
                <w:highlight w:val="none"/>
              </w:rPr>
            </w:pPr>
            <w:bookmarkStart w:id="0" w:name="RANGE!A1:I22"/>
            <w:bookmarkEnd w:id="0"/>
            <w:r>
              <w:rPr>
                <w:rFonts w:hint="eastAsia" w:ascii="宋体" w:hAnsi="宋体" w:eastAsia="宋体" w:cs="宋体"/>
                <w:color w:val="000000"/>
                <w:kern w:val="0"/>
                <w:sz w:val="32"/>
                <w:szCs w:val="32"/>
                <w:highlight w:val="none"/>
              </w:rPr>
              <w:br w:type="page"/>
            </w:r>
            <w:r>
              <w:rPr>
                <w:rFonts w:hint="eastAsia" w:ascii="宋体" w:hAnsi="宋体" w:eastAsia="宋体" w:cs="宋体"/>
                <w:color w:val="000000"/>
                <w:kern w:val="0"/>
                <w:sz w:val="32"/>
                <w:szCs w:val="32"/>
                <w:highlight w:val="none"/>
              </w:rPr>
              <w:t>财政拨款收入支出决算总表</w:t>
            </w:r>
          </w:p>
        </w:tc>
      </w:tr>
      <w:tr>
        <w:tblPrEx>
          <w:tblCellMar>
            <w:top w:w="0" w:type="dxa"/>
            <w:left w:w="108" w:type="dxa"/>
            <w:bottom w:w="0" w:type="dxa"/>
            <w:right w:w="108" w:type="dxa"/>
          </w:tblCellMar>
        </w:tblPrEx>
        <w:trPr>
          <w:gridBefore w:val="1"/>
          <w:gridAfter w:val="1"/>
          <w:wBefore w:w="33" w:type="dxa"/>
          <w:wAfter w:w="3526" w:type="dxa"/>
          <w:trHeight w:val="337" w:hRule="atLeast"/>
        </w:trPr>
        <w:tc>
          <w:tcPr>
            <w:tcW w:w="3362"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24" w:type="dxa"/>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52" w:type="dxa"/>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3599" w:type="dxa"/>
            <w:gridSpan w:val="5"/>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48"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74"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12"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724" w:type="dxa"/>
            <w:gridSpan w:val="4"/>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公开04表</w:t>
            </w:r>
          </w:p>
        </w:tc>
      </w:tr>
      <w:tr>
        <w:tblPrEx>
          <w:tblCellMar>
            <w:top w:w="0" w:type="dxa"/>
            <w:left w:w="108" w:type="dxa"/>
            <w:bottom w:w="0" w:type="dxa"/>
            <w:right w:w="108" w:type="dxa"/>
          </w:tblCellMar>
        </w:tblPrEx>
        <w:trPr>
          <w:gridBefore w:val="1"/>
          <w:gridAfter w:val="1"/>
          <w:wBefore w:w="33" w:type="dxa"/>
          <w:wAfter w:w="3526" w:type="dxa"/>
          <w:trHeight w:val="300" w:hRule="atLeast"/>
        </w:trPr>
        <w:tc>
          <w:tcPr>
            <w:tcW w:w="5138" w:type="dxa"/>
            <w:gridSpan w:val="4"/>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部门：祁阳市信访局</w:t>
            </w:r>
          </w:p>
        </w:tc>
        <w:tc>
          <w:tcPr>
            <w:tcW w:w="3599" w:type="dxa"/>
            <w:gridSpan w:val="5"/>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48"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74" w:type="dxa"/>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512" w:type="dxa"/>
            <w:gridSpan w:val="3"/>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724" w:type="dxa"/>
            <w:gridSpan w:val="4"/>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单位：万元</w:t>
            </w:r>
          </w:p>
        </w:tc>
      </w:tr>
      <w:tr>
        <w:tblPrEx>
          <w:tblCellMar>
            <w:top w:w="0" w:type="dxa"/>
            <w:left w:w="108" w:type="dxa"/>
            <w:bottom w:w="0" w:type="dxa"/>
            <w:right w:w="108" w:type="dxa"/>
          </w:tblCellMar>
        </w:tblPrEx>
        <w:trPr>
          <w:gridBefore w:val="1"/>
          <w:gridAfter w:val="1"/>
          <w:wBefore w:w="33" w:type="dxa"/>
          <w:wAfter w:w="3526" w:type="dxa"/>
          <w:trHeight w:val="402" w:hRule="atLeast"/>
        </w:trPr>
        <w:tc>
          <w:tcPr>
            <w:tcW w:w="5138"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收入</w:t>
            </w:r>
          </w:p>
        </w:tc>
        <w:tc>
          <w:tcPr>
            <w:tcW w:w="10347" w:type="dxa"/>
            <w:gridSpan w:val="20"/>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支出</w:t>
            </w:r>
          </w:p>
        </w:tc>
      </w:tr>
      <w:tr>
        <w:tblPrEx>
          <w:tblCellMar>
            <w:top w:w="0" w:type="dxa"/>
            <w:left w:w="108" w:type="dxa"/>
            <w:bottom w:w="0" w:type="dxa"/>
            <w:right w:w="108" w:type="dxa"/>
          </w:tblCellMar>
        </w:tblPrEx>
        <w:trPr>
          <w:gridBefore w:val="1"/>
          <w:gridAfter w:val="1"/>
          <w:wBefore w:w="33" w:type="dxa"/>
          <w:wAfter w:w="3526" w:type="dxa"/>
          <w:trHeight w:val="630"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行次</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金额</w:t>
            </w: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行次</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151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一般公共预算财政拨款</w:t>
            </w:r>
          </w:p>
        </w:tc>
        <w:tc>
          <w:tcPr>
            <w:tcW w:w="1724"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政府性基金预算财政拨款</w:t>
            </w:r>
          </w:p>
        </w:tc>
        <w:tc>
          <w:tcPr>
            <w:tcW w:w="1690"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国有资本经营预算财政拨款</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    次</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    次</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一、一般公共预算财政拨款</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736.54</w:t>
            </w: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一、一般公共服务支出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33</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687.73</w:t>
            </w: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687.73</w:t>
            </w: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二、政府性基金预算财政拨款</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二、外交支出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34</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三、国有资本经营预算财政拨款</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三、国防支出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35</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四、公共安全支出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36</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五、教育支出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37</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六、科学技术支出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38</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七、文化旅游体育与传媒支出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39</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八、社会保障和就业支出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26.08</w:t>
            </w: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26.08</w:t>
            </w: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九、卫生健康支出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41</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8.92</w:t>
            </w: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8.92</w:t>
            </w: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十、节能环保支出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42</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十一、城乡社区支出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43</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十二、农林水支出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44</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十三、交通运输支出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十四、资源勘探工业信息等支出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46</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十五、商业服务业等支出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47</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16</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十六、金融支出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48</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十七、援助其他地区支出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49</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18</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十八、自然资源海洋气象等支出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19</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十九、住房保障支出</w:t>
            </w:r>
          </w:p>
        </w:tc>
        <w:tc>
          <w:tcPr>
            <w:tcW w:w="6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51</w:t>
            </w:r>
          </w:p>
        </w:tc>
        <w:tc>
          <w:tcPr>
            <w:tcW w:w="11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13.81</w:t>
            </w:r>
          </w:p>
        </w:tc>
        <w:tc>
          <w:tcPr>
            <w:tcW w:w="15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13.81</w:t>
            </w:r>
          </w:p>
        </w:tc>
        <w:tc>
          <w:tcPr>
            <w:tcW w:w="17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1152"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二十、粮油物资储备支出</w:t>
            </w:r>
          </w:p>
        </w:tc>
        <w:tc>
          <w:tcPr>
            <w:tcW w:w="64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52</w:t>
            </w:r>
          </w:p>
        </w:tc>
        <w:tc>
          <w:tcPr>
            <w:tcW w:w="117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21</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二十一、国有资本经营预算支出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53</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二十二、灾害防治及应急管理支出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54</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23</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二十三、其他支出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55</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24</w:t>
            </w:r>
          </w:p>
        </w:tc>
        <w:tc>
          <w:tcPr>
            <w:tcW w:w="11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二十四、债务还本支出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56</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c>
          <w:tcPr>
            <w:tcW w:w="359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二十五、债务付息支出</w:t>
            </w:r>
          </w:p>
        </w:tc>
        <w:tc>
          <w:tcPr>
            <w:tcW w:w="6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57</w:t>
            </w:r>
          </w:p>
        </w:tc>
        <w:tc>
          <w:tcPr>
            <w:tcW w:w="11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26</w:t>
            </w:r>
          </w:p>
        </w:tc>
        <w:tc>
          <w:tcPr>
            <w:tcW w:w="11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二十六、抗疫特别国债安排的支出</w:t>
            </w:r>
          </w:p>
        </w:tc>
        <w:tc>
          <w:tcPr>
            <w:tcW w:w="64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58</w:t>
            </w:r>
          </w:p>
        </w:tc>
        <w:tc>
          <w:tcPr>
            <w:tcW w:w="117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69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本年收入合计</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27</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736.54</w:t>
            </w: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本年支出合计</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59</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736.54</w:t>
            </w: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736.54</w:t>
            </w: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Cs w:val="21"/>
                <w:highlight w:val="none"/>
              </w:rPr>
            </w:pPr>
            <w:r>
              <w:rPr>
                <w:rFonts w:hint="eastAsia" w:ascii="宋体" w:hAnsi="宋体" w:eastAsia="宋体" w:cs="宋体"/>
                <w:kern w:val="0"/>
                <w:szCs w:val="21"/>
                <w:highlight w:val="none"/>
              </w:rPr>
              <w:t>年初财政拨款结转和结余</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28</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Cs w:val="21"/>
                <w:highlight w:val="none"/>
              </w:rPr>
            </w:pPr>
            <w:r>
              <w:rPr>
                <w:rFonts w:hint="eastAsia" w:ascii="宋体" w:hAnsi="宋体" w:eastAsia="宋体" w:cs="宋体"/>
                <w:kern w:val="0"/>
                <w:szCs w:val="21"/>
                <w:highlight w:val="none"/>
              </w:rPr>
              <w:t>年末财政拨款结转和结余</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60</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Cs w:val="21"/>
                <w:highlight w:val="none"/>
              </w:rPr>
            </w:pPr>
            <w:r>
              <w:rPr>
                <w:rFonts w:hint="eastAsia" w:ascii="宋体" w:hAnsi="宋体" w:eastAsia="宋体" w:cs="宋体"/>
                <w:kern w:val="0"/>
                <w:szCs w:val="21"/>
                <w:highlight w:val="none"/>
              </w:rPr>
              <w:t>一般公共预算财政拨款</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29</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61</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Cs w:val="21"/>
                <w:highlight w:val="none"/>
              </w:rPr>
            </w:pPr>
            <w:r>
              <w:rPr>
                <w:rFonts w:hint="eastAsia" w:ascii="宋体" w:hAnsi="宋体" w:eastAsia="宋体" w:cs="宋体"/>
                <w:kern w:val="0"/>
                <w:szCs w:val="21"/>
                <w:highlight w:val="none"/>
              </w:rPr>
              <w:t>政府性基金预算财政拨款</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62</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Cs w:val="21"/>
                <w:highlight w:val="none"/>
              </w:rPr>
            </w:pPr>
            <w:r>
              <w:rPr>
                <w:rFonts w:hint="eastAsia" w:ascii="宋体" w:hAnsi="宋体" w:eastAsia="宋体" w:cs="宋体"/>
                <w:kern w:val="0"/>
                <w:szCs w:val="21"/>
                <w:highlight w:val="none"/>
              </w:rPr>
              <w:t>国有资本经营预算财政拨款</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31</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3599"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63</w:t>
            </w:r>
          </w:p>
        </w:tc>
        <w:tc>
          <w:tcPr>
            <w:tcW w:w="11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51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336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总计</w:t>
            </w:r>
          </w:p>
        </w:tc>
        <w:tc>
          <w:tcPr>
            <w:tcW w:w="62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32</w:t>
            </w:r>
          </w:p>
        </w:tc>
        <w:tc>
          <w:tcPr>
            <w:tcW w:w="11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736.54</w:t>
            </w:r>
          </w:p>
        </w:tc>
        <w:tc>
          <w:tcPr>
            <w:tcW w:w="3599"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总计</w:t>
            </w:r>
          </w:p>
        </w:tc>
        <w:tc>
          <w:tcPr>
            <w:tcW w:w="64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64</w:t>
            </w:r>
          </w:p>
        </w:tc>
        <w:tc>
          <w:tcPr>
            <w:tcW w:w="117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736.54</w:t>
            </w:r>
          </w:p>
        </w:tc>
        <w:tc>
          <w:tcPr>
            <w:tcW w:w="1512"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736.54</w:t>
            </w:r>
          </w:p>
        </w:tc>
        <w:tc>
          <w:tcPr>
            <w:tcW w:w="1724"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w:t>
            </w:r>
          </w:p>
        </w:tc>
        <w:tc>
          <w:tcPr>
            <w:tcW w:w="169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w:t>
            </w:r>
          </w:p>
        </w:tc>
      </w:tr>
      <w:tr>
        <w:tblPrEx>
          <w:tblCellMar>
            <w:top w:w="0" w:type="dxa"/>
            <w:left w:w="108" w:type="dxa"/>
            <w:bottom w:w="0" w:type="dxa"/>
            <w:right w:w="108" w:type="dxa"/>
          </w:tblCellMar>
        </w:tblPrEx>
        <w:trPr>
          <w:gridBefore w:val="1"/>
          <w:gridAfter w:val="1"/>
          <w:wBefore w:w="33" w:type="dxa"/>
          <w:wAfter w:w="3526" w:type="dxa"/>
          <w:trHeight w:val="312" w:hRule="atLeast"/>
        </w:trPr>
        <w:tc>
          <w:tcPr>
            <w:tcW w:w="15485" w:type="dxa"/>
            <w:gridSpan w:val="24"/>
            <w:tcBorders>
              <w:top w:val="nil"/>
              <w:left w:val="nil"/>
              <w:bottom w:val="nil"/>
              <w:right w:val="nil"/>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注：本表反映部门本年度一般公共预算财政拨款、政府性基金预算财政拨款和国有资本经营预算财政拨款的总收支和年末结转结余情况。</w:t>
            </w:r>
          </w:p>
        </w:tc>
      </w:tr>
    </w:tbl>
    <w:p>
      <w:pPr>
        <w:widowControl/>
        <w:jc w:val="center"/>
        <w:rPr>
          <w:rFonts w:hint="eastAsia" w:ascii="宋体" w:hAnsi="宋体" w:eastAsia="宋体" w:cs="宋体"/>
          <w:kern w:val="0"/>
          <w:sz w:val="36"/>
          <w:szCs w:val="36"/>
          <w:highlight w:val="none"/>
        </w:rPr>
      </w:pPr>
      <w:bookmarkStart w:id="1" w:name="RANGE!A1:F16"/>
    </w:p>
    <w:p>
      <w:pPr>
        <w:widowControl/>
        <w:jc w:val="center"/>
        <w:rPr>
          <w:rFonts w:hint="eastAsia" w:ascii="宋体" w:hAnsi="宋体" w:eastAsia="宋体" w:cs="宋体"/>
          <w:kern w:val="0"/>
          <w:sz w:val="36"/>
          <w:szCs w:val="36"/>
          <w:highlight w:val="none"/>
        </w:rPr>
      </w:pPr>
    </w:p>
    <w:p>
      <w:pPr>
        <w:rPr>
          <w:rFonts w:hint="eastAsia" w:ascii="宋体" w:hAnsi="宋体" w:eastAsia="宋体" w:cs="宋体"/>
          <w:kern w:val="0"/>
          <w:sz w:val="36"/>
          <w:szCs w:val="36"/>
          <w:highlight w:val="none"/>
        </w:rPr>
      </w:pPr>
      <w:r>
        <w:rPr>
          <w:rFonts w:hint="eastAsia" w:ascii="宋体" w:hAnsi="宋体" w:eastAsia="宋体" w:cs="宋体"/>
          <w:kern w:val="0"/>
          <w:sz w:val="36"/>
          <w:szCs w:val="36"/>
          <w:highlight w:val="none"/>
        </w:rPr>
        <w:br w:type="page"/>
      </w:r>
    </w:p>
    <w:p>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32"/>
          <w:szCs w:val="32"/>
          <w:highlight w:val="none"/>
        </w:rPr>
        <w:t>一般公共预算财政拨款支出决算表</w:t>
      </w:r>
      <w:bookmarkEnd w:id="1"/>
    </w:p>
    <w:tbl>
      <w:tblPr>
        <w:tblStyle w:val="9"/>
        <w:tblW w:w="5000" w:type="pct"/>
        <w:jc w:val="center"/>
        <w:tblLayout w:type="fixed"/>
        <w:tblCellMar>
          <w:top w:w="0" w:type="dxa"/>
          <w:left w:w="108" w:type="dxa"/>
          <w:bottom w:w="0" w:type="dxa"/>
          <w:right w:w="108" w:type="dxa"/>
        </w:tblCellMar>
      </w:tblPr>
      <w:tblGrid>
        <w:gridCol w:w="24"/>
        <w:gridCol w:w="1087"/>
        <w:gridCol w:w="41"/>
        <w:gridCol w:w="3132"/>
        <w:gridCol w:w="1056"/>
        <w:gridCol w:w="181"/>
        <w:gridCol w:w="912"/>
        <w:gridCol w:w="2092"/>
        <w:gridCol w:w="106"/>
        <w:gridCol w:w="862"/>
        <w:gridCol w:w="1062"/>
        <w:gridCol w:w="1321"/>
        <w:gridCol w:w="2745"/>
        <w:gridCol w:w="871"/>
        <w:gridCol w:w="122"/>
      </w:tblGrid>
      <w:tr>
        <w:tblPrEx>
          <w:tblCellMar>
            <w:top w:w="0" w:type="dxa"/>
            <w:left w:w="108" w:type="dxa"/>
            <w:bottom w:w="0" w:type="dxa"/>
            <w:right w:w="108" w:type="dxa"/>
          </w:tblCellMar>
        </w:tblPrEx>
        <w:trPr>
          <w:gridBefore w:val="1"/>
          <w:gridAfter w:val="1"/>
          <w:wBefore w:w="8" w:type="pct"/>
          <w:wAfter w:w="38" w:type="pct"/>
          <w:trHeight w:val="108" w:hRule="atLeast"/>
          <w:jc w:val="center"/>
        </w:trPr>
        <w:tc>
          <w:tcPr>
            <w:tcW w:w="1760" w:type="pct"/>
            <w:gridSpan w:val="5"/>
            <w:tcBorders>
              <w:top w:val="nil"/>
              <w:left w:val="nil"/>
              <w:bottom w:val="nil"/>
              <w:right w:val="nil"/>
            </w:tcBorders>
            <w:shd w:val="clear" w:color="auto" w:fill="auto"/>
            <w:vAlign w:val="center"/>
          </w:tcPr>
          <w:p>
            <w:pPr>
              <w:widowControl/>
              <w:jc w:val="left"/>
              <w:rPr>
                <w:rFonts w:hint="eastAsia" w:ascii="宋体" w:hAnsi="宋体" w:eastAsia="宋体" w:cs="宋体"/>
                <w:color w:val="000000"/>
                <w:kern w:val="0"/>
                <w:szCs w:val="21"/>
                <w:highlight w:val="none"/>
              </w:rPr>
            </w:pPr>
          </w:p>
        </w:tc>
        <w:tc>
          <w:tcPr>
            <w:tcW w:w="3192" w:type="pct"/>
            <w:gridSpan w:val="8"/>
            <w:tcBorders>
              <w:top w:val="nil"/>
              <w:left w:val="nil"/>
              <w:bottom w:val="nil"/>
              <w:right w:val="nil"/>
            </w:tcBorders>
            <w:shd w:val="clear" w:color="auto" w:fill="auto"/>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公开05表</w:t>
            </w:r>
          </w:p>
        </w:tc>
      </w:tr>
      <w:tr>
        <w:tblPrEx>
          <w:tblCellMar>
            <w:top w:w="0" w:type="dxa"/>
            <w:left w:w="108" w:type="dxa"/>
            <w:bottom w:w="0" w:type="dxa"/>
            <w:right w:w="108" w:type="dxa"/>
          </w:tblCellMar>
        </w:tblPrEx>
        <w:trPr>
          <w:gridBefore w:val="1"/>
          <w:gridAfter w:val="1"/>
          <w:wBefore w:w="8" w:type="pct"/>
          <w:wAfter w:w="38" w:type="pct"/>
          <w:trHeight w:val="90" w:hRule="atLeast"/>
          <w:jc w:val="center"/>
        </w:trPr>
        <w:tc>
          <w:tcPr>
            <w:tcW w:w="1760" w:type="pct"/>
            <w:gridSpan w:val="5"/>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kern w:val="0"/>
                <w:szCs w:val="21"/>
                <w:highlight w:val="none"/>
              </w:rPr>
            </w:pPr>
            <w:r>
              <w:rPr>
                <w:rFonts w:hint="eastAsia" w:ascii="宋体" w:hAnsi="宋体" w:eastAsia="宋体" w:cs="宋体"/>
                <w:color w:val="000000"/>
                <w:kern w:val="0"/>
                <w:szCs w:val="21"/>
                <w:highlight w:val="none"/>
              </w:rPr>
              <w:t>部门：祁阳市信访局</w:t>
            </w:r>
          </w:p>
        </w:tc>
        <w:tc>
          <w:tcPr>
            <w:tcW w:w="3192" w:type="pct"/>
            <w:gridSpan w:val="8"/>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b/>
                <w:kern w:val="0"/>
                <w:szCs w:val="21"/>
                <w:highlight w:val="none"/>
              </w:rPr>
            </w:pPr>
            <w:r>
              <w:rPr>
                <w:rFonts w:hint="eastAsia" w:ascii="宋体" w:hAnsi="宋体" w:eastAsia="宋体" w:cs="宋体"/>
                <w:color w:val="000000"/>
                <w:kern w:val="0"/>
                <w:szCs w:val="21"/>
                <w:highlight w:val="none"/>
              </w:rPr>
              <w:t>单位：万元</w:t>
            </w:r>
          </w:p>
        </w:tc>
      </w:tr>
      <w:tr>
        <w:tblPrEx>
          <w:tblCellMar>
            <w:top w:w="0" w:type="dxa"/>
            <w:left w:w="108" w:type="dxa"/>
            <w:bottom w:w="0" w:type="dxa"/>
            <w:right w:w="108" w:type="dxa"/>
          </w:tblCellMar>
        </w:tblPrEx>
        <w:trPr>
          <w:gridBefore w:val="1"/>
          <w:gridAfter w:val="1"/>
          <w:wBefore w:w="8" w:type="pct"/>
          <w:wAfter w:w="38" w:type="pct"/>
          <w:trHeight w:val="258" w:hRule="atLeast"/>
          <w:jc w:val="center"/>
        </w:trPr>
        <w:tc>
          <w:tcPr>
            <w:tcW w:w="176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项 目</w:t>
            </w:r>
          </w:p>
        </w:tc>
        <w:tc>
          <w:tcPr>
            <w:tcW w:w="31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本年支出</w:t>
            </w:r>
          </w:p>
        </w:tc>
      </w:tr>
      <w:tr>
        <w:tblPrEx>
          <w:tblCellMar>
            <w:top w:w="0" w:type="dxa"/>
            <w:left w:w="108" w:type="dxa"/>
            <w:bottom w:w="0" w:type="dxa"/>
            <w:right w:w="108" w:type="dxa"/>
          </w:tblCellMar>
        </w:tblPrEx>
        <w:trPr>
          <w:gridBefore w:val="1"/>
          <w:gridAfter w:val="1"/>
          <w:wBefore w:w="8" w:type="pct"/>
          <w:wAfter w:w="38" w:type="pct"/>
          <w:trHeight w:val="495" w:hRule="atLeast"/>
          <w:jc w:val="center"/>
        </w:trPr>
        <w:tc>
          <w:tcPr>
            <w:tcW w:w="361" w:type="pct"/>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功能分类科目编码</w:t>
            </w:r>
          </w:p>
        </w:tc>
        <w:tc>
          <w:tcPr>
            <w:tcW w:w="139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科目名称</w:t>
            </w:r>
          </w:p>
        </w:tc>
        <w:tc>
          <w:tcPr>
            <w:tcW w:w="996"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小计</w:t>
            </w:r>
          </w:p>
        </w:tc>
        <w:tc>
          <w:tcPr>
            <w:tcW w:w="103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基本支出</w:t>
            </w:r>
          </w:p>
        </w:tc>
        <w:tc>
          <w:tcPr>
            <w:tcW w:w="1156" w:type="pct"/>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项目支出</w:t>
            </w:r>
          </w:p>
        </w:tc>
      </w:tr>
      <w:tr>
        <w:tblPrEx>
          <w:tblCellMar>
            <w:top w:w="0" w:type="dxa"/>
            <w:left w:w="108" w:type="dxa"/>
            <w:bottom w:w="0" w:type="dxa"/>
            <w:right w:w="108" w:type="dxa"/>
          </w:tblCellMar>
        </w:tblPrEx>
        <w:trPr>
          <w:gridBefore w:val="1"/>
          <w:gridAfter w:val="1"/>
          <w:wBefore w:w="8" w:type="pct"/>
          <w:wAfter w:w="38" w:type="pct"/>
          <w:trHeight w:val="360" w:hRule="atLeast"/>
          <w:jc w:val="center"/>
        </w:trPr>
        <w:tc>
          <w:tcPr>
            <w:tcW w:w="361"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399"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996"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039"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156"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12" w:hRule="atLeast"/>
          <w:jc w:val="center"/>
        </w:trPr>
        <w:tc>
          <w:tcPr>
            <w:tcW w:w="361"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399"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996"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039"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156"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1760"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栏次</w:t>
            </w:r>
          </w:p>
        </w:tc>
        <w:tc>
          <w:tcPr>
            <w:tcW w:w="9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03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156" w:type="pct"/>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1760"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996"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736.54</w:t>
            </w:r>
          </w:p>
        </w:tc>
        <w:tc>
          <w:tcPr>
            <w:tcW w:w="103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736.54</w:t>
            </w:r>
          </w:p>
        </w:tc>
        <w:tc>
          <w:tcPr>
            <w:tcW w:w="1156"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1399" w:type="pct"/>
            <w:gridSpan w:val="3"/>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一般公共服务支出</w:t>
            </w:r>
          </w:p>
        </w:tc>
        <w:tc>
          <w:tcPr>
            <w:tcW w:w="996"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687.73</w:t>
            </w:r>
          </w:p>
        </w:tc>
        <w:tc>
          <w:tcPr>
            <w:tcW w:w="103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687.73</w:t>
            </w:r>
          </w:p>
        </w:tc>
        <w:tc>
          <w:tcPr>
            <w:tcW w:w="1156"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w:t>
            </w:r>
          </w:p>
        </w:tc>
        <w:tc>
          <w:tcPr>
            <w:tcW w:w="1399" w:type="pct"/>
            <w:gridSpan w:val="3"/>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政府办公厅（室）及相关机构事务</w:t>
            </w:r>
          </w:p>
        </w:tc>
        <w:tc>
          <w:tcPr>
            <w:tcW w:w="996"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651.57</w:t>
            </w:r>
          </w:p>
        </w:tc>
        <w:tc>
          <w:tcPr>
            <w:tcW w:w="103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651.57</w:t>
            </w:r>
          </w:p>
        </w:tc>
        <w:tc>
          <w:tcPr>
            <w:tcW w:w="1156"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2010301</w:t>
            </w:r>
          </w:p>
        </w:tc>
        <w:tc>
          <w:tcPr>
            <w:tcW w:w="1399" w:type="pct"/>
            <w:gridSpan w:val="3"/>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行政运行</w:t>
            </w:r>
          </w:p>
        </w:tc>
        <w:tc>
          <w:tcPr>
            <w:tcW w:w="996"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143.67</w:t>
            </w:r>
          </w:p>
        </w:tc>
        <w:tc>
          <w:tcPr>
            <w:tcW w:w="103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143.67</w:t>
            </w:r>
          </w:p>
        </w:tc>
        <w:tc>
          <w:tcPr>
            <w:tcW w:w="1156"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2010302</w:t>
            </w:r>
          </w:p>
        </w:tc>
        <w:tc>
          <w:tcPr>
            <w:tcW w:w="1399" w:type="pct"/>
            <w:gridSpan w:val="3"/>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一般行政管理事务</w:t>
            </w:r>
          </w:p>
        </w:tc>
        <w:tc>
          <w:tcPr>
            <w:tcW w:w="996"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8.50</w:t>
            </w:r>
          </w:p>
        </w:tc>
        <w:tc>
          <w:tcPr>
            <w:tcW w:w="103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8.50</w:t>
            </w:r>
          </w:p>
        </w:tc>
        <w:tc>
          <w:tcPr>
            <w:tcW w:w="1156"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2010308</w:t>
            </w:r>
          </w:p>
        </w:tc>
        <w:tc>
          <w:tcPr>
            <w:tcW w:w="1399" w:type="pct"/>
            <w:gridSpan w:val="3"/>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信访事务</w:t>
            </w:r>
          </w:p>
        </w:tc>
        <w:tc>
          <w:tcPr>
            <w:tcW w:w="996"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499.40</w:t>
            </w:r>
          </w:p>
        </w:tc>
        <w:tc>
          <w:tcPr>
            <w:tcW w:w="103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499.40</w:t>
            </w:r>
          </w:p>
        </w:tc>
        <w:tc>
          <w:tcPr>
            <w:tcW w:w="1156"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其他一般公共服务支出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2019999</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其他一般公共服务支出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36.16</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社会保障和就业支出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26.08</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26.08</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行政事业单位养老支出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2080505</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机关事业单位基本养老保险缴费支出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20808</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抚恤</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2080899</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其他优抚支出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7.00</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卫生健康支出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行政事业单位医疗</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2101101</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行政单位医疗</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住房保障支出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住房改革支出</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36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2210201</w:t>
            </w:r>
          </w:p>
        </w:tc>
        <w:tc>
          <w:tcPr>
            <w:tcW w:w="1399" w:type="pct"/>
            <w:gridSpan w:val="3"/>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住房公积金</w:t>
            </w:r>
          </w:p>
        </w:tc>
        <w:tc>
          <w:tcPr>
            <w:tcW w:w="996"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03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1156"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gridBefore w:val="1"/>
          <w:gridAfter w:val="1"/>
          <w:wBefore w:w="8" w:type="pct"/>
          <w:wAfter w:w="38" w:type="pct"/>
          <w:trHeight w:val="343" w:hRule="atLeast"/>
          <w:jc w:val="center"/>
        </w:trPr>
        <w:tc>
          <w:tcPr>
            <w:tcW w:w="4953" w:type="pct"/>
            <w:gridSpan w:val="13"/>
            <w:tcBorders>
              <w:top w:val="nil"/>
              <w:left w:val="nil"/>
              <w:bottom w:val="nil"/>
              <w:right w:val="nil"/>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center"/>
              <w:rPr>
                <w:rFonts w:hint="eastAsia" w:ascii="宋体" w:hAnsi="宋体" w:eastAsia="宋体" w:cs="宋体"/>
                <w:color w:val="000000"/>
                <w:kern w:val="0"/>
                <w:szCs w:val="32"/>
                <w:highlight w:val="none"/>
              </w:rPr>
            </w:pPr>
            <w:r>
              <w:rPr>
                <w:rFonts w:hint="eastAsia" w:ascii="宋体" w:hAnsi="宋体" w:eastAsia="宋体" w:cs="宋体"/>
                <w:bCs/>
                <w:kern w:val="0"/>
                <w:szCs w:val="21"/>
                <w:highlight w:val="none"/>
              </w:rPr>
              <w:br w:type="page"/>
            </w:r>
            <w:bookmarkStart w:id="2" w:name="RANGE!A1:I34"/>
            <w:r>
              <w:rPr>
                <w:rFonts w:hint="eastAsia" w:ascii="宋体" w:hAnsi="宋体" w:eastAsia="宋体" w:cs="宋体"/>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公开06表</w:t>
            </w:r>
          </w:p>
        </w:tc>
      </w:tr>
      <w:tr>
        <w:tblPrEx>
          <w:tblCellMar>
            <w:top w:w="0" w:type="dxa"/>
            <w:left w:w="108" w:type="dxa"/>
            <w:bottom w:w="0" w:type="dxa"/>
            <w:right w:w="108" w:type="dxa"/>
          </w:tblCellMar>
        </w:tblPrEx>
        <w:trPr>
          <w:trHeight w:val="113" w:hRule="atLeast"/>
          <w:jc w:val="center"/>
        </w:trPr>
        <w:tc>
          <w:tcPr>
            <w:tcW w:w="1710" w:type="pct"/>
            <w:gridSpan w:val="5"/>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部门：祁阳市信访局</w:t>
            </w:r>
          </w:p>
        </w:tc>
        <w:tc>
          <w:tcPr>
            <w:tcW w:w="350" w:type="pct"/>
            <w:gridSpan w:val="2"/>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Cs w:val="21"/>
                <w:highlight w:val="none"/>
              </w:rPr>
            </w:pPr>
          </w:p>
        </w:tc>
        <w:tc>
          <w:tcPr>
            <w:tcW w:w="670"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Cs w:val="21"/>
                <w:highlight w:val="none"/>
              </w:rPr>
            </w:pPr>
          </w:p>
        </w:tc>
        <w:tc>
          <w:tcPr>
            <w:tcW w:w="310" w:type="pct"/>
            <w:gridSpan w:val="2"/>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Cs w:val="21"/>
                <w:highlight w:val="none"/>
              </w:rPr>
            </w:pPr>
          </w:p>
        </w:tc>
        <w:tc>
          <w:tcPr>
            <w:tcW w:w="340"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Cs w:val="21"/>
                <w:highlight w:val="none"/>
              </w:rPr>
            </w:pPr>
          </w:p>
        </w:tc>
        <w:tc>
          <w:tcPr>
            <w:tcW w:w="1617" w:type="pct"/>
            <w:gridSpan w:val="4"/>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单位：万元</w:t>
            </w:r>
          </w:p>
        </w:tc>
      </w:tr>
      <w:tr>
        <w:tblPrEx>
          <w:tblCellMar>
            <w:top w:w="0" w:type="dxa"/>
            <w:left w:w="108" w:type="dxa"/>
            <w:bottom w:w="0" w:type="dxa"/>
            <w:right w:w="108" w:type="dxa"/>
          </w:tblCellMar>
        </w:tblPrEx>
        <w:trPr>
          <w:trHeight w:val="723" w:hRule="atLeast"/>
          <w:jc w:val="center"/>
        </w:trPr>
        <w:tc>
          <w:tcPr>
            <w:tcW w:w="3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经济分类科目编码</w:t>
            </w:r>
          </w:p>
        </w:tc>
        <w:tc>
          <w:tcPr>
            <w:tcW w:w="10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科目名称</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决算数</w:t>
            </w:r>
          </w:p>
        </w:tc>
        <w:tc>
          <w:tcPr>
            <w:tcW w:w="3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经济分类科目编码</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科目名称</w:t>
            </w:r>
          </w:p>
        </w:tc>
        <w:tc>
          <w:tcPr>
            <w:tcW w:w="3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决算数</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经济分类科目编码</w:t>
            </w:r>
          </w:p>
        </w:tc>
        <w:tc>
          <w:tcPr>
            <w:tcW w:w="13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科目名称</w:t>
            </w:r>
          </w:p>
        </w:tc>
        <w:tc>
          <w:tcPr>
            <w:tcW w:w="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决算数</w:t>
            </w:r>
          </w:p>
        </w:tc>
      </w:tr>
      <w:tr>
        <w:tblPrEx>
          <w:tblCellMar>
            <w:top w:w="0" w:type="dxa"/>
            <w:left w:w="108" w:type="dxa"/>
            <w:bottom w:w="0" w:type="dxa"/>
            <w:right w:w="108" w:type="dxa"/>
          </w:tblCellMar>
        </w:tblPrEx>
        <w:trPr>
          <w:trHeight w:val="284" w:hRule="exact"/>
          <w:jc w:val="center"/>
        </w:trPr>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w:t>
            </w:r>
          </w:p>
        </w:tc>
        <w:tc>
          <w:tcPr>
            <w:tcW w:w="101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工资福利支出</w:t>
            </w:r>
          </w:p>
        </w:tc>
        <w:tc>
          <w:tcPr>
            <w:tcW w:w="338"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185.48</w:t>
            </w:r>
          </w:p>
        </w:tc>
        <w:tc>
          <w:tcPr>
            <w:tcW w:w="35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w:t>
            </w:r>
          </w:p>
        </w:tc>
        <w:tc>
          <w:tcPr>
            <w:tcW w:w="67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商品和服务支出</w:t>
            </w:r>
          </w:p>
        </w:tc>
        <w:tc>
          <w:tcPr>
            <w:tcW w:w="31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389.15</w:t>
            </w:r>
          </w:p>
        </w:tc>
        <w:tc>
          <w:tcPr>
            <w:tcW w:w="34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307</w:t>
            </w:r>
          </w:p>
        </w:tc>
        <w:tc>
          <w:tcPr>
            <w:tcW w:w="130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债务利息及费用支出</w:t>
            </w:r>
          </w:p>
        </w:tc>
        <w:tc>
          <w:tcPr>
            <w:tcW w:w="988"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30101</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基本工资</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75.61</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30201</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办公费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55.77</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30701</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国内债务付息</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30102</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津贴补贴</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49.75</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30202</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印刷费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8.25</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30702</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国外债务付息</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30103</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奖金</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11.26</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30203</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咨询费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资本性支出</w:t>
            </w:r>
          </w:p>
        </w:tc>
        <w:tc>
          <w:tcPr>
            <w:tcW w:w="98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36.16</w:t>
            </w: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30106</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伙食补助费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30204</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手续费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31001</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房屋建筑物购建</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30107</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绩效工资</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7.05</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30205</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水费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31002</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办公设备购置</w:t>
            </w:r>
          </w:p>
        </w:tc>
        <w:tc>
          <w:tcPr>
            <w:tcW w:w="98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25.79</w:t>
            </w: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30108</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机关事业单位基本养老保险缴费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19.08</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30206</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电费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31003</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专用设备购置</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30109</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职业年金缴费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30207</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邮电费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31005</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基础设施建设</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30110</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职工基本医疗保险缴费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8.92</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30208</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取暖费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31006</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大型修缮</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30111</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公务员医疗补助缴费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30209</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物业管理费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31007</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信息网络及软件购置更新</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30112</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其他社会保障缴费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30211</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差旅费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195.12</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31008</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物资储备</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30113</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住房公积金</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13.81</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30212</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因公出国（境）费用</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31009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土地补偿</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30114</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医疗费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30213</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维修（护）费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6.57</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31010</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安置补助</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30199</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其他工资福利支出</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30214</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租赁费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31011</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地上附着物和青苗补偿</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对个人和家庭的补助</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125.75</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30215</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会议费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6.15</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31012</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拆迁补偿</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30301</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离休费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30216</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培训费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2.96</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31013</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公务用车购置</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30302</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退休费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30217</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公务接待费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5.14</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31019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其他交通工具购置</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30303</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退职（役）费</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30218</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专用材料费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31021</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文物和陈列品购置</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30304</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抚恤金</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30224</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被装购置费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31022</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无形资产购置</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30305</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生活补助</w:t>
            </w:r>
          </w:p>
        </w:tc>
        <w:tc>
          <w:tcPr>
            <w:tcW w:w="3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125.75</w:t>
            </w: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30225</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专用燃料费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31099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其他资本性支出</w:t>
            </w:r>
          </w:p>
        </w:tc>
        <w:tc>
          <w:tcPr>
            <w:tcW w:w="98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10.37</w:t>
            </w: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30306</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救济费</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30226</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劳务费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31.10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其他支出</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30307</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医疗费补助</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30227</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委托业务费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39906</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赠与</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30308</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助学金</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30228</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工会经费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39907</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国家赔偿费用支出</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30309</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奖励金</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30229</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福利费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39908</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对民间非营利组织和群众性自治组织补贴</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30310</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个人农业生产补贴</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30231</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公务用车运行维护费</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39999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其他支出</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30311</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代缴社会保险费</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30239</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其他交通费用</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15.84</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30399</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其他对个人和家庭的补助</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30240</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税金及附加费用</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3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10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p>
        </w:tc>
        <w:tc>
          <w:tcPr>
            <w:tcW w:w="350"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30299</w:t>
            </w:r>
          </w:p>
        </w:tc>
        <w:tc>
          <w:tcPr>
            <w:tcW w:w="67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其他商品和服务支出</w:t>
            </w:r>
          </w:p>
        </w:tc>
        <w:tc>
          <w:tcPr>
            <w:tcW w:w="310" w:type="pct"/>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36.25</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w:t>
            </w:r>
          </w:p>
        </w:tc>
        <w:tc>
          <w:tcPr>
            <w:tcW w:w="98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84" w:hRule="exact"/>
          <w:jc w:val="center"/>
        </w:trPr>
        <w:tc>
          <w:tcPr>
            <w:tcW w:w="137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人员经费合计</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311.23</w:t>
            </w:r>
          </w:p>
        </w:tc>
        <w:tc>
          <w:tcPr>
            <w:tcW w:w="2972" w:type="pct"/>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公用经费合计</w:t>
            </w:r>
          </w:p>
        </w:tc>
        <w:tc>
          <w:tcPr>
            <w:tcW w:w="988"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425.31</w:t>
            </w:r>
          </w:p>
        </w:tc>
      </w:tr>
      <w:tr>
        <w:tblPrEx>
          <w:tblCellMar>
            <w:top w:w="0" w:type="dxa"/>
            <w:left w:w="108" w:type="dxa"/>
            <w:bottom w:w="0" w:type="dxa"/>
            <w:right w:w="108" w:type="dxa"/>
          </w:tblCellMar>
        </w:tblPrEx>
        <w:trPr>
          <w:trHeight w:val="284" w:hRule="exact"/>
          <w:jc w:val="center"/>
        </w:trPr>
        <w:tc>
          <w:tcPr>
            <w:tcW w:w="5000" w:type="pct"/>
            <w:gridSpan w:val="15"/>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注：本表反映部门本年度一般公共预算财政拨款基本支出明细情况。</w:t>
            </w:r>
          </w:p>
        </w:tc>
      </w:tr>
    </w:tbl>
    <w:p>
      <w:pPr>
        <w:widowControl/>
        <w:jc w:val="center"/>
        <w:rPr>
          <w:rFonts w:hint="eastAsia" w:ascii="宋体" w:hAnsi="宋体" w:eastAsia="宋体" w:cs="宋体"/>
          <w:color w:val="000000"/>
          <w:kern w:val="0"/>
          <w:szCs w:val="21"/>
          <w:highlight w:val="none"/>
        </w:rPr>
      </w:pPr>
    </w:p>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 w:val="36"/>
          <w:szCs w:val="36"/>
          <w:highlight w:val="none"/>
        </w:rPr>
        <w:t>一般公共预算财政拨款“三公”经费支出决算表</w:t>
      </w:r>
    </w:p>
    <w:tbl>
      <w:tblPr>
        <w:tblStyle w:val="9"/>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pPr>
              <w:widowControl/>
              <w:jc w:val="center"/>
              <w:rPr>
                <w:rFonts w:hint="eastAsia" w:ascii="宋体" w:hAnsi="宋体" w:eastAsia="宋体" w:cs="宋体"/>
                <w:kern w:val="0"/>
                <w:szCs w:val="21"/>
                <w:highlight w:val="none"/>
              </w:rPr>
            </w:pPr>
          </w:p>
        </w:tc>
        <w:tc>
          <w:tcPr>
            <w:tcW w:w="2506" w:type="pct"/>
            <w:gridSpan w:val="6"/>
            <w:tcBorders>
              <w:top w:val="nil"/>
              <w:left w:val="nil"/>
              <w:bottom w:val="nil"/>
              <w:right w:val="nil"/>
            </w:tcBorders>
            <w:shd w:val="clear" w:color="auto" w:fill="auto"/>
            <w:vAlign w:val="center"/>
          </w:tcPr>
          <w:p>
            <w:pPr>
              <w:widowControl/>
              <w:jc w:val="right"/>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公开07表</w:t>
            </w:r>
          </w:p>
        </w:tc>
      </w:tr>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部门：祁阳市信访局</w:t>
            </w:r>
          </w:p>
        </w:tc>
        <w:tc>
          <w:tcPr>
            <w:tcW w:w="2506" w:type="pct"/>
            <w:gridSpan w:val="6"/>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单位：万元</w:t>
            </w:r>
          </w:p>
        </w:tc>
      </w:tr>
      <w:tr>
        <w:tblPrEx>
          <w:tblCellMar>
            <w:top w:w="0" w:type="dxa"/>
            <w:left w:w="108" w:type="dxa"/>
            <w:bottom w:w="0" w:type="dxa"/>
            <w:right w:w="108" w:type="dxa"/>
          </w:tblCellMar>
        </w:tblPrEx>
        <w:trPr>
          <w:trHeight w:val="397"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公务</w:t>
            </w:r>
          </w:p>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公务</w:t>
            </w:r>
          </w:p>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公务用车</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公务用车</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420" w:type="pct"/>
            <w:vMerge w:val="continue"/>
            <w:tcBorders>
              <w:top w:val="single" w:color="auto" w:sz="4" w:space="0"/>
              <w:left w:val="nil"/>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公务用车</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公务用车</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401" w:type="pct"/>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r>
      <w:tr>
        <w:tblPrEx>
          <w:tblCellMar>
            <w:top w:w="0" w:type="dxa"/>
            <w:left w:w="108" w:type="dxa"/>
            <w:bottom w:w="0" w:type="dxa"/>
            <w:right w:w="108" w:type="dxa"/>
          </w:tblCellMar>
        </w:tblPrEx>
        <w:trPr>
          <w:trHeight w:val="397" w:hRule="atLeast"/>
          <w:jc w:val="center"/>
        </w:trPr>
        <w:tc>
          <w:tcPr>
            <w:tcW w:w="1183" w:type="dxa"/>
            <w:tcBorders>
              <w:top w:val="nil"/>
              <w:left w:val="single" w:color="auto" w:sz="8" w:space="0"/>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7.00</w:t>
            </w:r>
          </w:p>
        </w:tc>
        <w:tc>
          <w:tcPr>
            <w:tcW w:w="1297"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Cs w:val="21"/>
                <w:highlight w:val="none"/>
              </w:rPr>
            </w:pPr>
          </w:p>
        </w:tc>
        <w:tc>
          <w:tcPr>
            <w:tcW w:w="1297"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Cs w:val="21"/>
                <w:highlight w:val="none"/>
              </w:rPr>
            </w:pPr>
          </w:p>
        </w:tc>
        <w:tc>
          <w:tcPr>
            <w:tcW w:w="1297"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Cs w:val="21"/>
                <w:highlight w:val="none"/>
              </w:rPr>
            </w:pPr>
          </w:p>
        </w:tc>
        <w:tc>
          <w:tcPr>
            <w:tcW w:w="1305"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Cs w:val="21"/>
                <w:highlight w:val="none"/>
              </w:rPr>
            </w:pPr>
          </w:p>
        </w:tc>
        <w:tc>
          <w:tcPr>
            <w:tcW w:w="1318"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7.00</w:t>
            </w:r>
          </w:p>
        </w:tc>
        <w:tc>
          <w:tcPr>
            <w:tcW w:w="1296"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5.14</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Cs w:val="21"/>
                <w:highlight w:val="none"/>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Cs w:val="21"/>
                <w:highlight w:val="none"/>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Cs w:val="21"/>
                <w:highlight w:val="none"/>
              </w:rPr>
            </w:pPr>
          </w:p>
        </w:tc>
        <w:tc>
          <w:tcPr>
            <w:tcW w:w="1305" w:type="dxa"/>
            <w:tcBorders>
              <w:top w:val="nil"/>
              <w:left w:val="nil"/>
              <w:bottom w:val="single" w:color="auto" w:sz="8" w:space="0"/>
              <w:right w:val="nil"/>
            </w:tcBorders>
            <w:shd w:val="clear" w:color="auto" w:fill="auto"/>
            <w:vAlign w:val="center"/>
          </w:tcPr>
          <w:p>
            <w:pPr>
              <w:jc w:val="center"/>
              <w:rPr>
                <w:rFonts w:hint="eastAsia" w:ascii="宋体" w:hAnsi="宋体" w:eastAsia="宋体" w:cs="宋体"/>
                <w:kern w:val="0"/>
                <w:szCs w:val="21"/>
                <w:highlight w:val="none"/>
              </w:rPr>
            </w:pPr>
          </w:p>
        </w:tc>
        <w:tc>
          <w:tcPr>
            <w:tcW w:w="1244" w:type="dxa"/>
            <w:tcBorders>
              <w:top w:val="nil"/>
              <w:left w:val="single" w:color="auto" w:sz="4" w:space="0"/>
              <w:bottom w:val="single" w:color="auto" w:sz="8" w:space="0"/>
              <w:right w:val="single" w:color="auto" w:sz="8" w:space="0"/>
            </w:tcBorders>
            <w:shd w:val="clear" w:color="auto" w:fill="auto"/>
            <w:vAlign w:val="center"/>
          </w:tcPr>
          <w:p>
            <w:pPr>
              <w:widowControl/>
              <w:jc w:val="center"/>
              <w:textAlignment w:val="center"/>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5.14</w:t>
            </w:r>
          </w:p>
        </w:tc>
      </w:tr>
    </w:tbl>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kern w:val="0"/>
          <w:szCs w:val="21"/>
          <w:highlight w:val="none"/>
        </w:rPr>
        <w:br w:type="page"/>
      </w:r>
    </w:p>
    <w:p>
      <w:pPr>
        <w:autoSpaceDE w:val="0"/>
        <w:autoSpaceDN w:val="0"/>
        <w:adjustRightInd w:val="0"/>
        <w:ind w:left="315" w:leftChars="150"/>
        <w:jc w:val="left"/>
        <w:rPr>
          <w:rFonts w:hint="eastAsia" w:ascii="宋体" w:hAnsi="宋体" w:eastAsia="宋体" w:cs="宋体"/>
          <w:kern w:val="0"/>
          <w:sz w:val="24"/>
          <w:szCs w:val="24"/>
          <w:highlight w:val="none"/>
        </w:rPr>
      </w:pPr>
    </w:p>
    <w:p>
      <w:pPr>
        <w:widowControl/>
        <w:jc w:val="center"/>
        <w:rPr>
          <w:rFonts w:hint="eastAsia" w:ascii="宋体" w:hAnsi="宋体" w:eastAsia="宋体" w:cs="宋体"/>
          <w:color w:val="000000"/>
          <w:kern w:val="0"/>
          <w:szCs w:val="21"/>
          <w:highlight w:val="none"/>
        </w:rPr>
      </w:pPr>
      <w:r>
        <w:rPr>
          <w:rFonts w:hint="eastAsia" w:ascii="宋体" w:hAnsi="宋体" w:eastAsia="宋体" w:cs="宋体"/>
          <w:kern w:val="0"/>
          <w:sz w:val="36"/>
          <w:szCs w:val="36"/>
          <w:highlight w:val="none"/>
        </w:rPr>
        <w:t>政府性基金预算财政拨款收入支出决算表</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hint="eastAsia" w:ascii="宋体" w:hAnsi="宋体" w:eastAsia="宋体" w:cs="宋体"/>
                <w:b/>
                <w:kern w:val="0"/>
                <w:szCs w:val="21"/>
                <w:highlight w:val="none"/>
              </w:rPr>
            </w:pPr>
          </w:p>
        </w:tc>
        <w:tc>
          <w:tcPr>
            <w:tcW w:w="557" w:type="pct"/>
            <w:tcBorders>
              <w:top w:val="nil"/>
              <w:left w:val="nil"/>
              <w:bottom w:val="nil"/>
              <w:right w:val="nil"/>
            </w:tcBorders>
            <w:shd w:val="clear" w:color="auto" w:fill="auto"/>
            <w:vAlign w:val="center"/>
          </w:tcPr>
          <w:p>
            <w:pPr>
              <w:widowControl/>
              <w:jc w:val="center"/>
              <w:rPr>
                <w:rFonts w:hint="eastAsia" w:ascii="宋体" w:hAnsi="宋体" w:eastAsia="宋体" w:cs="宋体"/>
                <w:b/>
                <w:kern w:val="0"/>
                <w:szCs w:val="21"/>
                <w:highlight w:val="none"/>
              </w:rPr>
            </w:pPr>
          </w:p>
        </w:tc>
        <w:tc>
          <w:tcPr>
            <w:tcW w:w="557" w:type="pct"/>
            <w:tcBorders>
              <w:top w:val="nil"/>
              <w:left w:val="nil"/>
              <w:bottom w:val="nil"/>
              <w:right w:val="nil"/>
            </w:tcBorders>
            <w:shd w:val="clear" w:color="auto" w:fill="auto"/>
            <w:vAlign w:val="center"/>
          </w:tcPr>
          <w:p>
            <w:pPr>
              <w:widowControl/>
              <w:jc w:val="center"/>
              <w:rPr>
                <w:rFonts w:hint="eastAsia" w:ascii="宋体" w:hAnsi="宋体" w:eastAsia="宋体" w:cs="宋体"/>
                <w:b/>
                <w:kern w:val="0"/>
                <w:szCs w:val="21"/>
                <w:highlight w:val="none"/>
              </w:rPr>
            </w:pPr>
          </w:p>
        </w:tc>
        <w:tc>
          <w:tcPr>
            <w:tcW w:w="1673" w:type="pct"/>
            <w:gridSpan w:val="3"/>
            <w:tcBorders>
              <w:top w:val="nil"/>
              <w:left w:val="nil"/>
              <w:bottom w:val="nil"/>
              <w:right w:val="nil"/>
            </w:tcBorders>
            <w:shd w:val="clear" w:color="auto" w:fill="auto"/>
            <w:vAlign w:val="center"/>
          </w:tcPr>
          <w:p>
            <w:pPr>
              <w:widowControl/>
              <w:jc w:val="center"/>
              <w:rPr>
                <w:rFonts w:hint="eastAsia" w:ascii="宋体" w:hAnsi="宋体" w:eastAsia="宋体" w:cs="宋体"/>
                <w:b/>
                <w:kern w:val="0"/>
                <w:szCs w:val="21"/>
                <w:highlight w:val="none"/>
              </w:rPr>
            </w:pPr>
          </w:p>
        </w:tc>
        <w:tc>
          <w:tcPr>
            <w:tcW w:w="561" w:type="pct"/>
            <w:tcBorders>
              <w:top w:val="nil"/>
              <w:left w:val="nil"/>
              <w:bottom w:val="nil"/>
              <w:right w:val="nil"/>
            </w:tcBorders>
            <w:shd w:val="clear" w:color="auto" w:fill="auto"/>
            <w:vAlign w:val="center"/>
          </w:tcPr>
          <w:p>
            <w:pPr>
              <w:widowControl/>
              <w:jc w:val="right"/>
              <w:rPr>
                <w:rFonts w:hint="eastAsia" w:ascii="宋体" w:hAnsi="宋体" w:eastAsia="宋体" w:cs="宋体"/>
                <w:b/>
                <w:kern w:val="0"/>
                <w:szCs w:val="21"/>
                <w:highlight w:val="none"/>
              </w:rPr>
            </w:pPr>
            <w:r>
              <w:rPr>
                <w:rFonts w:hint="eastAsia" w:ascii="宋体" w:hAnsi="宋体" w:eastAsia="宋体" w:cs="宋体"/>
                <w:color w:val="000000"/>
                <w:kern w:val="0"/>
                <w:szCs w:val="21"/>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kern w:val="0"/>
                <w:szCs w:val="21"/>
                <w:highlight w:val="none"/>
              </w:rPr>
            </w:pPr>
            <w:r>
              <w:rPr>
                <w:rFonts w:hint="eastAsia" w:ascii="宋体" w:hAnsi="宋体" w:eastAsia="宋体" w:cs="宋体"/>
                <w:color w:val="000000"/>
                <w:kern w:val="0"/>
                <w:szCs w:val="21"/>
                <w:highlight w:val="none"/>
              </w:rPr>
              <w:t>部门：祁阳市信访局</w:t>
            </w:r>
          </w:p>
        </w:tc>
        <w:tc>
          <w:tcPr>
            <w:tcW w:w="557"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Cs w:val="21"/>
                <w:highlight w:val="none"/>
              </w:rPr>
            </w:pPr>
          </w:p>
        </w:tc>
        <w:tc>
          <w:tcPr>
            <w:tcW w:w="557"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Cs w:val="21"/>
                <w:highlight w:val="none"/>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Cs w:val="21"/>
                <w:highlight w:val="none"/>
              </w:rPr>
            </w:pPr>
          </w:p>
        </w:tc>
        <w:tc>
          <w:tcPr>
            <w:tcW w:w="561" w:type="pct"/>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b/>
                <w:kern w:val="0"/>
                <w:szCs w:val="21"/>
                <w:highlight w:val="none"/>
              </w:rPr>
            </w:pPr>
            <w:r>
              <w:rPr>
                <w:rFonts w:hint="eastAsia" w:ascii="宋体" w:hAnsi="宋体" w:eastAsia="宋体" w:cs="宋体"/>
                <w:color w:val="000000"/>
                <w:kern w:val="0"/>
                <w:szCs w:val="21"/>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项 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科目名称</w:t>
            </w: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b w:val="0"/>
                <w:bCs/>
                <w:kern w:val="0"/>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b w:val="0"/>
                <w:bCs/>
                <w:kern w:val="0"/>
                <w:szCs w:val="21"/>
                <w:highlight w:val="none"/>
              </w:rPr>
            </w:pPr>
          </w:p>
        </w:tc>
        <w:tc>
          <w:tcPr>
            <w:tcW w:w="555"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栏次</w:t>
            </w:r>
          </w:p>
        </w:tc>
        <w:tc>
          <w:tcPr>
            <w:tcW w:w="557" w:type="pct"/>
            <w:tcBorders>
              <w:top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557" w:type="pct"/>
            <w:tcBorders>
              <w:top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555" w:type="pct"/>
            <w:tcBorders>
              <w:top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557" w:type="pct"/>
            <w:tcBorders>
              <w:top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560" w:type="pct"/>
            <w:tcBorders>
              <w:top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561" w:type="pct"/>
            <w:tcBorders>
              <w:top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3348" w:type="pct"/>
            <w:gridSpan w:val="6"/>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本单位没有政府性基金收入，也没有使用政府性基金安排的支出，故本表无数据。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273"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5"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0"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1"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273"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5"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0"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1"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273"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5"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0"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1"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273"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5"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0"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1"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273"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5"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0"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1"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273"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5"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57"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0"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561" w:type="pct"/>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bl>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注：本表反映部门本年度政府性基金预算财政拨款收入、支出及结转和结余情况。</w:t>
      </w:r>
    </w:p>
    <w:p>
      <w:pPr>
        <w:widowControl/>
        <w:jc w:val="left"/>
        <w:rPr>
          <w:rFonts w:hint="eastAsia" w:ascii="宋体" w:hAnsi="宋体" w:eastAsia="宋体" w:cs="宋体"/>
          <w:color w:val="FF0000"/>
          <w:kern w:val="0"/>
          <w:szCs w:val="21"/>
          <w:highlight w:val="none"/>
        </w:rPr>
      </w:pPr>
    </w:p>
    <w:p>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tbl>
      <w:tblPr>
        <w:tblStyle w:val="9"/>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nil"/>
              <w:right w:val="nil"/>
            </w:tcBorders>
            <w:shd w:val="clear" w:color="000000" w:fill="FFFFFF"/>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nil"/>
              <w:right w:val="nil"/>
            </w:tcBorders>
            <w:shd w:val="clear" w:color="000000" w:fill="FFFFFF"/>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46"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公开09表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部门：祁阳市信访局</w:t>
            </w:r>
          </w:p>
        </w:tc>
        <w:tc>
          <w:tcPr>
            <w:tcW w:w="1081" w:type="pct"/>
            <w:tcBorders>
              <w:top w:val="nil"/>
              <w:left w:val="nil"/>
              <w:bottom w:val="single" w:color="auto" w:sz="8" w:space="0"/>
              <w:right w:val="nil"/>
            </w:tcBorders>
            <w:shd w:val="clear" w:color="000000" w:fill="FFFFFF"/>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8" w:space="0"/>
              <w:right w:val="nil"/>
            </w:tcBorders>
            <w:shd w:val="clear" w:color="000000" w:fill="FFFFFF"/>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46"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单位：万元</w:t>
            </w:r>
          </w:p>
        </w:tc>
      </w:tr>
      <w:tr>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 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本年支出</w:t>
            </w:r>
          </w:p>
        </w:tc>
      </w:tr>
      <w:tr>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项目支出</w:t>
            </w: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Cs w:val="21"/>
                <w:highlight w:val="none"/>
              </w:rPr>
            </w:pPr>
          </w:p>
        </w:tc>
      </w:tr>
      <w:tr>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栏次</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r>
      <w:tr>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合计</w:t>
            </w:r>
          </w:p>
        </w:tc>
        <w:tc>
          <w:tcPr>
            <w:tcW w:w="3210"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本单位无国有资本经营预算财政拨款支出，故本表无数据。</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356"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46"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注：本表反映部门本年度国有资本经营预算财政拨款支出情况。</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本单位无国有资本经营预算财政拨款支出，故本表无数据。</w:t>
            </w:r>
          </w:p>
        </w:tc>
      </w:tr>
    </w:tbl>
    <w:p>
      <w:pPr>
        <w:pStyle w:val="14"/>
        <w:rPr>
          <w:rFonts w:hint="eastAsia" w:ascii="宋体" w:hAnsi="宋体" w:eastAsia="宋体" w:cs="宋体"/>
          <w:sz w:val="72"/>
          <w:szCs w:val="72"/>
          <w:highlight w:val="none"/>
        </w:rPr>
        <w:sectPr>
          <w:pgSz w:w="16838" w:h="11906" w:orient="landscape"/>
          <w:pgMar w:top="720" w:right="720" w:bottom="624" w:left="720" w:header="851" w:footer="992" w:gutter="0"/>
          <w:cols w:space="425" w:num="1"/>
          <w:docGrid w:type="lines" w:linePitch="312" w:charSpace="0"/>
        </w:sect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rPr>
        <w:t>第三部分</w:t>
      </w:r>
    </w:p>
    <w:p>
      <w:pPr>
        <w:pStyle w:val="14"/>
        <w:jc w:val="center"/>
        <w:rPr>
          <w:rFonts w:hint="eastAsia" w:ascii="宋体" w:hAnsi="宋体" w:eastAsia="宋体" w:cs="宋体"/>
          <w:b w:val="0"/>
          <w:bCs w:val="0"/>
          <w:sz w:val="72"/>
          <w:szCs w:val="72"/>
          <w:highlight w:val="none"/>
        </w:rPr>
      </w:pPr>
    </w:p>
    <w:p>
      <w:pPr>
        <w:pStyle w:val="14"/>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rPr>
        <w:t>2021年度部门决算情况说明</w:t>
      </w:r>
    </w:p>
    <w:p>
      <w:pPr>
        <w:keepNext w:val="0"/>
        <w:keepLines w:val="0"/>
        <w:pageBreakBefore w:val="0"/>
        <w:widowControl/>
        <w:kinsoku/>
        <w:wordWrap/>
        <w:topLinePunct w:val="0"/>
        <w:bidi w:val="0"/>
        <w:snapToGrid/>
        <w:ind w:firstLine="1400" w:firstLineChars="200"/>
        <w:jc w:val="left"/>
        <w:textAlignment w:val="auto"/>
        <w:rPr>
          <w:rFonts w:hint="eastAsia" w:ascii="宋体" w:hAnsi="宋体" w:eastAsia="宋体" w:cs="宋体"/>
          <w:color w:val="000000"/>
          <w:kern w:val="0"/>
          <w:sz w:val="70"/>
          <w:szCs w:val="70"/>
          <w:highlight w:val="none"/>
        </w:rPr>
      </w:pPr>
      <w:r>
        <w:rPr>
          <w:rFonts w:hint="eastAsia" w:ascii="宋体" w:hAnsi="宋体" w:eastAsia="宋体" w:cs="宋体"/>
          <w:sz w:val="70"/>
          <w:szCs w:val="70"/>
          <w:highlight w:val="none"/>
        </w:rPr>
        <w:br w:type="page"/>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一、收入支出决算总体情况说明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2021年度收、支总计736.54万元。与上年相比，减少55.58万元，减少7.02%，主要是因为节省开支。</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二、收入决算情况说明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2021年度收入合计736.54万元，其中：财政拨款收入736.54万元，占100%；上级补助收入0万元，占0%；事业收入0万元，占0%；经营收入0万元，占0%；附属单位上缴收入0万元，占0%；其他收入0万元，占0%。</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三、支出决算情况说明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2021年度支出合计736.54万元，其中：基本支出736.54万元，占100%；项目支出0万元，占0%；上缴上级支出0万元，占0%；经营支出0万元，占0%；对附属单位补助支出0万元，占0%。</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四、财政拨款收入支出决算总体情况说明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2021年度财政拨款收、支总计736.54万元，与上年相比，减少55.58万元,减少7.02%，主要是因为节省开支。</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五、一般公共预算财政拨款支出决算情况说明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（一）财政拨款支出决算总体情况</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2021年度财政拨款支出736.54万元，占本年支出合计的100%，与上年相比，财政拨款支出减少55.58万元，减少7.02%，主要是因为节省开支。</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（二）财政拨款支出决算结构情况</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736.54万元，主要用于以下方面：一般公共服务（201）支出687.73万元，占93.37%；社会保障和就业（208）支出26.08万元，占3.54%；卫生健康（210）支出8.92万元，占1.21%；住房保障（221）支出13.81万元，占1.87%。</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（三）财政拨款支出决算具体情况</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2021年度财政拨款支出年初预算数为369.86万元，支出决算数为736.54万元，完成年初预算的199.14%，其中：</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1、一般公共服务支出（201）政府办公厅（室）及相关机构事务（20103）行政运行（2010301）。</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年初预算为307.86万元，支出决算为143.67万元，完成年初预算的46.67%，决算数小于年初预算数的主要原因是：节省开支。</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2、一般公共服务支出（201）政府办公厅（室）及相关机构事务（20103）一般行政管理事务（2010302）。</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年初预算为0万元，支出决算为8.5万元，由于预算数为0，无法计算百分比，决算数大于年初预算数的主要原因是：财政追加预算。</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3、一般公共服务支出（201）政府办公厅（室）及相关机构事务（20103）信访事务（2010308）。</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年初预算为34万元，支出决算为499.4万元，完成年初预算的1468.82%，决算数大于年初预算数的主要原因是：财政追加预算。</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4、一般公共服务支出（201）其他一般公共服务支出（20199）其他一般公共服务支出（2019999）。</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年初预算为0万元，支出决算为36.16万元，由于预算数为0，无法计算百分比，决算数大于年初预算数的主要原因是：财政追加预算。</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5、社会保障和就业支出（208）行政事业单位养老支出（20805）机关事业单位基本养老保险缴费支出（2080505）。</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年初预算为19.08万元，支出决算为19.08万元，完成年初预算的100%，决算数等于年初预算数的主要原因是：严格按照年初预算数执行。</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6、社会保障与就业支出（208）抚恤（20808）其他优抚支出（2080899）。</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年初预算为0万元，支出决算为7万元，由于预算数为0，无法计算百分比，决算数大于年初预算数的主要原因是：财政追加预算。</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7、卫生健康支出（210）行政事业单位医疗（21011）行政单位医疗（2101101）。</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年初预算为8.92万元，支出决算为8.92万元，完成年初预算的100%，决算数等于年初预算数的主要原因是：严格按照年初预算数执行。</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8、住房保障支出（221）住房改革支出（22102）住房公积金（2210201）。</w:t>
      </w:r>
    </w:p>
    <w:p>
      <w:pPr>
        <w:pStyle w:val="8"/>
        <w:keepNext w:val="0"/>
        <w:keepLines w:val="0"/>
        <w:pageBreakBefore w:val="0"/>
        <w:shd w:val="clear" w:color="auto" w:fill="FFFFFF"/>
        <w:kinsoku/>
        <w:wordWrap/>
        <w:topLinePunct w:val="0"/>
        <w:bidi w:val="0"/>
        <w:snapToGrid/>
        <w:spacing w:before="0" w:beforeAutospacing="0" w:after="0" w:afterAutospacing="0" w:line="480" w:lineRule="auto"/>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年初预算为0万元，支出决算为13.81万元，由于预算数为0，无法计算百分比，决算数大于年初预算数的主要原因是：项目没有纳入单位预算，由公共财政统一支付。</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六、一般公共预算财政拨款基本支出决算情况说明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i/>
          <w:color w:val="FF0000"/>
          <w:sz w:val="32"/>
          <w:szCs w:val="32"/>
          <w:highlight w:val="none"/>
        </w:rPr>
      </w:pPr>
      <w:r>
        <w:rPr>
          <w:rFonts w:hint="eastAsia" w:ascii="宋体" w:hAnsi="宋体" w:eastAsia="宋体" w:cs="宋体"/>
          <w:sz w:val="32"/>
          <w:szCs w:val="32"/>
          <w:highlight w:val="none"/>
        </w:rPr>
        <w:t>2021年度财政拨款基本支出736.54万元，其中：人员经费311.23万元，占基本支出的42.26%,主要包括基本工资、津贴补贴、奖金、机关事业单位基本养老保险缴费、职工基本医疗保险缴费、住房公积金、对个人和家庭生活补助等；公用经费425.31万元，占基本支出的57.74%，主要包括办公费、印刷费、差旅费、维修（护）费、租赁费、会议费、培训费、公务接待费、劳务费、其他交通费、其他商品和服务支出等。</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七、一般公共预算财政拨款“三公”经费支出决算情况说明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（一）“三公”经费财政拨款支出决算总体情况说明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2021年度“三公”经费财政拨款支出预算为7万元，支出决算为5.14万元，完成预算的73.43%，其中：</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因公出国（境）费支出预算为0万元，支出决算为0万元，由于预算数为0，无法计算百分比，决算数与预算数持平的主要原因是无因公出国（境）费支出，与上年相比持平，无增减变化，无变化的主要原因是无因公出国（境）费支出。</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公务接待费支出预算为7万元，支出决算为5.14万元，完成预算的73.43%，决算数小于预算数的主要原因是严格执行八项规定，进一步规范公务接待管理，与上年相比减少0.18万元，减少3.38%,减少的主要原因是实行归口统一管理，先审批后安排，严厉执行上级有关接待的规定，严格按标准按流程接待。</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公务用车购置费支出预算为0万元，支出决算为0万元，由于预算数为0，无法计算百分比，决算数与预算数持平的主要原因是无公务用车购置费支出，与上年相比持平，无增减变化，无变化的主要原因是无公务用车购置费支出。</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公务用车运行维护费支出预算为0万元，支出决算为0万元，由于预算数为0，无法计算百分比，决算数与预算数持平的主要原因是无公务用车运行维护费支出，与上年相比持平，无增减变化，无变化的主要原因是无公务用车运行维护费支出。</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（二）“三公”经费财政拨款支出决算具体情况说明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2021年度“三公”经费财政拨款支出决算中，公务接待费支出决算5.14万元，占100%,因公出国（境）费支出决算0万元，占0%,公务用车购置费及运行维护费支出决算0万元，占0%。其中：</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1、因公出国（境）费支出决算为0万元，全年安排因公出国（境）团组0个，累计0人次。</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2、公务接待费支出决算为5.14万元，全年共接待来访团组61个、来宾478人次，主要是信访维稳，上级单位来局督查信访相关工作，外县、市来局调研和交流信访工作经验等发生的接待支出。</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3、公务用车购置费及运行维护费支出决算为0万元，其中：公务用车购置费0万元，更新公务用车0辆。公务用车运行维护费0万元，截止2021年12月31日，我单位开支财政拨款的公务用车保有量为0辆。</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八、政府性基金预算收入支出决算情况</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i/>
          <w:color w:val="FF0000"/>
          <w:sz w:val="32"/>
          <w:szCs w:val="32"/>
          <w:highlight w:val="none"/>
        </w:rPr>
      </w:pPr>
      <w:r>
        <w:rPr>
          <w:rFonts w:hint="eastAsia" w:ascii="宋体" w:hAnsi="宋体" w:eastAsia="宋体" w:cs="宋体"/>
          <w:sz w:val="32"/>
          <w:szCs w:val="32"/>
          <w:highlight w:val="none"/>
        </w:rPr>
        <w:t>2021年度本单位无政府性基金收支。</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九、机关运行经费支出说明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本部门2021年度机关运行经费支出425.31万元，比年初预算数增加249.91万元，增长142.48%。主要原因是：接访、信访法治宣传、信访特护期值班等开支增加。</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十、一般性支出情况说明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2021年度本部门开支会议费6.15万元，用于召开信访联席会议和信访工作会议，人数895人，内容为信访维稳工作；开支培训费2.96万元，用于开展信访维稳业务骨干培训，人数276人，内容为信访依法分类、信访法治化建设工作等；未举办节庆、晚会、论坛、赛事活动，开支0万元。</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十一、政府采购支出说明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十二、国有资产占用情况说明</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截至2021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4"/>
        <w:keepNext w:val="0"/>
        <w:keepLines w:val="0"/>
        <w:pageBreakBefore w:val="0"/>
        <w:kinsoku/>
        <w:wordWrap/>
        <w:topLinePunct w:val="0"/>
        <w:bidi w:val="0"/>
        <w:snapToGrid/>
        <w:ind w:firstLine="640"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十三、2021年度预算绩效情况说明</w:t>
      </w:r>
    </w:p>
    <w:p>
      <w:pPr>
        <w:keepNext w:val="0"/>
        <w:keepLines w:val="0"/>
        <w:pageBreakBefore w:val="0"/>
        <w:kinsoku/>
        <w:wordWrap/>
        <w:topLinePunct w:val="0"/>
        <w:autoSpaceDE w:val="0"/>
        <w:autoSpaceDN w:val="0"/>
        <w:bidi w:val="0"/>
        <w:adjustRightInd w:val="0"/>
        <w:snapToGrid/>
        <w:ind w:firstLine="640" w:firstLineChars="20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32"/>
          <w:szCs w:val="32"/>
          <w:highlight w:val="none"/>
        </w:rPr>
        <w:t>（1）绩效管理评价工作开展情况</w:t>
      </w:r>
      <w:r>
        <w:rPr>
          <w:rFonts w:hint="eastAsia" w:ascii="宋体" w:hAnsi="宋体" w:eastAsia="宋体" w:cs="宋体"/>
          <w:color w:val="000000"/>
          <w:kern w:val="0"/>
          <w:sz w:val="32"/>
          <w:szCs w:val="32"/>
          <w:highlight w:val="none"/>
        </w:rPr>
        <w:t>。</w:t>
      </w:r>
    </w:p>
    <w:p>
      <w:pPr>
        <w:keepNext w:val="0"/>
        <w:keepLines w:val="0"/>
        <w:pageBreakBefore w:val="0"/>
        <w:kinsoku/>
        <w:wordWrap/>
        <w:topLinePunct w:val="0"/>
        <w:autoSpaceDE w:val="0"/>
        <w:autoSpaceDN w:val="0"/>
        <w:bidi w:val="0"/>
        <w:adjustRightInd w:val="0"/>
        <w:snapToGrid/>
        <w:ind w:firstLine="640" w:firstLineChars="20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本部门2021年整体支出736.54万元，其中项目支出0万元，无重点项目支出。根据预算绩效管理要求，我部门组织对2021 年度一般公共预算项目支出全面开展绩效自评，其中，一级项目0个，二级项目0个，共涉及资金0万元，占一般公共预算项目支出总额的0%。</w:t>
      </w:r>
    </w:p>
    <w:p>
      <w:pPr>
        <w:keepNext w:val="0"/>
        <w:keepLines w:val="0"/>
        <w:pageBreakBefore w:val="0"/>
        <w:kinsoku/>
        <w:wordWrap/>
        <w:topLinePunct w:val="0"/>
        <w:autoSpaceDE w:val="0"/>
        <w:autoSpaceDN w:val="0"/>
        <w:bidi w:val="0"/>
        <w:adjustRightInd w:val="0"/>
        <w:snapToGrid/>
        <w:ind w:firstLine="640" w:firstLineChars="20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组织对“祁阳市信访局”本级1个单位开展整体支出绩效评价，涉及一般公共预算支出</w:t>
      </w:r>
      <w:r>
        <w:rPr>
          <w:rFonts w:hint="eastAsia" w:ascii="宋体" w:hAnsi="宋体" w:eastAsia="宋体" w:cs="宋体"/>
          <w:sz w:val="32"/>
          <w:szCs w:val="32"/>
          <w:highlight w:val="none"/>
        </w:rPr>
        <w:t>736.54</w:t>
      </w:r>
      <w:r>
        <w:rPr>
          <w:rFonts w:hint="eastAsia" w:ascii="宋体" w:hAnsi="宋体" w:eastAsia="宋体" w:cs="宋体"/>
          <w:color w:val="000000"/>
          <w:kern w:val="0"/>
          <w:sz w:val="32"/>
          <w:szCs w:val="32"/>
          <w:highlight w:val="none"/>
        </w:rPr>
        <w:t>万元，政府性基金预算支出0万元。从评价情况来看，</w:t>
      </w:r>
    </w:p>
    <w:p>
      <w:pPr>
        <w:keepNext w:val="0"/>
        <w:keepLines w:val="0"/>
        <w:pageBreakBefore w:val="0"/>
        <w:shd w:val="clear" w:color="auto" w:fill="FFFFFF"/>
        <w:kinsoku/>
        <w:wordWrap/>
        <w:overflowPunct w:val="0"/>
        <w:topLinePunct w:val="0"/>
        <w:bidi w:val="0"/>
        <w:snapToGrid/>
        <w:ind w:firstLine="640" w:firstLineChars="200"/>
        <w:jc w:val="left"/>
        <w:textAlignment w:val="auto"/>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本单位注重绩效管理，严格规范专项经费使用，有效保障了各项信访事务的开展，达到了年初绩效预期目标，</w:t>
      </w:r>
      <w:r>
        <w:rPr>
          <w:rFonts w:hint="eastAsia" w:ascii="宋体" w:hAnsi="宋体" w:eastAsia="宋体" w:cs="宋体"/>
          <w:sz w:val="32"/>
          <w:szCs w:val="32"/>
          <w:highlight w:val="none"/>
        </w:rPr>
        <w:t>部门整体绩效评价报告已作为附件进行公开</w:t>
      </w:r>
      <w:r>
        <w:rPr>
          <w:rFonts w:hint="eastAsia" w:ascii="宋体" w:hAnsi="宋体" w:eastAsia="宋体" w:cs="宋体"/>
          <w:kern w:val="0"/>
          <w:sz w:val="32"/>
          <w:szCs w:val="32"/>
          <w:highlight w:val="none"/>
        </w:rPr>
        <w:t>。</w:t>
      </w:r>
    </w:p>
    <w:p>
      <w:pPr>
        <w:keepNext w:val="0"/>
        <w:keepLines w:val="0"/>
        <w:pageBreakBefore w:val="0"/>
        <w:shd w:val="clear" w:color="auto" w:fill="FFFFFF"/>
        <w:kinsoku/>
        <w:wordWrap/>
        <w:overflowPunct w:val="0"/>
        <w:topLinePunct w:val="0"/>
        <w:bidi w:val="0"/>
        <w:snapToGrid/>
        <w:ind w:firstLine="640" w:firstLineChars="200"/>
        <w:jc w:val="left"/>
        <w:textAlignment w:val="auto"/>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2021年度全市呈现信访总量、越级重复访量、信访积案存量下降，无到非接待场所上访、重大群体事件、极端恶性事件、负面舆情炒作，信访秩序持续好转的“三降四无一好转”态势，维护了社会大局安全稳定，回访群众满意度高。全市信访工作“三无”镇(街道)、村(社区)达标16个、538个，占比率72.37%、96.07%。2021年祁阳市被评为全省信访工作“三无”县市区、真抓实干获省政府表扬激励，</w:t>
      </w:r>
      <w:r>
        <w:rPr>
          <w:rFonts w:hint="eastAsia" w:ascii="宋体" w:hAnsi="宋体" w:eastAsia="宋体" w:cs="宋体"/>
          <w:sz w:val="32"/>
          <w:szCs w:val="32"/>
          <w:highlight w:val="none"/>
        </w:rPr>
        <w:t>市信访局被评为“2021年度全省信访工作先进集体”，</w:t>
      </w:r>
      <w:r>
        <w:rPr>
          <w:rFonts w:hint="eastAsia" w:ascii="宋体" w:hAnsi="宋体" w:eastAsia="宋体" w:cs="宋体"/>
          <w:kern w:val="0"/>
          <w:sz w:val="32"/>
          <w:szCs w:val="32"/>
          <w:highlight w:val="none"/>
        </w:rPr>
        <w:t>市信访接待中心荣获“全省信访部门‘人民满意窗口’创建示范单位”。2021年</w:t>
      </w:r>
      <w:r>
        <w:rPr>
          <w:rFonts w:hint="eastAsia" w:ascii="宋体" w:hAnsi="宋体" w:eastAsia="宋体" w:cs="宋体"/>
          <w:sz w:val="32"/>
          <w:szCs w:val="32"/>
          <w:highlight w:val="none"/>
        </w:rPr>
        <w:t>11月20日，在全省信访干部业务培训示范班上，祁阳作为唯一县市区代表作典型发言，受到各级领导和其他市县区的好评</w:t>
      </w:r>
      <w:r>
        <w:rPr>
          <w:rFonts w:hint="eastAsia" w:ascii="宋体" w:hAnsi="宋体" w:eastAsia="宋体" w:cs="宋体"/>
          <w:kern w:val="0"/>
          <w:sz w:val="32"/>
          <w:szCs w:val="32"/>
          <w:highlight w:val="none"/>
        </w:rPr>
        <w:t>。</w:t>
      </w:r>
    </w:p>
    <w:p>
      <w:pPr>
        <w:pStyle w:val="8"/>
        <w:keepNext w:val="0"/>
        <w:keepLines w:val="0"/>
        <w:pageBreakBefore w:val="0"/>
        <w:kinsoku/>
        <w:wordWrap/>
        <w:topLinePunct w:val="0"/>
        <w:bidi w:val="0"/>
        <w:snapToGrid/>
        <w:spacing w:before="0" w:beforeAutospacing="0" w:after="105" w:afterAutospacing="0" w:line="30" w:lineRule="atLeast"/>
        <w:ind w:firstLine="640" w:firstLineChars="200"/>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（2）部门决算中项目绩效自评结果。</w:t>
      </w:r>
    </w:p>
    <w:p>
      <w:pPr>
        <w:pStyle w:val="8"/>
        <w:keepNext w:val="0"/>
        <w:keepLines w:val="0"/>
        <w:pageBreakBefore w:val="0"/>
        <w:kinsoku/>
        <w:wordWrap/>
        <w:topLinePunct w:val="0"/>
        <w:bidi w:val="0"/>
        <w:snapToGrid/>
        <w:spacing w:before="0" w:beforeAutospacing="0" w:after="105" w:afterAutospacing="0" w:line="30" w:lineRule="atLeast"/>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本部门无项目支出。</w:t>
      </w:r>
    </w:p>
    <w:p>
      <w:pPr>
        <w:pStyle w:val="8"/>
        <w:keepNext w:val="0"/>
        <w:keepLines w:val="0"/>
        <w:pageBreakBefore w:val="0"/>
        <w:kinsoku/>
        <w:wordWrap/>
        <w:topLinePunct w:val="0"/>
        <w:bidi w:val="0"/>
        <w:snapToGrid/>
        <w:spacing w:before="0" w:beforeAutospacing="0" w:after="105" w:afterAutospacing="0" w:line="30" w:lineRule="atLeast"/>
        <w:ind w:firstLine="640" w:firstLineChars="200"/>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（3）部门评价项目绩效评价结果。</w:t>
      </w:r>
    </w:p>
    <w:p>
      <w:pPr>
        <w:pStyle w:val="8"/>
        <w:keepNext w:val="0"/>
        <w:keepLines w:val="0"/>
        <w:pageBreakBefore w:val="0"/>
        <w:kinsoku/>
        <w:wordWrap/>
        <w:topLinePunct w:val="0"/>
        <w:bidi w:val="0"/>
        <w:snapToGrid/>
        <w:spacing w:before="0" w:beforeAutospacing="0" w:after="105" w:afterAutospacing="0" w:line="30" w:lineRule="atLeast"/>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本部门无项目支出。</w:t>
      </w:r>
    </w:p>
    <w:p>
      <w:pPr>
        <w:pStyle w:val="14"/>
        <w:keepNext w:val="0"/>
        <w:keepLines w:val="0"/>
        <w:pageBreakBefore w:val="0"/>
        <w:kinsoku/>
        <w:wordWrap/>
        <w:topLinePunct w:val="0"/>
        <w:bidi w:val="0"/>
        <w:snapToGrid/>
        <w:spacing w:line="600" w:lineRule="exact"/>
        <w:ind w:firstLine="640" w:firstLineChars="200"/>
        <w:textAlignment w:val="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十四、国有资本经营预算财政拨款支出决算情况</w:t>
      </w:r>
    </w:p>
    <w:p>
      <w:pPr>
        <w:pStyle w:val="14"/>
        <w:keepNext w:val="0"/>
        <w:keepLines w:val="0"/>
        <w:pageBreakBefore w:val="0"/>
        <w:kinsoku/>
        <w:wordWrap/>
        <w:topLinePunct w:val="0"/>
        <w:bidi w:val="0"/>
        <w:snapToGrid/>
        <w:spacing w:line="60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2021年度国有资本经营预算财政拨款支出0万元，其中基本支出0万元，项目支出0万元。本单位无国有资本经营预算支出。</w:t>
      </w:r>
    </w:p>
    <w:p>
      <w:pPr>
        <w:pStyle w:val="14"/>
        <w:rPr>
          <w:rFonts w:hint="eastAsia" w:ascii="宋体" w:hAnsi="宋体" w:eastAsia="宋体" w:cs="宋体"/>
          <w:b/>
          <w:sz w:val="32"/>
          <w:szCs w:val="3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Theme="minorEastAsia" w:hAnsiTheme="minorEastAsia" w:eastAsiaTheme="minorEastAsia" w:cstheme="minorEastAsia"/>
          <w:b w:val="0"/>
          <w:bCs w:val="0"/>
          <w:sz w:val="72"/>
          <w:szCs w:val="72"/>
          <w:highlight w:val="none"/>
        </w:rPr>
      </w:pPr>
      <w:r>
        <w:rPr>
          <w:rFonts w:hint="eastAsia" w:asciiTheme="minorEastAsia" w:hAnsiTheme="minorEastAsia" w:eastAsiaTheme="minorEastAsia" w:cstheme="minorEastAsia"/>
          <w:b w:val="0"/>
          <w:bCs w:val="0"/>
          <w:sz w:val="72"/>
          <w:szCs w:val="72"/>
          <w:highlight w:val="none"/>
        </w:rPr>
        <w:t>第四部分</w:t>
      </w:r>
    </w:p>
    <w:p>
      <w:pPr>
        <w:jc w:val="center"/>
        <w:rPr>
          <w:rFonts w:hint="eastAsia" w:asciiTheme="minorEastAsia" w:hAnsiTheme="minorEastAsia" w:eastAsiaTheme="minorEastAsia" w:cstheme="minorEastAsia"/>
          <w:b w:val="0"/>
          <w:bCs w:val="0"/>
          <w:color w:val="000000"/>
          <w:kern w:val="0"/>
          <w:sz w:val="72"/>
          <w:szCs w:val="72"/>
          <w:highlight w:val="none"/>
        </w:rPr>
      </w:pPr>
    </w:p>
    <w:p>
      <w:pPr>
        <w:jc w:val="center"/>
        <w:rPr>
          <w:rFonts w:hint="eastAsia" w:asciiTheme="minorEastAsia" w:hAnsiTheme="minorEastAsia" w:eastAsiaTheme="minorEastAsia" w:cstheme="minorEastAsia"/>
          <w:b w:val="0"/>
          <w:bCs w:val="0"/>
          <w:color w:val="000000"/>
          <w:kern w:val="0"/>
          <w:sz w:val="72"/>
          <w:szCs w:val="72"/>
          <w:highlight w:val="none"/>
        </w:rPr>
      </w:pPr>
      <w:r>
        <w:rPr>
          <w:rFonts w:hint="eastAsia" w:asciiTheme="minorEastAsia" w:hAnsiTheme="minorEastAsia" w:eastAsiaTheme="minorEastAsia" w:cstheme="minorEastAsia"/>
          <w:b w:val="0"/>
          <w:bCs w:val="0"/>
          <w:color w:val="000000"/>
          <w:kern w:val="0"/>
          <w:sz w:val="72"/>
          <w:szCs w:val="72"/>
          <w:highlight w:val="none"/>
        </w:rPr>
        <w:t>名词解释</w:t>
      </w:r>
    </w:p>
    <w:p>
      <w:pPr>
        <w:widowControl/>
        <w:jc w:val="left"/>
        <w:rPr>
          <w:rFonts w:hint="eastAsia" w:asciiTheme="minorEastAsia" w:hAnsiTheme="minorEastAsia" w:eastAsiaTheme="minorEastAsia" w:cstheme="minorEastAsia"/>
          <w:b w:val="0"/>
          <w:bCs w:val="0"/>
          <w:color w:val="000000"/>
          <w:kern w:val="0"/>
          <w:sz w:val="72"/>
          <w:szCs w:val="72"/>
          <w:highlight w:val="none"/>
        </w:rPr>
      </w:pPr>
      <w:r>
        <w:rPr>
          <w:rFonts w:hint="eastAsia" w:asciiTheme="minorEastAsia" w:hAnsiTheme="minorEastAsia" w:eastAsiaTheme="minorEastAsia" w:cstheme="minorEastAsia"/>
          <w:b w:val="0"/>
          <w:bCs w:val="0"/>
          <w:color w:val="000000"/>
          <w:kern w:val="0"/>
          <w:sz w:val="72"/>
          <w:szCs w:val="72"/>
          <w:highlight w:val="none"/>
        </w:rPr>
        <w:br w:type="page"/>
      </w:r>
    </w:p>
    <w:p>
      <w:pPr>
        <w:ind w:firstLine="640" w:firstLineChars="200"/>
        <w:jc w:val="left"/>
        <w:rPr>
          <w:rFonts w:hint="eastAsia" w:ascii="宋体" w:hAnsi="宋体" w:eastAsia="宋体" w:cs="宋体"/>
          <w:color w:val="000000"/>
          <w:kern w:val="0"/>
          <w:sz w:val="32"/>
          <w:szCs w:val="32"/>
          <w:highlight w:val="none"/>
        </w:rPr>
      </w:pP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一、收入科目</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1、财政拨款收入：指财政当年拨付的资金。</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2、事业收入：指事业单位开展专业业务活动及辅助活动取得的收入。</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3、经营收入：指事业单位在专业业务活动及其辅助活动之外开展非独立核算经营活动取得的收入。</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4、其他收入：指除上述“财政拨款收入”、“事业收入”、“经营收入”等以外的收入。</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6、上年结转：指以前年尚未完成、结转到本年按有关规定继续使用的资金。</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二、支出科目</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1、基本支出：是为保障其机构正常运转、完成日常工作任务而发生人员支出和公用支出。</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2、项目支出：是指在基本支出之外完成特定行政任务和事业发展目标所发生的支出。</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3、工资福利支出：反映单位开支的在职职工和编制外长期聘用人员的各类劳动报酬，以及为上述人员缴纳的各项社会保险费等。</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4、商品和服务支出：反映单位购买商品和服务的支出。</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5、对个人和家庭的补助：反映单位用于对个人和家庭的补助支出。</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三、“三公”经费科目</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1、因公出国（境）费用：反映单位公务出国（境）的国际旅费、国内城县间交通费、住宿费、伙食费、培训费、公杂费等支出。</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2、公务接待费：反映单位按规定开支的各类公务接待（含外宾接待）费用。</w:t>
      </w:r>
    </w:p>
    <w:p>
      <w:pPr>
        <w:pStyle w:val="8"/>
        <w:shd w:val="clear" w:color="auto" w:fill="FFFFFF"/>
        <w:spacing w:before="0" w:beforeAutospacing="0" w:after="0" w:afterAutospacing="0" w:line="480" w:lineRule="auto"/>
        <w:ind w:firstLine="640" w:firstLineChars="20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3、公务用车运行维护费：反映单位公务用车租用费、燃料费、维修费、过路过桥费、保险费、安全奖励费用等支出。</w:t>
      </w: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sz w:val="72"/>
          <w:szCs w:val="72"/>
          <w:highlight w:val="none"/>
        </w:rPr>
      </w:pPr>
    </w:p>
    <w:p>
      <w:pPr>
        <w:pStyle w:val="14"/>
        <w:jc w:val="center"/>
        <w:rPr>
          <w:rFonts w:hint="eastAsia" w:ascii="宋体" w:hAnsi="宋体" w:eastAsia="宋体" w:cs="宋体"/>
          <w:b w:val="0"/>
          <w:bCs w:val="0"/>
          <w:sz w:val="72"/>
          <w:szCs w:val="72"/>
          <w:highlight w:val="none"/>
        </w:rPr>
      </w:pPr>
    </w:p>
    <w:p>
      <w:pPr>
        <w:pStyle w:val="14"/>
        <w:jc w:val="center"/>
        <w:rPr>
          <w:rFonts w:hint="eastAsia" w:ascii="宋体" w:hAnsi="宋体" w:eastAsia="宋体" w:cs="宋体"/>
          <w:b w:val="0"/>
          <w:bCs w:val="0"/>
          <w:sz w:val="72"/>
          <w:szCs w:val="72"/>
          <w:highlight w:val="none"/>
        </w:rPr>
      </w:pPr>
      <w:r>
        <w:rPr>
          <w:rFonts w:hint="eastAsia" w:ascii="宋体" w:hAnsi="宋体" w:eastAsia="宋体" w:cs="宋体"/>
          <w:b w:val="0"/>
          <w:bCs w:val="0"/>
          <w:sz w:val="72"/>
          <w:szCs w:val="72"/>
          <w:highlight w:val="none"/>
        </w:rPr>
        <w:t>第五部分</w:t>
      </w:r>
    </w:p>
    <w:p>
      <w:pPr>
        <w:jc w:val="center"/>
        <w:rPr>
          <w:rFonts w:hint="eastAsia" w:ascii="宋体" w:hAnsi="宋体" w:eastAsia="宋体" w:cs="宋体"/>
          <w:b w:val="0"/>
          <w:bCs w:val="0"/>
          <w:color w:val="000000"/>
          <w:kern w:val="0"/>
          <w:sz w:val="72"/>
          <w:szCs w:val="72"/>
          <w:highlight w:val="none"/>
        </w:rPr>
      </w:pPr>
    </w:p>
    <w:p>
      <w:pPr>
        <w:jc w:val="center"/>
        <w:rPr>
          <w:rFonts w:hint="eastAsia" w:ascii="宋体" w:hAnsi="宋体" w:eastAsia="宋体" w:cs="宋体"/>
          <w:b w:val="0"/>
          <w:bCs w:val="0"/>
          <w:color w:val="000000"/>
          <w:kern w:val="0"/>
          <w:sz w:val="72"/>
          <w:szCs w:val="72"/>
          <w:highlight w:val="none"/>
        </w:rPr>
      </w:pPr>
      <w:r>
        <w:rPr>
          <w:rFonts w:hint="eastAsia" w:ascii="宋体" w:hAnsi="宋体" w:eastAsia="宋体" w:cs="宋体"/>
          <w:b w:val="0"/>
          <w:bCs w:val="0"/>
          <w:color w:val="000000"/>
          <w:kern w:val="0"/>
          <w:sz w:val="72"/>
          <w:szCs w:val="72"/>
          <w:highlight w:val="none"/>
        </w:rPr>
        <w:t>附件</w:t>
      </w:r>
    </w:p>
    <w:p>
      <w:pPr>
        <w:widowControl/>
        <w:jc w:val="left"/>
        <w:rPr>
          <w:rFonts w:hint="eastAsia" w:ascii="宋体" w:hAnsi="宋体" w:eastAsia="宋体" w:cs="宋体"/>
          <w:b w:val="0"/>
          <w:bCs w:val="0"/>
          <w:color w:val="000000"/>
          <w:kern w:val="0"/>
          <w:sz w:val="72"/>
          <w:szCs w:val="72"/>
          <w:highlight w:val="none"/>
        </w:rPr>
      </w:pPr>
      <w:r>
        <w:rPr>
          <w:rFonts w:hint="eastAsia" w:ascii="宋体" w:hAnsi="宋体" w:eastAsia="宋体" w:cs="宋体"/>
          <w:b w:val="0"/>
          <w:bCs w:val="0"/>
          <w:color w:val="000000"/>
          <w:kern w:val="0"/>
          <w:sz w:val="72"/>
          <w:szCs w:val="72"/>
          <w:highlight w:val="none"/>
        </w:rPr>
        <w:br w:type="page"/>
      </w:r>
    </w:p>
    <w:p>
      <w:pPr>
        <w:jc w:val="center"/>
        <w:rPr>
          <w:rFonts w:hint="eastAsia" w:ascii="宋体" w:hAnsi="宋体" w:eastAsia="宋体" w:cs="宋体"/>
          <w:color w:val="000000"/>
          <w:kern w:val="0"/>
          <w:sz w:val="70"/>
          <w:szCs w:val="70"/>
          <w:highlight w:val="none"/>
        </w:rPr>
      </w:pPr>
    </w:p>
    <w:p>
      <w:pPr>
        <w:pStyle w:val="15"/>
        <w:ind w:left="360" w:firstLine="0" w:firstLineChars="0"/>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2"/>
          <w:szCs w:val="32"/>
          <w:highlight w:val="none"/>
        </w:rPr>
        <w:t>2021年度部门整体支出绩效评价报告</w:t>
      </w:r>
    </w:p>
    <w:p>
      <w:pPr>
        <w:ind w:firstLine="640" w:firstLineChars="200"/>
        <w:rPr>
          <w:rFonts w:hint="eastAsia" w:ascii="宋体" w:hAnsi="宋体" w:eastAsia="宋体" w:cs="宋体"/>
          <w:b/>
          <w:bCs/>
          <w:kern w:val="0"/>
          <w:sz w:val="32"/>
          <w:szCs w:val="32"/>
          <w:highlight w:val="none"/>
        </w:rPr>
      </w:pPr>
    </w:p>
    <w:p>
      <w:pPr>
        <w:ind w:firstLine="640" w:firstLineChars="200"/>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一 、部门概况</w:t>
      </w:r>
    </w:p>
    <w:p>
      <w:pPr>
        <w:ind w:firstLine="640" w:firstLineChars="20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（一）部门职责</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1、负责处理中央、国家机关、省委、省人大、省政府、省政协、市委、市人大、市政府、市政协统转信件，负责处理人民群众和境外人士给县委、县人民政府及其领导同志的来信，接待人民群众到县委、县人民政府来访，做好县委、县人民政府领导同志接待上访群众的组织服务工作。</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2、承办中央和国家机关、省委和省人民政府、市委和市人民政府、县委和县人民政府以及县委办公室、县人民政府办公室交办的信访事项，督促检查领导同志批示件的落实情况，向各镇、县直部门交办信访事项，督促检查交办事项的处理落实情况。</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3、综合反映人民群众在来信来访中提出的重要意见、建议和问题，开展调查研究，提供信访信息，为县委、县人民政府决策和指导工作服务。</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4、协同有关部门处理跨镇、跨部门的重大信访问题；协调处理群众赴京到省、市和来县上访和异常、突发性信访事项。</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5、指导全县信访业务，研究起草有关信访工作的规范性文件，开展对信访工作的宣传和理论研讨，总结推广信访工作经验，提出改进和加强信访工作的意见</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6、掌握全县信访工作动态，提出加强信访工作队伍建设的措施，对信访工作的失职、渎职行为提出处理建议；组织信访干部的培训；指导信访部门的办公自动化建设。</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7、编制全县调处山林、水利、土地权属纠纷的中、近期计划，制订巩固调处纠纷成果、发展边界睦邻友好关系的具体措施，协助有关部门做好预防和制止群众性械斗工作，维护全县农村社会稳定。</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8、拟订全县有关调处纠纷工作的规范性文件，对全县各镇内山林、水利、土地权属纠纷的调处进行督促指导和协调。</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9、承办县委、县人民政府及县委办公室、县人民政府办公室交办的其他事项。</w:t>
      </w:r>
    </w:p>
    <w:p>
      <w:pPr>
        <w:widowControl/>
        <w:spacing w:line="60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（二）机构设置及决算单位构成</w:t>
      </w:r>
    </w:p>
    <w:p>
      <w:pPr>
        <w:spacing w:line="54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1、内设机构设置。祁阳市信访局内设机构包括：办公室、办信室（加挂网络信访室牌子）、政策法规股（对外称祁阳市人民政府信访事项复查复核委员会办公室）、调处纠纷股四个职能股室。另下设市信访接待中心，为市信访局所属副科级公益类事业单位。</w:t>
      </w:r>
    </w:p>
    <w:p>
      <w:pPr>
        <w:widowControl/>
        <w:spacing w:line="600" w:lineRule="exact"/>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2、决算单位构成。祁阳市信访局2021年部门决算汇总公开单位构成包括：祁阳市信访局本级。</w:t>
      </w:r>
    </w:p>
    <w:p>
      <w:pPr>
        <w:ind w:firstLine="640" w:firstLineChars="200"/>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二、一般公共预算支出情况</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2021年度支出合计736.54万元，其中：基本支出736.54万元，占100%；项目支出0万元，占0%；上缴上级支出0万元，占0%；经营支出0万元，占0%；对附属单位补助支出0万元，占0%。</w:t>
      </w:r>
    </w:p>
    <w:p>
      <w:pPr>
        <w:pStyle w:val="14"/>
        <w:ind w:firstLine="627" w:firstLineChars="196"/>
        <w:rPr>
          <w:rFonts w:hint="eastAsia" w:ascii="宋体" w:hAnsi="宋体" w:eastAsia="宋体" w:cs="宋体"/>
          <w:sz w:val="32"/>
          <w:szCs w:val="32"/>
          <w:highlight w:val="none"/>
        </w:rPr>
      </w:pPr>
      <w:r>
        <w:rPr>
          <w:rFonts w:hint="eastAsia" w:ascii="宋体" w:hAnsi="宋体" w:eastAsia="宋体" w:cs="宋体"/>
          <w:sz w:val="32"/>
          <w:szCs w:val="32"/>
          <w:highlight w:val="none"/>
        </w:rPr>
        <w:t>（一）一般公共预算财政拨款支出情况</w:t>
      </w:r>
    </w:p>
    <w:p>
      <w:pPr>
        <w:pStyle w:val="14"/>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支出736.54万元，占本年支出合计的100%，与上年相比，财政拨款支出减少55.58万元，减少7.02%，主要是因为节省开支。主要用于以下方面：一般公共服务（201）支出687.73万元，占93.37%；社会保障和就业（208）支出26.08万元，占3.54%；卫生健康（210）支出8.92万元，占1.21%；住房保障（221）支出13.81万元，占1.87%。</w:t>
      </w:r>
    </w:p>
    <w:p>
      <w:pPr>
        <w:pStyle w:val="14"/>
        <w:ind w:firstLine="627" w:firstLineChars="196"/>
        <w:rPr>
          <w:rFonts w:hint="eastAsia" w:ascii="宋体" w:hAnsi="宋体" w:eastAsia="宋体" w:cs="宋体"/>
          <w:sz w:val="32"/>
          <w:szCs w:val="32"/>
          <w:highlight w:val="none"/>
        </w:rPr>
      </w:pPr>
      <w:r>
        <w:rPr>
          <w:rFonts w:hint="eastAsia" w:ascii="宋体" w:hAnsi="宋体" w:eastAsia="宋体" w:cs="宋体"/>
          <w:sz w:val="32"/>
          <w:szCs w:val="32"/>
          <w:highlight w:val="none"/>
        </w:rPr>
        <w:t>（二）一般公共预算财政拨款基本支出情况</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财政拨款基本支出736.54万元，其中：人员经费311.24万元，占基本支出的42.26%,主要包括基本工资、津贴补贴、奖金、机关事业单位基本养老保险缴费、职工基本医疗保险缴费、住房公积金、对个人和家庭生活补助等；公用经费425.31万元，占基本支出的57.74%，主要包括办公费、印刷费、差旅费、维修（护）费、租赁费、会议费、培训费、公务接待费、劳务费、其他交通费、其他商品和服务支出等。</w:t>
      </w:r>
    </w:p>
    <w:p>
      <w:pPr>
        <w:pStyle w:val="14"/>
        <w:ind w:firstLine="627" w:firstLineChars="196"/>
        <w:rPr>
          <w:rFonts w:hint="eastAsia" w:ascii="宋体" w:hAnsi="宋体" w:eastAsia="宋体" w:cs="宋体"/>
          <w:sz w:val="32"/>
          <w:szCs w:val="32"/>
          <w:highlight w:val="none"/>
        </w:rPr>
      </w:pPr>
      <w:r>
        <w:rPr>
          <w:rFonts w:hint="eastAsia" w:ascii="宋体" w:hAnsi="宋体" w:eastAsia="宋体" w:cs="宋体"/>
          <w:sz w:val="32"/>
          <w:szCs w:val="32"/>
          <w:highlight w:val="none"/>
        </w:rPr>
        <w:t>（三）一般公共预算财政拨款“三公”经费支出情况</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2021年度“三公”经费财政拨款支出预算为7万元，支出决算为5.14万元，完成预算的73.43%，其中：</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因公出国（境）费支出预算为0万元，支出决算为0万元；完成预算的0%，与上年相比持平，无变化。</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公务接待费支出预算为7万元，支出决算为5.14万元，完成预算的73.43%，决算数小于预算数的主要原因是严格执行八项规定，进一步规范公务接待管理，与上年相比减少0.18万元，减少3.38%,减少的主要原因是实行归口统一管理，先审批后安排，严厉执行上级有关接待的规定，严格按标准按流程接待。</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公务用车购置费及运行维护费支出预算为0万元，支出决算为0万元，完成预算的0%，与上年相比持平，无变化。</w:t>
      </w:r>
    </w:p>
    <w:p>
      <w:pPr>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（四）机关运行经费支出说明</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本部门2021年度机关运行经费支出425.31万元，比年初预算数增加249.91 万元，增长142.48%。主要原因是：接访、信访法治宣传、信访特护期值班等开支增加。</w:t>
      </w:r>
    </w:p>
    <w:p>
      <w:pPr>
        <w:pStyle w:val="14"/>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（五）一般性支出情况说明</w:t>
      </w:r>
    </w:p>
    <w:p>
      <w:pPr>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2021年本部门开支会议费6.15万元，用于召开信访联席会议和信访工作会议，人数895人，内容为信访维稳工作；开支培训费2.96万元，用于开展信访维稳业务骨干培训，人数276人，内容为信访依法分类、信访法治化建设工作等；未举办节庆、晚会、论坛、赛事活动，开支0万元。</w:t>
      </w:r>
    </w:p>
    <w:p>
      <w:pPr>
        <w:pStyle w:val="14"/>
        <w:ind w:firstLine="627" w:firstLineChars="196"/>
        <w:rPr>
          <w:rFonts w:hint="eastAsia" w:ascii="宋体" w:hAnsi="宋体" w:eastAsia="宋体" w:cs="宋体"/>
          <w:sz w:val="32"/>
          <w:szCs w:val="32"/>
          <w:highlight w:val="none"/>
        </w:rPr>
      </w:pPr>
      <w:r>
        <w:rPr>
          <w:rFonts w:hint="eastAsia" w:ascii="宋体" w:hAnsi="宋体" w:eastAsia="宋体" w:cs="宋体"/>
          <w:sz w:val="32"/>
          <w:szCs w:val="32"/>
          <w:highlight w:val="none"/>
        </w:rPr>
        <w:t>（六）政府采购支出说明</w:t>
      </w:r>
    </w:p>
    <w:p>
      <w:pPr>
        <w:pStyle w:val="2"/>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本部门2021年度政府采购支出总额0万元。</w:t>
      </w:r>
    </w:p>
    <w:p>
      <w:pPr>
        <w:ind w:firstLine="640" w:firstLineChars="200"/>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三、政府性基金预算支出情况</w:t>
      </w:r>
    </w:p>
    <w:p>
      <w:pPr>
        <w:pStyle w:val="14"/>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2021年度本单位无政府性基金预算支出。</w:t>
      </w:r>
    </w:p>
    <w:p>
      <w:pPr>
        <w:ind w:firstLine="640" w:firstLineChars="200"/>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四、国有资本经营预算支出情况</w:t>
      </w:r>
    </w:p>
    <w:p>
      <w:pPr>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2021年度本单位无国有资本经营预算支出。</w:t>
      </w:r>
    </w:p>
    <w:p>
      <w:pPr>
        <w:ind w:firstLine="640" w:firstLineChars="200"/>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五、部门整体支出绩效情况</w:t>
      </w:r>
    </w:p>
    <w:p>
      <w:pPr>
        <w:shd w:val="clear" w:color="auto" w:fill="FFFFFF"/>
        <w:overflowPunct w:val="0"/>
        <w:ind w:firstLine="64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祁阳市信访局在财政资金的保障下，在市委、市政府的坚强领导下，坚持和发展新时代“枫桥经验”本土化创新实践，全面实施“市统筹、镇负责、村为主”工作机制，致力全面畅通信访渠道，源头预防信访问题，攻坚化解信访积案，依法规范信访秩序，推动全市信访工作高质量发展。2021年度全市呈现信访总量、越级重复访量、信访积案存量下降，无到非接待场所上访、重大群体事件、极端恶性事件、负面舆情炒作，信访秩序持续好转的“三降四无一好转”态势。</w:t>
      </w:r>
    </w:p>
    <w:p>
      <w:pPr>
        <w:shd w:val="clear" w:color="auto" w:fill="FFFFFF"/>
        <w:overflowPunct w:val="0"/>
        <w:ind w:firstLine="64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一)开门接访畅通渠道。坚持领导干部定期接访、带案下访、上门约访，每月10号开展一轮市级领导集中接访活动，每个工作日安排一名市级领导到市信访接待中心值班接访，重点市直部门派驻人员常驻市信访接待中心联合处访，每周星期一各镇(街道)和市直单位主要负责人现场接处访，其他干部随时随地接处访。</w:t>
      </w:r>
    </w:p>
    <w:p>
      <w:pPr>
        <w:shd w:val="clear" w:color="auto" w:fill="FFFFFF"/>
        <w:overflowPunct w:val="0"/>
        <w:ind w:firstLine="64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 xml:space="preserve"> (二)源头治理夯实基础。构建市、镇(街道)、村(社区)“三级联动”抓信访工作体系，推广实施村(社区)“1+4+2+X”基层治理信访工作模式，着力从源头预防治理信访问题。2021年8月13日, 湖南省信访工作联席会议《工作简报》（2021年9期、总第484期）专题刊发祁阳市践行“枫桥经验”抓信访工作经验，予以全省推介。全市信访工作“三无”镇(街道)、村(社区)达标16个、538个，占比率72.37%、96.07%。2021年祁阳市被评为全省信访工作“三无”县市区、真抓实干获省政府表扬激励。</w:t>
      </w:r>
    </w:p>
    <w:p>
      <w:pPr>
        <w:ind w:firstLine="64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 xml:space="preserve"> (三)攻坚克难为民纾困。深入开展治理越级访化解信访积案专项行动，全体市级领导主动领办包案，按照“三到位一处理”原则，因案因人综合施策，成功化解第一批交办事项125件、化解率100%，化解后重复访2件、倒流率1.6%；化解第二批交办事项17件，化解率50%。办结国务院“互联网+督查”交办信访事项13件，按期办结率86.67%。按期办结省委书记信箱移交信访件72件、省长信箱移交信访件66件、省委第五巡视组移交信访件670件，办结率100%、回访满意率80.16%。解决房地产领域“办证难”突出问题项目53个、办证2632户，任务进度100%、90.6%，获得群众广泛点赞。</w:t>
      </w:r>
    </w:p>
    <w:p>
      <w:pPr>
        <w:ind w:firstLine="64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四)依法治访维护秩序。广泛开展信访治化宣传活动，引导信访群众依法有序理性反映诉求。同时，坚决果断依法处置涉访违法行为，坚决防止任何人以信访维权之名行违法犯罪之实。政法机关在市行政中心办公区域划定“非信访接待区”，现场依法处置纠缠闹访行为17起，有力维护机关正常秩序，形成依法治访浓厚氛围。</w:t>
      </w:r>
    </w:p>
    <w:p>
      <w:pPr>
        <w:shd w:val="clear" w:color="auto" w:fill="FFFFFF"/>
        <w:overflowPunct w:val="0"/>
        <w:ind w:firstLine="640"/>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五)抓实队伍创先争优。全市信访系统深入扎实开展党史学习教育，不断强化队伍建设，提升为民服务能力，推动“我为群众办实事”活动走深走实。市信访局被评为“2021年度全省信访工作先进集体”，市信访接待中心荣获“全省信访部门‘人民满意窗口’创建示范单位”。2021年11月20日，在全省信访干部业务培训示范班上，祁阳作为唯一县市区代表作典型发言，受到各级领导和其他市县区的好评。</w:t>
      </w:r>
    </w:p>
    <w:p>
      <w:pPr>
        <w:ind w:firstLine="640" w:firstLineChars="200"/>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六、存在的问题及原因分析</w:t>
      </w:r>
    </w:p>
    <w:p>
      <w:pPr>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绩效管理理念及绩效监控管理工作需进一步增强。</w:t>
      </w:r>
    </w:p>
    <w:p>
      <w:pPr>
        <w:ind w:firstLine="640" w:firstLineChars="200"/>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七、下一步改进措施</w:t>
      </w:r>
    </w:p>
    <w:p>
      <w:pPr>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一是要增强绩效管理的理念，把每一笔钱用在刀刃上、用出成效，提高资金使用效率。</w:t>
      </w:r>
    </w:p>
    <w:p>
      <w:pPr>
        <w:ind w:firstLine="640" w:firstLineChars="200"/>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二是加强绩效监控管理，要做到事前有决策、事中有监管、事后有依据的绩效管理闭环系统，确保绩效目标按时按量完成。</w:t>
      </w:r>
    </w:p>
    <w:bookmarkEnd w:id="3"/>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ZWQ5YWEyOWZkZDYzYWYzNjliMzQ5M2Q2YzQzOGYifQ=="/>
  </w:docVars>
  <w:rsids>
    <w:rsidRoot w:val="004506F9"/>
    <w:rsid w:val="00004A64"/>
    <w:rsid w:val="00017D77"/>
    <w:rsid w:val="0002229B"/>
    <w:rsid w:val="00022ADF"/>
    <w:rsid w:val="000273BD"/>
    <w:rsid w:val="000415B7"/>
    <w:rsid w:val="00041E3F"/>
    <w:rsid w:val="00055DAA"/>
    <w:rsid w:val="00061F7B"/>
    <w:rsid w:val="000658A3"/>
    <w:rsid w:val="0006623F"/>
    <w:rsid w:val="00072600"/>
    <w:rsid w:val="00074155"/>
    <w:rsid w:val="000873EF"/>
    <w:rsid w:val="000A3F69"/>
    <w:rsid w:val="000B2B95"/>
    <w:rsid w:val="000D1414"/>
    <w:rsid w:val="000D6D1A"/>
    <w:rsid w:val="000F1ACB"/>
    <w:rsid w:val="000F3ACF"/>
    <w:rsid w:val="00103957"/>
    <w:rsid w:val="00115667"/>
    <w:rsid w:val="00124A1F"/>
    <w:rsid w:val="00132545"/>
    <w:rsid w:val="00152C6D"/>
    <w:rsid w:val="00162D39"/>
    <w:rsid w:val="001678BD"/>
    <w:rsid w:val="00175805"/>
    <w:rsid w:val="001800A1"/>
    <w:rsid w:val="00182373"/>
    <w:rsid w:val="00183D38"/>
    <w:rsid w:val="001A67DB"/>
    <w:rsid w:val="001C0B85"/>
    <w:rsid w:val="001C3C29"/>
    <w:rsid w:val="001C5885"/>
    <w:rsid w:val="001D3998"/>
    <w:rsid w:val="001D3C1E"/>
    <w:rsid w:val="001D51E5"/>
    <w:rsid w:val="001E080D"/>
    <w:rsid w:val="001E1FCB"/>
    <w:rsid w:val="001E53D0"/>
    <w:rsid w:val="001F0C3B"/>
    <w:rsid w:val="001F308E"/>
    <w:rsid w:val="001F5145"/>
    <w:rsid w:val="00202C14"/>
    <w:rsid w:val="00202C82"/>
    <w:rsid w:val="00214427"/>
    <w:rsid w:val="00226CB7"/>
    <w:rsid w:val="0025317F"/>
    <w:rsid w:val="00261770"/>
    <w:rsid w:val="00261986"/>
    <w:rsid w:val="00263519"/>
    <w:rsid w:val="00264552"/>
    <w:rsid w:val="00264EF9"/>
    <w:rsid w:val="00265724"/>
    <w:rsid w:val="00271C7F"/>
    <w:rsid w:val="002741E5"/>
    <w:rsid w:val="0027426B"/>
    <w:rsid w:val="00292157"/>
    <w:rsid w:val="002A57B9"/>
    <w:rsid w:val="002D6582"/>
    <w:rsid w:val="002E0A30"/>
    <w:rsid w:val="002F48CD"/>
    <w:rsid w:val="002F70C0"/>
    <w:rsid w:val="003130C4"/>
    <w:rsid w:val="00316C4B"/>
    <w:rsid w:val="0032192B"/>
    <w:rsid w:val="00336CB3"/>
    <w:rsid w:val="003479BD"/>
    <w:rsid w:val="00370137"/>
    <w:rsid w:val="0037085B"/>
    <w:rsid w:val="0037197D"/>
    <w:rsid w:val="003768D5"/>
    <w:rsid w:val="003B486F"/>
    <w:rsid w:val="003C4197"/>
    <w:rsid w:val="003C47E6"/>
    <w:rsid w:val="003C4FC2"/>
    <w:rsid w:val="003E2331"/>
    <w:rsid w:val="003F05CF"/>
    <w:rsid w:val="003F45CD"/>
    <w:rsid w:val="0040779F"/>
    <w:rsid w:val="00410819"/>
    <w:rsid w:val="00416E61"/>
    <w:rsid w:val="00417A7A"/>
    <w:rsid w:val="0042790C"/>
    <w:rsid w:val="0044430E"/>
    <w:rsid w:val="004506F9"/>
    <w:rsid w:val="00464E94"/>
    <w:rsid w:val="00466ED1"/>
    <w:rsid w:val="00471196"/>
    <w:rsid w:val="004717A2"/>
    <w:rsid w:val="00473DF3"/>
    <w:rsid w:val="00474365"/>
    <w:rsid w:val="00487911"/>
    <w:rsid w:val="00491741"/>
    <w:rsid w:val="004A5530"/>
    <w:rsid w:val="004A5D50"/>
    <w:rsid w:val="004B0CEE"/>
    <w:rsid w:val="004B1A5C"/>
    <w:rsid w:val="004B7705"/>
    <w:rsid w:val="004E124C"/>
    <w:rsid w:val="004E15EE"/>
    <w:rsid w:val="00500E5F"/>
    <w:rsid w:val="005122EF"/>
    <w:rsid w:val="0051441A"/>
    <w:rsid w:val="0051550A"/>
    <w:rsid w:val="00517C33"/>
    <w:rsid w:val="00517D5F"/>
    <w:rsid w:val="00521AF2"/>
    <w:rsid w:val="00523644"/>
    <w:rsid w:val="0054069E"/>
    <w:rsid w:val="00540B66"/>
    <w:rsid w:val="00544866"/>
    <w:rsid w:val="00546029"/>
    <w:rsid w:val="0055677A"/>
    <w:rsid w:val="005629E2"/>
    <w:rsid w:val="00564D97"/>
    <w:rsid w:val="00574D19"/>
    <w:rsid w:val="005767CC"/>
    <w:rsid w:val="005777B0"/>
    <w:rsid w:val="005824F1"/>
    <w:rsid w:val="0058707A"/>
    <w:rsid w:val="00590D9F"/>
    <w:rsid w:val="00595D26"/>
    <w:rsid w:val="005965A7"/>
    <w:rsid w:val="005A3701"/>
    <w:rsid w:val="005A6EE3"/>
    <w:rsid w:val="005A74E6"/>
    <w:rsid w:val="005B404E"/>
    <w:rsid w:val="005C763C"/>
    <w:rsid w:val="005D365F"/>
    <w:rsid w:val="005D4D55"/>
    <w:rsid w:val="005E2CFB"/>
    <w:rsid w:val="005F2103"/>
    <w:rsid w:val="005F3D1C"/>
    <w:rsid w:val="0062378F"/>
    <w:rsid w:val="00625D30"/>
    <w:rsid w:val="00627B6C"/>
    <w:rsid w:val="00641842"/>
    <w:rsid w:val="00644D2D"/>
    <w:rsid w:val="006476B0"/>
    <w:rsid w:val="00651EEC"/>
    <w:rsid w:val="00665767"/>
    <w:rsid w:val="006859C8"/>
    <w:rsid w:val="00686673"/>
    <w:rsid w:val="00687385"/>
    <w:rsid w:val="00691E8C"/>
    <w:rsid w:val="006A22C4"/>
    <w:rsid w:val="006A348B"/>
    <w:rsid w:val="006A351B"/>
    <w:rsid w:val="006B0422"/>
    <w:rsid w:val="006C1B53"/>
    <w:rsid w:val="006D7730"/>
    <w:rsid w:val="006E5284"/>
    <w:rsid w:val="006F3EB5"/>
    <w:rsid w:val="00702E34"/>
    <w:rsid w:val="00704395"/>
    <w:rsid w:val="00710FE7"/>
    <w:rsid w:val="00713FE5"/>
    <w:rsid w:val="00717575"/>
    <w:rsid w:val="00717621"/>
    <w:rsid w:val="00720FF1"/>
    <w:rsid w:val="00727A53"/>
    <w:rsid w:val="0073274B"/>
    <w:rsid w:val="007613A7"/>
    <w:rsid w:val="00771087"/>
    <w:rsid w:val="007740A9"/>
    <w:rsid w:val="00775581"/>
    <w:rsid w:val="00775C5E"/>
    <w:rsid w:val="00787B42"/>
    <w:rsid w:val="00793BCA"/>
    <w:rsid w:val="007B12AE"/>
    <w:rsid w:val="007C4539"/>
    <w:rsid w:val="007C4EDA"/>
    <w:rsid w:val="007E586D"/>
    <w:rsid w:val="007F3657"/>
    <w:rsid w:val="007F5B8C"/>
    <w:rsid w:val="00812ED5"/>
    <w:rsid w:val="0082717A"/>
    <w:rsid w:val="008277D9"/>
    <w:rsid w:val="0084478C"/>
    <w:rsid w:val="008478F2"/>
    <w:rsid w:val="008574F7"/>
    <w:rsid w:val="0086638C"/>
    <w:rsid w:val="00873369"/>
    <w:rsid w:val="0088133A"/>
    <w:rsid w:val="0089238C"/>
    <w:rsid w:val="008A324B"/>
    <w:rsid w:val="008A3E8D"/>
    <w:rsid w:val="008C0959"/>
    <w:rsid w:val="008D09BF"/>
    <w:rsid w:val="008D240D"/>
    <w:rsid w:val="008D279B"/>
    <w:rsid w:val="008F1538"/>
    <w:rsid w:val="00913646"/>
    <w:rsid w:val="009237C4"/>
    <w:rsid w:val="00944C48"/>
    <w:rsid w:val="00950252"/>
    <w:rsid w:val="00956DEC"/>
    <w:rsid w:val="00965992"/>
    <w:rsid w:val="00967F5D"/>
    <w:rsid w:val="00973E80"/>
    <w:rsid w:val="00986D97"/>
    <w:rsid w:val="009927E9"/>
    <w:rsid w:val="009A0F95"/>
    <w:rsid w:val="009A18DB"/>
    <w:rsid w:val="009B3ADF"/>
    <w:rsid w:val="009C3B52"/>
    <w:rsid w:val="009D792F"/>
    <w:rsid w:val="009E5160"/>
    <w:rsid w:val="009E6817"/>
    <w:rsid w:val="009E6E9A"/>
    <w:rsid w:val="009E7ADD"/>
    <w:rsid w:val="00A01D2B"/>
    <w:rsid w:val="00A12CA8"/>
    <w:rsid w:val="00A16519"/>
    <w:rsid w:val="00A239BF"/>
    <w:rsid w:val="00A301F5"/>
    <w:rsid w:val="00A31031"/>
    <w:rsid w:val="00A37F38"/>
    <w:rsid w:val="00A42218"/>
    <w:rsid w:val="00A51943"/>
    <w:rsid w:val="00A70249"/>
    <w:rsid w:val="00A70B02"/>
    <w:rsid w:val="00A71D9F"/>
    <w:rsid w:val="00A723F7"/>
    <w:rsid w:val="00A867FE"/>
    <w:rsid w:val="00A92E9F"/>
    <w:rsid w:val="00A961A6"/>
    <w:rsid w:val="00AA2ED8"/>
    <w:rsid w:val="00AA34B4"/>
    <w:rsid w:val="00AD2A32"/>
    <w:rsid w:val="00AD3CBD"/>
    <w:rsid w:val="00AE433C"/>
    <w:rsid w:val="00AF4A9E"/>
    <w:rsid w:val="00B03ABE"/>
    <w:rsid w:val="00B10D74"/>
    <w:rsid w:val="00B2687F"/>
    <w:rsid w:val="00B33BEA"/>
    <w:rsid w:val="00B45135"/>
    <w:rsid w:val="00B524DD"/>
    <w:rsid w:val="00B57C9F"/>
    <w:rsid w:val="00B63572"/>
    <w:rsid w:val="00B831EE"/>
    <w:rsid w:val="00B845B3"/>
    <w:rsid w:val="00B85D8B"/>
    <w:rsid w:val="00B912E6"/>
    <w:rsid w:val="00BA22F9"/>
    <w:rsid w:val="00BA6F34"/>
    <w:rsid w:val="00BB4A40"/>
    <w:rsid w:val="00BD0A4D"/>
    <w:rsid w:val="00BD4A65"/>
    <w:rsid w:val="00BD6C3E"/>
    <w:rsid w:val="00BE3674"/>
    <w:rsid w:val="00BE69B2"/>
    <w:rsid w:val="00C10681"/>
    <w:rsid w:val="00C157B9"/>
    <w:rsid w:val="00C2126D"/>
    <w:rsid w:val="00C2137C"/>
    <w:rsid w:val="00C3049A"/>
    <w:rsid w:val="00C31B1E"/>
    <w:rsid w:val="00C77645"/>
    <w:rsid w:val="00CA6BF1"/>
    <w:rsid w:val="00CC4BD9"/>
    <w:rsid w:val="00CC5EF9"/>
    <w:rsid w:val="00CE04C3"/>
    <w:rsid w:val="00CE28C7"/>
    <w:rsid w:val="00CE76A0"/>
    <w:rsid w:val="00CF45AA"/>
    <w:rsid w:val="00CF794A"/>
    <w:rsid w:val="00D017B9"/>
    <w:rsid w:val="00D03A6F"/>
    <w:rsid w:val="00D148C6"/>
    <w:rsid w:val="00D17A8A"/>
    <w:rsid w:val="00D33DA9"/>
    <w:rsid w:val="00D34452"/>
    <w:rsid w:val="00D36E00"/>
    <w:rsid w:val="00D40F82"/>
    <w:rsid w:val="00D415BA"/>
    <w:rsid w:val="00D42BE9"/>
    <w:rsid w:val="00D63780"/>
    <w:rsid w:val="00D644EE"/>
    <w:rsid w:val="00D75489"/>
    <w:rsid w:val="00D92BDA"/>
    <w:rsid w:val="00DA41F5"/>
    <w:rsid w:val="00DD06FF"/>
    <w:rsid w:val="00DD1444"/>
    <w:rsid w:val="00DD5FE9"/>
    <w:rsid w:val="00DF2BF8"/>
    <w:rsid w:val="00E00C7A"/>
    <w:rsid w:val="00E02EDD"/>
    <w:rsid w:val="00E10DEB"/>
    <w:rsid w:val="00E15701"/>
    <w:rsid w:val="00E209CF"/>
    <w:rsid w:val="00E37D6C"/>
    <w:rsid w:val="00E431EB"/>
    <w:rsid w:val="00E55B68"/>
    <w:rsid w:val="00E63BEC"/>
    <w:rsid w:val="00E67BE6"/>
    <w:rsid w:val="00E73230"/>
    <w:rsid w:val="00E8683C"/>
    <w:rsid w:val="00E9467C"/>
    <w:rsid w:val="00E964C7"/>
    <w:rsid w:val="00EA2B72"/>
    <w:rsid w:val="00EA45C2"/>
    <w:rsid w:val="00EA5A06"/>
    <w:rsid w:val="00EC4617"/>
    <w:rsid w:val="00EE76A7"/>
    <w:rsid w:val="00EF7D10"/>
    <w:rsid w:val="00F04CBC"/>
    <w:rsid w:val="00F33412"/>
    <w:rsid w:val="00F36957"/>
    <w:rsid w:val="00F679E8"/>
    <w:rsid w:val="00F70113"/>
    <w:rsid w:val="00F74360"/>
    <w:rsid w:val="00F81082"/>
    <w:rsid w:val="00FB462F"/>
    <w:rsid w:val="00FD1262"/>
    <w:rsid w:val="00FD4014"/>
    <w:rsid w:val="00FD74B4"/>
    <w:rsid w:val="00FE09DD"/>
    <w:rsid w:val="00FE16FA"/>
    <w:rsid w:val="00FE328A"/>
    <w:rsid w:val="00FE6269"/>
    <w:rsid w:val="00FF5CD6"/>
    <w:rsid w:val="04480DCC"/>
    <w:rsid w:val="0520214C"/>
    <w:rsid w:val="05451103"/>
    <w:rsid w:val="05AB2D7A"/>
    <w:rsid w:val="07A92919"/>
    <w:rsid w:val="0A9B6F7A"/>
    <w:rsid w:val="0C4B0D8E"/>
    <w:rsid w:val="0D7111BC"/>
    <w:rsid w:val="116D5285"/>
    <w:rsid w:val="15235F67"/>
    <w:rsid w:val="168406E3"/>
    <w:rsid w:val="17A91F1E"/>
    <w:rsid w:val="181A629A"/>
    <w:rsid w:val="19594D7C"/>
    <w:rsid w:val="197C2433"/>
    <w:rsid w:val="1A396F50"/>
    <w:rsid w:val="1A4B59CE"/>
    <w:rsid w:val="1D2148A0"/>
    <w:rsid w:val="1D2D5631"/>
    <w:rsid w:val="1D70241D"/>
    <w:rsid w:val="1D925D29"/>
    <w:rsid w:val="1DEF77E3"/>
    <w:rsid w:val="1F527BCF"/>
    <w:rsid w:val="1FE45DC5"/>
    <w:rsid w:val="20F41A08"/>
    <w:rsid w:val="211C6AD8"/>
    <w:rsid w:val="22686518"/>
    <w:rsid w:val="2436731B"/>
    <w:rsid w:val="25C805EC"/>
    <w:rsid w:val="2A456021"/>
    <w:rsid w:val="2C791E17"/>
    <w:rsid w:val="350C5A51"/>
    <w:rsid w:val="3513157E"/>
    <w:rsid w:val="351409D3"/>
    <w:rsid w:val="3601278A"/>
    <w:rsid w:val="36EB2C9D"/>
    <w:rsid w:val="38167642"/>
    <w:rsid w:val="382E0A5C"/>
    <w:rsid w:val="3B40257B"/>
    <w:rsid w:val="3C0637C5"/>
    <w:rsid w:val="3ECA0ADA"/>
    <w:rsid w:val="3ECC729E"/>
    <w:rsid w:val="3F456695"/>
    <w:rsid w:val="436E048A"/>
    <w:rsid w:val="43F71D59"/>
    <w:rsid w:val="44D025CF"/>
    <w:rsid w:val="4B343765"/>
    <w:rsid w:val="4B3612A5"/>
    <w:rsid w:val="51F54251"/>
    <w:rsid w:val="543356DE"/>
    <w:rsid w:val="566A3CE9"/>
    <w:rsid w:val="57405985"/>
    <w:rsid w:val="575064EA"/>
    <w:rsid w:val="57AE108B"/>
    <w:rsid w:val="595E6596"/>
    <w:rsid w:val="596926C2"/>
    <w:rsid w:val="5BC92B80"/>
    <w:rsid w:val="5C2634BB"/>
    <w:rsid w:val="5C994517"/>
    <w:rsid w:val="617B314A"/>
    <w:rsid w:val="61895A68"/>
    <w:rsid w:val="648C70C9"/>
    <w:rsid w:val="6680153D"/>
    <w:rsid w:val="6873661E"/>
    <w:rsid w:val="6BCE203F"/>
    <w:rsid w:val="6C116020"/>
    <w:rsid w:val="6E1D5F36"/>
    <w:rsid w:val="6F3A4760"/>
    <w:rsid w:val="70BA0124"/>
    <w:rsid w:val="72B94E61"/>
    <w:rsid w:val="73775FE8"/>
    <w:rsid w:val="75950C25"/>
    <w:rsid w:val="75B17A5C"/>
    <w:rsid w:val="7B7B6201"/>
    <w:rsid w:val="7E3C03A5"/>
    <w:rsid w:val="7ECF397C"/>
    <w:rsid w:val="7FBF3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ED3B-8C2E-4E7E-9D36-8FD72F00AF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11914</Words>
  <Characters>14052</Characters>
  <Lines>119</Lines>
  <Paragraphs>33</Paragraphs>
  <TotalTime>41</TotalTime>
  <ScaleCrop>false</ScaleCrop>
  <LinksUpToDate>false</LinksUpToDate>
  <CharactersWithSpaces>14646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2023-09-26T07:43:45Z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DD22134F5A8F41D68A1435BC1E364C4B_13</vt:lpwstr>
  </property>
</Properties>
</file>