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84"/>
          <w:szCs w:val="84"/>
          <w:highlight w:val="none"/>
        </w:rPr>
      </w:pPr>
    </w:p>
    <w:p>
      <w:pPr>
        <w:pStyle w:val="14"/>
        <w:jc w:val="center"/>
        <w:rPr>
          <w:rFonts w:asciiTheme="minorEastAsia" w:hAnsiTheme="minorEastAsia" w:eastAsiaTheme="minorEastAsia"/>
          <w:sz w:val="84"/>
          <w:szCs w:val="84"/>
          <w:highlight w:val="none"/>
        </w:rPr>
      </w:pPr>
    </w:p>
    <w:p>
      <w:pPr>
        <w:pStyle w:val="14"/>
        <w:jc w:val="center"/>
        <w:rPr>
          <w:rFonts w:asciiTheme="minorEastAsia" w:hAnsiTheme="minorEastAsia" w:eastAsiaTheme="minorEastAsia"/>
          <w:sz w:val="84"/>
          <w:szCs w:val="84"/>
          <w:highlight w:val="none"/>
        </w:rPr>
      </w:pPr>
    </w:p>
    <w:p>
      <w:pPr>
        <w:pStyle w:val="14"/>
        <w:jc w:val="center"/>
        <w:rPr>
          <w:rFonts w:asciiTheme="minorEastAsia" w:hAnsiTheme="minorEastAsia" w:eastAsiaTheme="minorEastAsia"/>
          <w:b w:val="0"/>
          <w:bCs w:val="0"/>
          <w:sz w:val="84"/>
          <w:szCs w:val="84"/>
          <w:highlight w:val="none"/>
        </w:rPr>
      </w:pPr>
      <w:r>
        <w:rPr>
          <w:rFonts w:hint="eastAsia" w:asciiTheme="minorEastAsia" w:hAnsiTheme="minorEastAsia" w:eastAsiaTheme="minorEastAsia"/>
          <w:b w:val="0"/>
          <w:bCs w:val="0"/>
          <w:sz w:val="84"/>
          <w:szCs w:val="84"/>
          <w:highlight w:val="none"/>
        </w:rPr>
        <w:t>2021年度</w:t>
      </w:r>
    </w:p>
    <w:p>
      <w:pPr>
        <w:pStyle w:val="14"/>
        <w:jc w:val="center"/>
        <w:rPr>
          <w:rFonts w:hint="eastAsia" w:asciiTheme="minorEastAsia" w:hAnsiTheme="minorEastAsia" w:eastAsiaTheme="minorEastAsia"/>
          <w:b w:val="0"/>
          <w:bCs w:val="0"/>
          <w:sz w:val="84"/>
          <w:szCs w:val="84"/>
          <w:highlight w:val="none"/>
          <w:lang w:eastAsia="zh-CN"/>
        </w:rPr>
      </w:pPr>
      <w:r>
        <w:rPr>
          <w:rFonts w:hint="eastAsia" w:asciiTheme="minorEastAsia" w:hAnsiTheme="minorEastAsia" w:eastAsiaTheme="minorEastAsia"/>
          <w:b w:val="0"/>
          <w:bCs w:val="0"/>
          <w:sz w:val="84"/>
          <w:szCs w:val="84"/>
          <w:highlight w:val="none"/>
          <w:lang w:eastAsia="zh-CN"/>
        </w:rPr>
        <w:t>中共祁阳市委</w:t>
      </w:r>
    </w:p>
    <w:p>
      <w:pPr>
        <w:pStyle w:val="14"/>
        <w:jc w:val="center"/>
        <w:rPr>
          <w:rFonts w:asciiTheme="minorEastAsia" w:hAnsiTheme="minorEastAsia" w:eastAsiaTheme="minorEastAsia"/>
          <w:b w:val="0"/>
          <w:bCs w:val="0"/>
          <w:sz w:val="84"/>
          <w:szCs w:val="84"/>
          <w:highlight w:val="none"/>
        </w:rPr>
      </w:pPr>
      <w:r>
        <w:rPr>
          <w:rFonts w:hint="eastAsia" w:asciiTheme="minorEastAsia" w:hAnsiTheme="minorEastAsia" w:eastAsiaTheme="minorEastAsia"/>
          <w:b w:val="0"/>
          <w:bCs w:val="0"/>
          <w:sz w:val="84"/>
          <w:szCs w:val="84"/>
          <w:highlight w:val="none"/>
          <w:lang w:eastAsia="zh-CN"/>
        </w:rPr>
        <w:t>政法委员会</w:t>
      </w:r>
      <w:r>
        <w:rPr>
          <w:rFonts w:hint="eastAsia" w:asciiTheme="minorEastAsia" w:hAnsiTheme="minorEastAsia" w:eastAsiaTheme="minorEastAsia"/>
          <w:b w:val="0"/>
          <w:bCs w:val="0"/>
          <w:sz w:val="84"/>
          <w:szCs w:val="84"/>
          <w:highlight w:val="none"/>
        </w:rPr>
        <w:t>部门决算</w:t>
      </w:r>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32"/>
          <w:szCs w:val="32"/>
          <w:highlight w:val="none"/>
        </w:rPr>
      </w:pPr>
    </w:p>
    <w:p>
      <w:pPr>
        <w:pStyle w:val="14"/>
        <w:jc w:val="center"/>
        <w:rPr>
          <w:rFonts w:asciiTheme="minorEastAsia" w:hAnsiTheme="minorEastAsia" w:eastAsiaTheme="minorEastAsia"/>
          <w:sz w:val="32"/>
          <w:szCs w:val="32"/>
          <w:highlight w:val="none"/>
        </w:rPr>
      </w:pPr>
    </w:p>
    <w:p>
      <w:pPr>
        <w:pStyle w:val="14"/>
        <w:jc w:val="center"/>
        <w:rPr>
          <w:rFonts w:asciiTheme="minorEastAsia" w:hAnsiTheme="minorEastAsia" w:eastAsiaTheme="minorEastAsia"/>
          <w:sz w:val="32"/>
          <w:szCs w:val="32"/>
          <w:highlight w:val="none"/>
        </w:rPr>
      </w:pPr>
    </w:p>
    <w:p>
      <w:pPr>
        <w:pStyle w:val="14"/>
        <w:spacing w:line="500" w:lineRule="exact"/>
        <w:jc w:val="center"/>
        <w:rPr>
          <w:rFonts w:asciiTheme="minorEastAsia" w:hAnsiTheme="minorEastAsia" w:eastAsiaTheme="minorEastAsia"/>
          <w:b/>
          <w:sz w:val="36"/>
          <w:szCs w:val="28"/>
          <w:highlight w:val="none"/>
        </w:rPr>
      </w:pPr>
      <w:r>
        <w:rPr>
          <w:rFonts w:hint="eastAsia" w:asciiTheme="minorEastAsia" w:hAnsiTheme="minorEastAsia" w:eastAsiaTheme="minorEastAsia"/>
          <w:b/>
          <w:sz w:val="36"/>
          <w:szCs w:val="28"/>
          <w:highlight w:val="none"/>
        </w:rPr>
        <w:t>目录</w:t>
      </w:r>
    </w:p>
    <w:p>
      <w:pPr>
        <w:pStyle w:val="14"/>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第一部分</w:t>
      </w:r>
      <w:r>
        <w:rPr>
          <w:rFonts w:hint="eastAsia" w:asciiTheme="minorEastAsia" w:hAnsiTheme="minorEastAsia" w:eastAsiaTheme="minorEastAsia"/>
          <w:b/>
          <w:sz w:val="28"/>
          <w:szCs w:val="28"/>
          <w:highlight w:val="none"/>
          <w:lang w:val="en-US" w:eastAsia="zh-CN"/>
        </w:rPr>
        <w:t xml:space="preserve"> 中共祁阳市委政法委员会</w:t>
      </w:r>
      <w:r>
        <w:rPr>
          <w:rFonts w:hint="eastAsia" w:asciiTheme="minorEastAsia" w:hAnsiTheme="minorEastAsia" w:eastAsiaTheme="minorEastAsia"/>
          <w:b/>
          <w:sz w:val="28"/>
          <w:szCs w:val="28"/>
          <w:highlight w:val="none"/>
        </w:rPr>
        <w:t>单位概况</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w:t>
      </w:r>
      <w:r>
        <w:rPr>
          <w:rFonts w:hint="eastAsia" w:cs="仿宋_GB2312" w:asciiTheme="minorEastAsia" w:hAnsiTheme="minorEastAsia" w:eastAsiaTheme="minorEastAsia"/>
          <w:sz w:val="28"/>
          <w:szCs w:val="28"/>
          <w:highlight w:val="none"/>
        </w:rPr>
        <w:t>机构设置及决算单位构成</w:t>
      </w:r>
    </w:p>
    <w:p>
      <w:pPr>
        <w:pStyle w:val="14"/>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第二部分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4"/>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21年度部门决算情况说明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keepNext w:val="0"/>
        <w:keepLines w:val="0"/>
        <w:pageBreakBefore w:val="0"/>
        <w:widowControl w:val="0"/>
        <w:kinsoku/>
        <w:wordWrap/>
        <w:overflowPunct/>
        <w:topLinePunct w:val="0"/>
        <w:bidi w:val="0"/>
        <w:snapToGrid/>
        <w:spacing w:line="490" w:lineRule="exact"/>
        <w:ind w:firstLine="700" w:firstLineChars="250"/>
        <w:jc w:val="left"/>
        <w:textAlignment w:val="auto"/>
        <w:rPr>
          <w:rFonts w:cs="仿宋_GB2312" w:asciiTheme="minorEastAsia" w:hAnsiTheme="minorEastAsia"/>
          <w:sz w:val="28"/>
          <w:szCs w:val="28"/>
          <w:highlight w:val="none"/>
        </w:rPr>
      </w:pPr>
      <w:r>
        <w:rPr>
          <w:rFonts w:cs="仿宋_GB2312" w:asciiTheme="minorEastAsia" w:hAnsiTheme="minorEastAsia"/>
          <w:sz w:val="28"/>
          <w:szCs w:val="28"/>
          <w:highlight w:val="none"/>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七、一般公共预算财政拨款</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三公</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八</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九</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十一、政府采购支出说明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十二、国有资产占用情况说明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十三、2021年度预算绩效情况说明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十四、国有资本经营预算财政拨款支出决算情况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黑体" w:asciiTheme="minorEastAsia" w:hAnsiTheme="minorEastAsia"/>
          <w:b/>
          <w:color w:val="000000"/>
          <w:kern w:val="0"/>
          <w:sz w:val="28"/>
          <w:szCs w:val="28"/>
          <w:highlight w:val="none"/>
        </w:rPr>
      </w:pPr>
      <w:r>
        <w:rPr>
          <w:rFonts w:cs="黑体" w:asciiTheme="minorEastAsia" w:hAnsiTheme="minorEastAsia"/>
          <w:b/>
          <w:color w:val="000000"/>
          <w:kern w:val="0"/>
          <w:sz w:val="28"/>
          <w:szCs w:val="28"/>
          <w:highlight w:val="none"/>
        </w:rPr>
        <w:t>第四部分名词解释</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仿宋_GB2312" w:asciiTheme="minorEastAsia" w:hAnsiTheme="minorEastAsia"/>
          <w:b/>
          <w:color w:val="000000"/>
          <w:kern w:val="0"/>
          <w:sz w:val="28"/>
          <w:szCs w:val="28"/>
          <w:highlight w:val="none"/>
        </w:rPr>
      </w:pPr>
      <w:r>
        <w:rPr>
          <w:rFonts w:hint="eastAsia" w:cs="黑体" w:asciiTheme="minorEastAsia" w:hAnsiTheme="minorEastAsia"/>
          <w:b/>
          <w:color w:val="000000"/>
          <w:kern w:val="0"/>
          <w:sz w:val="28"/>
          <w:szCs w:val="28"/>
          <w:highlight w:val="none"/>
        </w:rPr>
        <w:t>第五部分附件</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2"/>
        <w:rPr>
          <w:highlight w:val="none"/>
        </w:rPr>
      </w:pPr>
    </w:p>
    <w:p>
      <w:pPr>
        <w:pStyle w:val="14"/>
        <w:jc w:val="center"/>
        <w:rPr>
          <w:rFonts w:hint="eastAsia"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第一部分</w:t>
      </w:r>
    </w:p>
    <w:p>
      <w:pPr>
        <w:pStyle w:val="14"/>
        <w:jc w:val="center"/>
        <w:rPr>
          <w:rFonts w:hint="eastAsia" w:asciiTheme="minorEastAsia" w:hAnsiTheme="minorEastAsia" w:eastAsiaTheme="minorEastAsia"/>
          <w:sz w:val="72"/>
          <w:szCs w:val="72"/>
          <w:highlight w:val="none"/>
          <w:lang w:eastAsia="zh-CN"/>
        </w:rPr>
      </w:pPr>
      <w:r>
        <w:rPr>
          <w:rFonts w:hint="eastAsia" w:asciiTheme="minorEastAsia" w:hAnsiTheme="minorEastAsia" w:eastAsiaTheme="minorEastAsia"/>
          <w:sz w:val="72"/>
          <w:szCs w:val="72"/>
          <w:highlight w:val="none"/>
          <w:lang w:eastAsia="zh-CN"/>
        </w:rPr>
        <w:t>中共祁阳市委政法委员会</w:t>
      </w:r>
    </w:p>
    <w:p>
      <w:pPr>
        <w:pStyle w:val="14"/>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单位概况</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15"/>
        <w:ind w:left="720" w:firstLine="0" w:firstLineChars="0"/>
        <w:jc w:val="left"/>
        <w:rPr>
          <w:rFonts w:asciiTheme="minorEastAsia" w:hAnsiTheme="minorEastAsia"/>
          <w:sz w:val="32"/>
          <w:szCs w:val="32"/>
          <w:highlight w:val="none"/>
        </w:rPr>
      </w:pPr>
    </w:p>
    <w:p>
      <w:pPr>
        <w:rPr>
          <w:rFonts w:hint="eastAsia" w:cs="黑体" w:asciiTheme="minorEastAsia" w:hAnsi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lang w:eastAsia="zh-CN"/>
        </w:rPr>
        <w:br w:type="page"/>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一、</w:t>
      </w:r>
      <w:r>
        <w:rPr>
          <w:rFonts w:hint="eastAsia" w:cs="黑体" w:asciiTheme="minorEastAsia" w:hAnsiTheme="minorEastAsia"/>
          <w:color w:val="000000"/>
          <w:kern w:val="0"/>
          <w:sz w:val="32"/>
          <w:szCs w:val="32"/>
          <w:highlight w:val="none"/>
        </w:rPr>
        <w:t>部门职责</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1．根据党的路线、方针、政策和市委政法委、市委的部署，统一政法各部门的思想和行动，对一定时期内全市的政法工作作出作局性部署，并督促贯彻落实。</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2．组织、协调、指导维护社会稳定的工作，必须时直接参与影响稳定的重大群体性事件的处置。</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3．检查政法部门执行法律法规和党的方针、政策的情况，结合实际研究制定严肃执法，落实党的方针、政策的具体措施。</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4．大力支持和严格监督政法各部门依法行使职权，指导和协调政法各部门在依法相互制约的同时密切配合，督促和推动大案、要案的查处工作，研究、协调有争议的重大、疑难案件。</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5．组织、协调社会管理综合治理工作，推动社会管理综合治理各项措施的落实。</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6．组织推动政法战线的调查研究工作，总结新经验、解决新问题，改革和加强政法工作。</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7．协助党委及其他组织部门管理好政法部门的领导班子和干部队伍。组织查处政法系统干部、干警中有重大影响的违法违纪案件。</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8．承办市委、市人民政府和上级政法委员交办的其他事项。</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二、机构设置及决算单位构成</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(一）内设机构设置。</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中共祁阳市委政法委员会下设办公室、政研宣传室、政工室、维稳反邪室、综治督导室、执法监督室、法学会，下辖综治中心（网格事务中心）1个副科级事业单位和法学会1个股级事业单位。行政编制13个，事业编制13个，工勤人员编制2人；在职人数24人，离退休人数15人。</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（二）决算单位构成。中共祁阳市委政法委员会2021年部门决算汇总公开单位构成包括：中共祁阳市委政法委员会本级。</w:t>
      </w:r>
    </w:p>
    <w:p>
      <w:pP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hint="eastAsia" w:asciiTheme="minorEastAsia" w:hAnsiTheme="minorEastAsia"/>
          <w:sz w:val="72"/>
          <w:szCs w:val="72"/>
          <w:highlight w:val="none"/>
        </w:rPr>
      </w:pPr>
      <w:r>
        <w:rPr>
          <w:rFonts w:hint="eastAsia" w:asciiTheme="minorEastAsia" w:hAnsiTheme="minorEastAsia"/>
          <w:sz w:val="72"/>
          <w:szCs w:val="72"/>
          <w:highlight w:val="none"/>
        </w:rPr>
        <w:t>第二部分</w:t>
      </w:r>
    </w:p>
    <w:p>
      <w:pPr>
        <w:jc w:val="center"/>
        <w:rPr>
          <w:rFonts w:hint="eastAsia" w:asciiTheme="minorEastAsia" w:hAnsiTheme="minorEastAsia"/>
          <w:sz w:val="72"/>
          <w:szCs w:val="72"/>
          <w:highlight w:val="none"/>
        </w:rPr>
      </w:pPr>
    </w:p>
    <w:p>
      <w:pPr>
        <w:jc w:val="center"/>
        <w:rPr>
          <w:rFonts w:asciiTheme="minorEastAsia" w:hAnsiTheme="minorEastAsia"/>
          <w:sz w:val="72"/>
          <w:szCs w:val="72"/>
          <w:highlight w:val="none"/>
        </w:rPr>
      </w:pPr>
      <w:r>
        <w:rPr>
          <w:rFonts w:hint="eastAsia" w:asciiTheme="minorEastAsia" w:hAnsiTheme="minorEastAsia"/>
          <w:sz w:val="72"/>
          <w:szCs w:val="72"/>
          <w:highlight w:val="none"/>
          <w:lang w:val="en-US" w:eastAsia="zh-CN"/>
        </w:rPr>
        <w:t>2021年度</w:t>
      </w:r>
      <w:r>
        <w:rPr>
          <w:rFonts w:hint="eastAsia" w:asciiTheme="minorEastAsia" w:hAnsiTheme="minorEastAsia"/>
          <w:sz w:val="72"/>
          <w:szCs w:val="72"/>
          <w:highlight w:val="none"/>
        </w:rPr>
        <w:t>部门决算表</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9"/>
        <w:tblW w:w="4911" w:type="pct"/>
        <w:tblInd w:w="118" w:type="dxa"/>
        <w:tblLayout w:type="autofit"/>
        <w:tblCellMar>
          <w:top w:w="0" w:type="dxa"/>
          <w:left w:w="108" w:type="dxa"/>
          <w:bottom w:w="0" w:type="dxa"/>
          <w:right w:w="108" w:type="dxa"/>
        </w:tblCellMar>
      </w:tblPr>
      <w:tblGrid>
        <w:gridCol w:w="4515"/>
        <w:gridCol w:w="736"/>
        <w:gridCol w:w="2537"/>
        <w:gridCol w:w="4174"/>
        <w:gridCol w:w="886"/>
        <w:gridCol w:w="2488"/>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收入支出决算总表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4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8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公开01表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color w:val="000000"/>
                <w:kern w:val="0"/>
                <w:sz w:val="21"/>
                <w:szCs w:val="21"/>
                <w:highlight w:val="none"/>
                <w:lang w:eastAsia="zh-CN"/>
              </w:rPr>
            </w:pPr>
            <w:r>
              <w:rPr>
                <w:rFonts w:hint="default" w:ascii="Times New Roman" w:hAnsi="Times New Roman" w:cs="Times New Roman" w:eastAsiaTheme="minorEastAsia"/>
                <w:color w:val="000000"/>
                <w:kern w:val="0"/>
                <w:sz w:val="21"/>
                <w:szCs w:val="21"/>
                <w:highlight w:val="none"/>
              </w:rPr>
              <w:t xml:space="preserve">部门： </w:t>
            </w:r>
            <w:r>
              <w:rPr>
                <w:rFonts w:hint="default" w:ascii="Times New Roman" w:hAnsi="Times New Roman" w:cs="Times New Roman" w:eastAsiaTheme="minorEastAsia"/>
                <w:color w:val="000000"/>
                <w:kern w:val="0"/>
                <w:sz w:val="21"/>
                <w:szCs w:val="21"/>
                <w:highlight w:val="none"/>
                <w:lang w:eastAsia="zh-CN"/>
              </w:rPr>
              <w:t>中共祁阳市委政法委员会</w:t>
            </w:r>
          </w:p>
        </w:tc>
        <w:tc>
          <w:tcPr>
            <w:tcW w:w="24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8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支出</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决算数</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决算数</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2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963.67</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32</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905.94</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二、外交支出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33</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三、国防支出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34</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35</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五、事业收入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五、教育支出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36</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六、经营收入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37</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7</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38</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八、其他收入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8</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lang w:val="en-US" w:eastAsia="zh-CN"/>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39</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29.35</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9</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40</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10</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41</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11</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42</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12</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43</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13</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44</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14</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45</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15</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46</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16</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47</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17</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48</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18</w:t>
            </w:r>
          </w:p>
        </w:tc>
        <w:tc>
          <w:tcPr>
            <w:tcW w:w="25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49</w:t>
            </w: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19</w:t>
            </w:r>
          </w:p>
        </w:tc>
        <w:tc>
          <w:tcPr>
            <w:tcW w:w="2537"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50</w:t>
            </w:r>
          </w:p>
        </w:tc>
        <w:tc>
          <w:tcPr>
            <w:tcW w:w="24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20</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51</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21</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52</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22</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53</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23</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54</w:t>
            </w:r>
          </w:p>
        </w:tc>
        <w:tc>
          <w:tcPr>
            <w:tcW w:w="248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24</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二十四、债务还本支出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55</w:t>
            </w:r>
          </w:p>
        </w:tc>
        <w:tc>
          <w:tcPr>
            <w:tcW w:w="248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25</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二十五、债务付息支出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56</w:t>
            </w:r>
          </w:p>
        </w:tc>
        <w:tc>
          <w:tcPr>
            <w:tcW w:w="248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26</w:t>
            </w:r>
          </w:p>
        </w:tc>
        <w:tc>
          <w:tcPr>
            <w:tcW w:w="253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二十六、抗疫特别国债安排的支出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57</w:t>
            </w:r>
          </w:p>
        </w:tc>
        <w:tc>
          <w:tcPr>
            <w:tcW w:w="2488"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lang w:val="en-US" w:eastAsia="zh-CN"/>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本年收入合计</w:t>
            </w: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27</w:t>
            </w:r>
          </w:p>
        </w:tc>
        <w:tc>
          <w:tcPr>
            <w:tcW w:w="253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本年支出合计</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58</w:t>
            </w:r>
          </w:p>
        </w:tc>
        <w:tc>
          <w:tcPr>
            <w:tcW w:w="24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kern w:val="0"/>
                <w:sz w:val="21"/>
                <w:szCs w:val="21"/>
                <w:highlight w:val="none"/>
                <w:lang w:val="en-US" w:eastAsia="zh-CN"/>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使用非财政拨款结余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28</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结余分配</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59</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29</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60</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val="0"/>
                <w:bCs w:val="0"/>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30</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61</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31</w:t>
            </w:r>
          </w:p>
        </w:tc>
        <w:tc>
          <w:tcPr>
            <w:tcW w:w="2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62</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r>
      <w:tr>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pPr>
              <w:widowControl/>
              <w:jc w:val="left"/>
              <w:rPr>
                <w:rFonts w:hint="eastAsia"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注：1.本表反映部门本年度的总收支和年末结转结余情况。</w:t>
            </w:r>
          </w:p>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xml:space="preserve"> 2.本套报表金额单位转换时可能存在尾数误差。</w:t>
            </w:r>
          </w:p>
        </w:tc>
      </w:tr>
    </w:tbl>
    <w:p>
      <w:pPr>
        <w:rPr>
          <w:rFonts w:hint="eastAsia" w:asciiTheme="minorEastAsia" w:hAnsiTheme="minorEastAsia"/>
          <w:color w:val="000000"/>
          <w:sz w:val="32"/>
          <w:szCs w:val="32"/>
          <w:highlight w:val="none"/>
        </w:rPr>
      </w:pPr>
      <w:r>
        <w:rPr>
          <w:rFonts w:hint="eastAsia" w:asciiTheme="minorEastAsia" w:hAnsiTheme="minorEastAsia"/>
          <w:color w:val="000000"/>
          <w:sz w:val="32"/>
          <w:szCs w:val="32"/>
          <w:highlight w:val="none"/>
        </w:rPr>
        <w:br w:type="page"/>
      </w:r>
    </w:p>
    <w:tbl>
      <w:tblPr>
        <w:tblStyle w:val="9"/>
        <w:tblW w:w="5000" w:type="pct"/>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99"/>
      </w:tblGrid>
      <w:tr>
        <w:tblPrEx>
          <w:tblCellMar>
            <w:top w:w="0" w:type="dxa"/>
            <w:left w:w="0" w:type="dxa"/>
            <w:bottom w:w="0" w:type="dxa"/>
            <w:right w:w="0" w:type="dxa"/>
          </w:tblCellMar>
        </w:tblPrEx>
        <w:trPr>
          <w:trHeight w:val="444"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highlight w:val="none"/>
              </w:rPr>
            </w:pPr>
            <w:r>
              <w:rPr>
                <w:rFonts w:hint="eastAsia" w:asciiTheme="minorEastAsia" w:hAnsiTheme="minorEastAsia"/>
                <w:color w:val="000000"/>
                <w:sz w:val="32"/>
                <w:szCs w:val="32"/>
                <w:highlight w:val="none"/>
              </w:rPr>
              <w:t>收入决算表</w:t>
            </w:r>
          </w:p>
        </w:tc>
      </w:tr>
      <w:tr>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公开02表</w:t>
            </w:r>
          </w:p>
        </w:tc>
      </w:tr>
      <w:tr>
        <w:tblPrEx>
          <w:tblCellMar>
            <w:top w:w="0" w:type="dxa"/>
            <w:left w:w="0" w:type="dxa"/>
            <w:bottom w:w="0" w:type="dxa"/>
            <w:right w:w="0" w:type="dxa"/>
          </w:tblCellMar>
        </w:tblPrEx>
        <w:trPr>
          <w:trHeight w:val="177"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color w:val="00000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中共祁阳市委政法委员会</w:t>
            </w:r>
            <w:r>
              <w:rPr>
                <w:rFonts w:hint="default" w:ascii="Times New Roman" w:hAnsi="Times New Roman" w:cs="Times New Roman" w:eastAsiaTheme="minorEastAsia"/>
                <w:sz w:val="21"/>
                <w:szCs w:val="21"/>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单位：万元</w:t>
            </w:r>
          </w:p>
        </w:tc>
      </w:tr>
      <w:tr>
        <w:tblPrEx>
          <w:tblCellMar>
            <w:top w:w="0" w:type="dxa"/>
            <w:left w:w="0" w:type="dxa"/>
            <w:bottom w:w="0" w:type="dxa"/>
            <w:right w:w="0" w:type="dxa"/>
          </w:tblCellMar>
        </w:tblPrEx>
        <w:trPr>
          <w:trHeight w:val="167"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附属单位上缴收入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其他收入</w:t>
            </w:r>
          </w:p>
        </w:tc>
      </w:tr>
      <w:tr>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功能分类</w:t>
            </w:r>
          </w:p>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12"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1450" w:type="pct"/>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7</w:t>
            </w:r>
          </w:p>
        </w:tc>
      </w:tr>
      <w:tr>
        <w:tblPrEx>
          <w:tblCellMar>
            <w:top w:w="0" w:type="dxa"/>
            <w:left w:w="0" w:type="dxa"/>
            <w:bottom w:w="0" w:type="dxa"/>
            <w:right w:w="0" w:type="dxa"/>
          </w:tblCellMar>
        </w:tblPrEx>
        <w:trPr>
          <w:trHeight w:val="328"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eastAsiaTheme="minorEastAsia"/>
                <w:b/>
                <w:bCs/>
                <w:sz w:val="21"/>
                <w:szCs w:val="21"/>
                <w:highlight w:val="none"/>
              </w:rPr>
              <w:t>合计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1"/>
                <w:szCs w:val="21"/>
                <w:highlight w:val="none"/>
                <w:lang w:val="en-US" w:eastAsia="zh-CN"/>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905.94</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905.94</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20128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民主党派及工商联事务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2012802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一般行政管理事务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20131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党委办公厅（室）及相关机构事务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814.28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814.28</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2013101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行政运行</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358.78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358.78</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2013102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ind w:firstLine="420" w:firstLineChars="2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一般行政管理事务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其他一般公共服务支出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2019999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其他一般公共服务支出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社会保障和就业支出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29.35</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29.35</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行政事业单位养老支出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2080505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ind w:firstLine="420" w:firstLineChars="2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机关事业单位基本养老保险缴费支出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抚恤</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2080899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其他优抚支出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210</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卫生健康支出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21011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行政事业单位医疗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2101101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行政单位医疗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221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住房保障支出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22102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住房改革支出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2210201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住房公积金</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28"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注：本表反映部门本年度取得的各项收入情况。</w:t>
            </w:r>
          </w:p>
        </w:tc>
      </w:tr>
    </w:tbl>
    <w:p>
      <w:pPr>
        <w:widowControl/>
        <w:jc w:val="center"/>
        <w:rPr>
          <w:rFonts w:hint="eastAsia"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9"/>
        <w:tblW w:w="4937" w:type="pct"/>
        <w:tblInd w:w="93" w:type="dxa"/>
        <w:tblLayout w:type="fixed"/>
        <w:tblCellMar>
          <w:top w:w="0" w:type="dxa"/>
          <w:left w:w="108" w:type="dxa"/>
          <w:bottom w:w="0" w:type="dxa"/>
          <w:right w:w="108" w:type="dxa"/>
        </w:tblCellMar>
      </w:tblPr>
      <w:tblGrid>
        <w:gridCol w:w="1170"/>
        <w:gridCol w:w="4578"/>
        <w:gridCol w:w="1694"/>
        <w:gridCol w:w="1663"/>
        <w:gridCol w:w="1558"/>
        <w:gridCol w:w="1579"/>
        <w:gridCol w:w="1580"/>
        <w:gridCol w:w="1596"/>
      </w:tblGrid>
      <w:tr>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支出决算表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0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公开03表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中共祁阳市委政法委员会</w:t>
            </w:r>
            <w:r>
              <w:rPr>
                <w:rFonts w:hint="default" w:ascii="Times New Roman" w:hAnsi="Times New Roman" w:cs="Times New Roman" w:eastAsiaTheme="minorEastAsia"/>
                <w:sz w:val="21"/>
                <w:szCs w:val="21"/>
                <w:highlight w:val="none"/>
              </w:rPr>
              <w:t>　</w:t>
            </w:r>
            <w:r>
              <w:rPr>
                <w:rFonts w:hint="default" w:ascii="Times New Roman" w:hAnsi="Times New Roman" w:cs="Times New Roman" w:eastAsiaTheme="minorEastAsia"/>
                <w:kern w:val="0"/>
                <w:sz w:val="21"/>
                <w:szCs w:val="21"/>
                <w:highlight w:val="none"/>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05" w:type="pct"/>
            <w:tcBorders>
              <w:top w:val="nil"/>
              <w:left w:val="nil"/>
              <w:bottom w:val="nil"/>
              <w:right w:val="nil"/>
            </w:tcBorders>
            <w:shd w:val="clear" w:color="000000" w:fill="FFFFFF"/>
            <w:noWrap/>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265"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对附属单位补助支出</w:t>
            </w:r>
          </w:p>
        </w:tc>
      </w:tr>
      <w:tr>
        <w:tblPrEx>
          <w:tblCellMar>
            <w:top w:w="0" w:type="dxa"/>
            <w:left w:w="108" w:type="dxa"/>
            <w:bottom w:w="0" w:type="dxa"/>
            <w:right w:w="108" w:type="dxa"/>
          </w:tblCellMar>
        </w:tblPrEx>
        <w:trPr>
          <w:trHeight w:val="450" w:hRule="atLeast"/>
        </w:trPr>
        <w:tc>
          <w:tcPr>
            <w:tcW w:w="3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功能分类科目编码</w:t>
            </w:r>
          </w:p>
        </w:tc>
        <w:tc>
          <w:tcPr>
            <w:tcW w:w="1484"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57" w:hRule="atLeast"/>
        </w:trPr>
        <w:tc>
          <w:tcPr>
            <w:tcW w:w="37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484"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栏次</w:t>
            </w:r>
          </w:p>
        </w:tc>
        <w:tc>
          <w:tcPr>
            <w:tcW w:w="54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5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r>
      <w:tr>
        <w:tblPrEx>
          <w:tblCellMar>
            <w:top w:w="0" w:type="dxa"/>
            <w:left w:w="108" w:type="dxa"/>
            <w:bottom w:w="0" w:type="dxa"/>
            <w:right w:w="108" w:type="dxa"/>
          </w:tblCellMar>
        </w:tblPrEx>
        <w:trPr>
          <w:trHeight w:val="9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合计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508.17</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455.50</w:t>
            </w: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201</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905.94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450.44</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20128</w:t>
            </w:r>
          </w:p>
        </w:tc>
        <w:tc>
          <w:tcPr>
            <w:tcW w:w="1484" w:type="pct"/>
            <w:tcBorders>
              <w:top w:val="nil"/>
              <w:left w:val="nil"/>
              <w:bottom w:val="single" w:color="auto" w:sz="4" w:space="0"/>
              <w:right w:val="single" w:color="auto" w:sz="4" w:space="0"/>
            </w:tcBorders>
            <w:shd w:val="clear" w:color="000000" w:fill="FFFFFF"/>
            <w:noWrap/>
            <w:vAlign w:val="top"/>
          </w:tcPr>
          <w:p>
            <w:pPr>
              <w:ind w:firstLine="210" w:firstLineChars="100"/>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民主党派及工商联事务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2012802</w:t>
            </w:r>
          </w:p>
        </w:tc>
        <w:tc>
          <w:tcPr>
            <w:tcW w:w="1484" w:type="pct"/>
            <w:tcBorders>
              <w:top w:val="nil"/>
              <w:left w:val="nil"/>
              <w:bottom w:val="single" w:color="auto" w:sz="4" w:space="0"/>
              <w:right w:val="single" w:color="auto" w:sz="4" w:space="0"/>
            </w:tcBorders>
            <w:shd w:val="clear" w:color="000000" w:fill="FFFFFF"/>
            <w:noWrap/>
            <w:vAlign w:val="top"/>
          </w:tcPr>
          <w:p>
            <w:pPr>
              <w:ind w:firstLine="210" w:firstLineChars="100"/>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一般行政管理事务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20131</w:t>
            </w:r>
          </w:p>
        </w:tc>
        <w:tc>
          <w:tcPr>
            <w:tcW w:w="1484" w:type="pct"/>
            <w:tcBorders>
              <w:top w:val="nil"/>
              <w:left w:val="nil"/>
              <w:bottom w:val="single" w:color="auto" w:sz="4" w:space="0"/>
              <w:right w:val="single" w:color="auto" w:sz="4" w:space="0"/>
            </w:tcBorders>
            <w:shd w:val="clear" w:color="000000" w:fill="FFFFFF"/>
            <w:noWrap/>
            <w:vAlign w:val="top"/>
          </w:tcPr>
          <w:p>
            <w:pPr>
              <w:ind w:firstLine="210" w:firstLineChars="100"/>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党委办公厅（室）及相关机构事务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814.28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358.78</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2013101</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行政运行</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358.78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358.78</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2013102</w:t>
            </w:r>
          </w:p>
        </w:tc>
        <w:tc>
          <w:tcPr>
            <w:tcW w:w="1484" w:type="pct"/>
            <w:tcBorders>
              <w:top w:val="nil"/>
              <w:left w:val="nil"/>
              <w:bottom w:val="single" w:color="auto" w:sz="4" w:space="0"/>
              <w:right w:val="single" w:color="auto" w:sz="4" w:space="0"/>
            </w:tcBorders>
            <w:shd w:val="clear" w:color="000000" w:fill="FFFFFF"/>
            <w:noWrap/>
            <w:vAlign w:val="top"/>
          </w:tcPr>
          <w:p>
            <w:pPr>
              <w:ind w:firstLine="420" w:firstLineChars="200"/>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一般行政管理事务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20199</w:t>
            </w:r>
          </w:p>
        </w:tc>
        <w:tc>
          <w:tcPr>
            <w:tcW w:w="1484" w:type="pct"/>
            <w:tcBorders>
              <w:top w:val="nil"/>
              <w:left w:val="nil"/>
              <w:bottom w:val="single" w:color="auto" w:sz="4" w:space="0"/>
              <w:right w:val="single" w:color="auto" w:sz="4" w:space="0"/>
            </w:tcBorders>
            <w:shd w:val="clear" w:color="000000" w:fill="FFFFFF"/>
            <w:noWrap/>
            <w:vAlign w:val="top"/>
          </w:tcPr>
          <w:p>
            <w:pPr>
              <w:ind w:firstLine="210" w:firstLineChars="100"/>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2019999</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208</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社会保障和就业支出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29.35</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29.35</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20805</w:t>
            </w:r>
          </w:p>
        </w:tc>
        <w:tc>
          <w:tcPr>
            <w:tcW w:w="1484" w:type="pct"/>
            <w:tcBorders>
              <w:top w:val="nil"/>
              <w:left w:val="nil"/>
              <w:bottom w:val="single" w:color="auto" w:sz="4" w:space="0"/>
              <w:right w:val="single" w:color="auto" w:sz="4" w:space="0"/>
            </w:tcBorders>
            <w:shd w:val="clear" w:color="000000" w:fill="FFFFFF"/>
            <w:noWrap/>
            <w:vAlign w:val="top"/>
          </w:tcPr>
          <w:p>
            <w:pPr>
              <w:ind w:firstLine="210" w:firstLineChars="100"/>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2080505</w:t>
            </w:r>
          </w:p>
        </w:tc>
        <w:tc>
          <w:tcPr>
            <w:tcW w:w="1484" w:type="pct"/>
            <w:tcBorders>
              <w:top w:val="nil"/>
              <w:left w:val="nil"/>
              <w:bottom w:val="single" w:color="auto" w:sz="4" w:space="0"/>
              <w:right w:val="single" w:color="auto" w:sz="4" w:space="0"/>
            </w:tcBorders>
            <w:shd w:val="clear" w:color="000000" w:fill="FFFFFF"/>
            <w:noWrap/>
            <w:vAlign w:val="top"/>
          </w:tcPr>
          <w:p>
            <w:pPr>
              <w:ind w:firstLine="420" w:firstLineChars="200"/>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20808</w:t>
            </w:r>
          </w:p>
        </w:tc>
        <w:tc>
          <w:tcPr>
            <w:tcW w:w="1484" w:type="pct"/>
            <w:tcBorders>
              <w:top w:val="nil"/>
              <w:left w:val="nil"/>
              <w:bottom w:val="single" w:color="auto" w:sz="4" w:space="0"/>
              <w:right w:val="single" w:color="auto" w:sz="4" w:space="0"/>
            </w:tcBorders>
            <w:shd w:val="clear" w:color="000000" w:fill="FFFFFF"/>
            <w:noWrap/>
            <w:vAlign w:val="top"/>
          </w:tcPr>
          <w:p>
            <w:pPr>
              <w:ind w:firstLine="210" w:firstLineChars="100"/>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抚恤</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2080899</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其他优抚支出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210</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卫生健康支出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21011</w:t>
            </w:r>
          </w:p>
        </w:tc>
        <w:tc>
          <w:tcPr>
            <w:tcW w:w="1484" w:type="pct"/>
            <w:tcBorders>
              <w:top w:val="nil"/>
              <w:left w:val="nil"/>
              <w:bottom w:val="single" w:color="auto" w:sz="4" w:space="0"/>
              <w:right w:val="single" w:color="auto" w:sz="4" w:space="0"/>
            </w:tcBorders>
            <w:shd w:val="clear" w:color="000000" w:fill="FFFFFF"/>
            <w:noWrap/>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行政事业单位医疗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2101101</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行政单位医疗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221</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住房保障支出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22102</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住房改革支出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379" w:type="pct"/>
            <w:tcBorders>
              <w:top w:val="single" w:color="auto" w:sz="4" w:space="0"/>
              <w:left w:val="single" w:color="auto" w:sz="4" w:space="0"/>
              <w:bottom w:val="single" w:color="auto" w:sz="4" w:space="0"/>
              <w:right w:val="single" w:color="auto" w:sz="4" w:space="0"/>
            </w:tcBorders>
            <w:shd w:val="clear" w:color="000000" w:fill="FFFFFF"/>
            <w:noWrap/>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2210201</w:t>
            </w:r>
          </w:p>
        </w:tc>
        <w:tc>
          <w:tcPr>
            <w:tcW w:w="1484" w:type="pct"/>
            <w:tcBorders>
              <w:top w:val="nil"/>
              <w:left w:val="nil"/>
              <w:bottom w:val="single" w:color="auto" w:sz="4" w:space="0"/>
              <w:right w:val="single" w:color="auto" w:sz="4" w:space="0"/>
            </w:tcBorders>
            <w:shd w:val="clear" w:color="000000" w:fill="FFFFFF"/>
            <w:noWrap/>
            <w:vAlign w:val="top"/>
          </w:tcPr>
          <w:p>
            <w:pPr>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　  住房公积金</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sz w:val="21"/>
                <w:szCs w:val="21"/>
                <w:highlight w:val="none"/>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注：本表反映部门本年度各项支出情况。</w:t>
            </w:r>
          </w:p>
        </w:tc>
      </w:tr>
    </w:tbl>
    <w:p>
      <w:pPr>
        <w:widowControl/>
        <w:jc w:val="center"/>
        <w:rPr>
          <w:rFonts w:hint="eastAsia" w:cs="宋体" w:asciiTheme="minorEastAsia" w:hAnsiTheme="minorEastAsia"/>
          <w:color w:val="000000"/>
          <w:kern w:val="0"/>
          <w:sz w:val="32"/>
          <w:szCs w:val="32"/>
          <w:highlight w:val="none"/>
        </w:rPr>
      </w:pPr>
      <w:bookmarkStart w:id="0" w:name="RANGE!A1:I22"/>
      <w:bookmarkEnd w:id="0"/>
      <w:bookmarkStart w:id="1" w:name="RANGE!A1:F16"/>
      <w:r>
        <w:rPr>
          <w:rFonts w:hint="eastAsia" w:cs="宋体" w:asciiTheme="minorEastAsia" w:hAnsiTheme="minorEastAsia"/>
          <w:color w:val="000000"/>
          <w:kern w:val="0"/>
          <w:sz w:val="32"/>
          <w:szCs w:val="32"/>
          <w:highlight w:val="none"/>
        </w:rPr>
        <w:br w:type="page"/>
      </w:r>
    </w:p>
    <w:tbl>
      <w:tblPr>
        <w:tblStyle w:val="9"/>
        <w:tblW w:w="5011" w:type="pct"/>
        <w:tblInd w:w="126"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gridCol w:w="164"/>
      </w:tblGrid>
      <w:tr>
        <w:tblPrEx>
          <w:tblCellMar>
            <w:top w:w="0" w:type="dxa"/>
            <w:left w:w="108" w:type="dxa"/>
            <w:bottom w:w="0" w:type="dxa"/>
            <w:right w:w="108" w:type="dxa"/>
          </w:tblCellMar>
        </w:tblPrEx>
        <w:trPr>
          <w:gridAfter w:val="1"/>
          <w:wAfter w:w="52" w:type="pct"/>
          <w:trHeight w:val="360" w:hRule="atLeast"/>
        </w:trPr>
        <w:tc>
          <w:tcPr>
            <w:tcW w:w="4947"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337" w:hRule="atLeast"/>
        </w:trPr>
        <w:tc>
          <w:tcPr>
            <w:tcW w:w="107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9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6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15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483"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91"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公开04表</w:t>
            </w:r>
          </w:p>
        </w:tc>
      </w:tr>
      <w:tr>
        <w:tblPrEx>
          <w:tblCellMar>
            <w:top w:w="0" w:type="dxa"/>
            <w:left w:w="108" w:type="dxa"/>
            <w:bottom w:w="0" w:type="dxa"/>
            <w:right w:w="108" w:type="dxa"/>
          </w:tblCellMar>
        </w:tblPrEx>
        <w:trPr>
          <w:trHeight w:val="300" w:hRule="atLeast"/>
        </w:trPr>
        <w:tc>
          <w:tcPr>
            <w:tcW w:w="1641" w:type="pct"/>
            <w:gridSpan w:val="3"/>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中共祁阳市委政法委员会</w:t>
            </w:r>
            <w:r>
              <w:rPr>
                <w:rFonts w:hint="default" w:ascii="Times New Roman" w:hAnsi="Times New Roman" w:cs="Times New Roman" w:eastAsiaTheme="minorEastAsia"/>
                <w:sz w:val="21"/>
                <w:szCs w:val="21"/>
                <w:highlight w:val="none"/>
              </w:rPr>
              <w:t>　</w:t>
            </w:r>
            <w:r>
              <w:rPr>
                <w:rFonts w:hint="default" w:ascii="Times New Roman" w:hAnsi="Times New Roman" w:cs="Times New Roman" w:eastAsiaTheme="minorEastAsia"/>
                <w:kern w:val="0"/>
                <w:sz w:val="21"/>
                <w:szCs w:val="21"/>
                <w:highlight w:val="none"/>
              </w:rPr>
              <w:t>　</w:t>
            </w:r>
          </w:p>
        </w:tc>
        <w:tc>
          <w:tcPr>
            <w:tcW w:w="115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483"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91"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gridAfter w:val="1"/>
          <w:wAfter w:w="52" w:type="pct"/>
          <w:trHeight w:val="117" w:hRule="atLeast"/>
        </w:trPr>
        <w:tc>
          <w:tcPr>
            <w:tcW w:w="1641"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收入</w:t>
            </w:r>
          </w:p>
        </w:tc>
        <w:tc>
          <w:tcPr>
            <w:tcW w:w="3306" w:type="pct"/>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支出</w:t>
            </w:r>
          </w:p>
        </w:tc>
      </w:tr>
      <w:tr>
        <w:tblPrEx>
          <w:tblCellMar>
            <w:top w:w="0" w:type="dxa"/>
            <w:left w:w="108" w:type="dxa"/>
            <w:bottom w:w="0" w:type="dxa"/>
            <w:right w:w="108" w:type="dxa"/>
          </w:tblCellMar>
        </w:tblPrEx>
        <w:trPr>
          <w:gridAfter w:val="1"/>
          <w:wAfter w:w="52" w:type="pct"/>
          <w:trHeight w:val="630"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36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金额</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375"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483"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一般公共预算财政拨款</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政府性基金预算财政拨款</w:t>
            </w:r>
          </w:p>
        </w:tc>
        <w:tc>
          <w:tcPr>
            <w:tcW w:w="53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国有资本经营预算财政拨款</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6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5"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483"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55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53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r>
      <w:tr>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一、一般公共预算财政拨款</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963.67</w:t>
            </w: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一、一般公共服务支出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33</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905.94</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905.94</w:t>
            </w: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二、政府性基金预算财政拨款</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11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二、外交支出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34</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三、国有资本经营预算财政拨款</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11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三、国防支出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35</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4</w:t>
            </w:r>
          </w:p>
        </w:tc>
        <w:tc>
          <w:tcPr>
            <w:tcW w:w="11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四、公共安全支出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36</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5</w:t>
            </w:r>
          </w:p>
        </w:tc>
        <w:tc>
          <w:tcPr>
            <w:tcW w:w="11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五、教育支出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37</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6</w:t>
            </w:r>
          </w:p>
        </w:tc>
        <w:tc>
          <w:tcPr>
            <w:tcW w:w="11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六、科学技术支出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38</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7</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七、文化旅游体育与传媒支出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39</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8</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八、社会保障和就业支出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40</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29.35</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29.35</w:t>
            </w: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9</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九、卫生健康支出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41</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10</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十、节能环保支出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42</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11</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十一、城乡社区支出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43</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12</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十二、农林水支出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44</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13</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十三、交通运输支出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45</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14</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十四、资源勘探工业信息等支出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46</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15</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十五、商业服务业等支出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47</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16</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十六、金融支出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48</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17</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十七、援助其他地区支出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49</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18</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十八、自然资源海洋气象等支出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50</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19</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十九、住房保障支出</w:t>
            </w:r>
          </w:p>
        </w:tc>
        <w:tc>
          <w:tcPr>
            <w:tcW w:w="2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51</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20</w:t>
            </w:r>
          </w:p>
        </w:tc>
        <w:tc>
          <w:tcPr>
            <w:tcW w:w="115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二十、粮油物资储备支出</w:t>
            </w:r>
          </w:p>
        </w:tc>
        <w:tc>
          <w:tcPr>
            <w:tcW w:w="20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52</w:t>
            </w:r>
          </w:p>
        </w:tc>
        <w:tc>
          <w:tcPr>
            <w:tcW w:w="117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21</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二十一、国有资本经营预算支出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53</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22</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二十二、灾害防治及应急管理支出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54</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23</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二十三、其他支出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55</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24</w:t>
            </w:r>
          </w:p>
        </w:tc>
        <w:tc>
          <w:tcPr>
            <w:tcW w:w="115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二十四、债务还本支出</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56</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25</w:t>
            </w:r>
          </w:p>
        </w:tc>
        <w:tc>
          <w:tcPr>
            <w:tcW w:w="115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15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二十五、债务付息支出</w:t>
            </w:r>
          </w:p>
        </w:tc>
        <w:tc>
          <w:tcPr>
            <w:tcW w:w="20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57</w:t>
            </w:r>
          </w:p>
        </w:tc>
        <w:tc>
          <w:tcPr>
            <w:tcW w:w="1175"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19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26</w:t>
            </w:r>
          </w:p>
        </w:tc>
        <w:tc>
          <w:tcPr>
            <w:tcW w:w="115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二十六、抗疫特别国债安排的支出</w:t>
            </w:r>
          </w:p>
        </w:tc>
        <w:tc>
          <w:tcPr>
            <w:tcW w:w="20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58</w:t>
            </w:r>
          </w:p>
        </w:tc>
        <w:tc>
          <w:tcPr>
            <w:tcW w:w="117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本年收入合计</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27</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963.67</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本年支出合计</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59</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963.67</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963.67</w:t>
            </w: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highlight w:val="none"/>
                <w:lang w:val="en-US" w:eastAsia="zh-CN"/>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年初财政拨款结转和结余</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28</w:t>
            </w:r>
          </w:p>
        </w:tc>
        <w:tc>
          <w:tcPr>
            <w:tcW w:w="11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年末财政拨款结转和结余</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60</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一般公共预算财政拨款</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29</w:t>
            </w:r>
          </w:p>
        </w:tc>
        <w:tc>
          <w:tcPr>
            <w:tcW w:w="11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61</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政府性基金预算财政拨款</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30</w:t>
            </w:r>
          </w:p>
        </w:tc>
        <w:tc>
          <w:tcPr>
            <w:tcW w:w="11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62</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国有资本经营预算财政拨款</w:t>
            </w:r>
          </w:p>
        </w:tc>
        <w:tc>
          <w:tcPr>
            <w:tcW w:w="19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31</w:t>
            </w:r>
          </w:p>
        </w:tc>
        <w:tc>
          <w:tcPr>
            <w:tcW w:w="11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63</w:t>
            </w:r>
          </w:p>
        </w:tc>
        <w:tc>
          <w:tcPr>
            <w:tcW w:w="1175"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19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32</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c>
          <w:tcPr>
            <w:tcW w:w="115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20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64</w:t>
            </w:r>
          </w:p>
        </w:tc>
        <w:tc>
          <w:tcPr>
            <w:tcW w:w="11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c>
          <w:tcPr>
            <w:tcW w:w="151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c>
          <w:tcPr>
            <w:tcW w:w="172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highlight w:val="none"/>
                <w:lang w:val="en-US" w:eastAsia="zh-CN"/>
              </w:rPr>
            </w:pPr>
          </w:p>
        </w:tc>
        <w:tc>
          <w:tcPr>
            <w:tcW w:w="1686"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b/>
                <w:bCs/>
                <w:kern w:val="0"/>
                <w:sz w:val="21"/>
                <w:szCs w:val="21"/>
                <w:highlight w:val="none"/>
                <w:lang w:val="en-US" w:eastAsia="zh-CN"/>
              </w:rPr>
            </w:pPr>
          </w:p>
        </w:tc>
      </w:tr>
      <w:tr>
        <w:tblPrEx>
          <w:tblCellMar>
            <w:top w:w="0" w:type="dxa"/>
            <w:left w:w="108" w:type="dxa"/>
            <w:bottom w:w="0" w:type="dxa"/>
            <w:right w:w="108" w:type="dxa"/>
          </w:tblCellMar>
        </w:tblPrEx>
        <w:trPr>
          <w:gridAfter w:val="1"/>
          <w:wAfter w:w="52" w:type="pct"/>
          <w:trHeight w:val="312" w:hRule="atLeast"/>
        </w:trPr>
        <w:tc>
          <w:tcPr>
            <w:tcW w:w="4947" w:type="pct"/>
            <w:gridSpan w:val="9"/>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注：本表反映部门本年度一般公共预算财政拨款、政府性基金预算财政拨款和国有资本经营预算财政拨款的总收支和年末结转结余情况。</w:t>
            </w:r>
          </w:p>
        </w:tc>
      </w:tr>
    </w:tbl>
    <w:p>
      <w:pPr>
        <w:widowControl/>
        <w:jc w:val="center"/>
        <w:rPr>
          <w:rFonts w:cs="Times New Roman" w:asciiTheme="minorEastAsia" w:hAnsiTheme="minorEastAsia"/>
          <w:kern w:val="0"/>
          <w:sz w:val="36"/>
          <w:szCs w:val="36"/>
          <w:highlight w:val="none"/>
        </w:rPr>
      </w:pPr>
    </w:p>
    <w:p>
      <w:pPr>
        <w:widowControl/>
        <w:jc w:val="center"/>
        <w:rPr>
          <w:rFonts w:cs="Times New Roman" w:asciiTheme="minorEastAsia" w:hAnsiTheme="minorEastAsia"/>
          <w:kern w:val="0"/>
          <w:sz w:val="36"/>
          <w:szCs w:val="36"/>
          <w:highlight w:val="none"/>
        </w:rPr>
      </w:pPr>
    </w:p>
    <w:p>
      <w:pPr>
        <w:rPr>
          <w:rFonts w:cs="Times New Roman" w:asciiTheme="minorEastAsia" w:hAnsiTheme="minorEastAsia"/>
          <w:kern w:val="0"/>
          <w:sz w:val="36"/>
          <w:szCs w:val="36"/>
          <w:highlight w:val="none"/>
        </w:rPr>
      </w:pPr>
      <w:r>
        <w:rPr>
          <w:rFonts w:cs="Times New Roman" w:asciiTheme="minorEastAsia" w:hAnsiTheme="minorEastAsia"/>
          <w:kern w:val="0"/>
          <w:sz w:val="36"/>
          <w:szCs w:val="36"/>
          <w:highlight w:val="none"/>
        </w:rPr>
        <w:br w:type="page"/>
      </w:r>
    </w:p>
    <w:p>
      <w:pPr>
        <w:widowControl/>
        <w:jc w:val="center"/>
        <w:rPr>
          <w:rFonts w:cs="Times New Roman" w:asciiTheme="minorEastAsia" w:hAnsiTheme="minorEastAsia"/>
          <w:color w:val="000000"/>
          <w:kern w:val="0"/>
          <w:sz w:val="20"/>
          <w:szCs w:val="20"/>
          <w:highlight w:val="none"/>
        </w:rPr>
      </w:pPr>
      <w:r>
        <w:rPr>
          <w:rFonts w:cs="Times New Roman" w:asciiTheme="minorEastAsia" w:hAnsiTheme="minorEastAsia"/>
          <w:kern w:val="0"/>
          <w:sz w:val="32"/>
          <w:szCs w:val="32"/>
          <w:highlight w:val="none"/>
        </w:rPr>
        <w:t>一般公共预算财政拨款支出决算表</w:t>
      </w:r>
      <w:bookmarkEnd w:id="1"/>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p>
    <w:tbl>
      <w:tblPr>
        <w:tblStyle w:val="9"/>
        <w:tblW w:w="5000" w:type="pct"/>
        <w:jc w:val="center"/>
        <w:tblLayout w:type="fixed"/>
        <w:tblCellMar>
          <w:top w:w="0" w:type="dxa"/>
          <w:left w:w="108" w:type="dxa"/>
          <w:bottom w:w="0" w:type="dxa"/>
          <w:right w:w="108" w:type="dxa"/>
        </w:tblCellMar>
      </w:tblPr>
      <w:tblGrid>
        <w:gridCol w:w="74"/>
        <w:gridCol w:w="1014"/>
        <w:gridCol w:w="97"/>
        <w:gridCol w:w="3328"/>
        <w:gridCol w:w="977"/>
        <w:gridCol w:w="274"/>
        <w:gridCol w:w="866"/>
        <w:gridCol w:w="2073"/>
        <w:gridCol w:w="1062"/>
        <w:gridCol w:w="1125"/>
        <w:gridCol w:w="1313"/>
        <w:gridCol w:w="2485"/>
        <w:gridCol w:w="835"/>
        <w:gridCol w:w="91"/>
      </w:tblGrid>
      <w:tr>
        <w:tblPrEx>
          <w:tblCellMar>
            <w:top w:w="0" w:type="dxa"/>
            <w:left w:w="108" w:type="dxa"/>
            <w:bottom w:w="0" w:type="dxa"/>
            <w:right w:w="108" w:type="dxa"/>
          </w:tblCellMar>
        </w:tblPrEx>
        <w:trPr>
          <w:gridBefore w:val="1"/>
          <w:gridAfter w:val="1"/>
          <w:wBefore w:w="23" w:type="pct"/>
          <w:wAfter w:w="29" w:type="pct"/>
          <w:trHeight w:val="405" w:hRule="atLeast"/>
          <w:jc w:val="center"/>
        </w:trPr>
        <w:tc>
          <w:tcPr>
            <w:tcW w:w="1822" w:type="pct"/>
            <w:gridSpan w:val="5"/>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highlight w:val="none"/>
              </w:rPr>
            </w:pPr>
          </w:p>
        </w:tc>
        <w:tc>
          <w:tcPr>
            <w:tcW w:w="3125" w:type="pct"/>
            <w:gridSpan w:val="7"/>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公开05表</w:t>
            </w:r>
          </w:p>
        </w:tc>
      </w:tr>
      <w:tr>
        <w:tblPrEx>
          <w:tblCellMar>
            <w:top w:w="0" w:type="dxa"/>
            <w:left w:w="108" w:type="dxa"/>
            <w:bottom w:w="0" w:type="dxa"/>
            <w:right w:w="108" w:type="dxa"/>
          </w:tblCellMar>
        </w:tblPrEx>
        <w:trPr>
          <w:gridBefore w:val="1"/>
          <w:gridAfter w:val="1"/>
          <w:wBefore w:w="23" w:type="pct"/>
          <w:wAfter w:w="29" w:type="pct"/>
          <w:trHeight w:val="405" w:hRule="atLeast"/>
          <w:jc w:val="center"/>
        </w:trPr>
        <w:tc>
          <w:tcPr>
            <w:tcW w:w="1822" w:type="pct"/>
            <w:gridSpan w:val="5"/>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中共祁阳市委政法委员会</w:t>
            </w:r>
            <w:r>
              <w:rPr>
                <w:rFonts w:hint="default" w:ascii="Times New Roman" w:hAnsi="Times New Roman" w:cs="Times New Roman" w:eastAsiaTheme="minorEastAsia"/>
                <w:sz w:val="21"/>
                <w:szCs w:val="21"/>
                <w:highlight w:val="none"/>
              </w:rPr>
              <w:t>　</w:t>
            </w:r>
          </w:p>
        </w:tc>
        <w:tc>
          <w:tcPr>
            <w:tcW w:w="3125" w:type="pct"/>
            <w:gridSpan w:val="7"/>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gridBefore w:val="1"/>
          <w:gridAfter w:val="1"/>
          <w:wBefore w:w="23" w:type="pct"/>
          <w:wAfter w:w="29" w:type="pct"/>
          <w:trHeight w:val="305" w:hRule="atLeast"/>
          <w:jc w:val="center"/>
        </w:trPr>
        <w:tc>
          <w:tcPr>
            <w:tcW w:w="1822"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 xml:space="preserve">项 </w:t>
            </w:r>
            <w:r>
              <w:rPr>
                <w:rFonts w:hint="default" w:ascii="Times New Roman" w:hAnsi="Times New Roman" w:cs="Times New Roman" w:eastAsiaTheme="minorEastAsia"/>
                <w:b w:val="0"/>
                <w:bCs/>
                <w:color w:val="000000"/>
                <w:kern w:val="0"/>
                <w:sz w:val="21"/>
                <w:szCs w:val="21"/>
                <w:highlight w:val="none"/>
              </w:rPr>
              <w:t xml:space="preserve">   </w:t>
            </w:r>
            <w:r>
              <w:rPr>
                <w:rFonts w:hint="default" w:ascii="Times New Roman" w:hAnsi="Times New Roman" w:cs="Times New Roman" w:eastAsiaTheme="minorEastAsia"/>
                <w:b w:val="0"/>
                <w:bCs/>
                <w:kern w:val="0"/>
                <w:sz w:val="21"/>
                <w:szCs w:val="21"/>
                <w:highlight w:val="none"/>
              </w:rPr>
              <w:t>目</w:t>
            </w:r>
          </w:p>
        </w:tc>
        <w:tc>
          <w:tcPr>
            <w:tcW w:w="3125"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本年支出</w:t>
            </w:r>
          </w:p>
        </w:tc>
      </w:tr>
      <w:tr>
        <w:tblPrEx>
          <w:tblCellMar>
            <w:top w:w="0" w:type="dxa"/>
            <w:left w:w="108" w:type="dxa"/>
            <w:bottom w:w="0" w:type="dxa"/>
            <w:right w:w="108" w:type="dxa"/>
          </w:tblCellMar>
        </w:tblPrEx>
        <w:trPr>
          <w:gridBefore w:val="1"/>
          <w:gridAfter w:val="1"/>
          <w:wBefore w:w="23" w:type="pct"/>
          <w:wAfter w:w="29" w:type="pct"/>
          <w:trHeight w:val="495" w:hRule="atLeast"/>
          <w:jc w:val="center"/>
        </w:trPr>
        <w:tc>
          <w:tcPr>
            <w:tcW w:w="355" w:type="pct"/>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功能分类科目编码</w:t>
            </w:r>
          </w:p>
        </w:tc>
        <w:tc>
          <w:tcPr>
            <w:tcW w:w="1466"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科目名称</w:t>
            </w:r>
          </w:p>
        </w:tc>
        <w:tc>
          <w:tcPr>
            <w:tcW w:w="94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小计</w:t>
            </w:r>
          </w:p>
        </w:tc>
        <w:tc>
          <w:tcPr>
            <w:tcW w:w="1120"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基本支出</w:t>
            </w:r>
          </w:p>
        </w:tc>
        <w:tc>
          <w:tcPr>
            <w:tcW w:w="1063" w:type="pct"/>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项目支出</w:t>
            </w:r>
          </w:p>
        </w:tc>
      </w:tr>
      <w:tr>
        <w:tblPrEx>
          <w:tblCellMar>
            <w:top w:w="0" w:type="dxa"/>
            <w:left w:w="108" w:type="dxa"/>
            <w:bottom w:w="0" w:type="dxa"/>
            <w:right w:w="108" w:type="dxa"/>
          </w:tblCellMar>
        </w:tblPrEx>
        <w:trPr>
          <w:gridBefore w:val="1"/>
          <w:gridAfter w:val="1"/>
          <w:wBefore w:w="23" w:type="pct"/>
          <w:wAfter w:w="29" w:type="pct"/>
          <w:trHeight w:val="360" w:hRule="atLeast"/>
          <w:jc w:val="center"/>
        </w:trPr>
        <w:tc>
          <w:tcPr>
            <w:tcW w:w="355"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466"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94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120"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63"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12" w:hRule="atLeast"/>
          <w:jc w:val="center"/>
        </w:trPr>
        <w:tc>
          <w:tcPr>
            <w:tcW w:w="355"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466"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94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120"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63"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1822"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栏次</w:t>
            </w:r>
          </w:p>
        </w:tc>
        <w:tc>
          <w:tcPr>
            <w:tcW w:w="94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1120"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1063" w:type="pct"/>
            <w:gridSpan w:val="2"/>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1822"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bidi="ar-SA"/>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963.67</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bidi="ar-SA"/>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508.17</w:t>
            </w:r>
          </w:p>
        </w:tc>
        <w:tc>
          <w:tcPr>
            <w:tcW w:w="1063"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bidi="ar-SA"/>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455.50</w:t>
            </w: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一般公共服务支出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905.94</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450.44</w:t>
            </w:r>
          </w:p>
        </w:tc>
        <w:tc>
          <w:tcPr>
            <w:tcW w:w="1063"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20128</w:t>
            </w:r>
          </w:p>
        </w:tc>
        <w:tc>
          <w:tcPr>
            <w:tcW w:w="1466" w:type="pct"/>
            <w:gridSpan w:val="3"/>
            <w:tcBorders>
              <w:top w:val="nil"/>
              <w:left w:val="nil"/>
              <w:bottom w:val="single" w:color="auto" w:sz="4" w:space="0"/>
              <w:right w:val="single" w:color="auto" w:sz="4" w:space="0"/>
            </w:tcBorders>
            <w:shd w:val="clear" w:color="auto" w:fill="auto"/>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民主党派及工商联事务</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2012802</w:t>
            </w:r>
          </w:p>
        </w:tc>
        <w:tc>
          <w:tcPr>
            <w:tcW w:w="1466" w:type="pct"/>
            <w:gridSpan w:val="3"/>
            <w:tcBorders>
              <w:top w:val="nil"/>
              <w:left w:val="nil"/>
              <w:bottom w:val="single" w:color="auto" w:sz="4" w:space="0"/>
              <w:right w:val="single" w:color="auto" w:sz="4" w:space="0"/>
            </w:tcBorders>
            <w:shd w:val="clear" w:color="auto" w:fill="auto"/>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一般行政管理事务</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10.00</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20131</w:t>
            </w:r>
          </w:p>
        </w:tc>
        <w:tc>
          <w:tcPr>
            <w:tcW w:w="1466" w:type="pct"/>
            <w:gridSpan w:val="3"/>
            <w:tcBorders>
              <w:top w:val="nil"/>
              <w:left w:val="nil"/>
              <w:bottom w:val="single" w:color="auto" w:sz="4" w:space="0"/>
              <w:right w:val="single" w:color="auto" w:sz="4" w:space="0"/>
            </w:tcBorders>
            <w:shd w:val="clear" w:color="auto" w:fill="auto"/>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党委办公厅（室）及相关机构事务</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814.28</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358.78</w:t>
            </w:r>
          </w:p>
        </w:tc>
        <w:tc>
          <w:tcPr>
            <w:tcW w:w="1063"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2013101</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行政运行</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358.78</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358.78</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2013102</w:t>
            </w:r>
          </w:p>
        </w:tc>
        <w:tc>
          <w:tcPr>
            <w:tcW w:w="1466" w:type="pct"/>
            <w:gridSpan w:val="3"/>
            <w:tcBorders>
              <w:top w:val="nil"/>
              <w:left w:val="nil"/>
              <w:bottom w:val="single" w:color="auto" w:sz="4" w:space="0"/>
              <w:right w:val="single" w:color="auto" w:sz="4" w:space="0"/>
            </w:tcBorders>
            <w:shd w:val="clear" w:color="auto" w:fill="auto"/>
            <w:vAlign w:val="top"/>
          </w:tcPr>
          <w:p>
            <w:pPr>
              <w:ind w:firstLine="420" w:firstLineChars="2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一般行政管理事务</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c>
          <w:tcPr>
            <w:tcW w:w="1120" w:type="pct"/>
            <w:gridSpan w:val="3"/>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1063"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455.50</w:t>
            </w: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20199</w:t>
            </w:r>
          </w:p>
        </w:tc>
        <w:tc>
          <w:tcPr>
            <w:tcW w:w="1466" w:type="pct"/>
            <w:gridSpan w:val="3"/>
            <w:tcBorders>
              <w:top w:val="nil"/>
              <w:left w:val="nil"/>
              <w:bottom w:val="single" w:color="auto" w:sz="4" w:space="0"/>
              <w:right w:val="single" w:color="auto" w:sz="4" w:space="0"/>
            </w:tcBorders>
            <w:shd w:val="clear" w:color="auto" w:fill="auto"/>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其他一般公共服务支出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2019999</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其他一般公共服务支出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81.67</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社会保障和就业支出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29.35</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29.35</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20805</w:t>
            </w:r>
          </w:p>
        </w:tc>
        <w:tc>
          <w:tcPr>
            <w:tcW w:w="1466" w:type="pct"/>
            <w:gridSpan w:val="3"/>
            <w:tcBorders>
              <w:top w:val="nil"/>
              <w:left w:val="nil"/>
              <w:bottom w:val="single" w:color="auto" w:sz="4" w:space="0"/>
              <w:right w:val="single" w:color="auto" w:sz="4" w:space="0"/>
            </w:tcBorders>
            <w:shd w:val="clear" w:color="auto" w:fill="auto"/>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行政事业单位养老支出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2080505</w:t>
            </w:r>
          </w:p>
        </w:tc>
        <w:tc>
          <w:tcPr>
            <w:tcW w:w="1466" w:type="pct"/>
            <w:gridSpan w:val="3"/>
            <w:tcBorders>
              <w:top w:val="nil"/>
              <w:left w:val="nil"/>
              <w:bottom w:val="single" w:color="auto" w:sz="4" w:space="0"/>
              <w:right w:val="single" w:color="auto" w:sz="4" w:space="0"/>
            </w:tcBorders>
            <w:shd w:val="clear" w:color="auto" w:fill="auto"/>
            <w:vAlign w:val="top"/>
          </w:tcPr>
          <w:p>
            <w:pPr>
              <w:ind w:firstLine="420" w:firstLineChars="2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机关事业单位基本养老保险缴费支出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20808</w:t>
            </w:r>
          </w:p>
        </w:tc>
        <w:tc>
          <w:tcPr>
            <w:tcW w:w="1466" w:type="pct"/>
            <w:gridSpan w:val="3"/>
            <w:tcBorders>
              <w:top w:val="nil"/>
              <w:left w:val="nil"/>
              <w:bottom w:val="single" w:color="auto" w:sz="4" w:space="0"/>
              <w:right w:val="single" w:color="auto" w:sz="4" w:space="0"/>
            </w:tcBorders>
            <w:shd w:val="clear" w:color="auto" w:fill="auto"/>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抚恤</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2080899</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其他优抚支出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210</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卫生健康支出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21011</w:t>
            </w:r>
          </w:p>
        </w:tc>
        <w:tc>
          <w:tcPr>
            <w:tcW w:w="1466" w:type="pct"/>
            <w:gridSpan w:val="3"/>
            <w:tcBorders>
              <w:top w:val="nil"/>
              <w:left w:val="nil"/>
              <w:bottom w:val="single" w:color="auto" w:sz="4" w:space="0"/>
              <w:right w:val="single" w:color="auto" w:sz="4" w:space="0"/>
            </w:tcBorders>
            <w:shd w:val="clear" w:color="auto" w:fill="auto"/>
            <w:vAlign w:val="top"/>
          </w:tcPr>
          <w:p>
            <w:pPr>
              <w:ind w:firstLine="210" w:firstLineChars="100"/>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行政事业单位医疗</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2101101</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 xml:space="preserve"> </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rPr>
              <w:t>行政单位医疗</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221</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住房保障支出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22102</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住房改革支出</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355" w:type="pct"/>
            <w:gridSpan w:val="2"/>
            <w:tcBorders>
              <w:top w:val="single" w:color="auto" w:sz="4" w:space="0"/>
              <w:left w:val="single" w:color="auto" w:sz="8" w:space="0"/>
              <w:bottom w:val="single" w:color="auto" w:sz="4" w:space="0"/>
              <w:right w:val="single" w:color="auto" w:sz="4" w:space="0"/>
            </w:tcBorders>
            <w:shd w:val="clear" w:color="auto" w:fill="auto"/>
            <w:vAlign w:val="top"/>
          </w:tcPr>
          <w:p>
            <w:pPr>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lang w:val="en-US" w:eastAsia="zh-CN"/>
              </w:rPr>
              <w:t>2210201</w:t>
            </w:r>
          </w:p>
        </w:tc>
        <w:tc>
          <w:tcPr>
            <w:tcW w:w="1466" w:type="pct"/>
            <w:gridSpan w:val="3"/>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sz w:val="21"/>
                <w:szCs w:val="21"/>
                <w:highlight w:val="none"/>
              </w:rPr>
              <w:t>　  住房公积金</w:t>
            </w:r>
          </w:p>
        </w:tc>
        <w:tc>
          <w:tcPr>
            <w:tcW w:w="941"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120"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1063"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23" w:type="pct"/>
          <w:wAfter w:w="29" w:type="pct"/>
          <w:trHeight w:val="327" w:hRule="atLeast"/>
          <w:jc w:val="center"/>
        </w:trPr>
        <w:tc>
          <w:tcPr>
            <w:tcW w:w="4947" w:type="pct"/>
            <w:gridSpan w:val="12"/>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5000" w:type="pct"/>
            <w:gridSpan w:val="14"/>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Cs w:val="32"/>
                <w:highlight w:val="none"/>
              </w:rPr>
            </w:pPr>
            <w:r>
              <w:rPr>
                <w:rFonts w:cs="Times New Roman" w:asciiTheme="minorEastAsia" w:hAnsiTheme="minorEastAsia"/>
                <w:bCs/>
                <w:kern w:val="0"/>
                <w:szCs w:val="21"/>
                <w:highlight w:val="none"/>
              </w:rPr>
              <w:br w:type="page"/>
            </w:r>
            <w:bookmarkStart w:id="2" w:name="RANGE!A1:I34"/>
            <w:r>
              <w:rPr>
                <w:rFonts w:hint="eastAsia" w:cs="宋体" w:asciiTheme="minorEastAsia" w:hAnsiTheme="minorEastAsia"/>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5000" w:type="pct"/>
            <w:gridSpan w:val="14"/>
            <w:tcBorders>
              <w:top w:val="nil"/>
              <w:left w:val="nil"/>
              <w:bottom w:val="nil"/>
              <w:right w:val="nil"/>
            </w:tcBorders>
            <w:shd w:val="clear" w:color="auto" w:fill="auto"/>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公开06表</w:t>
            </w:r>
          </w:p>
        </w:tc>
      </w:tr>
      <w:tr>
        <w:tblPrEx>
          <w:tblCellMar>
            <w:top w:w="0" w:type="dxa"/>
            <w:left w:w="108" w:type="dxa"/>
            <w:bottom w:w="0" w:type="dxa"/>
            <w:right w:w="108" w:type="dxa"/>
          </w:tblCellMar>
        </w:tblPrEx>
        <w:trPr>
          <w:trHeight w:val="113" w:hRule="atLeast"/>
          <w:jc w:val="center"/>
        </w:trPr>
        <w:tc>
          <w:tcPr>
            <w:tcW w:w="1758" w:type="pct"/>
            <w:gridSpan w:val="5"/>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中共祁阳市委政法委员会</w:t>
            </w:r>
            <w:r>
              <w:rPr>
                <w:rFonts w:hint="default" w:ascii="Times New Roman" w:hAnsi="Times New Roman" w:cs="Times New Roman" w:eastAsiaTheme="minorEastAsia"/>
                <w:sz w:val="21"/>
                <w:szCs w:val="21"/>
                <w:highlight w:val="none"/>
              </w:rPr>
              <w:t>　</w:t>
            </w:r>
          </w:p>
        </w:tc>
        <w:tc>
          <w:tcPr>
            <w:tcW w:w="365" w:type="pct"/>
            <w:gridSpan w:val="2"/>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663"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340"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360"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1512" w:type="pct"/>
            <w:gridSpan w:val="4"/>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643" w:hRule="atLeast"/>
          <w:jc w:val="center"/>
        </w:trPr>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经济分类科目编码</w:t>
            </w:r>
          </w:p>
        </w:tc>
        <w:tc>
          <w:tcPr>
            <w:tcW w:w="10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科目名称</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决算数</w:t>
            </w:r>
          </w:p>
        </w:tc>
        <w:tc>
          <w:tcPr>
            <w:tcW w:w="3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经济分类科目编码</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科目名称</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决算数</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经济分类科目编码</w:t>
            </w:r>
          </w:p>
        </w:tc>
        <w:tc>
          <w:tcPr>
            <w:tcW w:w="12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科目名称</w:t>
            </w:r>
          </w:p>
        </w:tc>
        <w:tc>
          <w:tcPr>
            <w:tcW w:w="2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决算数</w:t>
            </w:r>
          </w:p>
        </w:tc>
      </w:tr>
      <w:tr>
        <w:tblPrEx>
          <w:tblCellMar>
            <w:top w:w="0" w:type="dxa"/>
            <w:left w:w="108" w:type="dxa"/>
            <w:bottom w:w="0" w:type="dxa"/>
            <w:right w:w="108" w:type="dxa"/>
          </w:tblCellMar>
        </w:tblPrEx>
        <w:trPr>
          <w:trHeight w:val="284" w:hRule="exact"/>
          <w:jc w:val="center"/>
        </w:trPr>
        <w:tc>
          <w:tcPr>
            <w:tcW w:w="34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w:t>
            </w:r>
          </w:p>
        </w:tc>
        <w:tc>
          <w:tcPr>
            <w:tcW w:w="10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工资福利支出</w:t>
            </w:r>
          </w:p>
        </w:tc>
        <w:tc>
          <w:tcPr>
            <w:tcW w:w="31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265.95</w:t>
            </w:r>
          </w:p>
        </w:tc>
        <w:tc>
          <w:tcPr>
            <w:tcW w:w="36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w:t>
            </w:r>
          </w:p>
        </w:tc>
        <w:tc>
          <w:tcPr>
            <w:tcW w:w="663"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商品和服务支出</w:t>
            </w:r>
          </w:p>
        </w:tc>
        <w:tc>
          <w:tcPr>
            <w:tcW w:w="10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236.82</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307</w:t>
            </w:r>
          </w:p>
        </w:tc>
        <w:tc>
          <w:tcPr>
            <w:tcW w:w="121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债务利息及费用支出</w:t>
            </w:r>
          </w:p>
        </w:tc>
        <w:tc>
          <w:tcPr>
            <w:tcW w:w="926" w:type="dxa"/>
            <w:gridSpan w:val="2"/>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lang w:val="en-US" w:eastAsia="zh-CN"/>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30101</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基本工资</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94.53</w:t>
            </w: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30201</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办公费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70.00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30701</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国内债务付息</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30102</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津贴补贴</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84.47</w:t>
            </w: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30202</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印刷费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93.50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30702</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国外债务付息</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30103</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奖金</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30.56</w:t>
            </w: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30203</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咨询费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资本性支出</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30106</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伙食补助费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30204</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手续费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31001</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房屋建筑物购建</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30107</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绩效工资</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30205</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水费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3.00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31002</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办公设备购置</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30108</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机关事业单位基本养老保险缴费</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23.95</w:t>
            </w: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30206</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电费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31003</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专用设备购置</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30109</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职业年金缴费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30207</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邮电费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4.00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31005</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基础设施建设</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30110</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职工基本医疗保险缴费</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11.32</w:t>
            </w: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30208</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取暖费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31006</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大型修缮</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30111</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公务员医疗补助缴费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30209</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物业管理费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31007</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信息网络及软件购置更新</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30112</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其他社会保障缴费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30211</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差旅费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10.00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31008</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物资储备</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30113</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住房公积金</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17.06</w:t>
            </w: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30212</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因公出国（境）费用</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31009</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土地补偿</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30114</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医疗费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30213</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维修（护）费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18.60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31010</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安置补助</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30199</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其他工资福利支出</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4.07</w:t>
            </w: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30214</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租赁费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31011</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地上附着物和青苗补偿</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对个人和家庭的补助</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30215</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会议费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3.10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31012</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拆迁补偿</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30301</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离休费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30216</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培训费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31013</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公务用车购置</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30302</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退休费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30217</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公务接待费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6.00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31019</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其他交通工具购置</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30303</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退职（役）费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30218</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专用材料费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0.30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31021</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文物和陈列品购置</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30304</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抚恤金</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5.40</w:t>
            </w: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30224</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被装购置费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31022</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无形资产购置</w:t>
            </w:r>
          </w:p>
        </w:tc>
        <w:tc>
          <w:tcPr>
            <w:tcW w:w="92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30305</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生活补助</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30225</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专用燃料费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31099</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其他资本性支出</w:t>
            </w:r>
          </w:p>
        </w:tc>
        <w:tc>
          <w:tcPr>
            <w:tcW w:w="9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30306</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救济费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30226</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劳务费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其他支出</w:t>
            </w:r>
          </w:p>
        </w:tc>
        <w:tc>
          <w:tcPr>
            <w:tcW w:w="9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30307</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医疗费补助</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30227</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委托业务费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39906</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赠与</w:t>
            </w:r>
          </w:p>
        </w:tc>
        <w:tc>
          <w:tcPr>
            <w:tcW w:w="9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30308</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助学金</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30228</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工会经费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6.00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39907</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国家赔偿费用支出</w:t>
            </w:r>
          </w:p>
        </w:tc>
        <w:tc>
          <w:tcPr>
            <w:tcW w:w="9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30309</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奖励金</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30229</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福利费</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3.00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39908</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对民间非营利组织和群众性自治组织补贴</w:t>
            </w:r>
          </w:p>
        </w:tc>
        <w:tc>
          <w:tcPr>
            <w:tcW w:w="9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30310</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个人农业生产补贴</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30231</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公务用车运行维护费</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39999</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其他支出</w:t>
            </w:r>
          </w:p>
        </w:tc>
        <w:tc>
          <w:tcPr>
            <w:tcW w:w="9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30311</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代缴社会保险费</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30239</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其他交通费用</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4.00</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9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30399</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其他对个人和家庭的补助</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30240</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税金及附加费用</w:t>
            </w:r>
          </w:p>
        </w:tc>
        <w:tc>
          <w:tcPr>
            <w:tcW w:w="10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lang w:val="en-US" w:eastAsia="zh-CN"/>
              </w:rPr>
            </w:pP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9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8"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09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5"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30299</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其他商品和服务支出</w:t>
            </w:r>
          </w:p>
        </w:tc>
        <w:tc>
          <w:tcPr>
            <w:tcW w:w="10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13.12</w:t>
            </w:r>
          </w:p>
        </w:tc>
        <w:tc>
          <w:tcPr>
            <w:tcW w:w="360"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21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9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144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人员经费合计</w:t>
            </w:r>
          </w:p>
        </w:tc>
        <w:tc>
          <w:tcPr>
            <w:tcW w:w="3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271.35</w:t>
            </w:r>
          </w:p>
        </w:tc>
        <w:tc>
          <w:tcPr>
            <w:tcW w:w="2945" w:type="pct"/>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公用经费合计</w:t>
            </w:r>
          </w:p>
        </w:tc>
        <w:tc>
          <w:tcPr>
            <w:tcW w:w="92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default" w:ascii="Times New Roman" w:hAnsi="Times New Roman" w:eastAsia="宋体" w:cs="Times New Roman"/>
                <w:b/>
                <w:bCs/>
                <w:i w:val="0"/>
                <w:iCs w:val="0"/>
                <w:color w:val="000000"/>
                <w:kern w:val="0"/>
                <w:sz w:val="21"/>
                <w:szCs w:val="21"/>
                <w:highlight w:val="none"/>
                <w:u w:val="none"/>
                <w:lang w:val="en-US" w:eastAsia="zh-CN" w:bidi="ar"/>
              </w:rPr>
              <w:t>236.82</w:t>
            </w:r>
          </w:p>
        </w:tc>
      </w:tr>
      <w:tr>
        <w:tblPrEx>
          <w:tblCellMar>
            <w:top w:w="0" w:type="dxa"/>
            <w:left w:w="108" w:type="dxa"/>
            <w:bottom w:w="0" w:type="dxa"/>
            <w:right w:w="108" w:type="dxa"/>
          </w:tblCellMar>
        </w:tblPrEx>
        <w:trPr>
          <w:trHeight w:val="284" w:hRule="exact"/>
          <w:jc w:val="center"/>
        </w:trPr>
        <w:tc>
          <w:tcPr>
            <w:tcW w:w="5000" w:type="pct"/>
            <w:gridSpan w:val="14"/>
            <w:tcBorders>
              <w:top w:val="nil"/>
              <w:left w:val="nil"/>
              <w:bottom w:val="nil"/>
              <w:right w:val="nil"/>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注：本表反映部门本年度一般公共预算财政拨款基本支出明细情况。</w:t>
            </w:r>
          </w:p>
        </w:tc>
      </w:tr>
    </w:tbl>
    <w:p>
      <w:pPr>
        <w:widowControl/>
        <w:jc w:val="center"/>
        <w:rPr>
          <w:rFonts w:hint="eastAsia" w:cs="Times New Roman" w:asciiTheme="minorEastAsia" w:hAnsiTheme="minorEastAsia"/>
          <w:color w:val="000000"/>
          <w:kern w:val="0"/>
          <w:sz w:val="21"/>
          <w:szCs w:val="21"/>
          <w:highlight w:val="none"/>
        </w:rPr>
      </w:pPr>
    </w:p>
    <w:p>
      <w:pPr>
        <w:widowControl/>
        <w:jc w:val="center"/>
        <w:rPr>
          <w:rFonts w:cs="Times New Roman" w:asciiTheme="minorEastAsia" w:hAnsiTheme="minorEastAsia"/>
          <w:color w:val="000000"/>
          <w:kern w:val="0"/>
          <w:szCs w:val="21"/>
          <w:highlight w:val="none"/>
        </w:rPr>
      </w:pPr>
      <w:r>
        <w:rPr>
          <w:rFonts w:hint="eastAsia" w:cs="Times New Roman" w:asciiTheme="minorEastAsia" w:hAnsiTheme="minorEastAsia"/>
          <w:color w:val="000000"/>
          <w:kern w:val="0"/>
          <w:sz w:val="36"/>
          <w:szCs w:val="36"/>
          <w:highlight w:val="none"/>
        </w:rPr>
        <w:t>一般公共预算财政拨款“三公”经费支出决算表</w:t>
      </w:r>
      <w:r>
        <w:rPr>
          <w:rFonts w:cs="Times New Roman" w:asciiTheme="minorEastAsia" w:hAnsiTheme="minorEastAsia"/>
          <w:color w:val="000000"/>
          <w:kern w:val="0"/>
          <w:szCs w:val="21"/>
          <w:highlight w:val="none"/>
        </w:rPr>
        <w:t xml:space="preserve">                                                                                                              </w:t>
      </w:r>
      <w:r>
        <w:rPr>
          <w:rFonts w:hint="eastAsia" w:cs="Times New Roman" w:asciiTheme="minorEastAsia" w:hAnsiTheme="minorEastAsia"/>
          <w:color w:val="000000"/>
          <w:kern w:val="0"/>
          <w:szCs w:val="21"/>
          <w:highlight w:val="none"/>
        </w:rPr>
        <w:t xml:space="preserve">         </w:t>
      </w:r>
      <w:r>
        <w:rPr>
          <w:rFonts w:cs="Times New Roman" w:asciiTheme="minorEastAsia" w:hAnsiTheme="minorEastAsia"/>
          <w:color w:val="000000"/>
          <w:kern w:val="0"/>
          <w:szCs w:val="21"/>
          <w:highlight w:val="none"/>
        </w:rPr>
        <w:t xml:space="preserve">       </w:t>
      </w:r>
    </w:p>
    <w:tbl>
      <w:tblPr>
        <w:tblStyle w:val="9"/>
        <w:tblW w:w="4941" w:type="pct"/>
        <w:jc w:val="center"/>
        <w:tblLayout w:type="autofit"/>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p>
        </w:tc>
        <w:tc>
          <w:tcPr>
            <w:tcW w:w="2506" w:type="pct"/>
            <w:gridSpan w:val="6"/>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公开07表</w:t>
            </w:r>
          </w:p>
        </w:tc>
      </w:tr>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中共祁阳市委政法委员会</w:t>
            </w:r>
            <w:r>
              <w:rPr>
                <w:rFonts w:hint="default" w:ascii="Times New Roman" w:hAnsi="Times New Roman" w:cs="Times New Roman" w:eastAsiaTheme="minorEastAsia"/>
                <w:sz w:val="21"/>
                <w:szCs w:val="21"/>
                <w:highlight w:val="none"/>
              </w:rPr>
              <w:t>　</w:t>
            </w:r>
          </w:p>
        </w:tc>
        <w:tc>
          <w:tcPr>
            <w:tcW w:w="2506" w:type="pct"/>
            <w:gridSpan w:val="6"/>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397"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公务用车购置及运行费</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公务用车购置及运行费</w:t>
            </w:r>
          </w:p>
        </w:tc>
        <w:tc>
          <w:tcPr>
            <w:tcW w:w="40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公务用车</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公务用车</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运行费</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20" w:type="pct"/>
            <w:vMerge w:val="continue"/>
            <w:tcBorders>
              <w:top w:val="single" w:color="auto" w:sz="4" w:space="0"/>
              <w:left w:val="nil"/>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公务用车</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公务用车</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运行费</w:t>
            </w:r>
          </w:p>
        </w:tc>
        <w:tc>
          <w:tcPr>
            <w:tcW w:w="401"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7</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8</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9</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10</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11</w:t>
            </w:r>
          </w:p>
        </w:tc>
        <w:tc>
          <w:tcPr>
            <w:tcW w:w="401" w:type="pct"/>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12</w:t>
            </w:r>
          </w:p>
        </w:tc>
      </w:tr>
      <w:tr>
        <w:tblPrEx>
          <w:tblCellMar>
            <w:top w:w="0" w:type="dxa"/>
            <w:left w:w="108" w:type="dxa"/>
            <w:bottom w:w="0" w:type="dxa"/>
            <w:right w:w="108" w:type="dxa"/>
          </w:tblCellMar>
        </w:tblPrEx>
        <w:trPr>
          <w:trHeight w:val="397" w:hRule="atLeast"/>
          <w:jc w:val="center"/>
        </w:trPr>
        <w:tc>
          <w:tcPr>
            <w:tcW w:w="1182"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8.10</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1305"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132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8.10</w:t>
            </w:r>
          </w:p>
        </w:tc>
        <w:tc>
          <w:tcPr>
            <w:tcW w:w="129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6.00</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1305" w:type="dxa"/>
            <w:tcBorders>
              <w:top w:val="nil"/>
              <w:left w:val="nil"/>
              <w:bottom w:val="single" w:color="auto" w:sz="8" w:space="0"/>
              <w:right w:val="nil"/>
            </w:tcBorders>
            <w:shd w:val="clear" w:color="auto" w:fill="auto"/>
            <w:vAlign w:val="center"/>
          </w:tcPr>
          <w:p>
            <w:pPr>
              <w:jc w:val="center"/>
              <w:rPr>
                <w:rFonts w:hint="default" w:ascii="Times New Roman" w:hAnsi="Times New Roman" w:cs="Times New Roman" w:eastAsiaTheme="minorEastAsia"/>
                <w:kern w:val="0"/>
                <w:sz w:val="21"/>
                <w:szCs w:val="21"/>
                <w:highlight w:val="none"/>
                <w:lang w:val="en-US" w:eastAsia="zh-CN"/>
              </w:rPr>
            </w:pPr>
          </w:p>
        </w:tc>
        <w:tc>
          <w:tcPr>
            <w:tcW w:w="1242"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6.00</w:t>
            </w:r>
          </w:p>
        </w:tc>
      </w:tr>
    </w:tbl>
    <w:p>
      <w:pPr>
        <w:widowControl/>
        <w:jc w:val="left"/>
        <w:rPr>
          <w:rFonts w:cs="宋体" w:asciiTheme="minorEastAsia" w:hAnsiTheme="minorEastAsia"/>
          <w:kern w:val="0"/>
          <w:sz w:val="24"/>
          <w:szCs w:val="24"/>
          <w:highlight w:val="none"/>
        </w:rPr>
      </w:pPr>
      <w:r>
        <w:rPr>
          <w:rFonts w:hint="default" w:ascii="Times New Roman" w:hAnsi="Times New Roman" w:cs="Times New Roman" w:eastAsiaTheme="minorEastAsia"/>
          <w:kern w:val="0"/>
          <w:sz w:val="21"/>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default" w:ascii="Times New Roman" w:hAnsi="Times New Roman" w:cs="Times New Roman" w:eastAsiaTheme="minorEastAsia"/>
          <w:kern w:val="0"/>
          <w:sz w:val="21"/>
          <w:szCs w:val="21"/>
          <w:highlight w:val="none"/>
        </w:rPr>
        <w:br w:type="page"/>
      </w:r>
    </w:p>
    <w:p>
      <w:pPr>
        <w:autoSpaceDE w:val="0"/>
        <w:autoSpaceDN w:val="0"/>
        <w:adjustRightInd w:val="0"/>
        <w:ind w:left="315" w:leftChars="150"/>
        <w:jc w:val="left"/>
        <w:rPr>
          <w:rFonts w:cs="宋体" w:asciiTheme="minorEastAsia" w:hAnsiTheme="minorEastAsia"/>
          <w:kern w:val="0"/>
          <w:sz w:val="21"/>
          <w:szCs w:val="21"/>
          <w:highlight w:val="none"/>
        </w:rPr>
      </w:pPr>
    </w:p>
    <w:p>
      <w:pPr>
        <w:widowControl/>
        <w:jc w:val="center"/>
        <w:rPr>
          <w:rFonts w:cs="Times New Roman" w:asciiTheme="minorEastAsia" w:hAnsiTheme="minorEastAsia"/>
          <w:color w:val="000000"/>
          <w:kern w:val="0"/>
          <w:szCs w:val="21"/>
          <w:highlight w:val="none"/>
        </w:rPr>
      </w:pPr>
      <w:r>
        <w:rPr>
          <w:rFonts w:cs="Times New Roman" w:asciiTheme="minorEastAsia" w:hAnsiTheme="minorEastAsia"/>
          <w:kern w:val="0"/>
          <w:sz w:val="36"/>
          <w:szCs w:val="36"/>
          <w:highlight w:val="none"/>
        </w:rPr>
        <w:t>政府性基金预算财政拨款收入支出决算表</w:t>
      </w:r>
      <w:r>
        <w:rPr>
          <w:rFonts w:cs="Times New Roman" w:asciiTheme="minorEastAsia" w:hAnsiTheme="minorEastAsia"/>
          <w:color w:val="000000"/>
          <w:kern w:val="0"/>
          <w:szCs w:val="21"/>
          <w:highlight w:val="none"/>
        </w:rPr>
        <w:t xml:space="preserve">                                                                                                                 </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9"/>
        <w:gridCol w:w="1719"/>
        <w:gridCol w:w="1713"/>
        <w:gridCol w:w="1719"/>
        <w:gridCol w:w="1732"/>
        <w:gridCol w:w="1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57"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57"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1673" w:type="pct"/>
            <w:gridSpan w:val="3"/>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61" w:type="pct"/>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中共祁阳市委政法委员会</w:t>
            </w:r>
          </w:p>
        </w:tc>
        <w:tc>
          <w:tcPr>
            <w:tcW w:w="55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5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61" w:type="pct"/>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 xml:space="preserve">项 </w:t>
            </w:r>
            <w:r>
              <w:rPr>
                <w:rFonts w:hint="default" w:ascii="Times New Roman" w:hAnsi="Times New Roman" w:cs="Times New Roman" w:eastAsiaTheme="minorEastAsia"/>
                <w:b w:val="0"/>
                <w:bCs/>
                <w:color w:val="000000"/>
                <w:kern w:val="0"/>
                <w:sz w:val="21"/>
                <w:szCs w:val="21"/>
                <w:highlight w:val="none"/>
              </w:rPr>
              <w:t xml:space="preserve">   </w:t>
            </w:r>
            <w:r>
              <w:rPr>
                <w:rFonts w:hint="default" w:ascii="Times New Roman" w:hAnsi="Times New Roman" w:cs="Times New Roman" w:eastAsiaTheme="minorEastAsia"/>
                <w:b w:val="0"/>
                <w:bCs/>
                <w:kern w:val="0"/>
                <w:sz w:val="21"/>
                <w:szCs w:val="21"/>
                <w:highlight w:val="none"/>
              </w:rPr>
              <w:t>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科目名称</w:t>
            </w: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b w:val="0"/>
                <w:bCs/>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b w:val="0"/>
                <w:bCs/>
                <w:kern w:val="0"/>
                <w:sz w:val="21"/>
                <w:szCs w:val="21"/>
                <w:highlight w:val="none"/>
              </w:rPr>
            </w:pPr>
          </w:p>
        </w:tc>
        <w:tc>
          <w:tcPr>
            <w:tcW w:w="555"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 xml:space="preserve">基本支出  </w:t>
            </w:r>
          </w:p>
        </w:tc>
        <w:tc>
          <w:tcPr>
            <w:tcW w:w="560"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val="0"/>
                <w:bCs/>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栏次</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555"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560"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561"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3348" w:type="pct"/>
            <w:gridSpan w:val="6"/>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auto"/>
                <w:kern w:val="0"/>
                <w:sz w:val="21"/>
                <w:szCs w:val="21"/>
                <w:highlight w:val="none"/>
                <w:lang w:eastAsia="zh-CN"/>
              </w:rPr>
              <w:t>本</w:t>
            </w:r>
            <w:r>
              <w:rPr>
                <w:rFonts w:hint="default" w:ascii="Times New Roman" w:hAnsi="Times New Roman" w:cs="Times New Roman" w:eastAsiaTheme="minorEastAsia"/>
                <w:color w:val="auto"/>
                <w:kern w:val="0"/>
                <w:sz w:val="21"/>
                <w:szCs w:val="21"/>
                <w:highlight w:val="none"/>
              </w:rPr>
              <w:t>单位没有政府性基金收入，也没有使用政府性基金安排的支出，故本表无数据</w:t>
            </w:r>
            <w:r>
              <w:rPr>
                <w:rFonts w:hint="default"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bl>
    <w:p>
      <w:pPr>
        <w:widowControl/>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注：本表反映部门本年度政府性基金预算财政拨款收入、支出及结转和结余情况</w:t>
      </w:r>
      <w:r>
        <w:rPr>
          <w:rFonts w:hint="default" w:ascii="Times New Roman" w:hAnsi="Times New Roman" w:cs="Times New Roman" w:eastAsiaTheme="minorEastAsia"/>
          <w:kern w:val="0"/>
          <w:sz w:val="21"/>
          <w:szCs w:val="21"/>
          <w:highlight w:val="none"/>
          <w:lang w:eastAsia="zh-CN"/>
        </w:rPr>
        <w:t>。</w:t>
      </w:r>
    </w:p>
    <w:p>
      <w:pPr>
        <w:widowControl/>
        <w:jc w:val="left"/>
        <w:rPr>
          <w:rFonts w:asciiTheme="minorEastAsia" w:hAnsiTheme="minorEastAsia"/>
          <w:szCs w:val="21"/>
          <w:highlight w:val="none"/>
        </w:rPr>
      </w:pPr>
      <w:r>
        <w:rPr>
          <w:rFonts w:asciiTheme="minorEastAsia" w:hAnsiTheme="minorEastAsia"/>
          <w:szCs w:val="21"/>
          <w:highlight w:val="none"/>
        </w:rPr>
        <w:br w:type="page"/>
      </w:r>
    </w:p>
    <w:tbl>
      <w:tblPr>
        <w:tblStyle w:val="9"/>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highlight w:val="none"/>
              </w:rPr>
            </w:pPr>
            <w:r>
              <w:rPr>
                <w:rFonts w:hint="eastAsia" w:cs="宋体" w:asciiTheme="minorEastAsia" w:hAnsiTheme="minorEastAsia"/>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公开09表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eastAsiaTheme="minorEastAsia"/>
                <w:color w:val="000000"/>
                <w:kern w:val="0"/>
                <w:sz w:val="21"/>
                <w:szCs w:val="21"/>
                <w:highlight w:val="none"/>
                <w:lang w:eastAsia="zh-CN"/>
              </w:rPr>
              <w:t>中共祁阳市委政法委员会</w:t>
            </w:r>
          </w:p>
        </w:tc>
        <w:tc>
          <w:tcPr>
            <w:tcW w:w="1081" w:type="pct"/>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项 </w:t>
            </w:r>
            <w:r>
              <w:rPr>
                <w:rFonts w:hint="default" w:ascii="Times New Roman" w:hAnsi="Times New Roman" w:cs="Times New Roman"/>
                <w:color w:val="000000"/>
                <w:kern w:val="0"/>
                <w:sz w:val="21"/>
                <w:szCs w:val="21"/>
                <w:highlight w:val="none"/>
              </w:rPr>
              <w:t xml:space="preserve">   </w:t>
            </w:r>
            <w:r>
              <w:rPr>
                <w:rFonts w:hint="default" w:ascii="Times New Roman" w:hAnsi="Times New Roman" w:cs="Times New Roman"/>
                <w:kern w:val="0"/>
                <w:sz w:val="21"/>
                <w:szCs w:val="21"/>
                <w:highlight w:val="none"/>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本年支出</w:t>
            </w:r>
          </w:p>
        </w:tc>
      </w:tr>
      <w:tr>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项目支出</w:t>
            </w: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栏次</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r>
      <w:tr>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3210" w:type="pct"/>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本单位无国有资本经营预算财政拨款支出，故本表无数据</w:t>
            </w:r>
            <w:r>
              <w:rPr>
                <w:rFonts w:hint="default" w:ascii="Times New Roman" w:hAnsi="Times New Roman" w:cs="Times New Roman"/>
                <w:kern w:val="0"/>
                <w:sz w:val="21"/>
                <w:szCs w:val="21"/>
                <w:highlight w:val="none"/>
                <w:lang w:eastAsia="zh-CN"/>
              </w:rPr>
              <w:t>。</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注：本表反映部门本年度国有资本经营预算财政拨款支出情况。</w:t>
            </w:r>
          </w:p>
          <w:p>
            <w:pPr>
              <w:widowControl/>
              <w:ind w:firstLine="420" w:firstLineChars="200"/>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本单位无国有资本经营预算财政拨款支出，故本表无数据</w:t>
            </w:r>
            <w:r>
              <w:rPr>
                <w:rFonts w:hint="default" w:ascii="Times New Roman" w:hAnsi="Times New Roman" w:cs="Times New Roman"/>
                <w:kern w:val="0"/>
                <w:sz w:val="21"/>
                <w:szCs w:val="21"/>
                <w:highlight w:val="none"/>
                <w:lang w:eastAsia="zh-CN"/>
              </w:rPr>
              <w:t>。</w:t>
            </w:r>
          </w:p>
        </w:tc>
      </w:tr>
    </w:tbl>
    <w:p>
      <w:pPr>
        <w:pStyle w:val="14"/>
        <w:rPr>
          <w:rFonts w:asciiTheme="minorEastAsia" w:hAnsiTheme="minorEastAsia" w:eastAsiaTheme="minorEastAsia"/>
          <w:sz w:val="72"/>
          <w:szCs w:val="72"/>
          <w:highlight w:val="none"/>
        </w:rPr>
        <w:sectPr>
          <w:pgSz w:w="16838" w:h="11906" w:orient="landscape"/>
          <w:pgMar w:top="720" w:right="720" w:bottom="720" w:left="720" w:header="851" w:footer="992" w:gutter="0"/>
          <w:cols w:space="425" w:num="1"/>
          <w:docGrid w:type="lines" w:linePitch="312" w:charSpace="0"/>
        </w:sectPr>
      </w:pPr>
    </w:p>
    <w:p>
      <w:pPr>
        <w:pStyle w:val="14"/>
        <w:jc w:val="both"/>
        <w:rPr>
          <w:rFonts w:asciiTheme="minorEastAsia" w:hAnsiTheme="minorEastAsia" w:eastAsiaTheme="minorEastAsia"/>
          <w:sz w:val="72"/>
          <w:szCs w:val="72"/>
          <w:highlight w:val="none"/>
        </w:rPr>
      </w:pPr>
    </w:p>
    <w:p>
      <w:pPr>
        <w:pStyle w:val="14"/>
        <w:jc w:val="center"/>
        <w:rPr>
          <w:rFonts w:hint="eastAsia" w:asciiTheme="minorEastAsia" w:hAnsiTheme="minorEastAsia" w:eastAsiaTheme="minorEastAsia"/>
          <w:sz w:val="72"/>
          <w:szCs w:val="72"/>
          <w:highlight w:val="none"/>
        </w:rPr>
      </w:pPr>
    </w:p>
    <w:p>
      <w:pPr>
        <w:pStyle w:val="14"/>
        <w:jc w:val="center"/>
        <w:rPr>
          <w:rFonts w:hint="eastAsia" w:asciiTheme="minorEastAsia" w:hAnsiTheme="minorEastAsia" w:eastAsiaTheme="minorEastAsia"/>
          <w:sz w:val="72"/>
          <w:szCs w:val="72"/>
          <w:highlight w:val="none"/>
        </w:rPr>
      </w:pPr>
    </w:p>
    <w:p>
      <w:pPr>
        <w:pStyle w:val="14"/>
        <w:jc w:val="center"/>
        <w:rPr>
          <w:rFonts w:hint="eastAsia" w:asciiTheme="minorEastAsia" w:hAnsiTheme="minorEastAsia" w:eastAsiaTheme="minorEastAsia"/>
          <w:sz w:val="72"/>
          <w:szCs w:val="72"/>
          <w:highlight w:val="none"/>
        </w:rPr>
      </w:pPr>
    </w:p>
    <w:p>
      <w:pPr>
        <w:pStyle w:val="14"/>
        <w:jc w:val="center"/>
        <w:rPr>
          <w:rFonts w:hint="eastAsia" w:asciiTheme="minorEastAsia" w:hAnsiTheme="minorEastAsia" w:eastAsiaTheme="minorEastAsia"/>
          <w:sz w:val="72"/>
          <w:szCs w:val="72"/>
          <w:highlight w:val="none"/>
        </w:rPr>
      </w:pPr>
    </w:p>
    <w:p>
      <w:pPr>
        <w:pStyle w:val="14"/>
        <w:jc w:val="center"/>
        <w:rPr>
          <w:rFonts w:hint="eastAsia" w:asciiTheme="minorEastAsia" w:hAnsiTheme="minorEastAsia" w:eastAsiaTheme="minorEastAsia"/>
          <w:sz w:val="72"/>
          <w:szCs w:val="72"/>
          <w:highlight w:val="none"/>
        </w:rPr>
      </w:pPr>
    </w:p>
    <w:p>
      <w:pPr>
        <w:pStyle w:val="14"/>
        <w:jc w:val="center"/>
        <w:rPr>
          <w:rFonts w:hint="eastAsia" w:asciiTheme="minorEastAsia" w:hAnsiTheme="minorEastAsia" w:eastAsiaTheme="minorEastAsia"/>
          <w:sz w:val="72"/>
          <w:szCs w:val="72"/>
          <w:highlight w:val="none"/>
        </w:rPr>
      </w:pPr>
    </w:p>
    <w:p>
      <w:pPr>
        <w:pStyle w:val="14"/>
        <w:jc w:val="center"/>
        <w:rPr>
          <w:rFonts w:hint="eastAsia"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第三部分</w:t>
      </w:r>
    </w:p>
    <w:p>
      <w:pPr>
        <w:pStyle w:val="14"/>
        <w:jc w:val="center"/>
        <w:rPr>
          <w:rFonts w:hint="eastAsia" w:asciiTheme="minorEastAsia" w:hAnsiTheme="minorEastAsia" w:eastAsiaTheme="minorEastAsia"/>
          <w:sz w:val="72"/>
          <w:szCs w:val="72"/>
          <w:highlight w:val="none"/>
        </w:rPr>
      </w:pPr>
    </w:p>
    <w:p>
      <w:pPr>
        <w:pStyle w:val="14"/>
        <w:jc w:val="center"/>
        <w:rPr>
          <w:rFonts w:asciiTheme="minorEastAsia" w:hAnsiTheme="minorEastAsia" w:eastAsiaTheme="minorEastAsia"/>
          <w:sz w:val="70"/>
          <w:szCs w:val="70"/>
          <w:highlight w:val="none"/>
        </w:rPr>
      </w:pPr>
      <w:r>
        <w:rPr>
          <w:rFonts w:asciiTheme="minorEastAsia" w:hAnsiTheme="minorEastAsia" w:eastAsiaTheme="minorEastAsia"/>
          <w:sz w:val="70"/>
          <w:szCs w:val="70"/>
          <w:highlight w:val="none"/>
        </w:rPr>
        <w:t>20</w:t>
      </w:r>
      <w:r>
        <w:rPr>
          <w:rFonts w:hint="eastAsia" w:asciiTheme="minorEastAsia" w:hAnsiTheme="minorEastAsia" w:eastAsiaTheme="minorEastAsia"/>
          <w:sz w:val="70"/>
          <w:szCs w:val="70"/>
          <w:highlight w:val="none"/>
        </w:rPr>
        <w:t>21年度部门决算情况说明</w:t>
      </w:r>
    </w:p>
    <w:p>
      <w:pPr>
        <w:widowControl/>
        <w:jc w:val="left"/>
        <w:rPr>
          <w:rFonts w:asciiTheme="minorEastAsia" w:hAnsiTheme="minorEastAsia" w:eastAsiaTheme="minorEastAsia"/>
          <w:sz w:val="32"/>
          <w:szCs w:val="32"/>
          <w:highlight w:val="none"/>
        </w:rPr>
      </w:pPr>
      <w:r>
        <w:rPr>
          <w:rFonts w:asciiTheme="minorEastAsia" w:hAnsiTheme="minorEastAsia"/>
          <w:sz w:val="70"/>
          <w:szCs w:val="70"/>
          <w:highlight w:val="none"/>
        </w:rPr>
        <w:br w:type="page"/>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一、收入支出决算总体情况说明</w:t>
      </w:r>
    </w:p>
    <w:p>
      <w:pPr>
        <w:pStyle w:val="14"/>
        <w:keepNext w:val="0"/>
        <w:keepLines w:val="0"/>
        <w:pageBreakBefore w:val="0"/>
        <w:kinsoku/>
        <w:wordWrap/>
        <w:overflowPunct/>
        <w:topLinePunct w:val="0"/>
        <w:bidi w:val="0"/>
        <w:snapToGrid/>
        <w:ind w:firstLine="640" w:firstLineChars="200"/>
        <w:textAlignment w:val="auto"/>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2021年度收、支总计</w:t>
      </w:r>
      <w:r>
        <w:rPr>
          <w:rFonts w:hint="eastAsia" w:asciiTheme="minorEastAsia" w:hAnsiTheme="minorEastAsia" w:eastAsiaTheme="minorEastAsia"/>
          <w:sz w:val="32"/>
          <w:szCs w:val="32"/>
          <w:highlight w:val="none"/>
          <w:lang w:val="en-US" w:eastAsia="zh-CN"/>
        </w:rPr>
        <w:t>963.67</w:t>
      </w:r>
      <w:r>
        <w:rPr>
          <w:rFonts w:hint="eastAsia" w:asciiTheme="minorEastAsia" w:hAnsiTheme="minorEastAsia" w:eastAsiaTheme="minorEastAsia"/>
          <w:sz w:val="32"/>
          <w:szCs w:val="32"/>
          <w:highlight w:val="none"/>
        </w:rPr>
        <w:t>万元。与上年相比，增加</w:t>
      </w:r>
      <w:r>
        <w:rPr>
          <w:rFonts w:hint="eastAsia" w:asciiTheme="minorEastAsia" w:hAnsiTheme="minorEastAsia" w:eastAsiaTheme="minorEastAsia"/>
          <w:sz w:val="32"/>
          <w:szCs w:val="32"/>
          <w:highlight w:val="none"/>
          <w:lang w:val="en-US" w:eastAsia="zh-CN"/>
        </w:rPr>
        <w:t>266.91</w:t>
      </w:r>
      <w:r>
        <w:rPr>
          <w:rFonts w:hint="eastAsia" w:asciiTheme="minorEastAsia" w:hAnsiTheme="minorEastAsia" w:eastAsiaTheme="minorEastAsia"/>
          <w:sz w:val="32"/>
          <w:szCs w:val="32"/>
          <w:highlight w:val="none"/>
        </w:rPr>
        <w:t>万元，增长</w:t>
      </w:r>
      <w:r>
        <w:rPr>
          <w:rFonts w:hint="eastAsia" w:asciiTheme="minorEastAsia" w:hAnsiTheme="minorEastAsia" w:eastAsiaTheme="minorEastAsia"/>
          <w:sz w:val="32"/>
          <w:szCs w:val="32"/>
          <w:highlight w:val="none"/>
          <w:lang w:val="en-US" w:eastAsia="zh-CN"/>
        </w:rPr>
        <w:t>38.31</w:t>
      </w:r>
      <w:r>
        <w:rPr>
          <w:rFonts w:hint="eastAsia" w:asciiTheme="minorEastAsia" w:hAnsiTheme="minorEastAsia" w:eastAsiaTheme="minorEastAsia"/>
          <w:sz w:val="32"/>
          <w:szCs w:val="32"/>
          <w:highlight w:val="none"/>
        </w:rPr>
        <w:t>%，主要是因为</w:t>
      </w:r>
      <w:r>
        <w:rPr>
          <w:rFonts w:hint="eastAsia" w:asciiTheme="minorEastAsia" w:hAnsiTheme="minorEastAsia" w:eastAsiaTheme="minorEastAsia"/>
          <w:sz w:val="32"/>
          <w:szCs w:val="32"/>
          <w:highlight w:val="none"/>
          <w:lang w:val="en-US" w:eastAsia="zh-CN"/>
        </w:rPr>
        <w:t>2021年网格事务中心的经费全部纳入政法委及开展政法队伍教育整顿、全国市域社会治理现代化试点工作、扫黑除恶工作常态化增加了相应经费。</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二、收入决算情况说明</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2021年度收入合计</w:t>
      </w:r>
      <w:r>
        <w:rPr>
          <w:rFonts w:hint="eastAsia" w:asciiTheme="minorEastAsia" w:hAnsiTheme="minorEastAsia" w:eastAsiaTheme="minorEastAsia"/>
          <w:sz w:val="32"/>
          <w:szCs w:val="32"/>
          <w:highlight w:val="none"/>
          <w:lang w:val="en-US" w:eastAsia="zh-CN"/>
        </w:rPr>
        <w:t>963.67</w:t>
      </w:r>
      <w:r>
        <w:rPr>
          <w:rFonts w:hint="eastAsia" w:asciiTheme="minorEastAsia" w:hAnsiTheme="minorEastAsia" w:eastAsiaTheme="minorEastAsia"/>
          <w:sz w:val="32"/>
          <w:szCs w:val="32"/>
          <w:highlight w:val="none"/>
        </w:rPr>
        <w:t>万元，其中：财政拨款收入</w:t>
      </w:r>
      <w:r>
        <w:rPr>
          <w:rFonts w:hint="eastAsia" w:asciiTheme="minorEastAsia" w:hAnsiTheme="minorEastAsia" w:eastAsiaTheme="minorEastAsia"/>
          <w:sz w:val="32"/>
          <w:szCs w:val="32"/>
          <w:highlight w:val="none"/>
          <w:lang w:val="en-US" w:eastAsia="zh-CN"/>
        </w:rPr>
        <w:t>963.67</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%；上级补助收入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%；事业收入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%；附属单位上缴收入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%；其他收入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三、支出决算情况说明</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2021年度支出合计</w:t>
      </w:r>
      <w:r>
        <w:rPr>
          <w:rFonts w:hint="eastAsia" w:asciiTheme="minorEastAsia" w:hAnsiTheme="minorEastAsia" w:eastAsiaTheme="minorEastAsia"/>
          <w:sz w:val="32"/>
          <w:szCs w:val="32"/>
          <w:highlight w:val="none"/>
          <w:lang w:val="en-US" w:eastAsia="zh-CN"/>
        </w:rPr>
        <w:t>963.67</w:t>
      </w:r>
      <w:r>
        <w:rPr>
          <w:rFonts w:hint="eastAsia" w:asciiTheme="minorEastAsia" w:hAnsiTheme="minorEastAsia" w:eastAsiaTheme="minorEastAsia"/>
          <w:sz w:val="32"/>
          <w:szCs w:val="32"/>
          <w:highlight w:val="none"/>
        </w:rPr>
        <w:t>万元，其中：基本支出</w:t>
      </w:r>
      <w:r>
        <w:rPr>
          <w:rFonts w:hint="eastAsia" w:asciiTheme="minorEastAsia" w:hAnsiTheme="minorEastAsia" w:eastAsiaTheme="minorEastAsia"/>
          <w:sz w:val="32"/>
          <w:szCs w:val="32"/>
          <w:highlight w:val="none"/>
          <w:lang w:val="en-US" w:eastAsia="zh-CN"/>
        </w:rPr>
        <w:t>508.17</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52.73</w:t>
      </w:r>
      <w:r>
        <w:rPr>
          <w:rFonts w:hint="eastAsia" w:asciiTheme="minorEastAsia" w:hAnsiTheme="minorEastAsia" w:eastAsiaTheme="minorEastAsia"/>
          <w:sz w:val="32"/>
          <w:szCs w:val="32"/>
          <w:highlight w:val="none"/>
        </w:rPr>
        <w:t>%；项目支出</w:t>
      </w:r>
      <w:r>
        <w:rPr>
          <w:rFonts w:hint="eastAsia" w:asciiTheme="minorEastAsia" w:hAnsiTheme="minorEastAsia" w:eastAsiaTheme="minorEastAsia"/>
          <w:sz w:val="32"/>
          <w:szCs w:val="32"/>
          <w:highlight w:val="none"/>
          <w:lang w:val="en-US" w:eastAsia="zh-CN"/>
        </w:rPr>
        <w:t>455.50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47.27</w:t>
      </w:r>
      <w:r>
        <w:rPr>
          <w:rFonts w:hint="eastAsia" w:asciiTheme="minorEastAsia" w:hAnsiTheme="minorEastAsia" w:eastAsiaTheme="minorEastAsia"/>
          <w:sz w:val="32"/>
          <w:szCs w:val="32"/>
          <w:highlight w:val="none"/>
        </w:rPr>
        <w:t>%；上缴上级支出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%；对附属单位补助支出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四、财政拨款收入支出决算总体情况说明</w:t>
      </w:r>
    </w:p>
    <w:p>
      <w:pPr>
        <w:pStyle w:val="14"/>
        <w:keepNext w:val="0"/>
        <w:keepLines w:val="0"/>
        <w:pageBreakBefore w:val="0"/>
        <w:kinsoku/>
        <w:wordWrap/>
        <w:overflowPunct/>
        <w:topLinePunct w:val="0"/>
        <w:bidi w:val="0"/>
        <w:snapToGrid/>
        <w:ind w:firstLine="640" w:firstLineChars="200"/>
        <w:textAlignment w:val="auto"/>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2021年度财政拨款收、支总计</w:t>
      </w:r>
      <w:r>
        <w:rPr>
          <w:rFonts w:hint="eastAsia" w:asciiTheme="minorEastAsia" w:hAnsiTheme="minorEastAsia" w:eastAsiaTheme="minorEastAsia"/>
          <w:sz w:val="32"/>
          <w:szCs w:val="32"/>
          <w:highlight w:val="none"/>
          <w:lang w:val="en-US" w:eastAsia="zh-CN"/>
        </w:rPr>
        <w:t>963.67</w:t>
      </w:r>
      <w:r>
        <w:rPr>
          <w:rFonts w:hint="eastAsia" w:asciiTheme="minorEastAsia" w:hAnsiTheme="minorEastAsia" w:eastAsiaTheme="minorEastAsia"/>
          <w:sz w:val="32"/>
          <w:szCs w:val="32"/>
          <w:highlight w:val="none"/>
        </w:rPr>
        <w:t>万元，与上年相比，增加</w:t>
      </w:r>
      <w:r>
        <w:rPr>
          <w:rFonts w:hint="eastAsia" w:asciiTheme="minorEastAsia" w:hAnsiTheme="minorEastAsia" w:eastAsiaTheme="minorEastAsia"/>
          <w:sz w:val="32"/>
          <w:szCs w:val="32"/>
          <w:highlight w:val="none"/>
          <w:lang w:val="en-US" w:eastAsia="zh-CN"/>
        </w:rPr>
        <w:t>266.91</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增长</w:t>
      </w:r>
      <w:r>
        <w:rPr>
          <w:rFonts w:hint="eastAsia" w:asciiTheme="minorEastAsia" w:hAnsiTheme="minorEastAsia" w:eastAsiaTheme="minorEastAsia"/>
          <w:sz w:val="32"/>
          <w:szCs w:val="32"/>
          <w:highlight w:val="none"/>
          <w:lang w:val="en-US" w:eastAsia="zh-CN"/>
        </w:rPr>
        <w:t>38.31</w:t>
      </w:r>
      <w:r>
        <w:rPr>
          <w:rFonts w:hint="eastAsia" w:asciiTheme="minorEastAsia" w:hAnsiTheme="minorEastAsia" w:eastAsiaTheme="minorEastAsia"/>
          <w:sz w:val="32"/>
          <w:szCs w:val="32"/>
          <w:highlight w:val="none"/>
        </w:rPr>
        <w:t>%，主要是因为</w:t>
      </w:r>
      <w:r>
        <w:rPr>
          <w:rFonts w:hint="eastAsia" w:asciiTheme="minorEastAsia" w:hAnsiTheme="minorEastAsia" w:eastAsiaTheme="minorEastAsia"/>
          <w:sz w:val="32"/>
          <w:szCs w:val="32"/>
          <w:highlight w:val="none"/>
          <w:lang w:val="en-US" w:eastAsia="zh-CN"/>
        </w:rPr>
        <w:t>2021年网格事务中心的经费全部纳入政法委及开展政法队伍教育整顿、全国市域社会治理现代化试点工作、扫黑除恶工作常态化增加了相应经费。</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五、一般公共预算财政拨款支出决算情况说明</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pPr>
        <w:pStyle w:val="14"/>
        <w:keepNext w:val="0"/>
        <w:keepLines w:val="0"/>
        <w:pageBreakBefore w:val="0"/>
        <w:kinsoku/>
        <w:wordWrap/>
        <w:overflowPunct/>
        <w:topLinePunct w:val="0"/>
        <w:bidi w:val="0"/>
        <w:snapToGrid/>
        <w:ind w:firstLine="640" w:firstLineChars="200"/>
        <w:textAlignment w:val="auto"/>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2021年度财政拨款支出</w:t>
      </w:r>
      <w:r>
        <w:rPr>
          <w:rFonts w:hint="eastAsia" w:asciiTheme="minorEastAsia" w:hAnsiTheme="minorEastAsia" w:eastAsiaTheme="minorEastAsia"/>
          <w:sz w:val="32"/>
          <w:szCs w:val="32"/>
          <w:highlight w:val="none"/>
          <w:lang w:val="en-US" w:eastAsia="zh-CN"/>
        </w:rPr>
        <w:t>963.67</w:t>
      </w:r>
      <w:r>
        <w:rPr>
          <w:rFonts w:hint="eastAsia" w:asciiTheme="minorEastAsia" w:hAnsiTheme="minorEastAsia" w:eastAsiaTheme="minorEastAsia"/>
          <w:sz w:val="32"/>
          <w:szCs w:val="32"/>
          <w:highlight w:val="none"/>
        </w:rPr>
        <w:t>万元，占本年支出合计的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%，与上年相比，财政拨款支出增加</w:t>
      </w:r>
      <w:r>
        <w:rPr>
          <w:rFonts w:hint="eastAsia" w:asciiTheme="minorEastAsia" w:hAnsiTheme="minorEastAsia" w:eastAsiaTheme="minorEastAsia"/>
          <w:sz w:val="32"/>
          <w:szCs w:val="32"/>
          <w:highlight w:val="none"/>
          <w:lang w:val="en-US" w:eastAsia="zh-CN"/>
        </w:rPr>
        <w:t>266.91</w:t>
      </w:r>
      <w:r>
        <w:rPr>
          <w:rFonts w:hint="eastAsia" w:asciiTheme="minorEastAsia" w:hAnsiTheme="minorEastAsia" w:eastAsiaTheme="minorEastAsia"/>
          <w:sz w:val="32"/>
          <w:szCs w:val="32"/>
          <w:highlight w:val="none"/>
        </w:rPr>
        <w:t>万元，增长</w:t>
      </w:r>
      <w:r>
        <w:rPr>
          <w:rFonts w:hint="eastAsia" w:asciiTheme="minorEastAsia" w:hAnsiTheme="minorEastAsia" w:eastAsiaTheme="minorEastAsia"/>
          <w:sz w:val="32"/>
          <w:szCs w:val="32"/>
          <w:highlight w:val="none"/>
          <w:lang w:val="en-US" w:eastAsia="zh-CN"/>
        </w:rPr>
        <w:t>38.31</w:t>
      </w:r>
      <w:r>
        <w:rPr>
          <w:rFonts w:hint="eastAsia" w:asciiTheme="minorEastAsia" w:hAnsiTheme="minorEastAsia" w:eastAsiaTheme="minorEastAsia"/>
          <w:sz w:val="32"/>
          <w:szCs w:val="32"/>
          <w:highlight w:val="none"/>
        </w:rPr>
        <w:t>%，主要是因为</w:t>
      </w:r>
      <w:r>
        <w:rPr>
          <w:rFonts w:hint="eastAsia" w:asciiTheme="minorEastAsia" w:hAnsiTheme="minorEastAsia" w:eastAsiaTheme="minorEastAsia"/>
          <w:sz w:val="32"/>
          <w:szCs w:val="32"/>
          <w:highlight w:val="none"/>
          <w:lang w:val="en-US" w:eastAsia="zh-CN"/>
        </w:rPr>
        <w:t>2021年网格事务中心的经费全部纳入政法委及开展政法队伍教育整顿、全国市域社会治理现代化试点工作、扫黑除恶工作常态化增加了相应经费。</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w:t>
      </w:r>
      <w:r>
        <w:rPr>
          <w:rFonts w:hint="eastAsia" w:asciiTheme="minorEastAsia" w:hAnsiTheme="minorEastAsia" w:eastAsiaTheme="minorEastAsia"/>
          <w:sz w:val="32"/>
          <w:szCs w:val="32"/>
          <w:highlight w:val="none"/>
          <w:lang w:val="en-US" w:eastAsia="zh-CN"/>
        </w:rPr>
        <w:t>963.67</w:t>
      </w:r>
      <w:r>
        <w:rPr>
          <w:rFonts w:hint="eastAsia" w:asciiTheme="minorEastAsia" w:hAnsiTheme="minorEastAsia" w:eastAsiaTheme="minorEastAsia"/>
          <w:sz w:val="32"/>
          <w:szCs w:val="32"/>
          <w:highlight w:val="none"/>
        </w:rPr>
        <w:t>万元，主要用于以下方面：一般公共服务</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201</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支出</w:t>
      </w:r>
      <w:r>
        <w:rPr>
          <w:rFonts w:hint="eastAsia" w:asciiTheme="minorEastAsia" w:hAnsiTheme="minorEastAsia" w:eastAsiaTheme="minorEastAsia"/>
          <w:sz w:val="32"/>
          <w:szCs w:val="32"/>
          <w:highlight w:val="none"/>
          <w:lang w:val="en-US" w:eastAsia="zh-CN"/>
        </w:rPr>
        <w:t>905.94</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94.01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社会保障和就业（</w:t>
      </w:r>
      <w:r>
        <w:rPr>
          <w:rFonts w:hint="eastAsia" w:asciiTheme="minorEastAsia" w:hAnsiTheme="minorEastAsia" w:eastAsiaTheme="minorEastAsia"/>
          <w:sz w:val="32"/>
          <w:szCs w:val="32"/>
          <w:highlight w:val="none"/>
          <w:lang w:val="en-US" w:eastAsia="zh-CN"/>
        </w:rPr>
        <w:t>208</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lang w:val="en-US" w:eastAsia="zh-CN"/>
        </w:rPr>
        <w:t>29.35</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3.05</w:t>
      </w:r>
      <w:r>
        <w:rPr>
          <w:rFonts w:hint="eastAsia" w:asciiTheme="minorEastAsia" w:hAnsiTheme="minorEastAsia" w:eastAsiaTheme="minorEastAsia"/>
          <w:sz w:val="32"/>
          <w:szCs w:val="32"/>
          <w:highlight w:val="none"/>
          <w:lang w:eastAsia="zh-CN"/>
        </w:rPr>
        <w:t>%；卫生健康（</w:t>
      </w:r>
      <w:r>
        <w:rPr>
          <w:rFonts w:hint="eastAsia" w:asciiTheme="minorEastAsia" w:hAnsiTheme="minorEastAsia" w:eastAsiaTheme="minorEastAsia"/>
          <w:sz w:val="32"/>
          <w:szCs w:val="32"/>
          <w:highlight w:val="none"/>
          <w:lang w:val="en-US" w:eastAsia="zh-CN"/>
        </w:rPr>
        <w:t>210</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lang w:val="en-US" w:eastAsia="zh-CN"/>
        </w:rPr>
        <w:t>11.32</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1.17</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w:t>
      </w:r>
      <w:r>
        <w:rPr>
          <w:rFonts w:hint="eastAsia" w:asciiTheme="minorEastAsia" w:hAnsiTheme="minorEastAsia" w:eastAsiaTheme="minorEastAsia"/>
          <w:sz w:val="32"/>
          <w:szCs w:val="32"/>
          <w:highlight w:val="none"/>
          <w:lang w:eastAsia="zh-CN"/>
        </w:rPr>
        <w:t>住房保障（221）支出</w:t>
      </w:r>
      <w:r>
        <w:rPr>
          <w:rFonts w:hint="eastAsia" w:asciiTheme="minorEastAsia" w:hAnsiTheme="minorEastAsia" w:eastAsiaTheme="minorEastAsia"/>
          <w:sz w:val="32"/>
          <w:szCs w:val="32"/>
          <w:highlight w:val="none"/>
          <w:lang w:val="en-US" w:eastAsia="zh-CN"/>
        </w:rPr>
        <w:t>17.06</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1.77</w:t>
      </w:r>
      <w:r>
        <w:rPr>
          <w:rFonts w:hint="eastAsia" w:asciiTheme="minorEastAsia" w:hAnsiTheme="minorEastAsia" w:eastAsiaTheme="minorEastAsia"/>
          <w:sz w:val="32"/>
          <w:szCs w:val="32"/>
          <w:highlight w:val="none"/>
          <w:lang w:eastAsia="zh-CN"/>
        </w:rPr>
        <w:t>%。</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w:t>
      </w:r>
      <w:r>
        <w:rPr>
          <w:rFonts w:hint="eastAsia" w:asciiTheme="minorEastAsia" w:hAnsiTheme="minorEastAsia" w:eastAsiaTheme="minorEastAsia"/>
          <w:sz w:val="32"/>
          <w:szCs w:val="32"/>
          <w:highlight w:val="none"/>
          <w:lang w:val="en-US" w:eastAsia="zh-CN"/>
        </w:rPr>
        <w:t>960.11</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963.67</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100.37</w:t>
      </w:r>
      <w:r>
        <w:rPr>
          <w:rFonts w:hint="eastAsia" w:asciiTheme="minorEastAsia" w:hAnsiTheme="minorEastAsia" w:eastAsiaTheme="minorEastAsia"/>
          <w:sz w:val="32"/>
          <w:szCs w:val="32"/>
          <w:highlight w:val="none"/>
        </w:rPr>
        <w:t>%，其中：</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1、一般公共服务支出（</w:t>
      </w:r>
      <w:r>
        <w:rPr>
          <w:rFonts w:hint="eastAsia" w:asciiTheme="minorEastAsia" w:hAnsiTheme="minorEastAsia" w:eastAsiaTheme="minorEastAsia"/>
          <w:sz w:val="32"/>
          <w:szCs w:val="32"/>
          <w:highlight w:val="none"/>
          <w:lang w:val="en-US" w:eastAsia="zh-CN"/>
        </w:rPr>
        <w:t>201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民主党派及工商联事务</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20128</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一般行政管理事务</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2012802</w:t>
      </w:r>
      <w:r>
        <w:rPr>
          <w:rFonts w:hint="eastAsia" w:asciiTheme="minorEastAsia" w:hAnsiTheme="minorEastAsia" w:eastAsiaTheme="minorEastAsia"/>
          <w:sz w:val="32"/>
          <w:szCs w:val="32"/>
          <w:highlight w:val="none"/>
        </w:rPr>
        <w:t>）。</w:t>
      </w:r>
    </w:p>
    <w:p>
      <w:pPr>
        <w:pStyle w:val="14"/>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10</w:t>
      </w:r>
      <w:r>
        <w:rPr>
          <w:rFonts w:hint="eastAsia" w:asciiTheme="minorEastAsia" w:hAnsiTheme="minorEastAsia" w:eastAsiaTheme="minorEastAsia"/>
          <w:sz w:val="32"/>
          <w:szCs w:val="32"/>
          <w:highlight w:val="none"/>
        </w:rPr>
        <w:t>万元，由于预算数为0，无法计算百分比，决算数大于年初预算数的主要原因是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财政追加预算。</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2、一般公共服务支出（</w:t>
      </w:r>
      <w:r>
        <w:rPr>
          <w:rFonts w:hint="eastAsia" w:asciiTheme="minorEastAsia" w:hAnsiTheme="minorEastAsia" w:eastAsiaTheme="minorEastAsia"/>
          <w:sz w:val="32"/>
          <w:szCs w:val="32"/>
          <w:highlight w:val="none"/>
          <w:lang w:val="en-US" w:eastAsia="zh-CN"/>
        </w:rPr>
        <w:t>201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党委办公厅（室）及相关机构事务</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20131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行政运行</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2013101</w:t>
      </w:r>
      <w:r>
        <w:rPr>
          <w:rFonts w:hint="eastAsia" w:asciiTheme="minorEastAsia" w:hAnsiTheme="minorEastAsia" w:eastAsiaTheme="minorEastAsia"/>
          <w:sz w:val="32"/>
          <w:szCs w:val="32"/>
          <w:highlight w:val="none"/>
        </w:rPr>
        <w:t>）。</w:t>
      </w:r>
    </w:p>
    <w:p>
      <w:pPr>
        <w:pStyle w:val="14"/>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214.84</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358.78</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167%</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eastAsia="zh-CN"/>
        </w:rPr>
        <w:t>大于</w:t>
      </w:r>
      <w:r>
        <w:rPr>
          <w:rFonts w:hint="eastAsia" w:asciiTheme="minorEastAsia" w:hAnsiTheme="minorEastAsia" w:eastAsiaTheme="minorEastAsia"/>
          <w:sz w:val="32"/>
          <w:szCs w:val="32"/>
          <w:highlight w:val="none"/>
        </w:rPr>
        <w:t>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财政追加预算</w:t>
      </w:r>
      <w:r>
        <w:rPr>
          <w:rFonts w:hint="eastAsia" w:asciiTheme="minorEastAsia" w:hAnsiTheme="minorEastAsia" w:eastAsiaTheme="minorEastAsia"/>
          <w:sz w:val="32"/>
          <w:szCs w:val="32"/>
          <w:highlight w:val="none"/>
          <w:lang w:eastAsia="zh-CN"/>
        </w:rPr>
        <w:t>。</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3</w:t>
      </w:r>
      <w:r>
        <w:rPr>
          <w:rFonts w:hint="eastAsia" w:asciiTheme="minorEastAsia" w:hAnsiTheme="minorEastAsia" w:eastAsiaTheme="minorEastAsia"/>
          <w:sz w:val="32"/>
          <w:szCs w:val="32"/>
          <w:highlight w:val="none"/>
        </w:rPr>
        <w:t>、一般公共服务支出（</w:t>
      </w:r>
      <w:r>
        <w:rPr>
          <w:rFonts w:hint="eastAsia" w:asciiTheme="minorEastAsia" w:hAnsiTheme="minorEastAsia" w:eastAsiaTheme="minorEastAsia"/>
          <w:sz w:val="32"/>
          <w:szCs w:val="32"/>
          <w:highlight w:val="none"/>
          <w:lang w:val="en-US" w:eastAsia="zh-CN"/>
        </w:rPr>
        <w:t>201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党委办公厅（室）及相关机构事务</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20131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一般行政管理事务</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2013102</w:t>
      </w:r>
      <w:r>
        <w:rPr>
          <w:rFonts w:hint="eastAsia" w:asciiTheme="minorEastAsia" w:hAnsiTheme="minorEastAsia" w:eastAsiaTheme="minorEastAsia"/>
          <w:sz w:val="32"/>
          <w:szCs w:val="32"/>
          <w:highlight w:val="none"/>
        </w:rPr>
        <w:t>）。</w:t>
      </w:r>
    </w:p>
    <w:p>
      <w:pPr>
        <w:pStyle w:val="14"/>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710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455.5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64.15</w:t>
      </w:r>
      <w:r>
        <w:rPr>
          <w:rFonts w:hint="eastAsia" w:asciiTheme="minorEastAsia" w:hAnsiTheme="minorEastAsia" w:eastAsiaTheme="minorEastAsia"/>
          <w:sz w:val="32"/>
          <w:szCs w:val="32"/>
          <w:highlight w:val="none"/>
        </w:rPr>
        <w:t>%，决算数小于年初预算数的主要原因是</w:t>
      </w:r>
      <w:r>
        <w:rPr>
          <w:rFonts w:hint="eastAsia" w:asciiTheme="minorEastAsia" w:hAnsiTheme="minorEastAsia" w:eastAsiaTheme="minorEastAsia"/>
          <w:sz w:val="32"/>
          <w:szCs w:val="32"/>
          <w:highlight w:val="none"/>
          <w:lang w:eastAsia="zh-CN"/>
        </w:rPr>
        <w:t>：空缺一部分社区网格管理员，开支减少。</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rPr>
        <w:t>、一般公共服务支出（</w:t>
      </w:r>
      <w:r>
        <w:rPr>
          <w:rFonts w:hint="eastAsia" w:asciiTheme="minorEastAsia" w:hAnsiTheme="minorEastAsia" w:eastAsiaTheme="minorEastAsia"/>
          <w:sz w:val="32"/>
          <w:szCs w:val="32"/>
          <w:highlight w:val="none"/>
          <w:lang w:val="en-US" w:eastAsia="zh-CN"/>
        </w:rPr>
        <w:t>201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其他一般公共服务支出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20199</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其他一般公共服务支出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2019999</w:t>
      </w:r>
      <w:r>
        <w:rPr>
          <w:rFonts w:hint="eastAsia" w:asciiTheme="minorEastAsia" w:hAnsiTheme="minorEastAsia" w:eastAsiaTheme="minorEastAsia"/>
          <w:sz w:val="32"/>
          <w:szCs w:val="32"/>
          <w:highlight w:val="none"/>
        </w:rPr>
        <w:t>）。</w:t>
      </w:r>
    </w:p>
    <w:p>
      <w:pPr>
        <w:pStyle w:val="14"/>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81.67</w:t>
      </w:r>
      <w:r>
        <w:rPr>
          <w:rFonts w:hint="eastAsia" w:asciiTheme="minorEastAsia" w:hAnsiTheme="minorEastAsia" w:eastAsiaTheme="minorEastAsia"/>
          <w:sz w:val="32"/>
          <w:szCs w:val="32"/>
          <w:highlight w:val="none"/>
        </w:rPr>
        <w:t>万元，由于预算数为0，无法计算百分比，决算数大于年初预算数的主要原因是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财政追加预算。</w:t>
      </w:r>
    </w:p>
    <w:p>
      <w:pPr>
        <w:pStyle w:val="14"/>
        <w:keepNext w:val="0"/>
        <w:keepLines w:val="0"/>
        <w:pageBreakBefore w:val="0"/>
        <w:numPr>
          <w:ilvl w:val="0"/>
          <w:numId w:val="1"/>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eastAsia="zh-CN"/>
        </w:rPr>
        <w:t>社会保障和就业支出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208</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行政事业单位养老支出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20805</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机关事业单位基本养老保险缴费支出（</w:t>
      </w:r>
      <w:r>
        <w:rPr>
          <w:rFonts w:hint="eastAsia" w:asciiTheme="minorEastAsia" w:hAnsiTheme="minorEastAsia" w:eastAsiaTheme="minorEastAsia"/>
          <w:sz w:val="32"/>
          <w:szCs w:val="32"/>
          <w:highlight w:val="none"/>
          <w:lang w:val="en-US" w:eastAsia="zh-CN"/>
        </w:rPr>
        <w:t>2080505）。</w:t>
      </w:r>
    </w:p>
    <w:p>
      <w:pPr>
        <w:pStyle w:val="14"/>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23.95</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23.95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eastAsia="zh-CN"/>
        </w:rPr>
        <w:t>等于</w:t>
      </w:r>
      <w:r>
        <w:rPr>
          <w:rFonts w:hint="eastAsia" w:asciiTheme="minorEastAsia" w:hAnsiTheme="minorEastAsia" w:eastAsiaTheme="minorEastAsia"/>
          <w:sz w:val="32"/>
          <w:szCs w:val="32"/>
          <w:highlight w:val="none"/>
        </w:rPr>
        <w:t>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单位人员无变动，严格按照年初预算数执行。</w:t>
      </w:r>
    </w:p>
    <w:p>
      <w:pPr>
        <w:pStyle w:val="14"/>
        <w:keepNext w:val="0"/>
        <w:keepLines w:val="0"/>
        <w:pageBreakBefore w:val="0"/>
        <w:numPr>
          <w:ilvl w:val="0"/>
          <w:numId w:val="1"/>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eastAsia="zh-CN"/>
        </w:rPr>
        <w:t>社会保障和就业支出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208</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抚恤</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20808</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其他优抚支出（</w:t>
      </w:r>
      <w:r>
        <w:rPr>
          <w:rFonts w:hint="eastAsia" w:asciiTheme="minorEastAsia" w:hAnsiTheme="minorEastAsia" w:eastAsiaTheme="minorEastAsia"/>
          <w:sz w:val="32"/>
          <w:szCs w:val="32"/>
          <w:highlight w:val="none"/>
          <w:lang w:val="en-US" w:eastAsia="zh-CN"/>
        </w:rPr>
        <w:t>2080899）。</w:t>
      </w:r>
    </w:p>
    <w:p>
      <w:pPr>
        <w:pStyle w:val="14"/>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5.4</w:t>
      </w:r>
      <w:r>
        <w:rPr>
          <w:rFonts w:hint="eastAsia" w:asciiTheme="minorEastAsia" w:hAnsiTheme="minorEastAsia" w:eastAsiaTheme="minorEastAsia"/>
          <w:sz w:val="32"/>
          <w:szCs w:val="32"/>
          <w:highlight w:val="none"/>
        </w:rPr>
        <w:t>万元，由于预算数为0，无法计算百分比，决算数大于年初预算数的主要原因是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财政追加预算。</w:t>
      </w:r>
    </w:p>
    <w:p>
      <w:pPr>
        <w:pStyle w:val="14"/>
        <w:keepNext w:val="0"/>
        <w:keepLines w:val="0"/>
        <w:pageBreakBefore w:val="0"/>
        <w:numPr>
          <w:ilvl w:val="0"/>
          <w:numId w:val="1"/>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eastAsia="zh-CN"/>
        </w:rPr>
        <w:t>卫生健康支出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210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行政事业单位医疗</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21011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行政单位医疗（</w:t>
      </w:r>
      <w:r>
        <w:rPr>
          <w:rFonts w:hint="eastAsia" w:asciiTheme="minorEastAsia" w:hAnsiTheme="minorEastAsia" w:eastAsiaTheme="minorEastAsia"/>
          <w:sz w:val="32"/>
          <w:szCs w:val="32"/>
          <w:highlight w:val="none"/>
          <w:lang w:val="en-US" w:eastAsia="zh-CN"/>
        </w:rPr>
        <w:t>2101101）。</w:t>
      </w:r>
    </w:p>
    <w:p>
      <w:pPr>
        <w:pStyle w:val="14"/>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11.32</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11.32</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eastAsia="zh-CN"/>
        </w:rPr>
        <w:t>等于</w:t>
      </w:r>
      <w:r>
        <w:rPr>
          <w:rFonts w:hint="eastAsia" w:asciiTheme="minorEastAsia" w:hAnsiTheme="minorEastAsia" w:eastAsiaTheme="minorEastAsia"/>
          <w:sz w:val="32"/>
          <w:szCs w:val="32"/>
          <w:highlight w:val="none"/>
        </w:rPr>
        <w:t>年初预算数的主要原因是</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单位人员无变动，严格按照年初预算数执行。</w:t>
      </w:r>
    </w:p>
    <w:p>
      <w:pPr>
        <w:pStyle w:val="14"/>
        <w:keepNext w:val="0"/>
        <w:keepLines w:val="0"/>
        <w:pageBreakBefore w:val="0"/>
        <w:numPr>
          <w:ilvl w:val="0"/>
          <w:numId w:val="1"/>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eastAsia="zh-CN"/>
        </w:rPr>
        <w:t>住房保障支出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221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住房改革支出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22102</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住房公积金（</w:t>
      </w:r>
      <w:r>
        <w:rPr>
          <w:rFonts w:hint="eastAsia" w:asciiTheme="minorEastAsia" w:hAnsiTheme="minorEastAsia" w:eastAsiaTheme="minorEastAsia"/>
          <w:sz w:val="32"/>
          <w:szCs w:val="32"/>
          <w:highlight w:val="none"/>
          <w:lang w:val="en-US" w:eastAsia="zh-CN"/>
        </w:rPr>
        <w:t>2210201）。</w:t>
      </w:r>
    </w:p>
    <w:p>
      <w:pPr>
        <w:pStyle w:val="14"/>
        <w:keepNext w:val="0"/>
        <w:keepLines w:val="0"/>
        <w:pageBreakBefore w:val="0"/>
        <w:numPr>
          <w:ilvl w:val="0"/>
          <w:numId w:val="0"/>
        </w:numPr>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17.06</w:t>
      </w:r>
      <w:r>
        <w:rPr>
          <w:rFonts w:hint="eastAsia" w:asciiTheme="minorEastAsia" w:hAnsiTheme="minorEastAsia" w:eastAsiaTheme="minorEastAsia"/>
          <w:sz w:val="32"/>
          <w:szCs w:val="32"/>
          <w:highlight w:val="none"/>
        </w:rPr>
        <w:t>万元，由于预算数为0，无法计算百分比，决算数大于年初预算数的主要原因是</w:t>
      </w:r>
      <w:r>
        <w:rPr>
          <w:rFonts w:hint="eastAsia" w:asciiTheme="minorEastAsia" w:hAnsiTheme="minorEastAsia" w:eastAsiaTheme="minorEastAsia"/>
          <w:sz w:val="32"/>
          <w:szCs w:val="32"/>
          <w:highlight w:val="none"/>
          <w:lang w:eastAsia="zh-CN"/>
        </w:rPr>
        <w:t>：该</w:t>
      </w:r>
      <w:r>
        <w:rPr>
          <w:rFonts w:hint="eastAsia" w:asciiTheme="minorEastAsia" w:hAnsiTheme="minorEastAsia" w:eastAsiaTheme="minorEastAsia"/>
          <w:sz w:val="32"/>
          <w:szCs w:val="32"/>
          <w:highlight w:val="none"/>
        </w:rPr>
        <w:t>项目没有纳入单位预算，由公共财政统一支付。</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六、一般公共预算财政拨款基本支出决算情况说明</w:t>
      </w:r>
    </w:p>
    <w:p>
      <w:pPr>
        <w:keepNext w:val="0"/>
        <w:keepLines w:val="0"/>
        <w:pageBreakBefore w:val="0"/>
        <w:kinsoku/>
        <w:wordWrap/>
        <w:overflowPunct/>
        <w:topLinePunct w:val="0"/>
        <w:bidi w:val="0"/>
        <w:snapToGrid/>
        <w:spacing w:beforeLines="0" w:afterLines="0" w:line="600" w:lineRule="exact"/>
        <w:ind w:firstLine="640" w:firstLineChars="200"/>
        <w:jc w:val="left"/>
        <w:textAlignment w:val="auto"/>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2021年度财政拨款基本支出</w:t>
      </w:r>
      <w:r>
        <w:rPr>
          <w:rFonts w:hint="eastAsia" w:asciiTheme="minorEastAsia" w:hAnsiTheme="minorEastAsia" w:eastAsiaTheme="minorEastAsia"/>
          <w:sz w:val="32"/>
          <w:szCs w:val="32"/>
          <w:highlight w:val="none"/>
          <w:lang w:val="en-US" w:eastAsia="zh-CN"/>
        </w:rPr>
        <w:t>508.17</w:t>
      </w:r>
      <w:r>
        <w:rPr>
          <w:rFonts w:hint="eastAsia" w:asciiTheme="minorEastAsia" w:hAnsiTheme="minorEastAsia" w:eastAsiaTheme="minorEastAsia"/>
          <w:sz w:val="32"/>
          <w:szCs w:val="32"/>
          <w:highlight w:val="none"/>
        </w:rPr>
        <w:t>万元，其中：人员经费</w:t>
      </w:r>
      <w:r>
        <w:rPr>
          <w:rFonts w:hint="eastAsia" w:asciiTheme="minorEastAsia" w:hAnsiTheme="minorEastAsia" w:eastAsiaTheme="minorEastAsia"/>
          <w:sz w:val="32"/>
          <w:szCs w:val="32"/>
          <w:highlight w:val="none"/>
          <w:lang w:val="en-US" w:eastAsia="zh-CN"/>
        </w:rPr>
        <w:t>271.35</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53.4</w:t>
      </w:r>
      <w:r>
        <w:rPr>
          <w:rFonts w:hint="eastAsia" w:asciiTheme="minorEastAsia" w:hAnsiTheme="minorEastAsia" w:eastAsiaTheme="minorEastAsia"/>
          <w:sz w:val="32"/>
          <w:szCs w:val="32"/>
          <w:highlight w:val="none"/>
        </w:rPr>
        <w:t>%</w:t>
      </w:r>
      <w:r>
        <w:rPr>
          <w:rFonts w:hint="eastAsia" w:asciiTheme="minorEastAsia" w:hAnsiTheme="minorEastAsia"/>
          <w:sz w:val="32"/>
          <w:szCs w:val="32"/>
          <w:highlight w:val="none"/>
          <w:lang w:eastAsia="zh-CN"/>
        </w:rPr>
        <w:t>，</w:t>
      </w:r>
      <w:r>
        <w:rPr>
          <w:rFonts w:hint="eastAsia" w:asciiTheme="minorEastAsia" w:hAnsiTheme="minorEastAsia" w:eastAsiaTheme="minorEastAsia"/>
          <w:sz w:val="32"/>
          <w:szCs w:val="32"/>
          <w:highlight w:val="none"/>
        </w:rPr>
        <w:t>主要包括基本工资、津贴补贴、</w:t>
      </w:r>
      <w:r>
        <w:rPr>
          <w:rFonts w:hint="eastAsia" w:asciiTheme="minorEastAsia" w:hAnsiTheme="minorEastAsia" w:eastAsiaTheme="minorEastAsia"/>
          <w:sz w:val="32"/>
          <w:szCs w:val="32"/>
          <w:highlight w:val="none"/>
          <w:lang w:val="zh-CN"/>
        </w:rPr>
        <w:t>奖金、机关事业单位基本养老保险缴费、职工基本医疗保险缴费、住房公积金、其他工资福利支出、</w:t>
      </w:r>
      <w:r>
        <w:rPr>
          <w:rFonts w:hint="eastAsia" w:asciiTheme="minorEastAsia" w:hAnsiTheme="minorEastAsia"/>
          <w:sz w:val="32"/>
          <w:szCs w:val="32"/>
          <w:highlight w:val="none"/>
          <w:lang w:val="zh-CN"/>
        </w:rPr>
        <w:t>抚恤金等</w:t>
      </w:r>
      <w:r>
        <w:rPr>
          <w:rFonts w:hint="eastAsia" w:asciiTheme="minorEastAsia" w:hAnsiTheme="minorEastAsia" w:eastAsiaTheme="minorEastAsia"/>
          <w:sz w:val="32"/>
          <w:szCs w:val="32"/>
          <w:highlight w:val="none"/>
        </w:rPr>
        <w:t>；公用经费</w:t>
      </w:r>
      <w:r>
        <w:rPr>
          <w:rFonts w:hint="eastAsia" w:asciiTheme="minorEastAsia" w:hAnsiTheme="minorEastAsia" w:eastAsiaTheme="minorEastAsia"/>
          <w:sz w:val="32"/>
          <w:szCs w:val="32"/>
          <w:highlight w:val="none"/>
          <w:lang w:val="en-US" w:eastAsia="zh-CN"/>
        </w:rPr>
        <w:t>236.82</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val="zh-CN"/>
        </w:rPr>
        <w:t>占基本支出的46.6%，主要包括办公费、印刷费、水费、邮电费、差旅费、维修（护）费、会议费、培训费、公务接待费、专用材料费、劳务费、工会经费、福利费、其他交通费用、其他商品和服务支出</w:t>
      </w:r>
      <w:r>
        <w:rPr>
          <w:rFonts w:hint="eastAsia" w:asciiTheme="minorEastAsia" w:hAnsiTheme="minorEastAsia"/>
          <w:sz w:val="32"/>
          <w:szCs w:val="32"/>
          <w:highlight w:val="none"/>
          <w:lang w:val="zh-CN"/>
        </w:rPr>
        <w:t>等</w:t>
      </w:r>
      <w:r>
        <w:rPr>
          <w:rFonts w:hint="eastAsia" w:asciiTheme="minorEastAsia" w:hAnsiTheme="minorEastAsia" w:eastAsiaTheme="minorEastAsia"/>
          <w:sz w:val="32"/>
          <w:szCs w:val="32"/>
          <w:highlight w:val="none"/>
          <w:lang w:val="zh-CN"/>
        </w:rPr>
        <w:t>。</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七、一般公共预算财政拨款“三公”经费支出决算情况说明</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4"/>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2021年度“三公”经费财政拨款支出预算为</w:t>
      </w:r>
      <w:r>
        <w:rPr>
          <w:rFonts w:hint="eastAsia" w:asciiTheme="minorEastAsia" w:hAnsiTheme="minorEastAsia" w:eastAsiaTheme="minorEastAsia"/>
          <w:sz w:val="32"/>
          <w:szCs w:val="32"/>
          <w:highlight w:val="none"/>
          <w:lang w:val="en-US" w:eastAsia="zh-CN"/>
        </w:rPr>
        <w:t>8.1</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6</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74.07</w:t>
      </w:r>
      <w:r>
        <w:rPr>
          <w:rFonts w:hint="eastAsia" w:asciiTheme="minorEastAsia" w:hAnsiTheme="minorEastAsia" w:eastAsiaTheme="minorEastAsia"/>
          <w:sz w:val="32"/>
          <w:szCs w:val="32"/>
          <w:highlight w:val="none"/>
        </w:rPr>
        <w:t>%，其中：</w:t>
      </w:r>
    </w:p>
    <w:p>
      <w:pPr>
        <w:keepNext w:val="0"/>
        <w:keepLines w:val="0"/>
        <w:pageBreakBefore w:val="0"/>
        <w:numPr>
          <w:ilvl w:val="0"/>
          <w:numId w:val="0"/>
        </w:numPr>
        <w:kinsoku/>
        <w:wordWrap/>
        <w:overflowPunct/>
        <w:topLinePunct w:val="0"/>
        <w:bidi w:val="0"/>
        <w:snapToGrid/>
        <w:spacing w:beforeLines="0" w:afterLines="0" w:line="600" w:lineRule="exact"/>
        <w:ind w:firstLine="640" w:firstLineChars="200"/>
        <w:jc w:val="left"/>
        <w:textAlignment w:val="auto"/>
        <w:rPr>
          <w:rFonts w:hint="eastAsia" w:cs="黑体" w:asciiTheme="minorEastAsia" w:hAnsiTheme="minorEastAsia" w:eastAsiaTheme="minorEastAsia"/>
          <w:color w:val="000000"/>
          <w:kern w:val="0"/>
          <w:sz w:val="32"/>
          <w:szCs w:val="32"/>
          <w:highlight w:val="none"/>
          <w:lang w:val="zh-CN" w:eastAsia="zh-CN" w:bidi="ar-SA"/>
        </w:rPr>
      </w:pPr>
      <w:r>
        <w:rPr>
          <w:rFonts w:hint="eastAsia" w:cs="黑体" w:asciiTheme="minorEastAsia" w:hAnsiTheme="minorEastAsia" w:eastAsiaTheme="minorEastAsia"/>
          <w:color w:val="000000"/>
          <w:kern w:val="0"/>
          <w:sz w:val="32"/>
          <w:szCs w:val="32"/>
          <w:highlight w:val="none"/>
          <w:lang w:val="zh-CN" w:eastAsia="zh-CN" w:bidi="ar-SA"/>
        </w:rPr>
        <w:t>因公出国（境）费支出预算</w:t>
      </w:r>
      <w:r>
        <w:rPr>
          <w:rFonts w:hint="eastAsia" w:cs="黑体" w:asciiTheme="minorEastAsia" w:hAnsiTheme="minorEastAsia"/>
          <w:color w:val="000000"/>
          <w:kern w:val="0"/>
          <w:sz w:val="32"/>
          <w:szCs w:val="32"/>
          <w:highlight w:val="none"/>
          <w:lang w:val="zh-CN" w:eastAsia="zh-CN" w:bidi="ar-SA"/>
        </w:rPr>
        <w:t>为</w:t>
      </w:r>
      <w:r>
        <w:rPr>
          <w:rFonts w:hint="eastAsia" w:cs="黑体" w:asciiTheme="minorEastAsia" w:hAnsiTheme="minorEastAsia"/>
          <w:color w:val="000000"/>
          <w:kern w:val="0"/>
          <w:sz w:val="32"/>
          <w:szCs w:val="32"/>
          <w:highlight w:val="none"/>
          <w:lang w:val="en-US" w:eastAsia="zh-CN" w:bidi="ar-SA"/>
        </w:rPr>
        <w:t>0万元，支出</w:t>
      </w:r>
      <w:r>
        <w:rPr>
          <w:rFonts w:hint="eastAsia" w:cs="黑体" w:asciiTheme="minorEastAsia" w:hAnsiTheme="minorEastAsia" w:eastAsiaTheme="minorEastAsia"/>
          <w:color w:val="000000"/>
          <w:kern w:val="0"/>
          <w:sz w:val="32"/>
          <w:szCs w:val="32"/>
          <w:highlight w:val="none"/>
          <w:lang w:val="zh-CN" w:eastAsia="zh-CN" w:bidi="ar-SA"/>
        </w:rPr>
        <w:t>决算</w:t>
      </w:r>
      <w:r>
        <w:rPr>
          <w:rFonts w:hint="eastAsia" w:cs="黑体" w:asciiTheme="minorEastAsia" w:hAnsiTheme="minorEastAsia"/>
          <w:color w:val="000000"/>
          <w:kern w:val="0"/>
          <w:sz w:val="32"/>
          <w:szCs w:val="32"/>
          <w:highlight w:val="none"/>
          <w:lang w:val="zh-CN" w:eastAsia="zh-CN" w:bidi="ar-SA"/>
        </w:rPr>
        <w:t>为</w:t>
      </w:r>
      <w:r>
        <w:rPr>
          <w:rFonts w:hint="eastAsia" w:cs="黑体" w:asciiTheme="minorEastAsia" w:hAnsiTheme="minorEastAsia"/>
          <w:color w:val="000000"/>
          <w:kern w:val="0"/>
          <w:sz w:val="32"/>
          <w:szCs w:val="32"/>
          <w:highlight w:val="none"/>
          <w:lang w:val="en-US" w:eastAsia="zh-CN" w:bidi="ar-SA"/>
        </w:rPr>
        <w:t>0万元</w:t>
      </w:r>
      <w:r>
        <w:rPr>
          <w:rFonts w:hint="eastAsia" w:cs="黑体" w:asciiTheme="minorEastAsia" w:hAnsiTheme="minorEastAsia"/>
          <w:color w:val="000000"/>
          <w:kern w:val="0"/>
          <w:sz w:val="32"/>
          <w:szCs w:val="32"/>
          <w:highlight w:val="none"/>
          <w:lang w:val="zh-CN" w:eastAsia="zh-CN" w:bidi="ar-SA"/>
        </w:rPr>
        <w:t>，</w:t>
      </w:r>
      <w:r>
        <w:rPr>
          <w:rFonts w:hint="eastAsia" w:cs="黑体" w:asciiTheme="minorEastAsia" w:hAnsiTheme="minorEastAsia"/>
          <w:color w:val="000000"/>
          <w:kern w:val="0"/>
          <w:sz w:val="32"/>
          <w:szCs w:val="32"/>
          <w:highlight w:val="none"/>
          <w:lang w:val="en-US" w:eastAsia="zh-CN" w:bidi="ar-SA"/>
        </w:rPr>
        <w:t>由于预算数为0，无法计算百分比，</w:t>
      </w:r>
      <w:r>
        <w:rPr>
          <w:rFonts w:hint="eastAsia" w:cs="黑体" w:asciiTheme="minorEastAsia" w:hAnsiTheme="minorEastAsia"/>
          <w:color w:val="000000"/>
          <w:kern w:val="0"/>
          <w:sz w:val="32"/>
          <w:szCs w:val="32"/>
          <w:highlight w:val="none"/>
          <w:lang w:val="zh-CN" w:eastAsia="zh-CN" w:bidi="ar-SA"/>
        </w:rPr>
        <w:t>决算数</w:t>
      </w:r>
      <w:r>
        <w:rPr>
          <w:rFonts w:hint="eastAsia" w:cs="黑体" w:asciiTheme="minorEastAsia" w:hAnsiTheme="minorEastAsia"/>
          <w:color w:val="000000"/>
          <w:kern w:val="0"/>
          <w:sz w:val="32"/>
          <w:szCs w:val="32"/>
          <w:highlight w:val="none"/>
          <w:lang w:val="en-US" w:eastAsia="zh-CN" w:bidi="ar-SA"/>
        </w:rPr>
        <w:t>等于</w:t>
      </w:r>
      <w:r>
        <w:rPr>
          <w:rFonts w:hint="eastAsia" w:cs="黑体" w:asciiTheme="minorEastAsia" w:hAnsiTheme="minorEastAsia"/>
          <w:color w:val="000000"/>
          <w:kern w:val="0"/>
          <w:sz w:val="32"/>
          <w:szCs w:val="32"/>
          <w:highlight w:val="none"/>
          <w:lang w:val="zh-CN" w:eastAsia="zh-CN" w:bidi="ar-SA"/>
        </w:rPr>
        <w:t>年初预算数的主要原因是</w:t>
      </w:r>
      <w:r>
        <w:rPr>
          <w:rFonts w:hint="eastAsia" w:cs="黑体" w:asciiTheme="minorEastAsia" w:hAnsiTheme="minorEastAsia" w:eastAsiaTheme="minorEastAsia"/>
          <w:color w:val="000000"/>
          <w:kern w:val="0"/>
          <w:sz w:val="32"/>
          <w:szCs w:val="32"/>
          <w:highlight w:val="none"/>
          <w:lang w:val="zh-CN" w:eastAsia="zh-CN" w:bidi="ar-SA"/>
        </w:rPr>
        <w:t>无因公出国（境）费支出</w:t>
      </w:r>
      <w:r>
        <w:rPr>
          <w:rFonts w:hint="eastAsia" w:cs="黑体" w:asciiTheme="minorEastAsia" w:hAnsiTheme="minorEastAsia"/>
          <w:color w:val="000000"/>
          <w:kern w:val="0"/>
          <w:sz w:val="32"/>
          <w:szCs w:val="32"/>
          <w:highlight w:val="none"/>
          <w:lang w:val="zh-CN" w:eastAsia="zh-CN" w:bidi="ar-SA"/>
        </w:rPr>
        <w:t>，与上年相比增加</w:t>
      </w:r>
      <w:r>
        <w:rPr>
          <w:rFonts w:hint="eastAsia" w:cs="黑体" w:asciiTheme="minorEastAsia" w:hAnsiTheme="minorEastAsia"/>
          <w:color w:val="000000"/>
          <w:kern w:val="0"/>
          <w:sz w:val="32"/>
          <w:szCs w:val="32"/>
          <w:highlight w:val="none"/>
          <w:lang w:val="en-US" w:eastAsia="zh-CN" w:bidi="ar-SA"/>
        </w:rPr>
        <w:t>0</w:t>
      </w:r>
      <w:r>
        <w:rPr>
          <w:rFonts w:hint="eastAsia" w:cs="黑体" w:asciiTheme="minorEastAsia" w:hAnsiTheme="minorEastAsia"/>
          <w:color w:val="000000"/>
          <w:kern w:val="0"/>
          <w:sz w:val="32"/>
          <w:szCs w:val="32"/>
          <w:highlight w:val="none"/>
          <w:lang w:val="zh-CN" w:eastAsia="zh-CN" w:bidi="ar-SA"/>
        </w:rPr>
        <w:t>万元，增长</w:t>
      </w:r>
      <w:r>
        <w:rPr>
          <w:rFonts w:hint="eastAsia" w:cs="黑体" w:asciiTheme="minorEastAsia" w:hAnsiTheme="minorEastAsia"/>
          <w:color w:val="000000"/>
          <w:kern w:val="0"/>
          <w:sz w:val="32"/>
          <w:szCs w:val="32"/>
          <w:highlight w:val="none"/>
          <w:lang w:val="en-US" w:eastAsia="zh-CN" w:bidi="ar-SA"/>
        </w:rPr>
        <w:t>0</w:t>
      </w:r>
      <w:r>
        <w:rPr>
          <w:rFonts w:hint="eastAsia" w:cs="黑体" w:asciiTheme="minorEastAsia" w:hAnsiTheme="minorEastAsia"/>
          <w:color w:val="000000"/>
          <w:kern w:val="0"/>
          <w:sz w:val="32"/>
          <w:szCs w:val="32"/>
          <w:highlight w:val="none"/>
          <w:lang w:val="zh-CN" w:eastAsia="zh-CN" w:bidi="ar-SA"/>
        </w:rPr>
        <w:t>%，</w:t>
      </w:r>
      <w:r>
        <w:rPr>
          <w:rFonts w:hint="eastAsia" w:cs="黑体" w:asciiTheme="minorEastAsia" w:hAnsiTheme="minorEastAsia"/>
          <w:color w:val="000000"/>
          <w:kern w:val="0"/>
          <w:sz w:val="32"/>
          <w:szCs w:val="32"/>
          <w:highlight w:val="none"/>
          <w:lang w:val="en-US" w:eastAsia="zh-CN" w:bidi="ar-SA"/>
        </w:rPr>
        <w:t>无变化</w:t>
      </w:r>
      <w:r>
        <w:rPr>
          <w:rFonts w:hint="eastAsia" w:cs="黑体" w:asciiTheme="minorEastAsia" w:hAnsiTheme="minorEastAsia"/>
          <w:color w:val="000000"/>
          <w:kern w:val="0"/>
          <w:sz w:val="32"/>
          <w:szCs w:val="32"/>
          <w:highlight w:val="none"/>
          <w:lang w:val="zh-CN" w:eastAsia="zh-CN" w:bidi="ar-SA"/>
        </w:rPr>
        <w:t>的主要原因是</w:t>
      </w:r>
      <w:r>
        <w:rPr>
          <w:rFonts w:hint="eastAsia" w:cs="黑体" w:asciiTheme="minorEastAsia" w:hAnsiTheme="minorEastAsia"/>
          <w:color w:val="000000"/>
          <w:kern w:val="0"/>
          <w:sz w:val="32"/>
          <w:szCs w:val="32"/>
          <w:highlight w:val="none"/>
          <w:lang w:val="en-US" w:eastAsia="zh-CN" w:bidi="ar-SA"/>
        </w:rPr>
        <w:t>没有因公出国（境）</w:t>
      </w:r>
      <w:r>
        <w:rPr>
          <w:rFonts w:hint="eastAsia" w:cs="黑体" w:asciiTheme="minorEastAsia" w:hAnsiTheme="minorEastAsia" w:eastAsiaTheme="minorEastAsia"/>
          <w:color w:val="000000"/>
          <w:kern w:val="0"/>
          <w:sz w:val="32"/>
          <w:szCs w:val="32"/>
          <w:highlight w:val="none"/>
          <w:lang w:val="zh-CN" w:eastAsia="zh-CN" w:bidi="ar-SA"/>
        </w:rPr>
        <w:t>；</w:t>
      </w:r>
    </w:p>
    <w:p>
      <w:pPr>
        <w:keepNext w:val="0"/>
        <w:keepLines w:val="0"/>
        <w:pageBreakBefore w:val="0"/>
        <w:numPr>
          <w:ilvl w:val="0"/>
          <w:numId w:val="0"/>
        </w:numPr>
        <w:kinsoku/>
        <w:wordWrap/>
        <w:overflowPunct/>
        <w:topLinePunct w:val="0"/>
        <w:bidi w:val="0"/>
        <w:snapToGrid/>
        <w:spacing w:beforeLines="0" w:afterLines="0" w:line="600" w:lineRule="exact"/>
        <w:ind w:firstLine="640" w:firstLineChars="200"/>
        <w:jc w:val="left"/>
        <w:textAlignment w:val="auto"/>
        <w:rPr>
          <w:rFonts w:hint="eastAsia" w:cs="黑体" w:asciiTheme="minorEastAsia" w:hAnsiTheme="minorEastAsia" w:eastAsiaTheme="minorEastAsia"/>
          <w:color w:val="000000"/>
          <w:kern w:val="0"/>
          <w:sz w:val="32"/>
          <w:szCs w:val="32"/>
          <w:highlight w:val="none"/>
          <w:lang w:val="zh-CN" w:eastAsia="zh-CN" w:bidi="ar-SA"/>
        </w:rPr>
      </w:pPr>
      <w:r>
        <w:rPr>
          <w:rFonts w:hint="eastAsia" w:cs="黑体" w:asciiTheme="minorEastAsia" w:hAnsiTheme="minorEastAsia" w:eastAsiaTheme="minorEastAsia"/>
          <w:color w:val="000000"/>
          <w:kern w:val="0"/>
          <w:sz w:val="32"/>
          <w:szCs w:val="32"/>
          <w:highlight w:val="none"/>
          <w:lang w:val="zh-CN" w:eastAsia="zh-CN" w:bidi="ar-SA"/>
        </w:rPr>
        <w:t>公务用车购置费及运行维护费支出预算</w:t>
      </w:r>
      <w:r>
        <w:rPr>
          <w:rFonts w:hint="eastAsia" w:cs="黑体" w:asciiTheme="minorEastAsia" w:hAnsiTheme="minorEastAsia"/>
          <w:color w:val="000000"/>
          <w:kern w:val="0"/>
          <w:sz w:val="32"/>
          <w:szCs w:val="32"/>
          <w:highlight w:val="none"/>
          <w:lang w:val="zh-CN" w:eastAsia="zh-CN" w:bidi="ar-SA"/>
        </w:rPr>
        <w:t>为</w:t>
      </w:r>
      <w:r>
        <w:rPr>
          <w:rFonts w:hint="eastAsia" w:cs="黑体" w:asciiTheme="minorEastAsia" w:hAnsiTheme="minorEastAsia"/>
          <w:color w:val="000000"/>
          <w:kern w:val="0"/>
          <w:sz w:val="32"/>
          <w:szCs w:val="32"/>
          <w:highlight w:val="none"/>
          <w:lang w:val="en-US" w:eastAsia="zh-CN" w:bidi="ar-SA"/>
        </w:rPr>
        <w:t>0万元，支出</w:t>
      </w:r>
      <w:r>
        <w:rPr>
          <w:rFonts w:hint="eastAsia" w:cs="黑体" w:asciiTheme="minorEastAsia" w:hAnsiTheme="minorEastAsia" w:eastAsiaTheme="minorEastAsia"/>
          <w:color w:val="000000"/>
          <w:kern w:val="0"/>
          <w:sz w:val="32"/>
          <w:szCs w:val="32"/>
          <w:highlight w:val="none"/>
          <w:lang w:val="zh-CN" w:eastAsia="zh-CN" w:bidi="ar-SA"/>
        </w:rPr>
        <w:t>决算</w:t>
      </w:r>
      <w:r>
        <w:rPr>
          <w:rFonts w:hint="eastAsia" w:cs="黑体" w:asciiTheme="minorEastAsia" w:hAnsiTheme="minorEastAsia"/>
          <w:color w:val="000000"/>
          <w:kern w:val="0"/>
          <w:sz w:val="32"/>
          <w:szCs w:val="32"/>
          <w:highlight w:val="none"/>
          <w:lang w:val="zh-CN" w:eastAsia="zh-CN" w:bidi="ar-SA"/>
        </w:rPr>
        <w:t>为</w:t>
      </w:r>
      <w:r>
        <w:rPr>
          <w:rFonts w:hint="eastAsia" w:cs="黑体" w:asciiTheme="minorEastAsia" w:hAnsiTheme="minorEastAsia"/>
          <w:color w:val="000000"/>
          <w:kern w:val="0"/>
          <w:sz w:val="32"/>
          <w:szCs w:val="32"/>
          <w:highlight w:val="none"/>
          <w:lang w:val="en-US" w:eastAsia="zh-CN" w:bidi="ar-SA"/>
        </w:rPr>
        <w:t>0万元</w:t>
      </w:r>
      <w:r>
        <w:rPr>
          <w:rFonts w:hint="eastAsia" w:cs="黑体" w:asciiTheme="minorEastAsia" w:hAnsiTheme="minorEastAsia"/>
          <w:color w:val="000000"/>
          <w:kern w:val="0"/>
          <w:sz w:val="32"/>
          <w:szCs w:val="32"/>
          <w:highlight w:val="none"/>
          <w:lang w:val="zh-CN" w:eastAsia="zh-CN" w:bidi="ar-SA"/>
        </w:rPr>
        <w:t>，由于预算数为0，无法计算百分比，决算数</w:t>
      </w:r>
      <w:r>
        <w:rPr>
          <w:rFonts w:hint="eastAsia" w:cs="黑体" w:asciiTheme="minorEastAsia" w:hAnsiTheme="minorEastAsia"/>
          <w:color w:val="000000"/>
          <w:kern w:val="0"/>
          <w:sz w:val="32"/>
          <w:szCs w:val="32"/>
          <w:highlight w:val="none"/>
          <w:lang w:val="en-US" w:eastAsia="zh-CN" w:bidi="ar-SA"/>
        </w:rPr>
        <w:t>等于</w:t>
      </w:r>
      <w:r>
        <w:rPr>
          <w:rFonts w:hint="eastAsia" w:cs="黑体" w:asciiTheme="minorEastAsia" w:hAnsiTheme="minorEastAsia"/>
          <w:color w:val="000000"/>
          <w:kern w:val="0"/>
          <w:sz w:val="32"/>
          <w:szCs w:val="32"/>
          <w:highlight w:val="none"/>
          <w:lang w:val="zh-CN" w:eastAsia="zh-CN" w:bidi="ar-SA"/>
        </w:rPr>
        <w:t>年初预算数的主要原因是</w:t>
      </w:r>
      <w:r>
        <w:rPr>
          <w:rFonts w:hint="eastAsia" w:cs="黑体" w:asciiTheme="minorEastAsia" w:hAnsiTheme="minorEastAsia" w:eastAsiaTheme="minorEastAsia"/>
          <w:color w:val="000000"/>
          <w:kern w:val="0"/>
          <w:sz w:val="32"/>
          <w:szCs w:val="32"/>
          <w:highlight w:val="none"/>
          <w:lang w:val="zh-CN" w:eastAsia="zh-CN" w:bidi="ar-SA"/>
        </w:rPr>
        <w:t>无公务用车购置费及运行维护费支出</w:t>
      </w:r>
      <w:r>
        <w:rPr>
          <w:rFonts w:hint="eastAsia" w:cs="黑体" w:asciiTheme="minorEastAsia" w:hAnsiTheme="minorEastAsia"/>
          <w:color w:val="000000"/>
          <w:kern w:val="0"/>
          <w:sz w:val="32"/>
          <w:szCs w:val="32"/>
          <w:highlight w:val="none"/>
          <w:lang w:val="zh-CN" w:eastAsia="zh-CN" w:bidi="ar-SA"/>
        </w:rPr>
        <w:t>，与上年相比增加</w:t>
      </w:r>
      <w:r>
        <w:rPr>
          <w:rFonts w:hint="eastAsia" w:cs="黑体" w:asciiTheme="minorEastAsia" w:hAnsiTheme="minorEastAsia"/>
          <w:color w:val="000000"/>
          <w:kern w:val="0"/>
          <w:sz w:val="32"/>
          <w:szCs w:val="32"/>
          <w:highlight w:val="none"/>
          <w:lang w:val="en-US" w:eastAsia="zh-CN" w:bidi="ar-SA"/>
        </w:rPr>
        <w:t>0</w:t>
      </w:r>
      <w:r>
        <w:rPr>
          <w:rFonts w:hint="eastAsia" w:cs="黑体" w:asciiTheme="minorEastAsia" w:hAnsiTheme="minorEastAsia"/>
          <w:color w:val="000000"/>
          <w:kern w:val="0"/>
          <w:sz w:val="32"/>
          <w:szCs w:val="32"/>
          <w:highlight w:val="none"/>
          <w:lang w:val="zh-CN" w:eastAsia="zh-CN" w:bidi="ar-SA"/>
        </w:rPr>
        <w:t>万元，增长</w:t>
      </w:r>
      <w:r>
        <w:rPr>
          <w:rFonts w:hint="eastAsia" w:cs="黑体" w:asciiTheme="minorEastAsia" w:hAnsiTheme="minorEastAsia"/>
          <w:color w:val="000000"/>
          <w:kern w:val="0"/>
          <w:sz w:val="32"/>
          <w:szCs w:val="32"/>
          <w:highlight w:val="none"/>
          <w:lang w:val="en-US" w:eastAsia="zh-CN" w:bidi="ar-SA"/>
        </w:rPr>
        <w:t>0</w:t>
      </w:r>
      <w:r>
        <w:rPr>
          <w:rFonts w:hint="eastAsia" w:cs="黑体" w:asciiTheme="minorEastAsia" w:hAnsiTheme="minorEastAsia"/>
          <w:color w:val="000000"/>
          <w:kern w:val="0"/>
          <w:sz w:val="32"/>
          <w:szCs w:val="32"/>
          <w:highlight w:val="none"/>
          <w:lang w:val="zh-CN" w:eastAsia="zh-CN" w:bidi="ar-SA"/>
        </w:rPr>
        <w:t>%,</w:t>
      </w:r>
      <w:r>
        <w:rPr>
          <w:rFonts w:hint="eastAsia" w:cs="黑体" w:asciiTheme="minorEastAsia" w:hAnsiTheme="minorEastAsia"/>
          <w:color w:val="000000"/>
          <w:kern w:val="0"/>
          <w:sz w:val="32"/>
          <w:szCs w:val="32"/>
          <w:highlight w:val="none"/>
          <w:lang w:val="en-US" w:eastAsia="zh-CN" w:bidi="ar-SA"/>
        </w:rPr>
        <w:t>无变化</w:t>
      </w:r>
      <w:r>
        <w:rPr>
          <w:rFonts w:hint="eastAsia" w:cs="黑体" w:asciiTheme="minorEastAsia" w:hAnsiTheme="minorEastAsia"/>
          <w:color w:val="000000"/>
          <w:kern w:val="0"/>
          <w:sz w:val="32"/>
          <w:szCs w:val="32"/>
          <w:highlight w:val="none"/>
          <w:lang w:val="zh-CN" w:eastAsia="zh-CN" w:bidi="ar-SA"/>
        </w:rPr>
        <w:t>的主要原因是</w:t>
      </w:r>
      <w:r>
        <w:rPr>
          <w:rFonts w:hint="eastAsia" w:cs="黑体" w:asciiTheme="minorEastAsia" w:hAnsiTheme="minorEastAsia"/>
          <w:color w:val="000000"/>
          <w:kern w:val="0"/>
          <w:sz w:val="32"/>
          <w:szCs w:val="32"/>
          <w:highlight w:val="none"/>
          <w:lang w:val="en-US" w:eastAsia="zh-CN" w:bidi="ar-SA"/>
        </w:rPr>
        <w:t>无公务用车</w:t>
      </w:r>
      <w:r>
        <w:rPr>
          <w:rFonts w:hint="eastAsia" w:cs="黑体" w:asciiTheme="minorEastAsia" w:hAnsiTheme="minorEastAsia" w:eastAsiaTheme="minorEastAsia"/>
          <w:color w:val="000000"/>
          <w:kern w:val="0"/>
          <w:sz w:val="32"/>
          <w:szCs w:val="32"/>
          <w:highlight w:val="none"/>
          <w:lang w:val="zh-CN" w:eastAsia="zh-CN" w:bidi="ar-SA"/>
        </w:rPr>
        <w:t>；</w:t>
      </w:r>
    </w:p>
    <w:p>
      <w:pPr>
        <w:keepNext w:val="0"/>
        <w:keepLines w:val="0"/>
        <w:pageBreakBefore w:val="0"/>
        <w:numPr>
          <w:ilvl w:val="0"/>
          <w:numId w:val="0"/>
        </w:numPr>
        <w:kinsoku/>
        <w:wordWrap/>
        <w:overflowPunct/>
        <w:topLinePunct w:val="0"/>
        <w:bidi w:val="0"/>
        <w:snapToGrid/>
        <w:spacing w:beforeLines="0" w:afterLines="0" w:line="600" w:lineRule="exact"/>
        <w:ind w:firstLine="640" w:firstLineChars="200"/>
        <w:jc w:val="left"/>
        <w:textAlignment w:val="auto"/>
        <w:rPr>
          <w:rFonts w:asciiTheme="minorEastAsia" w:hAnsiTheme="minorEastAsia" w:eastAsiaTheme="minorEastAsia"/>
          <w:sz w:val="32"/>
          <w:szCs w:val="32"/>
          <w:highlight w:val="none"/>
        </w:rPr>
      </w:pPr>
      <w:r>
        <w:rPr>
          <w:rFonts w:hint="eastAsia" w:cs="黑体" w:asciiTheme="minorEastAsia" w:hAnsiTheme="minorEastAsia" w:eastAsiaTheme="minorEastAsia"/>
          <w:color w:val="000000"/>
          <w:kern w:val="0"/>
          <w:sz w:val="32"/>
          <w:szCs w:val="32"/>
          <w:highlight w:val="none"/>
          <w:lang w:val="zh-CN" w:eastAsia="zh-CN" w:bidi="ar-SA"/>
        </w:rPr>
        <w:t>公务接待费支出预算为</w:t>
      </w:r>
      <w:r>
        <w:rPr>
          <w:rFonts w:hint="eastAsia" w:cs="黑体" w:asciiTheme="minorEastAsia" w:hAnsiTheme="minorEastAsia" w:eastAsiaTheme="minorEastAsia"/>
          <w:color w:val="000000"/>
          <w:kern w:val="0"/>
          <w:sz w:val="32"/>
          <w:szCs w:val="32"/>
          <w:highlight w:val="none"/>
          <w:lang w:val="en-US" w:eastAsia="zh-CN" w:bidi="ar-SA"/>
        </w:rPr>
        <w:t>8.1</w:t>
      </w:r>
      <w:r>
        <w:rPr>
          <w:rFonts w:hint="eastAsia" w:cs="黑体" w:asciiTheme="minorEastAsia" w:hAnsiTheme="minorEastAsia" w:eastAsiaTheme="minorEastAsia"/>
          <w:color w:val="000000"/>
          <w:kern w:val="0"/>
          <w:sz w:val="32"/>
          <w:szCs w:val="32"/>
          <w:highlight w:val="none"/>
          <w:lang w:val="zh-CN" w:eastAsia="zh-CN" w:bidi="ar-SA"/>
        </w:rPr>
        <w:t>万元，支出决算为</w:t>
      </w:r>
      <w:r>
        <w:rPr>
          <w:rFonts w:hint="eastAsia" w:cs="黑体" w:asciiTheme="minorEastAsia" w:hAnsiTheme="minorEastAsia" w:eastAsiaTheme="minorEastAsia"/>
          <w:color w:val="000000"/>
          <w:kern w:val="0"/>
          <w:sz w:val="32"/>
          <w:szCs w:val="32"/>
          <w:highlight w:val="none"/>
          <w:lang w:val="en-US" w:eastAsia="zh-CN" w:bidi="ar-SA"/>
        </w:rPr>
        <w:t>6</w:t>
      </w:r>
      <w:r>
        <w:rPr>
          <w:rFonts w:hint="eastAsia" w:cs="黑体" w:asciiTheme="minorEastAsia" w:hAnsiTheme="minorEastAsia" w:eastAsiaTheme="minorEastAsia"/>
          <w:color w:val="000000"/>
          <w:kern w:val="0"/>
          <w:sz w:val="32"/>
          <w:szCs w:val="32"/>
          <w:highlight w:val="none"/>
          <w:lang w:val="zh-CN" w:eastAsia="zh-CN" w:bidi="ar-SA"/>
        </w:rPr>
        <w:t>万元</w:t>
      </w:r>
      <w:r>
        <w:rPr>
          <w:rFonts w:hint="eastAsia" w:cs="黑体" w:asciiTheme="minorEastAsia" w:hAnsiTheme="minorEastAsia"/>
          <w:color w:val="000000"/>
          <w:kern w:val="0"/>
          <w:sz w:val="32"/>
          <w:szCs w:val="32"/>
          <w:highlight w:val="none"/>
          <w:lang w:val="zh-CN" w:eastAsia="zh-CN" w:bidi="ar-SA"/>
        </w:rPr>
        <w:t>，</w:t>
      </w:r>
      <w:r>
        <w:rPr>
          <w:rFonts w:hint="eastAsia" w:cs="黑体" w:asciiTheme="minorEastAsia" w:hAnsiTheme="minorEastAsia" w:eastAsiaTheme="minorEastAsia"/>
          <w:color w:val="000000"/>
          <w:kern w:val="0"/>
          <w:sz w:val="32"/>
          <w:szCs w:val="32"/>
          <w:highlight w:val="none"/>
          <w:lang w:val="zh-CN" w:eastAsia="zh-CN" w:bidi="ar-SA"/>
        </w:rPr>
        <w:t>完成预算的</w:t>
      </w:r>
      <w:r>
        <w:rPr>
          <w:rFonts w:hint="eastAsia" w:cs="黑体" w:asciiTheme="minorEastAsia" w:hAnsiTheme="minorEastAsia" w:eastAsiaTheme="minorEastAsia"/>
          <w:color w:val="000000"/>
          <w:kern w:val="0"/>
          <w:sz w:val="32"/>
          <w:szCs w:val="32"/>
          <w:highlight w:val="none"/>
          <w:lang w:val="en-US" w:eastAsia="zh-CN" w:bidi="ar-SA"/>
        </w:rPr>
        <w:t>74.07</w:t>
      </w:r>
      <w:r>
        <w:rPr>
          <w:rFonts w:hint="eastAsia" w:cs="黑体" w:asciiTheme="minorEastAsia" w:hAnsiTheme="minorEastAsia" w:eastAsiaTheme="minorEastAsia"/>
          <w:color w:val="000000"/>
          <w:kern w:val="0"/>
          <w:sz w:val="32"/>
          <w:szCs w:val="32"/>
          <w:highlight w:val="none"/>
          <w:lang w:val="zh-CN" w:eastAsia="zh-CN" w:bidi="ar-SA"/>
        </w:rPr>
        <w:t>%</w:t>
      </w:r>
      <w:r>
        <w:rPr>
          <w:rFonts w:hint="eastAsia" w:cs="黑体" w:asciiTheme="minorEastAsia" w:hAnsiTheme="minorEastAsia"/>
          <w:color w:val="000000"/>
          <w:kern w:val="0"/>
          <w:sz w:val="32"/>
          <w:szCs w:val="32"/>
          <w:highlight w:val="none"/>
          <w:lang w:val="zh-CN" w:eastAsia="zh-CN" w:bidi="ar-SA"/>
        </w:rPr>
        <w:t>，</w:t>
      </w:r>
      <w:r>
        <w:rPr>
          <w:rFonts w:hint="eastAsia" w:cs="黑体" w:asciiTheme="minorEastAsia" w:hAnsiTheme="minorEastAsia" w:eastAsiaTheme="minorEastAsia"/>
          <w:color w:val="000000"/>
          <w:kern w:val="0"/>
          <w:sz w:val="32"/>
          <w:szCs w:val="32"/>
          <w:highlight w:val="none"/>
          <w:lang w:val="zh-CN" w:eastAsia="zh-CN" w:bidi="ar-SA"/>
        </w:rPr>
        <w:t>决算数小于预算数的主要原因是认真贯彻落实中央八项规定精神和厉行节约要求，从严控制“三公”经费开支，全年实际支出比预算有所节约。与上年相比减少</w:t>
      </w:r>
      <w:r>
        <w:rPr>
          <w:rFonts w:hint="eastAsia" w:cs="黑体" w:asciiTheme="minorEastAsia" w:hAnsiTheme="minorEastAsia" w:eastAsiaTheme="minorEastAsia"/>
          <w:color w:val="000000"/>
          <w:kern w:val="0"/>
          <w:sz w:val="32"/>
          <w:szCs w:val="32"/>
          <w:highlight w:val="none"/>
          <w:lang w:val="en-US" w:eastAsia="zh-CN" w:bidi="ar-SA"/>
        </w:rPr>
        <w:t>0.09万</w:t>
      </w:r>
      <w:r>
        <w:rPr>
          <w:rFonts w:hint="eastAsia" w:cs="黑体" w:asciiTheme="minorEastAsia" w:hAnsiTheme="minorEastAsia" w:eastAsiaTheme="minorEastAsia"/>
          <w:color w:val="000000"/>
          <w:kern w:val="0"/>
          <w:sz w:val="32"/>
          <w:szCs w:val="32"/>
          <w:highlight w:val="none"/>
          <w:lang w:val="zh-CN" w:eastAsia="zh-CN" w:bidi="ar-SA"/>
        </w:rPr>
        <w:t>元，减少</w:t>
      </w:r>
      <w:r>
        <w:rPr>
          <w:rFonts w:hint="eastAsia" w:cs="黑体" w:asciiTheme="minorEastAsia" w:hAnsiTheme="minorEastAsia" w:eastAsiaTheme="minorEastAsia"/>
          <w:color w:val="000000"/>
          <w:kern w:val="0"/>
          <w:sz w:val="32"/>
          <w:szCs w:val="32"/>
          <w:highlight w:val="none"/>
          <w:lang w:val="en-US" w:eastAsia="zh-CN" w:bidi="ar-SA"/>
        </w:rPr>
        <w:t>1.48</w:t>
      </w:r>
      <w:r>
        <w:rPr>
          <w:rFonts w:hint="eastAsia" w:cs="黑体" w:asciiTheme="minorEastAsia" w:hAnsiTheme="minorEastAsia" w:eastAsiaTheme="minorEastAsia"/>
          <w:color w:val="000000"/>
          <w:kern w:val="0"/>
          <w:sz w:val="32"/>
          <w:szCs w:val="32"/>
          <w:highlight w:val="none"/>
          <w:lang w:val="zh-CN" w:eastAsia="zh-CN" w:bidi="ar-SA"/>
        </w:rPr>
        <w:t>%</w:t>
      </w:r>
      <w:r>
        <w:rPr>
          <w:rFonts w:hint="eastAsia" w:cs="黑体" w:asciiTheme="minorEastAsia" w:hAnsiTheme="minorEastAsia"/>
          <w:color w:val="000000"/>
          <w:kern w:val="0"/>
          <w:sz w:val="32"/>
          <w:szCs w:val="32"/>
          <w:highlight w:val="none"/>
          <w:lang w:val="zh-CN" w:eastAsia="zh-CN" w:bidi="ar-SA"/>
        </w:rPr>
        <w:t>，</w:t>
      </w:r>
      <w:r>
        <w:rPr>
          <w:rFonts w:hint="eastAsia" w:cs="黑体" w:asciiTheme="minorEastAsia" w:hAnsiTheme="minorEastAsia" w:eastAsiaTheme="minorEastAsia"/>
          <w:color w:val="000000"/>
          <w:kern w:val="0"/>
          <w:sz w:val="32"/>
          <w:szCs w:val="32"/>
          <w:highlight w:val="none"/>
          <w:lang w:val="zh-CN" w:eastAsia="zh-CN" w:bidi="ar-SA"/>
        </w:rPr>
        <w:t>减少的主要原因是认真贯彻落实中央八项规定精神和厉行节约要求，严格控制公务接待开支。</w:t>
      </w:r>
    </w:p>
    <w:p>
      <w:pPr>
        <w:pStyle w:val="14"/>
        <w:keepNext w:val="0"/>
        <w:keepLines w:val="0"/>
        <w:pageBreakBefore w:val="0"/>
        <w:widowControl w:val="0"/>
        <w:numPr>
          <w:ilvl w:val="0"/>
          <w:numId w:val="2"/>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“三公”经费财政拨款支出决算具体情况说明</w:t>
      </w:r>
    </w:p>
    <w:p>
      <w:pPr>
        <w:keepNext w:val="0"/>
        <w:keepLines w:val="0"/>
        <w:pageBreakBefore w:val="0"/>
        <w:numPr>
          <w:ilvl w:val="0"/>
          <w:numId w:val="0"/>
        </w:numPr>
        <w:kinsoku/>
        <w:wordWrap/>
        <w:overflowPunct/>
        <w:topLinePunct w:val="0"/>
        <w:bidi w:val="0"/>
        <w:snapToGrid/>
        <w:spacing w:beforeLines="0" w:afterLines="0" w:line="600" w:lineRule="exact"/>
        <w:ind w:firstLine="640" w:firstLineChars="200"/>
        <w:jc w:val="left"/>
        <w:textAlignment w:val="auto"/>
        <w:rPr>
          <w:rFonts w:hint="eastAsia" w:cs="黑体" w:asciiTheme="minorEastAsia" w:hAnsiTheme="minorEastAsia" w:eastAsiaTheme="minorEastAsia"/>
          <w:color w:val="000000"/>
          <w:kern w:val="0"/>
          <w:sz w:val="32"/>
          <w:szCs w:val="32"/>
          <w:highlight w:val="none"/>
          <w:lang w:val="zh-CN" w:eastAsia="zh-CN" w:bidi="ar-SA"/>
        </w:rPr>
      </w:pPr>
      <w:r>
        <w:rPr>
          <w:rFonts w:hint="eastAsia" w:cs="黑体" w:asciiTheme="minorEastAsia" w:hAnsiTheme="minorEastAsia" w:eastAsiaTheme="minorEastAsia"/>
          <w:color w:val="000000"/>
          <w:kern w:val="0"/>
          <w:sz w:val="32"/>
          <w:szCs w:val="32"/>
          <w:highlight w:val="none"/>
          <w:lang w:val="zh-CN" w:eastAsia="zh-CN" w:bidi="ar-SA"/>
        </w:rPr>
        <w:t>2021年度“三公”经费财政拨款支出决算中，公务接待费支出决算6万元，占100%</w:t>
      </w:r>
      <w:r>
        <w:rPr>
          <w:rFonts w:hint="eastAsia" w:cs="黑体" w:asciiTheme="minorEastAsia" w:hAnsiTheme="minorEastAsia"/>
          <w:color w:val="000000"/>
          <w:kern w:val="0"/>
          <w:sz w:val="32"/>
          <w:szCs w:val="32"/>
          <w:highlight w:val="none"/>
          <w:lang w:val="zh-CN" w:eastAsia="zh-CN" w:bidi="ar-SA"/>
        </w:rPr>
        <w:t>，</w:t>
      </w:r>
      <w:r>
        <w:rPr>
          <w:rFonts w:hint="eastAsia" w:cs="黑体" w:asciiTheme="minorEastAsia" w:hAnsiTheme="minorEastAsia" w:eastAsiaTheme="minorEastAsia"/>
          <w:color w:val="000000"/>
          <w:kern w:val="0"/>
          <w:sz w:val="32"/>
          <w:szCs w:val="32"/>
          <w:highlight w:val="none"/>
          <w:lang w:val="zh-CN" w:eastAsia="zh-CN" w:bidi="ar-SA"/>
        </w:rPr>
        <w:t>因公出国（境）费支出决算0万元，</w:t>
      </w:r>
      <w:r>
        <w:rPr>
          <w:rFonts w:hint="eastAsia" w:cs="黑体" w:asciiTheme="minorEastAsia" w:hAnsiTheme="minorEastAsia"/>
          <w:color w:val="000000"/>
          <w:kern w:val="0"/>
          <w:sz w:val="32"/>
          <w:szCs w:val="32"/>
          <w:highlight w:val="none"/>
          <w:lang w:val="zh-CN" w:eastAsia="zh-CN" w:bidi="ar-SA"/>
        </w:rPr>
        <w:t>占</w:t>
      </w:r>
      <w:r>
        <w:rPr>
          <w:rFonts w:hint="eastAsia" w:cs="黑体" w:asciiTheme="minorEastAsia" w:hAnsiTheme="minorEastAsia"/>
          <w:color w:val="000000"/>
          <w:kern w:val="0"/>
          <w:sz w:val="32"/>
          <w:szCs w:val="32"/>
          <w:highlight w:val="none"/>
          <w:lang w:val="en-US" w:eastAsia="zh-CN" w:bidi="ar-SA"/>
        </w:rPr>
        <w:t>0%，</w:t>
      </w:r>
      <w:r>
        <w:rPr>
          <w:rFonts w:hint="eastAsia" w:cs="黑体" w:asciiTheme="minorEastAsia" w:hAnsiTheme="minorEastAsia" w:eastAsiaTheme="minorEastAsia"/>
          <w:color w:val="000000"/>
          <w:kern w:val="0"/>
          <w:sz w:val="32"/>
          <w:szCs w:val="32"/>
          <w:highlight w:val="none"/>
          <w:lang w:val="zh-CN" w:eastAsia="zh-CN" w:bidi="ar-SA"/>
        </w:rPr>
        <w:t>公务用车购置费及运行维护费支出决算0万元，</w:t>
      </w:r>
      <w:r>
        <w:rPr>
          <w:rFonts w:hint="eastAsia" w:cs="黑体" w:asciiTheme="minorEastAsia" w:hAnsiTheme="minorEastAsia"/>
          <w:color w:val="000000"/>
          <w:kern w:val="0"/>
          <w:sz w:val="32"/>
          <w:szCs w:val="32"/>
          <w:highlight w:val="none"/>
          <w:lang w:val="zh-CN" w:eastAsia="zh-CN" w:bidi="ar-SA"/>
        </w:rPr>
        <w:t>占</w:t>
      </w:r>
      <w:r>
        <w:rPr>
          <w:rFonts w:hint="eastAsia" w:cs="黑体" w:asciiTheme="minorEastAsia" w:hAnsiTheme="minorEastAsia"/>
          <w:color w:val="000000"/>
          <w:kern w:val="0"/>
          <w:sz w:val="32"/>
          <w:szCs w:val="32"/>
          <w:highlight w:val="none"/>
          <w:lang w:val="en-US" w:eastAsia="zh-CN" w:bidi="ar-SA"/>
        </w:rPr>
        <w:t>0%</w:t>
      </w:r>
      <w:r>
        <w:rPr>
          <w:rFonts w:hint="eastAsia" w:cs="黑体" w:asciiTheme="minorEastAsia" w:hAnsiTheme="minorEastAsia" w:eastAsiaTheme="minorEastAsia"/>
          <w:color w:val="000000"/>
          <w:kern w:val="0"/>
          <w:sz w:val="32"/>
          <w:szCs w:val="32"/>
          <w:highlight w:val="none"/>
          <w:lang w:val="zh-CN" w:eastAsia="zh-CN" w:bidi="ar-SA"/>
        </w:rPr>
        <w:t>。其中：</w:t>
      </w:r>
    </w:p>
    <w:p>
      <w:pPr>
        <w:pStyle w:val="14"/>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b/>
          <w:sz w:val="32"/>
          <w:szCs w:val="32"/>
          <w:highlight w:val="none"/>
          <w:lang w:eastAsia="zh-CN"/>
        </w:rPr>
      </w:pPr>
      <w:r>
        <w:rPr>
          <w:rFonts w:hint="eastAsia" w:asciiTheme="minorEastAsia" w:hAnsiTheme="minorEastAsia" w:eastAsiaTheme="minorEastAsia"/>
          <w:sz w:val="32"/>
          <w:szCs w:val="32"/>
          <w:highlight w:val="none"/>
        </w:rPr>
        <w:t>1、因公出国（境）费支出决算为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万元，全年安排因公出国（境）团组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个，累计</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人次</w:t>
      </w:r>
      <w:r>
        <w:rPr>
          <w:rFonts w:hint="eastAsia" w:asciiTheme="minorEastAsia" w:hAnsiTheme="minorEastAsia" w:eastAsiaTheme="minorEastAsia"/>
          <w:sz w:val="32"/>
          <w:szCs w:val="32"/>
          <w:highlight w:val="none"/>
          <w:lang w:eastAsia="zh-CN"/>
        </w:rPr>
        <w:t>。</w:t>
      </w:r>
    </w:p>
    <w:p>
      <w:pPr>
        <w:pStyle w:val="14"/>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w:t>
      </w:r>
      <w:r>
        <w:rPr>
          <w:rFonts w:hint="eastAsia" w:asciiTheme="minorEastAsia" w:hAnsiTheme="minorEastAsia" w:eastAsiaTheme="minorEastAsia"/>
          <w:sz w:val="32"/>
          <w:szCs w:val="32"/>
          <w:highlight w:val="none"/>
          <w:lang w:val="en-US" w:eastAsia="zh-CN"/>
        </w:rPr>
        <w:t>6</w:t>
      </w:r>
      <w:r>
        <w:rPr>
          <w:rFonts w:hint="eastAsia" w:asciiTheme="minorEastAsia" w:hAnsiTheme="minorEastAsia" w:eastAsiaTheme="minorEastAsia"/>
          <w:sz w:val="32"/>
          <w:szCs w:val="32"/>
          <w:highlight w:val="none"/>
        </w:rPr>
        <w:t>万元，全年共接待来访团组</w:t>
      </w:r>
      <w:r>
        <w:rPr>
          <w:rFonts w:hint="eastAsia" w:asciiTheme="minorEastAsia" w:hAnsiTheme="minorEastAsia" w:eastAsiaTheme="minorEastAsia"/>
          <w:sz w:val="32"/>
          <w:szCs w:val="32"/>
          <w:highlight w:val="none"/>
          <w:lang w:val="en-US" w:eastAsia="zh-CN"/>
        </w:rPr>
        <w:t>36</w:t>
      </w:r>
      <w:r>
        <w:rPr>
          <w:rFonts w:hint="eastAsia" w:asciiTheme="minorEastAsia" w:hAnsiTheme="minorEastAsia" w:eastAsiaTheme="minorEastAsia"/>
          <w:sz w:val="32"/>
          <w:szCs w:val="32"/>
          <w:highlight w:val="none"/>
        </w:rPr>
        <w:t>个、来宾</w:t>
      </w:r>
      <w:r>
        <w:rPr>
          <w:rFonts w:hint="eastAsia" w:asciiTheme="minorEastAsia" w:hAnsiTheme="minorEastAsia" w:eastAsiaTheme="minorEastAsia"/>
          <w:sz w:val="32"/>
          <w:szCs w:val="32"/>
          <w:highlight w:val="none"/>
          <w:lang w:val="en-US" w:eastAsia="zh-CN"/>
        </w:rPr>
        <w:t>312</w:t>
      </w:r>
      <w:r>
        <w:rPr>
          <w:rFonts w:hint="eastAsia" w:asciiTheme="minorEastAsia" w:hAnsiTheme="minorEastAsia" w:eastAsiaTheme="minorEastAsia"/>
          <w:sz w:val="32"/>
          <w:szCs w:val="32"/>
          <w:highlight w:val="none"/>
        </w:rPr>
        <w:t>人次，主要是</w:t>
      </w:r>
      <w:r>
        <w:rPr>
          <w:rFonts w:hint="eastAsia" w:asciiTheme="minorEastAsia" w:hAnsiTheme="minorEastAsia" w:eastAsiaTheme="minorEastAsia"/>
          <w:sz w:val="32"/>
          <w:szCs w:val="32"/>
          <w:highlight w:val="none"/>
          <w:lang w:val="zh-CN"/>
        </w:rPr>
        <w:t>用于与有关单位交流工作情况及接受相关部门检查指导工作发生的接待支出。</w:t>
      </w:r>
    </w:p>
    <w:p>
      <w:pPr>
        <w:keepNext w:val="0"/>
        <w:keepLines w:val="0"/>
        <w:pageBreakBefore w:val="0"/>
        <w:kinsoku/>
        <w:wordWrap/>
        <w:overflowPunct/>
        <w:topLinePunct w:val="0"/>
        <w:bidi w:val="0"/>
        <w:snapToGrid/>
        <w:ind w:firstLine="640" w:firstLineChars="200"/>
        <w:textAlignment w:val="auto"/>
        <w:rPr>
          <w:rFonts w:cs="黑体" w:asciiTheme="minorEastAsia" w:hAnsiTheme="minorEastAsia"/>
          <w:color w:val="000000"/>
          <w:kern w:val="0"/>
          <w:sz w:val="32"/>
          <w:szCs w:val="32"/>
          <w:highlight w:val="none"/>
        </w:rPr>
      </w:pPr>
      <w:r>
        <w:rPr>
          <w:rFonts w:hint="eastAsia" w:asciiTheme="minorEastAsia" w:hAnsiTheme="minorEastAsia"/>
          <w:sz w:val="32"/>
          <w:szCs w:val="32"/>
          <w:highlight w:val="none"/>
        </w:rPr>
        <w:t>3、公务用车购置费及运行维护费支出决算为</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rPr>
        <w:t>万元，其中：公务用车购置费</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rPr>
        <w:t>万元</w:t>
      </w:r>
      <w:r>
        <w:rPr>
          <w:rFonts w:hint="eastAsia" w:asciiTheme="minorEastAsia" w:hAnsiTheme="minorEastAsia"/>
          <w:sz w:val="32"/>
          <w:szCs w:val="32"/>
          <w:highlight w:val="none"/>
          <w:lang w:eastAsia="zh-CN"/>
        </w:rPr>
        <w:t>，更新公务用车</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lang w:eastAsia="zh-CN"/>
        </w:rPr>
        <w:t>辆。</w:t>
      </w:r>
      <w:r>
        <w:rPr>
          <w:rFonts w:hint="eastAsia" w:asciiTheme="minorEastAsia" w:hAnsiTheme="minorEastAsia"/>
          <w:sz w:val="32"/>
          <w:szCs w:val="32"/>
          <w:highlight w:val="none"/>
        </w:rPr>
        <w:t>公务用车运行维护费</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rPr>
        <w:t>万元，截止2021年12月31日，我单位开支财政拨款的公务用车保有量为</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rPr>
        <w:t>辆。</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八、政府性基金预算收入支出决算情况</w:t>
      </w:r>
    </w:p>
    <w:p>
      <w:pPr>
        <w:pStyle w:val="14"/>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cstheme="minorBidi"/>
          <w:color w:val="auto"/>
          <w:kern w:val="2"/>
          <w:sz w:val="32"/>
          <w:szCs w:val="32"/>
          <w:highlight w:val="none"/>
          <w:lang w:val="en-US" w:eastAsia="zh-CN" w:bidi="ar-SA"/>
        </w:rPr>
      </w:pPr>
      <w:r>
        <w:rPr>
          <w:rFonts w:hint="eastAsia" w:asciiTheme="minorEastAsia" w:hAnsiTheme="minorEastAsia" w:eastAsiaTheme="minorEastAsia" w:cstheme="minorBidi"/>
          <w:color w:val="auto"/>
          <w:kern w:val="2"/>
          <w:sz w:val="32"/>
          <w:szCs w:val="32"/>
          <w:highlight w:val="none"/>
          <w:lang w:val="en-US" w:eastAsia="zh-CN" w:bidi="ar-SA"/>
        </w:rPr>
        <w:t>2021年度本单位无政府性基金收支。</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九、机关运行经费支出说明</w:t>
      </w:r>
    </w:p>
    <w:p>
      <w:pPr>
        <w:pStyle w:val="14"/>
        <w:keepNext w:val="0"/>
        <w:keepLines w:val="0"/>
        <w:pageBreakBefore w:val="0"/>
        <w:kinsoku/>
        <w:wordWrap/>
        <w:overflowPunct/>
        <w:topLinePunct w:val="0"/>
        <w:bidi w:val="0"/>
        <w:snapToGrid/>
        <w:ind w:firstLine="640" w:firstLineChars="200"/>
        <w:textAlignment w:val="auto"/>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本部门2021年度机关运行经费支出</w:t>
      </w:r>
      <w:r>
        <w:rPr>
          <w:rFonts w:hint="eastAsia" w:asciiTheme="minorEastAsia" w:hAnsiTheme="minorEastAsia" w:eastAsiaTheme="minorEastAsia"/>
          <w:sz w:val="32"/>
          <w:szCs w:val="32"/>
          <w:highlight w:val="none"/>
          <w:lang w:val="en-US" w:eastAsia="zh-CN"/>
        </w:rPr>
        <w:t>236.82</w:t>
      </w:r>
      <w:r>
        <w:rPr>
          <w:rFonts w:hint="eastAsia" w:asciiTheme="minorEastAsia" w:hAnsiTheme="minorEastAsia" w:eastAsiaTheme="minorEastAsia"/>
          <w:sz w:val="32"/>
          <w:szCs w:val="32"/>
          <w:highlight w:val="none"/>
        </w:rPr>
        <w:t>万元，比</w:t>
      </w:r>
      <w:r>
        <w:rPr>
          <w:rFonts w:hint="eastAsia" w:asciiTheme="minorEastAsia" w:hAnsiTheme="minorEastAsia" w:eastAsiaTheme="minorEastAsia"/>
          <w:sz w:val="32"/>
          <w:szCs w:val="32"/>
          <w:highlight w:val="none"/>
          <w:lang w:eastAsia="zh-CN"/>
        </w:rPr>
        <w:t>上年决算数</w:t>
      </w:r>
      <w:r>
        <w:rPr>
          <w:rFonts w:hint="eastAsia" w:asciiTheme="minorEastAsia" w:hAnsiTheme="minorEastAsia" w:eastAsiaTheme="minorEastAsia"/>
          <w:sz w:val="32"/>
          <w:szCs w:val="32"/>
          <w:highlight w:val="none"/>
        </w:rPr>
        <w:t>增加</w:t>
      </w:r>
      <w:r>
        <w:rPr>
          <w:rFonts w:hint="eastAsia" w:asciiTheme="minorEastAsia" w:hAnsiTheme="minorEastAsia" w:eastAsiaTheme="minorEastAsia"/>
          <w:sz w:val="32"/>
          <w:szCs w:val="32"/>
          <w:highlight w:val="none"/>
          <w:lang w:val="en-US" w:eastAsia="zh-CN"/>
        </w:rPr>
        <w:t>141.87</w:t>
      </w:r>
      <w:r>
        <w:rPr>
          <w:rFonts w:hint="eastAsia" w:asciiTheme="minorEastAsia" w:hAnsiTheme="minorEastAsia" w:eastAsiaTheme="minorEastAsia"/>
          <w:sz w:val="32"/>
          <w:szCs w:val="32"/>
          <w:highlight w:val="none"/>
        </w:rPr>
        <w:t>万元，增长</w:t>
      </w:r>
      <w:r>
        <w:rPr>
          <w:rFonts w:hint="eastAsia" w:asciiTheme="minorEastAsia" w:hAnsiTheme="minorEastAsia" w:eastAsiaTheme="minorEastAsia"/>
          <w:sz w:val="32"/>
          <w:szCs w:val="32"/>
          <w:highlight w:val="none"/>
          <w:lang w:val="en-US" w:eastAsia="zh-CN"/>
        </w:rPr>
        <w:t>149.42%</w:t>
      </w:r>
      <w:r>
        <w:rPr>
          <w:rFonts w:hint="eastAsia" w:asciiTheme="minorEastAsia" w:hAnsiTheme="minorEastAsia" w:eastAsiaTheme="minorEastAsia"/>
          <w:sz w:val="32"/>
          <w:szCs w:val="32"/>
          <w:highlight w:val="none"/>
        </w:rPr>
        <w:t>。主要原因是</w:t>
      </w:r>
      <w:r>
        <w:rPr>
          <w:rFonts w:hint="eastAsia" w:asciiTheme="minorEastAsia" w:hAnsiTheme="minorEastAsia" w:eastAsiaTheme="minorEastAsia"/>
          <w:sz w:val="32"/>
          <w:szCs w:val="32"/>
          <w:highlight w:val="none"/>
          <w:lang w:eastAsia="zh-CN"/>
        </w:rPr>
        <w:t>政法队伍教育整顿、全国市域社会治理现代化试点工作、扫黑除恶工作常态化增加了相关经费。比年初预算数增加</w:t>
      </w:r>
      <w:r>
        <w:rPr>
          <w:rFonts w:hint="eastAsia" w:asciiTheme="minorEastAsia" w:hAnsiTheme="minorEastAsia" w:eastAsiaTheme="minorEastAsia"/>
          <w:sz w:val="32"/>
          <w:szCs w:val="32"/>
          <w:highlight w:val="none"/>
          <w:lang w:val="en-US" w:eastAsia="zh-CN"/>
        </w:rPr>
        <w:t>202.67万元，增长593.47%。主要原因是增加了</w:t>
      </w:r>
      <w:r>
        <w:rPr>
          <w:rFonts w:hint="eastAsia" w:asciiTheme="minorEastAsia" w:hAnsiTheme="minorEastAsia" w:eastAsiaTheme="minorEastAsia"/>
          <w:sz w:val="32"/>
          <w:szCs w:val="32"/>
          <w:highlight w:val="none"/>
          <w:lang w:eastAsia="zh-CN"/>
        </w:rPr>
        <w:t>政法队伍教育整顿、全国市域社会治理现代化试点工作、扫黑除恶工作常态化工作经费。</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十、一般性支出情况说明</w:t>
      </w:r>
    </w:p>
    <w:p>
      <w:pPr>
        <w:keepNext w:val="0"/>
        <w:keepLines w:val="0"/>
        <w:pageBreakBefore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w:t>
      </w:r>
      <w:r>
        <w:rPr>
          <w:rFonts w:hint="eastAsia" w:asciiTheme="minorEastAsia" w:hAnsiTheme="minorEastAsia"/>
          <w:sz w:val="32"/>
          <w:szCs w:val="32"/>
          <w:highlight w:val="none"/>
          <w:lang w:eastAsia="zh-CN"/>
        </w:rPr>
        <w:t>度</w:t>
      </w:r>
      <w:r>
        <w:rPr>
          <w:rFonts w:hint="eastAsia" w:asciiTheme="minorEastAsia" w:hAnsiTheme="minorEastAsia" w:eastAsiaTheme="minorEastAsia"/>
          <w:sz w:val="32"/>
          <w:szCs w:val="32"/>
          <w:highlight w:val="none"/>
        </w:rPr>
        <w:t>本部门开支会议费</w:t>
      </w:r>
      <w:r>
        <w:rPr>
          <w:rFonts w:hint="eastAsia" w:asciiTheme="minorEastAsia" w:hAnsiTheme="minorEastAsia" w:eastAsiaTheme="minorEastAsia"/>
          <w:sz w:val="32"/>
          <w:szCs w:val="32"/>
          <w:highlight w:val="none"/>
          <w:lang w:val="en-US" w:eastAsia="zh-CN"/>
        </w:rPr>
        <w:t>3.1</w:t>
      </w:r>
      <w:r>
        <w:rPr>
          <w:rFonts w:hint="eastAsia" w:asciiTheme="minorEastAsia" w:hAnsiTheme="minorEastAsia" w:eastAsiaTheme="minorEastAsia"/>
          <w:sz w:val="32"/>
          <w:szCs w:val="32"/>
          <w:highlight w:val="none"/>
        </w:rPr>
        <w:t>万元，用于召开全国市域社会治理现代化</w:t>
      </w:r>
      <w:r>
        <w:rPr>
          <w:rFonts w:hint="eastAsia" w:asciiTheme="minorEastAsia" w:hAnsiTheme="minorEastAsia"/>
          <w:sz w:val="32"/>
          <w:szCs w:val="32"/>
          <w:highlight w:val="none"/>
          <w:lang w:eastAsia="zh-CN"/>
        </w:rPr>
        <w:t>试点工作</w:t>
      </w:r>
      <w:r>
        <w:rPr>
          <w:rFonts w:hint="eastAsia" w:asciiTheme="minorEastAsia" w:hAnsiTheme="minorEastAsia" w:eastAsiaTheme="minorEastAsia"/>
          <w:sz w:val="32"/>
          <w:szCs w:val="32"/>
          <w:highlight w:val="none"/>
        </w:rPr>
        <w:t>、政法队伍教育整顿、扫黑除恶、平安建设、综治民调会议，人数</w:t>
      </w:r>
      <w:r>
        <w:rPr>
          <w:rFonts w:hint="eastAsia" w:asciiTheme="minorEastAsia" w:hAnsiTheme="minorEastAsia" w:eastAsiaTheme="minorEastAsia"/>
          <w:sz w:val="32"/>
          <w:szCs w:val="32"/>
          <w:highlight w:val="none"/>
          <w:lang w:val="en-US" w:eastAsia="zh-CN"/>
        </w:rPr>
        <w:t>282</w:t>
      </w:r>
      <w:r>
        <w:rPr>
          <w:rFonts w:hint="eastAsia" w:asciiTheme="minorEastAsia" w:hAnsiTheme="minorEastAsia" w:eastAsiaTheme="minorEastAsia"/>
          <w:sz w:val="32"/>
          <w:szCs w:val="32"/>
          <w:highlight w:val="none"/>
        </w:rPr>
        <w:t>人，内容为全国市域社会治理现代化</w:t>
      </w:r>
      <w:r>
        <w:rPr>
          <w:rFonts w:hint="eastAsia" w:asciiTheme="minorEastAsia" w:hAnsiTheme="minorEastAsia"/>
          <w:sz w:val="32"/>
          <w:szCs w:val="32"/>
          <w:highlight w:val="none"/>
          <w:lang w:eastAsia="zh-CN"/>
        </w:rPr>
        <w:t>试点工作</w:t>
      </w:r>
      <w:r>
        <w:rPr>
          <w:rFonts w:hint="eastAsia" w:asciiTheme="minorEastAsia" w:hAnsiTheme="minorEastAsia" w:eastAsiaTheme="minorEastAsia"/>
          <w:sz w:val="32"/>
          <w:szCs w:val="32"/>
          <w:highlight w:val="none"/>
        </w:rPr>
        <w:t>、扫黑除恶、平安建设、综治民调工作等；开支培训费</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万元，用于开展平安创建、网格化管理及政法队伍教育整顿工作培训，人数93人，内容为全国市域社会治理</w:t>
      </w:r>
      <w:r>
        <w:rPr>
          <w:rFonts w:hint="eastAsia" w:asciiTheme="minorEastAsia" w:hAnsiTheme="minorEastAsia"/>
          <w:sz w:val="32"/>
          <w:szCs w:val="32"/>
          <w:highlight w:val="none"/>
          <w:lang w:eastAsia="zh-CN"/>
        </w:rPr>
        <w:t>现代化试点工作</w:t>
      </w:r>
      <w:r>
        <w:rPr>
          <w:rFonts w:hint="eastAsia" w:asciiTheme="minorEastAsia" w:hAnsiTheme="minorEastAsia" w:eastAsiaTheme="minorEastAsia"/>
          <w:sz w:val="32"/>
          <w:szCs w:val="32"/>
          <w:highlight w:val="none"/>
        </w:rPr>
        <w:t>、网格化管理、政法队伍教育整顿工作及本单位人员外出参与培训学习。</w:t>
      </w:r>
      <w:r>
        <w:rPr>
          <w:rFonts w:hint="eastAsia" w:asciiTheme="minorEastAsia" w:hAnsiTheme="minorEastAsia" w:eastAsiaTheme="minorEastAsia"/>
          <w:sz w:val="32"/>
          <w:szCs w:val="32"/>
          <w:highlight w:val="none"/>
          <w:lang w:val="en-US" w:eastAsia="zh-CN"/>
        </w:rPr>
        <w:t>其中：创建全国市域社区治理工作培训预算情况：餐费0.2万元，资料费0.1万元</w:t>
      </w:r>
      <w:r>
        <w:rPr>
          <w:rFonts w:hint="eastAsia" w:asciiTheme="minorEastAsia" w:hAnsiTheme="minorEastAsia"/>
          <w:sz w:val="32"/>
          <w:szCs w:val="32"/>
          <w:highlight w:val="none"/>
          <w:lang w:val="en-US" w:eastAsia="zh-CN"/>
        </w:rPr>
        <w:t>；</w:t>
      </w:r>
      <w:r>
        <w:rPr>
          <w:rFonts w:hint="eastAsia" w:asciiTheme="minorEastAsia" w:hAnsiTheme="minorEastAsia" w:eastAsiaTheme="minorEastAsia"/>
          <w:sz w:val="32"/>
          <w:szCs w:val="32"/>
          <w:highlight w:val="none"/>
          <w:lang w:val="en-US" w:eastAsia="zh-CN"/>
        </w:rPr>
        <w:t>网格化管理工作培训预算情况</w:t>
      </w:r>
      <w:r>
        <w:rPr>
          <w:rFonts w:hint="eastAsia" w:asciiTheme="minorEastAsia" w:hAnsiTheme="minorEastAsia"/>
          <w:sz w:val="32"/>
          <w:szCs w:val="32"/>
          <w:highlight w:val="none"/>
          <w:lang w:val="en-US" w:eastAsia="zh-CN"/>
        </w:rPr>
        <w:t>：</w:t>
      </w:r>
      <w:r>
        <w:rPr>
          <w:rFonts w:hint="eastAsia" w:asciiTheme="minorEastAsia" w:hAnsiTheme="minorEastAsia" w:eastAsiaTheme="minorEastAsia"/>
          <w:sz w:val="32"/>
          <w:szCs w:val="32"/>
          <w:highlight w:val="none"/>
          <w:lang w:val="en-US" w:eastAsia="zh-CN"/>
        </w:rPr>
        <w:t>餐费0.2万元，资料费0.1万元</w:t>
      </w:r>
      <w:r>
        <w:rPr>
          <w:rFonts w:hint="eastAsia" w:asciiTheme="minorEastAsia" w:hAnsiTheme="minorEastAsia"/>
          <w:sz w:val="32"/>
          <w:szCs w:val="32"/>
          <w:highlight w:val="none"/>
          <w:lang w:val="en-US" w:eastAsia="zh-CN"/>
        </w:rPr>
        <w:t>；</w:t>
      </w:r>
      <w:r>
        <w:rPr>
          <w:rFonts w:hint="eastAsia" w:asciiTheme="minorEastAsia" w:hAnsiTheme="minorEastAsia" w:eastAsiaTheme="minorEastAsia"/>
          <w:sz w:val="32"/>
          <w:szCs w:val="32"/>
          <w:highlight w:val="none"/>
        </w:rPr>
        <w:t>政法队伍教育整顿工作</w:t>
      </w:r>
      <w:r>
        <w:rPr>
          <w:rFonts w:hint="eastAsia" w:asciiTheme="minorEastAsia" w:hAnsiTheme="minorEastAsia"/>
          <w:sz w:val="32"/>
          <w:szCs w:val="32"/>
          <w:highlight w:val="none"/>
          <w:lang w:eastAsia="zh-CN"/>
        </w:rPr>
        <w:t>预算情况：培训</w:t>
      </w:r>
      <w:r>
        <w:rPr>
          <w:rFonts w:hint="eastAsia" w:asciiTheme="minorEastAsia" w:hAnsiTheme="minorEastAsia" w:eastAsiaTheme="minorEastAsia"/>
          <w:sz w:val="32"/>
          <w:szCs w:val="32"/>
          <w:highlight w:val="none"/>
          <w:lang w:val="en-US" w:eastAsia="zh-CN"/>
        </w:rPr>
        <w:t>资料费0.</w:t>
      </w:r>
      <w:r>
        <w:rPr>
          <w:rFonts w:hint="eastAsia" w:asciiTheme="minorEastAsia" w:hAnsiTheme="minorEastAsia"/>
          <w:sz w:val="32"/>
          <w:szCs w:val="32"/>
          <w:highlight w:val="none"/>
          <w:lang w:val="en-US" w:eastAsia="zh-CN"/>
        </w:rPr>
        <w:t>2</w:t>
      </w:r>
      <w:r>
        <w:rPr>
          <w:rFonts w:hint="eastAsia" w:asciiTheme="minorEastAsia" w:hAnsiTheme="minorEastAsia" w:eastAsiaTheme="minorEastAsia"/>
          <w:sz w:val="32"/>
          <w:szCs w:val="32"/>
          <w:highlight w:val="none"/>
          <w:lang w:val="en-US" w:eastAsia="zh-CN"/>
        </w:rPr>
        <w:t>万元</w:t>
      </w:r>
      <w:r>
        <w:rPr>
          <w:rFonts w:hint="eastAsia" w:asciiTheme="minorEastAsia" w:hAnsiTheme="minorEastAsia"/>
          <w:sz w:val="32"/>
          <w:szCs w:val="32"/>
          <w:highlight w:val="none"/>
          <w:lang w:val="en-US" w:eastAsia="zh-CN"/>
        </w:rPr>
        <w:t>；</w:t>
      </w:r>
      <w:r>
        <w:rPr>
          <w:rFonts w:hint="eastAsia" w:asciiTheme="minorEastAsia" w:hAnsiTheme="minorEastAsia" w:eastAsiaTheme="minorEastAsia"/>
          <w:sz w:val="32"/>
          <w:szCs w:val="32"/>
          <w:highlight w:val="none"/>
        </w:rPr>
        <w:t>及</w:t>
      </w:r>
      <w:r>
        <w:rPr>
          <w:rFonts w:hint="eastAsia" w:asciiTheme="minorEastAsia" w:hAnsiTheme="minorEastAsia" w:eastAsiaTheme="minorEastAsia"/>
          <w:sz w:val="32"/>
          <w:szCs w:val="32"/>
          <w:highlight w:val="none"/>
          <w:lang w:val="en-US" w:eastAsia="zh-CN"/>
        </w:rPr>
        <w:t>单位工作人员外出参与培训学习预算0.2万元；</w:t>
      </w:r>
      <w:r>
        <w:rPr>
          <w:rFonts w:hint="eastAsia" w:asciiTheme="minorEastAsia" w:hAnsiTheme="minorEastAsia" w:eastAsiaTheme="minorEastAsia"/>
          <w:sz w:val="32"/>
          <w:szCs w:val="32"/>
          <w:highlight w:val="none"/>
        </w:rPr>
        <w:t>举办</w:t>
      </w:r>
      <w:r>
        <w:rPr>
          <w:rFonts w:hint="eastAsia" w:asciiTheme="minorEastAsia" w:hAnsiTheme="minorEastAsia" w:eastAsiaTheme="minorEastAsia"/>
          <w:sz w:val="32"/>
          <w:szCs w:val="32"/>
          <w:highlight w:val="none"/>
          <w:lang w:val="en-US" w:eastAsia="zh-CN"/>
        </w:rPr>
        <w:t>0次</w:t>
      </w:r>
      <w:r>
        <w:rPr>
          <w:rFonts w:hint="eastAsia" w:asciiTheme="minorEastAsia" w:hAnsiTheme="minorEastAsia" w:eastAsiaTheme="minorEastAsia"/>
          <w:sz w:val="32"/>
          <w:szCs w:val="32"/>
          <w:highlight w:val="none"/>
        </w:rPr>
        <w:t>节庆、晚会、论坛、赛事活动，开支</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十一、政府采购支出说明</w:t>
      </w:r>
    </w:p>
    <w:p>
      <w:pPr>
        <w:pStyle w:val="14"/>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十二、国有资产占用情况说明</w:t>
      </w:r>
    </w:p>
    <w:p>
      <w:pPr>
        <w:pStyle w:val="14"/>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截至2021年12月31日，本单位共有车辆</w:t>
      </w:r>
      <w:r>
        <w:rPr>
          <w:rFonts w:hint="eastAsia" w:asciiTheme="minorEastAsia" w:hAnsiTheme="minorEastAsia" w:eastAsiaTheme="minorEastAsia"/>
          <w:color w:val="auto"/>
          <w:sz w:val="32"/>
          <w:szCs w:val="32"/>
          <w:highlight w:val="none"/>
          <w:u w:val="none"/>
          <w:lang w:val="en-US" w:eastAsia="zh-CN"/>
        </w:rPr>
        <w:t>0</w:t>
      </w:r>
      <w:r>
        <w:rPr>
          <w:rFonts w:hint="eastAsia" w:asciiTheme="minorEastAsia" w:hAnsiTheme="minorEastAsia" w:eastAsiaTheme="minorEastAsia"/>
          <w:color w:val="auto"/>
          <w:sz w:val="32"/>
          <w:szCs w:val="32"/>
          <w:highlight w:val="none"/>
        </w:rPr>
        <w:t>辆，其中，</w:t>
      </w:r>
      <w:r>
        <w:rPr>
          <w:rFonts w:hint="eastAsia" w:asciiTheme="minorEastAsia" w:hAnsiTheme="minorEastAsia" w:eastAsiaTheme="minorEastAsia"/>
          <w:b w:val="0"/>
          <w:bCs/>
          <w:color w:val="auto"/>
          <w:sz w:val="32"/>
          <w:szCs w:val="32"/>
          <w:highlight w:val="none"/>
        </w:rPr>
        <w:t>主要领导干部用车</w:t>
      </w:r>
      <w:r>
        <w:rPr>
          <w:rFonts w:hint="eastAsia" w:asciiTheme="minorEastAsia" w:hAnsiTheme="minorEastAsia" w:eastAsiaTheme="minorEastAsia"/>
          <w:color w:val="auto"/>
          <w:sz w:val="32"/>
          <w:szCs w:val="32"/>
          <w:highlight w:val="none"/>
        </w:rPr>
        <w:t>0辆、机要通信用车0辆、应急保障用车0辆、执法执勤用车</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辆、特种专业技术用车0辆、其他用车0辆；单位价值50万元以上通用设备0台（套）；单位价值100万元以上专用设备0台（套）。</w:t>
      </w:r>
    </w:p>
    <w:p>
      <w:pPr>
        <w:pStyle w:val="14"/>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十三、2021年度预算绩效情况说明</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b w:val="0"/>
          <w:bCs/>
          <w:color w:val="000000"/>
          <w:kern w:val="0"/>
          <w:sz w:val="32"/>
          <w:szCs w:val="32"/>
          <w:highlight w:val="none"/>
        </w:rPr>
      </w:pPr>
      <w:r>
        <w:rPr>
          <w:rFonts w:hint="eastAsia" w:cs="黑体" w:asciiTheme="minorEastAsia" w:hAnsiTheme="minorEastAsia"/>
          <w:b w:val="0"/>
          <w:bCs/>
          <w:color w:val="000000"/>
          <w:kern w:val="0"/>
          <w:sz w:val="32"/>
          <w:szCs w:val="32"/>
          <w:highlight w:val="none"/>
        </w:rPr>
        <w:t>本部门2021年整体支出</w:t>
      </w:r>
      <w:r>
        <w:rPr>
          <w:rFonts w:hint="eastAsia" w:asciiTheme="minorEastAsia" w:hAnsiTheme="minorEastAsia" w:eastAsiaTheme="minorEastAsia"/>
          <w:b w:val="0"/>
          <w:bCs/>
          <w:sz w:val="32"/>
          <w:szCs w:val="32"/>
          <w:highlight w:val="none"/>
          <w:lang w:val="en-US" w:eastAsia="zh-CN"/>
        </w:rPr>
        <w:t>963.67</w:t>
      </w:r>
      <w:r>
        <w:rPr>
          <w:rFonts w:hint="eastAsia" w:cs="黑体" w:asciiTheme="minorEastAsia" w:hAnsiTheme="minorEastAsia"/>
          <w:b w:val="0"/>
          <w:bCs/>
          <w:color w:val="000000"/>
          <w:kern w:val="0"/>
          <w:sz w:val="32"/>
          <w:szCs w:val="32"/>
          <w:highlight w:val="none"/>
        </w:rPr>
        <w:t>万元，其中项目支出</w:t>
      </w:r>
      <w:r>
        <w:rPr>
          <w:rFonts w:hint="eastAsia" w:cs="黑体" w:asciiTheme="minorEastAsia" w:hAnsiTheme="minorEastAsia"/>
          <w:b w:val="0"/>
          <w:bCs/>
          <w:color w:val="000000"/>
          <w:kern w:val="0"/>
          <w:sz w:val="32"/>
          <w:szCs w:val="32"/>
          <w:highlight w:val="none"/>
          <w:lang w:val="en-US" w:eastAsia="zh-CN"/>
        </w:rPr>
        <w:t>455.50</w:t>
      </w:r>
      <w:r>
        <w:rPr>
          <w:rFonts w:hint="eastAsia" w:cs="黑体" w:asciiTheme="minorEastAsia" w:hAnsiTheme="minorEastAsia"/>
          <w:b w:val="0"/>
          <w:bCs/>
          <w:color w:val="000000"/>
          <w:kern w:val="0"/>
          <w:sz w:val="32"/>
          <w:szCs w:val="32"/>
          <w:highlight w:val="none"/>
        </w:rPr>
        <w:t>万元，本年度重点项目支出</w:t>
      </w:r>
      <w:r>
        <w:rPr>
          <w:rFonts w:hint="eastAsia" w:cs="黑体" w:asciiTheme="minorEastAsia" w:hAnsiTheme="minorEastAsia"/>
          <w:b w:val="0"/>
          <w:bCs/>
          <w:color w:val="000000"/>
          <w:kern w:val="0"/>
          <w:sz w:val="32"/>
          <w:szCs w:val="32"/>
          <w:highlight w:val="none"/>
          <w:lang w:val="en-US" w:eastAsia="zh-CN"/>
        </w:rPr>
        <w:t>0</w:t>
      </w:r>
      <w:r>
        <w:rPr>
          <w:rFonts w:hint="eastAsia" w:cs="黑体" w:asciiTheme="minorEastAsia" w:hAnsiTheme="minorEastAsia"/>
          <w:b w:val="0"/>
          <w:bCs/>
          <w:color w:val="000000"/>
          <w:kern w:val="0"/>
          <w:sz w:val="32"/>
          <w:szCs w:val="32"/>
          <w:highlight w:val="none"/>
        </w:rPr>
        <w:t>万元。</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eastAsia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rPr>
        <w:t>根据预算绩效管理要求，我部门组织对</w:t>
      </w:r>
      <w:r>
        <w:rPr>
          <w:rFonts w:cs="黑体" w:asciiTheme="minorEastAsia" w:hAnsiTheme="minorEastAsia"/>
          <w:color w:val="000000"/>
          <w:kern w:val="0"/>
          <w:sz w:val="32"/>
          <w:szCs w:val="32"/>
          <w:highlight w:val="none"/>
        </w:rPr>
        <w:t xml:space="preserve">2021 </w:t>
      </w:r>
      <w:r>
        <w:rPr>
          <w:rFonts w:hint="eastAsia" w:cs="黑体" w:asciiTheme="minorEastAsia" w:hAnsiTheme="minorEastAsia"/>
          <w:color w:val="000000"/>
          <w:kern w:val="0"/>
          <w:sz w:val="32"/>
          <w:szCs w:val="32"/>
          <w:highlight w:val="none"/>
        </w:rPr>
        <w:t>年度一般公共预算项目支出全面开展绩效自评，其中，一级项目</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个，二级项目</w:t>
      </w:r>
      <w:r>
        <w:rPr>
          <w:rFonts w:hint="eastAsia" w:cs="黑体" w:asciiTheme="minorEastAsia" w:hAnsiTheme="minorEastAsia"/>
          <w:color w:val="000000"/>
          <w:kern w:val="0"/>
          <w:sz w:val="32"/>
          <w:szCs w:val="32"/>
          <w:highlight w:val="none"/>
          <w:lang w:val="en-US" w:eastAsia="zh-CN"/>
        </w:rPr>
        <w:t>1</w:t>
      </w:r>
      <w:r>
        <w:rPr>
          <w:rFonts w:hint="eastAsia" w:cs="黑体" w:asciiTheme="minorEastAsia" w:hAnsiTheme="minorEastAsia"/>
          <w:color w:val="000000"/>
          <w:kern w:val="0"/>
          <w:sz w:val="32"/>
          <w:szCs w:val="32"/>
          <w:highlight w:val="none"/>
        </w:rPr>
        <w:t>个，共涉及资金</w:t>
      </w:r>
      <w:r>
        <w:rPr>
          <w:rFonts w:hint="eastAsia" w:cs="黑体" w:asciiTheme="minorEastAsia" w:hAnsiTheme="minorEastAsia"/>
          <w:color w:val="000000"/>
          <w:kern w:val="0"/>
          <w:sz w:val="32"/>
          <w:szCs w:val="32"/>
          <w:highlight w:val="none"/>
          <w:lang w:val="en-US" w:eastAsia="zh-CN"/>
        </w:rPr>
        <w:t>455.50</w:t>
      </w:r>
      <w:r>
        <w:rPr>
          <w:rFonts w:cs="黑体" w:asciiTheme="minorEastAsia" w:hAnsiTheme="minorEastAsia"/>
          <w:color w:val="000000"/>
          <w:kern w:val="0"/>
          <w:sz w:val="32"/>
          <w:szCs w:val="32"/>
          <w:highlight w:val="none"/>
        </w:rPr>
        <w:t xml:space="preserve"> </w:t>
      </w:r>
      <w:r>
        <w:rPr>
          <w:rFonts w:hint="eastAsia" w:cs="黑体" w:asciiTheme="minorEastAsia" w:hAnsiTheme="minorEastAsia"/>
          <w:color w:val="000000"/>
          <w:kern w:val="0"/>
          <w:sz w:val="32"/>
          <w:szCs w:val="32"/>
          <w:highlight w:val="none"/>
        </w:rPr>
        <w:t>万元，占一般公共预算项目支出总额的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本年无政府性基金预算和国有资本经营预算。</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rPr>
        <w:t>从评价情况来看，项目资金使用管理严格规范，</w:t>
      </w:r>
      <w:r>
        <w:rPr>
          <w:rFonts w:hint="eastAsia" w:cs="黑体" w:asciiTheme="minorEastAsia" w:hAnsiTheme="minorEastAsia"/>
          <w:color w:val="000000"/>
          <w:kern w:val="0"/>
          <w:sz w:val="32"/>
          <w:szCs w:val="32"/>
          <w:highlight w:val="none"/>
          <w:lang w:eastAsia="zh-CN"/>
        </w:rPr>
        <w:t>绩效指标设置符合部门职责和相关管理规定，通过项目实施，较好完成了</w:t>
      </w:r>
      <w:r>
        <w:rPr>
          <w:rFonts w:hint="eastAsia" w:cs="黑体" w:asciiTheme="minorEastAsia" w:hAnsiTheme="minorEastAsia"/>
          <w:color w:val="000000"/>
          <w:kern w:val="0"/>
          <w:sz w:val="32"/>
          <w:szCs w:val="32"/>
          <w:highlight w:val="none"/>
        </w:rPr>
        <w:t>各项绩效目标，</w:t>
      </w:r>
      <w:r>
        <w:rPr>
          <w:rFonts w:hint="eastAsia" w:cs="黑体" w:asciiTheme="minorEastAsia" w:hAnsiTheme="minorEastAsia"/>
          <w:color w:val="000000"/>
          <w:kern w:val="0"/>
          <w:sz w:val="32"/>
          <w:szCs w:val="32"/>
          <w:highlight w:val="none"/>
          <w:lang w:eastAsia="zh-CN"/>
        </w:rPr>
        <w:t>进一步推进祁阳市政法工作，人民群众</w:t>
      </w:r>
      <w:r>
        <w:rPr>
          <w:rFonts w:hint="eastAsia" w:cs="黑体" w:asciiTheme="minorEastAsia" w:hAnsiTheme="minorEastAsia"/>
          <w:color w:val="000000"/>
          <w:kern w:val="0"/>
          <w:sz w:val="32"/>
          <w:szCs w:val="32"/>
          <w:highlight w:val="none"/>
          <w:lang w:val="en-US" w:eastAsia="zh-CN"/>
        </w:rPr>
        <w:t>安全感和满意度也不断增强，取得了良好的社会效应。</w:t>
      </w:r>
    </w:p>
    <w:p>
      <w:pPr>
        <w:keepNext w:val="0"/>
        <w:keepLines w:val="0"/>
        <w:pageBreakBefore w:val="0"/>
        <w:kinsoku/>
        <w:wordWrap/>
        <w:overflowPunct/>
        <w:topLinePunct w:val="0"/>
        <w:bidi w:val="0"/>
        <w:snapToGrid/>
        <w:spacing w:beforeLines="0" w:afterLines="0" w:line="560" w:lineRule="exact"/>
        <w:ind w:firstLine="640" w:firstLineChars="200"/>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eastAsia="zh-CN"/>
        </w:rPr>
        <w:t>主要是大力推进社会治理创新，深入推进平安创建活动，常态化推进扫黑除恶，全面开展政法队伍教育整顿</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平安祁阳建设取得新成效。</w:t>
      </w:r>
      <w:r>
        <w:rPr>
          <w:rFonts w:hint="eastAsia" w:cs="黑体" w:asciiTheme="minorEastAsia" w:hAnsiTheme="minorEastAsia"/>
          <w:color w:val="000000"/>
          <w:kern w:val="0"/>
          <w:sz w:val="32"/>
          <w:szCs w:val="32"/>
          <w:highlight w:val="none"/>
          <w:lang w:val="en-US" w:eastAsia="zh-CN"/>
        </w:rPr>
        <w:t>2021年公众安全感测评得分较去年前移26位</w:t>
      </w:r>
      <w:r>
        <w:rPr>
          <w:rFonts w:hint="eastAsia" w:ascii="宋体" w:hAnsi="宋体" w:cs="宋体"/>
          <w:color w:val="333333"/>
          <w:kern w:val="0"/>
          <w:sz w:val="24"/>
          <w:szCs w:val="24"/>
          <w:highlight w:val="none"/>
          <w:lang w:val="en-US" w:eastAsia="zh-CN"/>
        </w:rPr>
        <w:t>，</w:t>
      </w:r>
      <w:r>
        <w:rPr>
          <w:rFonts w:hint="eastAsia" w:cs="黑体" w:asciiTheme="minorEastAsia" w:hAnsiTheme="minorEastAsia"/>
          <w:color w:val="000000"/>
          <w:kern w:val="0"/>
          <w:sz w:val="32"/>
          <w:szCs w:val="32"/>
          <w:highlight w:val="none"/>
          <w:lang w:val="en-US" w:eastAsia="zh-CN"/>
        </w:rPr>
        <w:t>达到了年初预定目标，公众安全感和满意度也不断提高，取得了良好的社会效应。</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（2）部门决算中项目绩效自评结果。</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lang w:eastAsia="zh-CN"/>
        </w:rPr>
        <w:t>部门整体</w:t>
      </w:r>
      <w:r>
        <w:rPr>
          <w:rFonts w:hint="eastAsia" w:cs="黑体" w:asciiTheme="minorEastAsia" w:hAnsiTheme="minorEastAsia"/>
          <w:color w:val="000000"/>
          <w:kern w:val="0"/>
          <w:sz w:val="32"/>
          <w:szCs w:val="32"/>
          <w:highlight w:val="none"/>
        </w:rPr>
        <w:t>绩效自评综述：根据年初设定的绩效目标，</w:t>
      </w:r>
      <w:r>
        <w:rPr>
          <w:rFonts w:hint="eastAsia" w:cs="黑体" w:asciiTheme="minorEastAsia" w:hAnsiTheme="minorEastAsia"/>
          <w:color w:val="000000"/>
          <w:kern w:val="0"/>
          <w:sz w:val="32"/>
          <w:szCs w:val="32"/>
          <w:highlight w:val="none"/>
          <w:lang w:eastAsia="zh-CN"/>
        </w:rPr>
        <w:t>部门整体</w:t>
      </w:r>
      <w:r>
        <w:rPr>
          <w:rFonts w:hint="eastAsia" w:cs="黑体" w:asciiTheme="minorEastAsia" w:hAnsiTheme="minorEastAsia"/>
          <w:color w:val="000000"/>
          <w:kern w:val="0"/>
          <w:sz w:val="32"/>
          <w:szCs w:val="32"/>
          <w:highlight w:val="none"/>
        </w:rPr>
        <w:t>绩效自评</w:t>
      </w:r>
      <w:r>
        <w:rPr>
          <w:rFonts w:hint="eastAsia" w:cs="黑体" w:asciiTheme="minorEastAsia" w:hAnsiTheme="minorEastAsia"/>
          <w:color w:val="000000"/>
          <w:kern w:val="0"/>
          <w:sz w:val="32"/>
          <w:szCs w:val="32"/>
          <w:highlight w:val="none"/>
          <w:lang w:eastAsia="zh-CN"/>
        </w:rPr>
        <w:t>为优秀</w:t>
      </w:r>
      <w:r>
        <w:rPr>
          <w:rFonts w:hint="eastAsia" w:cs="黑体" w:asciiTheme="minorEastAsia" w:hAnsiTheme="minorEastAsia"/>
          <w:color w:val="000000"/>
          <w:kern w:val="0"/>
          <w:sz w:val="32"/>
          <w:szCs w:val="32"/>
          <w:highlight w:val="none"/>
        </w:rPr>
        <w:t>。全年预算数为</w:t>
      </w:r>
      <w:r>
        <w:rPr>
          <w:rFonts w:hint="eastAsia" w:cs="黑体" w:asciiTheme="minorEastAsia" w:hAnsiTheme="minorEastAsia"/>
          <w:color w:val="000000"/>
          <w:kern w:val="0"/>
          <w:sz w:val="32"/>
          <w:szCs w:val="32"/>
          <w:highlight w:val="none"/>
          <w:lang w:val="en-US" w:eastAsia="zh-CN"/>
        </w:rPr>
        <w:t>960.11</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963.67</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100.37</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主要产出和效果</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val="en-US" w:eastAsia="zh-CN"/>
        </w:rPr>
        <w:t>2021年，祁阳市以全国政法队伍教育整顿和撤市设市为契机，扎实推进政法各项重点工作，全市实现了“无重大政治事件，无暴力恐怖事件和个人极端事件，无重特大群体性事件，无重大刑事治安案件，无重特大公共安全事故”的目标，确保了社会大局稳定。全面开展</w:t>
      </w:r>
      <w:r>
        <w:rPr>
          <w:rFonts w:hint="eastAsia" w:cs="黑体" w:asciiTheme="minorEastAsia" w:hAnsiTheme="minorEastAsia"/>
          <w:color w:val="000000"/>
          <w:kern w:val="0"/>
          <w:sz w:val="32"/>
          <w:szCs w:val="32"/>
          <w:highlight w:val="none"/>
          <w:lang w:eastAsia="zh-CN"/>
        </w:rPr>
        <w:t>政法队伍教育整顿，优化政法队伍；排查各类矛盾纠纷和不稳定隐患，维护社会稳定；推进社会治理创新试点，提高基层社会治理能力；</w:t>
      </w:r>
      <w:r>
        <w:rPr>
          <w:rFonts w:hint="eastAsia" w:cs="黑体" w:asciiTheme="minorEastAsia" w:hAnsiTheme="minorEastAsia"/>
          <w:color w:val="000000"/>
          <w:kern w:val="0"/>
          <w:sz w:val="32"/>
          <w:szCs w:val="32"/>
          <w:highlight w:val="none"/>
          <w:lang w:val="en-US" w:eastAsia="zh-CN"/>
        </w:rPr>
        <w:t>推行政法单位案件质量自查和组织案件质量交叉评查相结合，提升执法水平和质量；</w:t>
      </w:r>
      <w:r>
        <w:rPr>
          <w:rFonts w:hint="eastAsia" w:cs="黑体" w:asciiTheme="minorEastAsia" w:hAnsiTheme="minorEastAsia"/>
          <w:color w:val="000000"/>
          <w:kern w:val="0"/>
          <w:sz w:val="32"/>
          <w:szCs w:val="32"/>
          <w:highlight w:val="none"/>
          <w:lang w:eastAsia="zh-CN"/>
        </w:rPr>
        <w:t>深入推进平安创建活动，常态化推进扫黑除恶，防范邪教工作，</w:t>
      </w:r>
      <w:r>
        <w:rPr>
          <w:rFonts w:hint="eastAsia" w:cs="黑体" w:asciiTheme="minorEastAsia" w:hAnsiTheme="minorEastAsia"/>
          <w:color w:val="000000"/>
          <w:kern w:val="0"/>
          <w:sz w:val="32"/>
          <w:szCs w:val="32"/>
          <w:highlight w:val="none"/>
          <w:lang w:val="en-US" w:eastAsia="zh-CN"/>
        </w:rPr>
        <w:t>2021年公众安全感测评得分较去年前移26位</w:t>
      </w:r>
      <w:r>
        <w:rPr>
          <w:rFonts w:hint="eastAsia" w:ascii="宋体" w:hAnsi="宋体" w:cs="宋体"/>
          <w:color w:val="333333"/>
          <w:kern w:val="0"/>
          <w:sz w:val="24"/>
          <w:szCs w:val="24"/>
          <w:highlight w:val="none"/>
          <w:lang w:val="en-US" w:eastAsia="zh-CN"/>
        </w:rPr>
        <w:t>，</w:t>
      </w:r>
      <w:r>
        <w:rPr>
          <w:rFonts w:hint="eastAsia" w:cs="黑体" w:asciiTheme="minorEastAsia" w:hAnsiTheme="minorEastAsia"/>
          <w:color w:val="000000"/>
          <w:kern w:val="0"/>
          <w:sz w:val="32"/>
          <w:szCs w:val="32"/>
          <w:highlight w:val="none"/>
          <w:lang w:val="en-US" w:eastAsia="zh-CN"/>
        </w:rPr>
        <w:t>达到了年初预定目标，公众安全感和满意度也不断提高，</w:t>
      </w:r>
      <w:r>
        <w:rPr>
          <w:rFonts w:hint="eastAsia" w:cs="黑体" w:asciiTheme="minorEastAsia" w:hAnsiTheme="minorEastAsia"/>
          <w:color w:val="000000"/>
          <w:kern w:val="0"/>
          <w:sz w:val="32"/>
          <w:szCs w:val="32"/>
          <w:highlight w:val="none"/>
          <w:lang w:eastAsia="zh-CN"/>
        </w:rPr>
        <w:t>平安祁阳建设取得新成效。</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rPr>
        <w:t>发现的主要问题及原因：</w:t>
      </w:r>
      <w:r>
        <w:rPr>
          <w:rFonts w:hint="eastAsia" w:cs="黑体" w:asciiTheme="minorEastAsia" w:hAnsiTheme="minorEastAsia"/>
          <w:color w:val="000000"/>
          <w:kern w:val="0"/>
          <w:sz w:val="32"/>
          <w:szCs w:val="32"/>
          <w:highlight w:val="none"/>
          <w:lang w:eastAsia="zh-CN"/>
        </w:rPr>
        <w:t>一是</w:t>
      </w:r>
      <w:r>
        <w:rPr>
          <w:rFonts w:hint="eastAsia" w:cs="黑体" w:asciiTheme="minorEastAsia" w:hAnsiTheme="minorEastAsia"/>
          <w:color w:val="000000"/>
          <w:kern w:val="0"/>
          <w:sz w:val="32"/>
          <w:szCs w:val="32"/>
          <w:highlight w:val="none"/>
          <w:lang w:val="en-US" w:eastAsia="zh-CN"/>
        </w:rPr>
        <w:t>公用经费不足，导致挤占项目经费。年初预算公用经费无法保证机关正常行政运行，导致挤占项目经费。</w:t>
      </w:r>
      <w:r>
        <w:rPr>
          <w:rFonts w:hint="eastAsia" w:cs="黑体" w:asciiTheme="minorEastAsia" w:hAnsiTheme="minorEastAsia"/>
          <w:color w:val="000000"/>
          <w:kern w:val="0"/>
          <w:sz w:val="32"/>
          <w:szCs w:val="32"/>
          <w:highlight w:val="none"/>
          <w:lang w:eastAsia="zh-CN"/>
        </w:rPr>
        <w:t>二</w:t>
      </w:r>
      <w:r>
        <w:rPr>
          <w:rFonts w:hint="eastAsia" w:cs="黑体" w:asciiTheme="minorEastAsia" w:hAnsiTheme="minorEastAsia"/>
          <w:color w:val="000000"/>
          <w:kern w:val="0"/>
          <w:sz w:val="32"/>
          <w:szCs w:val="32"/>
          <w:highlight w:val="none"/>
        </w:rPr>
        <w:t>是</w:t>
      </w:r>
      <w:r>
        <w:rPr>
          <w:rFonts w:hint="eastAsia" w:cs="黑体" w:asciiTheme="minorEastAsia" w:hAnsiTheme="minorEastAsia"/>
          <w:color w:val="000000"/>
          <w:kern w:val="0"/>
          <w:sz w:val="32"/>
          <w:szCs w:val="32"/>
          <w:highlight w:val="none"/>
          <w:lang w:eastAsia="zh-CN"/>
        </w:rPr>
        <w:t>预算准确率有待提高。原因是综合</w:t>
      </w:r>
      <w:r>
        <w:rPr>
          <w:rFonts w:hint="eastAsia" w:cs="黑体" w:asciiTheme="minorEastAsia" w:hAnsiTheme="minorEastAsia"/>
          <w:color w:val="000000"/>
          <w:kern w:val="0"/>
          <w:sz w:val="32"/>
          <w:szCs w:val="32"/>
          <w:highlight w:val="none"/>
        </w:rPr>
        <w:t>全面考虑预算编制的经验能力不足导致出现预算调剂情况</w:t>
      </w:r>
      <w:r>
        <w:rPr>
          <w:rFonts w:hint="eastAsia" w:cs="黑体" w:asciiTheme="minorEastAsia" w:hAnsiTheme="minorEastAsia"/>
          <w:color w:val="000000"/>
          <w:kern w:val="0"/>
          <w:sz w:val="32"/>
          <w:szCs w:val="32"/>
          <w:highlight w:val="none"/>
          <w:lang w:eastAsia="zh-CN"/>
        </w:rPr>
        <w:t>。三是预算绩效管理方面。绩效管理的意识不强，绩效自评工作水平参差不齐，绩效自评结果应用不够，部分项目执行部门和单位对预算绩效管理的重视程度不够，对相关政策、业务理论的学习培训还有所欠缺。</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lang w:eastAsia="zh-CN"/>
        </w:rPr>
        <w:t>下一步改进措施：一、严格控制公用经费开支，合理安排使用各项资金。二、在预算编制时财务人员与业务部门要共同分析研究出现偏离风险的可能性。立足下一年度工作计划，做好与上年预算执行情况的比对，提高预算编制预见能力，根据实际情况及时做好项目库的安排、调整，切实提高预算编制的精度，加强项目预算执行绩效监控管理，便于及时发现问题，进一步提高预算执行绩效。三、推动绩效自评结果应用的制度化建设，根据各项目具体实施部门报送的绩效自评材料情况，实施按等级分类跟踪管理，抓好项目实施的监督，从制度上深化自评结果应用，加强对绩效偏离较大的部门的监督，督促其抓好整改，有重点有针对性的开展预算绩效管理业务的培训，提高其绩效管理意识和工作水平。</w:t>
      </w:r>
    </w:p>
    <w:p>
      <w:pPr>
        <w:keepNext w:val="0"/>
        <w:keepLines w:val="0"/>
        <w:pageBreakBefore w:val="0"/>
        <w:numPr>
          <w:ilvl w:val="0"/>
          <w:numId w:val="0"/>
        </w:numPr>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w:t>
      </w:r>
      <w:r>
        <w:rPr>
          <w:rFonts w:cs="黑体" w:asciiTheme="minorEastAsia" w:hAnsiTheme="minorEastAsia"/>
          <w:b/>
          <w:color w:val="000000"/>
          <w:kern w:val="0"/>
          <w:sz w:val="32"/>
          <w:szCs w:val="32"/>
          <w:highlight w:val="none"/>
        </w:rPr>
        <w:t>3</w:t>
      </w:r>
      <w:r>
        <w:rPr>
          <w:rFonts w:hint="eastAsia" w:cs="黑体" w:asciiTheme="minorEastAsia" w:hAnsiTheme="minorEastAsia"/>
          <w:b/>
          <w:color w:val="000000"/>
          <w:kern w:val="0"/>
          <w:sz w:val="32"/>
          <w:szCs w:val="32"/>
          <w:highlight w:val="none"/>
        </w:rPr>
        <w:t>）部门评价项目绩效评价结果。</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ascii="宋体" w:hAnsi="宋体" w:eastAsia="宋体" w:cs="宋体"/>
          <w:sz w:val="32"/>
          <w:szCs w:val="32"/>
          <w:highlight w:val="none"/>
        </w:rPr>
      </w:pPr>
      <w:r>
        <w:rPr>
          <w:rFonts w:hint="eastAsia" w:cs="黑体" w:asciiTheme="minorEastAsia" w:hAnsiTheme="minorEastAsia"/>
          <w:color w:val="000000"/>
          <w:kern w:val="0"/>
          <w:sz w:val="32"/>
          <w:szCs w:val="32"/>
          <w:highlight w:val="none"/>
          <w:lang w:eastAsia="zh-CN"/>
        </w:rPr>
        <w:t>我单位从预算配置、预算执行、预算管理等方面开展了</w:t>
      </w:r>
      <w:r>
        <w:rPr>
          <w:rFonts w:hint="eastAsia" w:cs="黑体" w:asciiTheme="minorEastAsia" w:hAnsiTheme="minorEastAsia"/>
          <w:color w:val="000000"/>
          <w:kern w:val="0"/>
          <w:sz w:val="32"/>
          <w:szCs w:val="32"/>
          <w:highlight w:val="none"/>
          <w:lang w:val="en-US" w:eastAsia="zh-CN"/>
        </w:rPr>
        <w:t>2021年部门整体支出绩效评价。</w:t>
      </w:r>
      <w:r>
        <w:rPr>
          <w:rFonts w:hint="eastAsia" w:cs="黑体" w:asciiTheme="minorEastAsia" w:hAnsiTheme="minorEastAsia"/>
          <w:color w:val="000000"/>
          <w:kern w:val="0"/>
          <w:sz w:val="32"/>
          <w:szCs w:val="32"/>
          <w:highlight w:val="none"/>
          <w:lang w:eastAsia="zh-CN"/>
        </w:rPr>
        <w:t>从绩效评价结果看，整体预算执行仍有提升空间，本年度已完成的项目各项产出指标、效益指标和满意度指标取得了较好的成果，下一步我们将继续加强项目的执行、推进与监督工作。</w:t>
      </w:r>
      <w:r>
        <w:rPr>
          <w:rFonts w:ascii="宋体" w:hAnsi="宋体" w:eastAsia="宋体" w:cs="宋体"/>
          <w:sz w:val="32"/>
          <w:szCs w:val="32"/>
          <w:highlight w:val="none"/>
        </w:rPr>
        <w:t>部门整体支出绩效</w:t>
      </w:r>
      <w:r>
        <w:rPr>
          <w:rFonts w:hint="eastAsia" w:ascii="宋体" w:hAnsi="宋体" w:eastAsia="宋体" w:cs="宋体"/>
          <w:sz w:val="32"/>
          <w:szCs w:val="32"/>
          <w:highlight w:val="none"/>
          <w:lang w:eastAsia="zh-CN"/>
        </w:rPr>
        <w:t>评价</w:t>
      </w:r>
      <w:r>
        <w:rPr>
          <w:rFonts w:ascii="宋体" w:hAnsi="宋体" w:eastAsia="宋体" w:cs="宋体"/>
          <w:sz w:val="32"/>
          <w:szCs w:val="32"/>
          <w:highlight w:val="none"/>
        </w:rPr>
        <w:t>报告按要求作为部门决算附件公开。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05" w:afterAutospacing="0" w:line="15" w:lineRule="atLeast"/>
        <w:ind w:left="0" w:right="0" w:firstLine="640" w:firstLineChars="200"/>
        <w:textAlignment w:val="auto"/>
        <w:rPr>
          <w:rFonts w:hint="eastAsia" w:cs="黑体" w:asciiTheme="minorEastAsia" w:hAnsiTheme="minorEastAsia" w:eastAsiaTheme="minorEastAsia"/>
          <w:b/>
          <w:bCs/>
          <w:i w:val="0"/>
          <w:iCs w:val="0"/>
          <w:caps w:val="0"/>
          <w:color w:val="000000"/>
          <w:spacing w:val="0"/>
          <w:sz w:val="32"/>
          <w:szCs w:val="32"/>
          <w:highlight w:val="none"/>
          <w:u w:val="none"/>
          <w:shd w:val="clear" w:color="auto" w:fill="auto"/>
        </w:rPr>
      </w:pPr>
      <w:r>
        <w:rPr>
          <w:rFonts w:hint="eastAsia" w:cs="黑体" w:asciiTheme="minorEastAsia" w:hAnsiTheme="minorEastAsia" w:eastAsiaTheme="minorEastAsia"/>
          <w:b/>
          <w:bCs/>
          <w:i w:val="0"/>
          <w:iCs w:val="0"/>
          <w:caps w:val="0"/>
          <w:color w:val="000000"/>
          <w:spacing w:val="0"/>
          <w:sz w:val="32"/>
          <w:szCs w:val="32"/>
          <w:highlight w:val="none"/>
          <w:u w:val="none"/>
          <w:shd w:val="clear" w:color="auto" w:fill="auto"/>
          <w:lang w:val="en-US" w:eastAsia="zh-CN"/>
        </w:rPr>
        <w:t>十四</w:t>
      </w:r>
      <w:r>
        <w:rPr>
          <w:rFonts w:hint="eastAsia" w:cs="黑体" w:asciiTheme="minorEastAsia" w:hAnsiTheme="minorEastAsia" w:eastAsiaTheme="minorEastAsia"/>
          <w:b/>
          <w:bCs/>
          <w:i w:val="0"/>
          <w:iCs w:val="0"/>
          <w:caps w:val="0"/>
          <w:color w:val="000000"/>
          <w:spacing w:val="0"/>
          <w:sz w:val="32"/>
          <w:szCs w:val="32"/>
          <w:highlight w:val="none"/>
          <w:u w:val="none"/>
          <w:shd w:val="clear" w:color="auto" w:fill="auto"/>
        </w:rPr>
        <w:t>、国有资本经营预算财政拨款支出决算情况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05" w:afterAutospacing="0" w:line="15" w:lineRule="atLeast"/>
        <w:ind w:left="0" w:right="0" w:firstLine="640" w:firstLineChars="200"/>
        <w:textAlignment w:val="auto"/>
        <w:rPr>
          <w:rFonts w:hint="eastAsia" w:ascii="宋体" w:hAnsi="宋体" w:cs="宋体" w:eastAsiaTheme="minorEastAsia"/>
          <w:i w:val="0"/>
          <w:iCs w:val="0"/>
          <w:caps w:val="0"/>
          <w:color w:val="666666"/>
          <w:spacing w:val="0"/>
          <w:sz w:val="24"/>
          <w:szCs w:val="24"/>
          <w:highlight w:val="none"/>
          <w:u w:val="none"/>
          <w:shd w:val="clear" w:color="auto" w:fill="FFFFFF"/>
          <w:lang w:eastAsia="zh-CN"/>
        </w:rPr>
      </w:pPr>
      <w:r>
        <w:rPr>
          <w:rFonts w:hint="eastAsia" w:cs="黑体" w:asciiTheme="minorEastAsia" w:hAnsiTheme="minorEastAsia" w:eastAsiaTheme="minorEastAsia"/>
          <w:i w:val="0"/>
          <w:iCs w:val="0"/>
          <w:caps w:val="0"/>
          <w:color w:val="000000"/>
          <w:spacing w:val="0"/>
          <w:sz w:val="32"/>
          <w:szCs w:val="32"/>
          <w:highlight w:val="none"/>
          <w:u w:val="none"/>
          <w:shd w:val="clear" w:color="auto" w:fill="auto"/>
        </w:rPr>
        <w:t>2021年度国有资本经营预算财政拨款支出</w:t>
      </w:r>
      <w:r>
        <w:rPr>
          <w:rFonts w:hint="eastAsia" w:cs="黑体" w:asciiTheme="minorEastAsia" w:hAnsiTheme="minorEastAsia" w:eastAsiaTheme="minorEastAsia"/>
          <w:i w:val="0"/>
          <w:iCs w:val="0"/>
          <w:caps w:val="0"/>
          <w:color w:val="000000"/>
          <w:spacing w:val="0"/>
          <w:sz w:val="32"/>
          <w:szCs w:val="32"/>
          <w:highlight w:val="none"/>
          <w:u w:val="none"/>
          <w:shd w:val="clear"/>
          <w:lang w:eastAsia="zh-CN"/>
        </w:rPr>
        <w:t>0</w:t>
      </w:r>
      <w:r>
        <w:rPr>
          <w:rFonts w:hint="eastAsia" w:cs="黑体" w:asciiTheme="minorEastAsia" w:hAnsiTheme="minorEastAsia" w:eastAsiaTheme="minorEastAsia"/>
          <w:i w:val="0"/>
          <w:iCs w:val="0"/>
          <w:caps w:val="0"/>
          <w:color w:val="000000"/>
          <w:spacing w:val="0"/>
          <w:sz w:val="32"/>
          <w:szCs w:val="32"/>
          <w:highlight w:val="none"/>
          <w:u w:val="none"/>
          <w:shd w:val="clear" w:color="auto" w:fill="auto"/>
        </w:rPr>
        <w:t>万元，其中基本支出</w:t>
      </w:r>
      <w:r>
        <w:rPr>
          <w:rFonts w:hint="eastAsia" w:cs="黑体" w:asciiTheme="minorEastAsia" w:hAnsiTheme="minorEastAsia" w:eastAsiaTheme="minorEastAsia"/>
          <w:i w:val="0"/>
          <w:iCs w:val="0"/>
          <w:caps w:val="0"/>
          <w:color w:val="000000"/>
          <w:spacing w:val="0"/>
          <w:sz w:val="32"/>
          <w:szCs w:val="32"/>
          <w:highlight w:val="none"/>
          <w:u w:val="none"/>
          <w:shd w:val="clear"/>
          <w:lang w:eastAsia="zh-CN"/>
        </w:rPr>
        <w:t>0</w:t>
      </w:r>
      <w:r>
        <w:rPr>
          <w:rFonts w:hint="eastAsia" w:cs="黑体" w:asciiTheme="minorEastAsia" w:hAnsiTheme="minorEastAsia" w:eastAsiaTheme="minorEastAsia"/>
          <w:i w:val="0"/>
          <w:iCs w:val="0"/>
          <w:caps w:val="0"/>
          <w:color w:val="000000"/>
          <w:spacing w:val="0"/>
          <w:sz w:val="32"/>
          <w:szCs w:val="32"/>
          <w:highlight w:val="none"/>
          <w:u w:val="none"/>
          <w:shd w:val="clear" w:color="auto" w:fill="auto"/>
        </w:rPr>
        <w:t>万元，项目支出</w:t>
      </w:r>
      <w:r>
        <w:rPr>
          <w:rFonts w:hint="eastAsia" w:cs="黑体" w:asciiTheme="minorEastAsia" w:hAnsiTheme="minorEastAsia" w:eastAsiaTheme="minorEastAsia"/>
          <w:i w:val="0"/>
          <w:iCs w:val="0"/>
          <w:caps w:val="0"/>
          <w:color w:val="000000"/>
          <w:spacing w:val="0"/>
          <w:sz w:val="32"/>
          <w:szCs w:val="32"/>
          <w:highlight w:val="none"/>
          <w:u w:val="none"/>
          <w:shd w:val="clear"/>
          <w:lang w:eastAsia="zh-CN"/>
        </w:rPr>
        <w:t>0</w:t>
      </w:r>
      <w:r>
        <w:rPr>
          <w:rFonts w:hint="eastAsia" w:cs="黑体" w:asciiTheme="minorEastAsia" w:hAnsiTheme="minorEastAsia" w:eastAsiaTheme="minorEastAsia"/>
          <w:i w:val="0"/>
          <w:iCs w:val="0"/>
          <w:caps w:val="0"/>
          <w:color w:val="000000"/>
          <w:spacing w:val="0"/>
          <w:sz w:val="32"/>
          <w:szCs w:val="32"/>
          <w:highlight w:val="none"/>
          <w:u w:val="none"/>
          <w:shd w:val="clear" w:color="auto" w:fill="auto"/>
        </w:rPr>
        <w:t>万元。本单位无国有资本经营预算支出</w:t>
      </w:r>
      <w:r>
        <w:rPr>
          <w:rFonts w:hint="eastAsia" w:cs="黑体" w:asciiTheme="minorEastAsia" w:hAnsiTheme="minorEastAsia" w:eastAsiaTheme="minorEastAsia"/>
          <w:i w:val="0"/>
          <w:iCs w:val="0"/>
          <w:caps w:val="0"/>
          <w:color w:val="000000"/>
          <w:spacing w:val="0"/>
          <w:sz w:val="32"/>
          <w:szCs w:val="32"/>
          <w:highlight w:val="none"/>
          <w:u w:val="none"/>
          <w:shd w:val="clear"/>
          <w:lang w:eastAsia="zh-CN"/>
        </w:rPr>
        <w:t>。</w:t>
      </w:r>
    </w:p>
    <w:p>
      <w:pPr>
        <w:pStyle w:val="2"/>
        <w:keepNext w:val="0"/>
        <w:keepLines w:val="0"/>
        <w:pageBreakBefore w:val="0"/>
        <w:kinsoku/>
        <w:wordWrap/>
        <w:overflowPunct/>
        <w:topLinePunct w:val="0"/>
        <w:bidi w:val="0"/>
        <w:snapToGrid/>
        <w:ind w:firstLine="420" w:firstLineChars="200"/>
        <w:textAlignment w:val="auto"/>
        <w:rPr>
          <w:highlight w:val="none"/>
        </w:rPr>
      </w:pPr>
    </w:p>
    <w:p>
      <w:pPr>
        <w:keepNext w:val="0"/>
        <w:keepLines w:val="0"/>
        <w:pageBreakBefore w:val="0"/>
        <w:kinsoku/>
        <w:wordWrap/>
        <w:overflowPunct/>
        <w:topLinePunct w:val="0"/>
        <w:bidi w:val="0"/>
        <w:snapToGrid/>
        <w:textAlignment w:val="auto"/>
        <w:rPr>
          <w:rFonts w:hint="eastAsia" w:asciiTheme="minorEastAsia" w:hAnsiTheme="minorEastAsia" w:eastAsiaTheme="minorEastAsia"/>
          <w:sz w:val="72"/>
          <w:szCs w:val="72"/>
          <w:highlight w:val="none"/>
        </w:rPr>
      </w:pPr>
      <w:r>
        <w:rPr>
          <w:rFonts w:asciiTheme="minorEastAsia" w:hAnsiTheme="minorEastAsia" w:eastAsiaTheme="minorEastAsia"/>
          <w:sz w:val="72"/>
          <w:szCs w:val="72"/>
          <w:highlight w:val="none"/>
        </w:rPr>
        <w:br w:type="page"/>
      </w:r>
    </w:p>
    <w:p>
      <w:pPr>
        <w:keepNext w:val="0"/>
        <w:keepLines w:val="0"/>
        <w:pageBreakBefore w:val="0"/>
        <w:kinsoku/>
        <w:wordWrap/>
        <w:overflowPunct/>
        <w:topLinePunct w:val="0"/>
        <w:bidi w:val="0"/>
        <w:snapToGrid/>
        <w:jc w:val="center"/>
        <w:textAlignment w:val="auto"/>
        <w:rPr>
          <w:rFonts w:hint="eastAsia" w:asciiTheme="minorEastAsia" w:hAnsiTheme="minorEastAsia" w:eastAsiaTheme="minorEastAsia"/>
          <w:sz w:val="72"/>
          <w:szCs w:val="72"/>
          <w:highlight w:val="none"/>
        </w:rPr>
      </w:pPr>
    </w:p>
    <w:p>
      <w:pPr>
        <w:keepNext w:val="0"/>
        <w:keepLines w:val="0"/>
        <w:pageBreakBefore w:val="0"/>
        <w:kinsoku/>
        <w:wordWrap/>
        <w:overflowPunct/>
        <w:topLinePunct w:val="0"/>
        <w:bidi w:val="0"/>
        <w:snapToGrid/>
        <w:jc w:val="center"/>
        <w:textAlignment w:val="auto"/>
        <w:rPr>
          <w:rFonts w:hint="eastAsia" w:asciiTheme="minorEastAsia" w:hAnsiTheme="minorEastAsia" w:eastAsiaTheme="minorEastAsia"/>
          <w:sz w:val="72"/>
          <w:szCs w:val="72"/>
          <w:highlight w:val="none"/>
        </w:rPr>
      </w:pPr>
    </w:p>
    <w:p>
      <w:pPr>
        <w:keepNext w:val="0"/>
        <w:keepLines w:val="0"/>
        <w:pageBreakBefore w:val="0"/>
        <w:kinsoku/>
        <w:wordWrap/>
        <w:overflowPunct/>
        <w:topLinePunct w:val="0"/>
        <w:bidi w:val="0"/>
        <w:snapToGrid/>
        <w:jc w:val="center"/>
        <w:textAlignment w:val="auto"/>
        <w:rPr>
          <w:rFonts w:hint="eastAsia" w:asciiTheme="minorEastAsia" w:hAnsiTheme="minorEastAsia" w:eastAsiaTheme="minorEastAsia"/>
          <w:sz w:val="72"/>
          <w:szCs w:val="72"/>
          <w:highlight w:val="none"/>
        </w:rPr>
      </w:pPr>
    </w:p>
    <w:p>
      <w:pPr>
        <w:keepNext w:val="0"/>
        <w:keepLines w:val="0"/>
        <w:pageBreakBefore w:val="0"/>
        <w:kinsoku/>
        <w:wordWrap/>
        <w:overflowPunct/>
        <w:topLinePunct w:val="0"/>
        <w:bidi w:val="0"/>
        <w:snapToGrid/>
        <w:jc w:val="center"/>
        <w:textAlignment w:val="auto"/>
        <w:rPr>
          <w:rFonts w:hint="eastAsia" w:asciiTheme="minorEastAsia" w:hAnsiTheme="minorEastAsia" w:eastAsiaTheme="minorEastAsia"/>
          <w:sz w:val="72"/>
          <w:szCs w:val="72"/>
          <w:highlight w:val="none"/>
        </w:rPr>
      </w:pPr>
    </w:p>
    <w:p>
      <w:pPr>
        <w:keepNext w:val="0"/>
        <w:keepLines w:val="0"/>
        <w:pageBreakBefore w:val="0"/>
        <w:kinsoku/>
        <w:wordWrap/>
        <w:overflowPunct/>
        <w:topLinePunct w:val="0"/>
        <w:bidi w:val="0"/>
        <w:snapToGrid/>
        <w:jc w:val="center"/>
        <w:textAlignment w:val="auto"/>
        <w:rPr>
          <w:rFonts w:hint="eastAsia" w:asciiTheme="minorEastAsia" w:hAnsiTheme="minorEastAsia" w:eastAsiaTheme="minorEastAsia"/>
          <w:sz w:val="72"/>
          <w:szCs w:val="72"/>
          <w:highlight w:val="none"/>
        </w:rPr>
      </w:pPr>
    </w:p>
    <w:p>
      <w:pPr>
        <w:keepNext w:val="0"/>
        <w:keepLines w:val="0"/>
        <w:pageBreakBefore w:val="0"/>
        <w:kinsoku/>
        <w:wordWrap/>
        <w:overflowPunct/>
        <w:topLinePunct w:val="0"/>
        <w:bidi w:val="0"/>
        <w:snapToGrid/>
        <w:jc w:val="center"/>
        <w:textAlignment w:val="auto"/>
        <w:rPr>
          <w:rFonts w:hint="eastAsia" w:asciiTheme="minorEastAsia" w:hAnsiTheme="minorEastAsia" w:eastAsiaTheme="minorEastAsia"/>
          <w:sz w:val="72"/>
          <w:szCs w:val="72"/>
          <w:highlight w:val="none"/>
        </w:rPr>
      </w:pPr>
    </w:p>
    <w:p>
      <w:pPr>
        <w:keepNext w:val="0"/>
        <w:keepLines w:val="0"/>
        <w:pageBreakBefore w:val="0"/>
        <w:kinsoku/>
        <w:wordWrap/>
        <w:overflowPunct/>
        <w:topLinePunct w:val="0"/>
        <w:bidi w:val="0"/>
        <w:snapToGrid/>
        <w:jc w:val="center"/>
        <w:textAlignment w:val="auto"/>
        <w:rPr>
          <w:rFonts w:hint="eastAsia"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第四部分</w:t>
      </w:r>
    </w:p>
    <w:p>
      <w:pPr>
        <w:keepNext w:val="0"/>
        <w:keepLines w:val="0"/>
        <w:pageBreakBefore w:val="0"/>
        <w:kinsoku/>
        <w:wordWrap/>
        <w:overflowPunct/>
        <w:topLinePunct w:val="0"/>
        <w:bidi w:val="0"/>
        <w:snapToGrid/>
        <w:jc w:val="center"/>
        <w:textAlignment w:val="auto"/>
        <w:rPr>
          <w:rFonts w:hint="eastAsia" w:asciiTheme="minorEastAsia" w:hAnsiTheme="minorEastAsia" w:eastAsiaTheme="minorEastAsia"/>
          <w:sz w:val="72"/>
          <w:szCs w:val="72"/>
          <w:highlight w:val="none"/>
        </w:rPr>
      </w:pPr>
    </w:p>
    <w:p>
      <w:pPr>
        <w:keepNext w:val="0"/>
        <w:keepLines w:val="0"/>
        <w:pageBreakBefore w:val="0"/>
        <w:kinsoku/>
        <w:wordWrap/>
        <w:overflowPunct/>
        <w:topLinePunct w:val="0"/>
        <w:bidi w:val="0"/>
        <w:snapToGrid/>
        <w:jc w:val="center"/>
        <w:textAlignment w:val="auto"/>
        <w:rPr>
          <w:rFonts w:cs="黑体" w:asciiTheme="minorEastAsia" w:hAnsiTheme="minorEastAsia"/>
          <w:color w:val="000000"/>
          <w:kern w:val="0"/>
          <w:sz w:val="70"/>
          <w:szCs w:val="70"/>
          <w:highlight w:val="none"/>
        </w:rPr>
      </w:pPr>
      <w:r>
        <w:rPr>
          <w:rFonts w:hint="eastAsia" w:cs="黑体" w:asciiTheme="minorEastAsia" w:hAnsiTheme="minorEastAsia"/>
          <w:color w:val="000000"/>
          <w:kern w:val="0"/>
          <w:sz w:val="70"/>
          <w:szCs w:val="70"/>
          <w:highlight w:val="none"/>
        </w:rPr>
        <w:t>名词解释</w:t>
      </w:r>
    </w:p>
    <w:p>
      <w:pPr>
        <w:keepNext w:val="0"/>
        <w:keepLines w:val="0"/>
        <w:pageBreakBefore w:val="0"/>
        <w:widowControl/>
        <w:kinsoku/>
        <w:wordWrap/>
        <w:overflowPunct/>
        <w:topLinePunct w:val="0"/>
        <w:bidi w:val="0"/>
        <w:snapToGrid/>
        <w:ind w:firstLine="1400" w:firstLineChars="200"/>
        <w:jc w:val="left"/>
        <w:textAlignment w:val="auto"/>
        <w:rPr>
          <w:rFonts w:cs="黑体" w:asciiTheme="minorEastAsia" w:hAnsiTheme="minorEastAsia"/>
          <w:color w:val="000000"/>
          <w:kern w:val="0"/>
          <w:sz w:val="32"/>
          <w:szCs w:val="32"/>
          <w:highlight w:val="none"/>
        </w:rPr>
      </w:pPr>
      <w:r>
        <w:rPr>
          <w:rFonts w:cs="黑体" w:asciiTheme="minorEastAsia" w:hAnsiTheme="minorEastAsia"/>
          <w:color w:val="000000"/>
          <w:kern w:val="0"/>
          <w:sz w:val="70"/>
          <w:szCs w:val="70"/>
          <w:highlight w:val="none"/>
        </w:rPr>
        <w:br w:type="page"/>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财政拨款收入：指本级财政当年拨付的资金。</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上年结转和结余：指以前年度尚未完成、结转到本年按有关规定继续使用的资金。</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基本支出：指保障机构正常运转、完成支日常工作任务而发生的人员支出和公用支出。</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项目支出：指在基本支出之外为完成特定行政任务和事业发展目标所发生的支出。</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工资福利支出：反映单位开支的在职职工和编制外长期聘用人员的各类劳动报酬，以及为上述人员缴纳的各项社会保险费等。</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商品和服务支出：反映单位购买商品和服务的支出（不包括用于购置固定资产的支出、战略性和应急储备支出）。</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zh-CN"/>
        </w:rPr>
      </w:pPr>
      <w:r>
        <w:rPr>
          <w:rFonts w:hint="eastAsia" w:cs="黑体" w:asciiTheme="minorEastAsia" w:hAnsiTheme="minorEastAsia"/>
          <w:color w:val="000000"/>
          <w:kern w:val="0"/>
          <w:sz w:val="32"/>
          <w:szCs w:val="32"/>
          <w:highlight w:val="non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4"/>
        <w:keepNext w:val="0"/>
        <w:keepLines w:val="0"/>
        <w:pageBreakBefore w:val="0"/>
        <w:kinsoku/>
        <w:wordWrap/>
        <w:overflowPunct/>
        <w:topLinePunct w:val="0"/>
        <w:bidi w:val="0"/>
        <w:snapToGrid/>
        <w:jc w:val="center"/>
        <w:textAlignment w:val="auto"/>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第五部分</w:t>
      </w:r>
    </w:p>
    <w:p>
      <w:pPr>
        <w:keepNext w:val="0"/>
        <w:keepLines w:val="0"/>
        <w:pageBreakBefore w:val="0"/>
        <w:kinsoku/>
        <w:wordWrap/>
        <w:overflowPunct/>
        <w:topLinePunct w:val="0"/>
        <w:bidi w:val="0"/>
        <w:snapToGrid/>
        <w:ind w:firstLine="1400" w:firstLineChars="200"/>
        <w:jc w:val="center"/>
        <w:textAlignment w:val="auto"/>
        <w:rPr>
          <w:rFonts w:cs="黑体" w:asciiTheme="minorEastAsia" w:hAnsiTheme="minorEastAsia"/>
          <w:color w:val="000000"/>
          <w:kern w:val="0"/>
          <w:sz w:val="70"/>
          <w:szCs w:val="70"/>
          <w:highlight w:val="none"/>
        </w:rPr>
      </w:pPr>
    </w:p>
    <w:p>
      <w:pPr>
        <w:keepNext w:val="0"/>
        <w:keepLines w:val="0"/>
        <w:pageBreakBefore w:val="0"/>
        <w:kinsoku/>
        <w:wordWrap/>
        <w:overflowPunct/>
        <w:topLinePunct w:val="0"/>
        <w:bidi w:val="0"/>
        <w:snapToGrid/>
        <w:jc w:val="center"/>
        <w:textAlignment w:val="auto"/>
        <w:rPr>
          <w:rFonts w:cs="黑体" w:asciiTheme="minorEastAsia" w:hAnsiTheme="minorEastAsia"/>
          <w:color w:val="000000"/>
          <w:kern w:val="0"/>
          <w:sz w:val="70"/>
          <w:szCs w:val="70"/>
          <w:highlight w:val="none"/>
        </w:rPr>
      </w:pPr>
      <w:r>
        <w:rPr>
          <w:rFonts w:hint="eastAsia" w:cs="黑体" w:asciiTheme="minorEastAsia" w:hAnsiTheme="minorEastAsia"/>
          <w:color w:val="000000"/>
          <w:kern w:val="0"/>
          <w:sz w:val="70"/>
          <w:szCs w:val="70"/>
          <w:highlight w:val="none"/>
        </w:rPr>
        <w:t>附件</w:t>
      </w:r>
    </w:p>
    <w:p>
      <w:pPr>
        <w:keepNext w:val="0"/>
        <w:keepLines w:val="0"/>
        <w:pageBreakBefore w:val="0"/>
        <w:widowControl/>
        <w:kinsoku/>
        <w:wordWrap/>
        <w:overflowPunct/>
        <w:topLinePunct w:val="0"/>
        <w:bidi w:val="0"/>
        <w:snapToGrid/>
        <w:ind w:firstLine="1400" w:firstLineChars="200"/>
        <w:jc w:val="left"/>
        <w:textAlignment w:val="auto"/>
        <w:rPr>
          <w:rFonts w:cs="黑体" w:asciiTheme="minorEastAsia" w:hAnsiTheme="minorEastAsia"/>
          <w:color w:val="000000"/>
          <w:kern w:val="0"/>
          <w:sz w:val="70"/>
          <w:szCs w:val="70"/>
          <w:highlight w:val="none"/>
        </w:rPr>
      </w:pPr>
      <w:r>
        <w:rPr>
          <w:rFonts w:cs="黑体" w:asciiTheme="minorEastAsia" w:hAnsiTheme="minorEastAsia"/>
          <w:color w:val="000000"/>
          <w:kern w:val="0"/>
          <w:sz w:val="70"/>
          <w:szCs w:val="70"/>
          <w:highlight w:val="none"/>
        </w:rPr>
        <w:br w:type="page"/>
      </w:r>
    </w:p>
    <w:p>
      <w:pPr>
        <w:keepNext w:val="0"/>
        <w:keepLines w:val="0"/>
        <w:pageBreakBefore w:val="0"/>
        <w:kinsoku/>
        <w:wordWrap/>
        <w:overflowPunct/>
        <w:topLinePunct w:val="0"/>
        <w:bidi w:val="0"/>
        <w:snapToGrid/>
        <w:ind w:firstLine="640" w:firstLineChars="200"/>
        <w:jc w:val="center"/>
        <w:textAlignment w:val="auto"/>
        <w:rPr>
          <w:rFonts w:hint="eastAsia" w:cs="黑体" w:asciiTheme="minorEastAsia" w:hAnsiTheme="minorEastAsia"/>
          <w:b/>
          <w:color w:val="000000"/>
          <w:kern w:val="0"/>
          <w:sz w:val="32"/>
          <w:szCs w:val="32"/>
          <w:highlight w:val="none"/>
        </w:rPr>
      </w:pPr>
    </w:p>
    <w:p>
      <w:pPr>
        <w:keepNext w:val="0"/>
        <w:keepLines w:val="0"/>
        <w:pageBreakBefore w:val="0"/>
        <w:kinsoku/>
        <w:wordWrap/>
        <w:overflowPunct/>
        <w:topLinePunct w:val="0"/>
        <w:autoSpaceDE w:val="0"/>
        <w:autoSpaceDN w:val="0"/>
        <w:bidi w:val="0"/>
        <w:adjustRightInd w:val="0"/>
        <w:snapToGrid/>
        <w:ind w:firstLine="640" w:firstLineChars="200"/>
        <w:jc w:val="center"/>
        <w:textAlignment w:val="auto"/>
        <w:rPr>
          <w:rFonts w:hint="eastAsia" w:cs="黑体" w:asciiTheme="minorEastAsia" w:hAnsiTheme="minorEastAsia"/>
          <w:b/>
          <w:bCs/>
          <w:color w:val="000000"/>
          <w:kern w:val="0"/>
          <w:sz w:val="32"/>
          <w:szCs w:val="32"/>
          <w:highlight w:val="none"/>
        </w:rPr>
      </w:pPr>
      <w:r>
        <w:rPr>
          <w:rFonts w:hint="eastAsia" w:cs="黑体" w:asciiTheme="minorEastAsia" w:hAnsiTheme="minorEastAsia"/>
          <w:b/>
          <w:bCs/>
          <w:color w:val="000000"/>
          <w:kern w:val="0"/>
          <w:sz w:val="32"/>
          <w:szCs w:val="32"/>
          <w:highlight w:val="none"/>
        </w:rPr>
        <w:t>2021年度部门整体支出绩效评价报告</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一、单位基本情况</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default"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（一）主要职能职责</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1．根据党的</w:t>
      </w:r>
      <w:bookmarkStart w:id="3" w:name="_GoBack"/>
      <w:r>
        <w:rPr>
          <w:rFonts w:hint="eastAsia" w:cs="黑体" w:asciiTheme="minorEastAsia" w:hAnsiTheme="minorEastAsia"/>
          <w:color w:val="000000"/>
          <w:kern w:val="0"/>
          <w:sz w:val="32"/>
          <w:szCs w:val="32"/>
          <w:highlight w:val="none"/>
          <w:lang w:val="en-US" w:eastAsia="zh-CN"/>
        </w:rPr>
        <w:t>路线</w:t>
      </w:r>
      <w:bookmarkEnd w:id="3"/>
      <w:r>
        <w:rPr>
          <w:rFonts w:hint="eastAsia" w:cs="黑体" w:asciiTheme="minorEastAsia" w:hAnsiTheme="minorEastAsia"/>
          <w:color w:val="000000"/>
          <w:kern w:val="0"/>
          <w:sz w:val="32"/>
          <w:szCs w:val="32"/>
          <w:highlight w:val="none"/>
          <w:lang w:val="en-US" w:eastAsia="zh-CN"/>
        </w:rPr>
        <w:t>、方</w:t>
      </w:r>
      <w:r>
        <w:rPr>
          <w:rFonts w:hint="eastAsia" w:cs="黑体" w:asciiTheme="minorEastAsia" w:hAnsiTheme="minorEastAsia"/>
          <w:color w:val="000000"/>
          <w:kern w:val="0"/>
          <w:sz w:val="32"/>
          <w:szCs w:val="32"/>
          <w:highlight w:val="none"/>
        </w:rPr>
        <w:t>针、政策和市委政法委、</w:t>
      </w:r>
      <w:r>
        <w:rPr>
          <w:rFonts w:hint="eastAsia" w:cs="黑体" w:asciiTheme="minorEastAsia" w:hAnsiTheme="minorEastAsia"/>
          <w:color w:val="000000"/>
          <w:kern w:val="0"/>
          <w:sz w:val="32"/>
          <w:szCs w:val="32"/>
          <w:highlight w:val="none"/>
          <w:lang w:eastAsia="zh-CN"/>
        </w:rPr>
        <w:t>市</w:t>
      </w:r>
      <w:r>
        <w:rPr>
          <w:rFonts w:hint="eastAsia" w:cs="黑体" w:asciiTheme="minorEastAsia" w:hAnsiTheme="minorEastAsia"/>
          <w:color w:val="000000"/>
          <w:kern w:val="0"/>
          <w:sz w:val="32"/>
          <w:szCs w:val="32"/>
          <w:highlight w:val="none"/>
        </w:rPr>
        <w:t>委的部署，统一政法各部门的思想和行动，对一定时期内全</w:t>
      </w:r>
      <w:r>
        <w:rPr>
          <w:rFonts w:hint="eastAsia" w:cs="黑体" w:asciiTheme="minorEastAsia" w:hAnsiTheme="minorEastAsia"/>
          <w:color w:val="000000"/>
          <w:kern w:val="0"/>
          <w:sz w:val="32"/>
          <w:szCs w:val="32"/>
          <w:highlight w:val="none"/>
          <w:lang w:eastAsia="zh-CN"/>
        </w:rPr>
        <w:t>市</w:t>
      </w:r>
      <w:r>
        <w:rPr>
          <w:rFonts w:hint="eastAsia" w:cs="黑体" w:asciiTheme="minorEastAsia" w:hAnsiTheme="minorEastAsia"/>
          <w:color w:val="000000"/>
          <w:kern w:val="0"/>
          <w:sz w:val="32"/>
          <w:szCs w:val="32"/>
          <w:highlight w:val="none"/>
        </w:rPr>
        <w:t>的政法工作作出作局性部署，并督促贯彻落实。</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2．组织、协调、指导维护社会稳定的工作，必须时直接参与影响稳定的重大群体性事件的处置。</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3．检查政法部门执行法律法规和党的方针、政策的情况，结合实际研究制定严肃执法，落实党的方针、政策的具体措施。</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4．大力支持和严格监督政法各部门依法行使职权，指导和协调政法各部门在依法相互制约的同时密切配合，督促和推动大案、要案的查处工作，研究、协调有争议的重大、疑难案件。</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5．组织、协调社会管理综合治理工作，推动社会管理综合治理各项措施的落实。</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6．组织推动政法战线的调查研究工作，总结新经验、解决新问题，改革和加强政法工作。</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7．协助党委及其他组织部门管理好政法部门的领导班子和干部队伍。组织查处政法系统干部、干警中有重大影响的违法违纪案件。</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8．承办</w:t>
      </w:r>
      <w:r>
        <w:rPr>
          <w:rFonts w:hint="eastAsia" w:cs="黑体" w:asciiTheme="minorEastAsia" w:hAnsiTheme="minorEastAsia"/>
          <w:color w:val="000000"/>
          <w:kern w:val="0"/>
          <w:sz w:val="32"/>
          <w:szCs w:val="32"/>
          <w:highlight w:val="none"/>
          <w:lang w:eastAsia="zh-CN"/>
        </w:rPr>
        <w:t>市</w:t>
      </w:r>
      <w:r>
        <w:rPr>
          <w:rFonts w:hint="eastAsia" w:cs="黑体" w:asciiTheme="minorEastAsia" w:hAnsiTheme="minorEastAsia"/>
          <w:color w:val="000000"/>
          <w:kern w:val="0"/>
          <w:sz w:val="32"/>
          <w:szCs w:val="32"/>
          <w:highlight w:val="none"/>
        </w:rPr>
        <w:t>委、</w:t>
      </w:r>
      <w:r>
        <w:rPr>
          <w:rFonts w:hint="eastAsia" w:cs="黑体" w:asciiTheme="minorEastAsia" w:hAnsiTheme="minorEastAsia"/>
          <w:color w:val="000000"/>
          <w:kern w:val="0"/>
          <w:sz w:val="32"/>
          <w:szCs w:val="32"/>
          <w:highlight w:val="none"/>
          <w:lang w:eastAsia="zh-CN"/>
        </w:rPr>
        <w:t>市</w:t>
      </w:r>
      <w:r>
        <w:rPr>
          <w:rFonts w:hint="eastAsia" w:cs="黑体" w:asciiTheme="minorEastAsia" w:hAnsiTheme="minorEastAsia"/>
          <w:color w:val="000000"/>
          <w:kern w:val="0"/>
          <w:sz w:val="32"/>
          <w:szCs w:val="32"/>
          <w:highlight w:val="none"/>
        </w:rPr>
        <w:t>人民政府和上级政法委员交办的其他事项。</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eastAsia="zh-CN"/>
        </w:rPr>
        <w:t>（二）</w:t>
      </w:r>
      <w:r>
        <w:rPr>
          <w:rFonts w:hint="eastAsia" w:cs="黑体" w:asciiTheme="minorEastAsia" w:hAnsiTheme="minorEastAsia"/>
          <w:color w:val="000000"/>
          <w:kern w:val="0"/>
          <w:sz w:val="32"/>
          <w:szCs w:val="32"/>
          <w:highlight w:val="none"/>
          <w:lang w:val="en-US" w:eastAsia="zh-CN"/>
        </w:rPr>
        <w:t>年初整体支出绩效目标</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2021年，祁阳市以全国政法队伍教育整顿和撤市设市为契机，认真贯彻落实习近平法治思想和习近平总书记关于政法工作的重要指示精神，坚持讲政治、顾大局、重稳定、谋和谐，推动政法工作落细落实，全市实现了“无重大政治事件，无暴力恐怖事件和个人极端事件，无重特大群体性事件，无重大刑事治安案件，无重特大公共安全事故”的目标，坚决维护国家安全，推进全面依法治市、社会治理创新、政法领域改革，加强政法队伍建设，主动服务经济社会大局，确保群众安全感幸福感和满意度稳步提升。</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二、一般公共预算支出情况</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（一）基本支出情况</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基本支出系保障我委机关人员、行政运行发生的各项支出，包括用于在职和离退休人员基本工资、津贴补贴等人员经费以及办公费、印刷费、水电费、办公设备购置等日常公用经费。</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2021年预算批复的基本支出为250.11万元，其中工资福利支出预算数为215.96万元，商品和服务支出预算数为34.15万元；2021年基本支出决算数为508.17万元，其中工资福利支出决算数为271.35万元，决算数大于预算数是因为人员异动调整增加及年末追加人员奖金；商品和服务支出决算数为236.82万元，决算数大于预算数是因为增加了政法队伍教育整顿、扫黑除恶工作常态化和市域社会治理现代工作经费以及将专项经费中用于商品与服务支出的开支计入在内。</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（二）项目支出情况</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项目支出是我委为完成特定行政工作任务或事业发展目标而发生的专项性业务工作经费。</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default"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2021年预算批复的项目支出为710万元，2021年决算的项目支出为455.50万元。决算数少于预算数的是因为社区网格管理员实际数比预算数少导致支出减少。</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三、部门整体支出绩效情况</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2021年，我委严格按照有关财政资金管理要求，严格执行会计制度和财务制度，依法管理项目资金，结合我委的工作实际，对项目开支进行规范化、工作制度化，对经费使用范围的各类支出，按照经费使用审批的程序办理，财务人员做到依法理财，保障账目真实、完整、规范，项目总体执行情况较好，预期的绩效目标基本实现。现对我委2021年度整体支出绩效总结如下：</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综治维稳更加坚实。全市共排查各类矛盾纠纷和不稳定隐患928件。建立健全刑释人员信息库，全面做好刑释人员衔接事宜，对重点人员做到了必接必送。正式启用远程视频会见系统，实现了强制戒毒人员、在押犯人跨区域远程探视与会见。反恐维稳、命案侦破、扫黑除恶等工作连续多年获省市先进。毒品中转集散“国字号”、“省字号”帽子全部成功摘除；道路交通秩序逐年好转，信访维稳持续呈现“四降三无一好转”良好态势。严打整治战果丰硕。聚焦各类违法犯罪突出问题，主动作为，积极履职，全面推进严打斗争。</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社会治理更加巩固。一是打造新时代网格化服务管理升级版，加快网格员队伍转型。自推行网格化管理工作以来，祁阳党建网格化、创卫网格化、禁毒网格化、消防网格化、城管网格化、电力网格化、烟草网格化、燃气网格化全面铺开，社区工作者与网格员有机融合，形成一岗多责、一岗多能机制。畅通基层网格员晋升渠道，提升队伍综合素质。目前，已有65名专职网格员将在2022年正式转为社区工作者，进入社区两委班子。二是推进社会治理创新试点。根据省委、省政府两办名义印发《关于推进社会治理创新的指导意见》，一体推进市县乡村四级社会治理创新试点，实施以“雪亮工程”为代表的城乡末端智能感知系统布局，已建成了村级监控平台560余个、镇级监控平台22个，20个示范村呈现了“村庄美、民风正、产业兴”的景象。同时积极开展乡村治理法治“村为主”，加强村（社区）法治小游园、广场、长廊等法治文化阵地建设，让群众在休闲娱乐中潜移默化接受法治的熏陶。依托“平安乡村.雪亮工程”平台，潘市镇率先在全镇搭建了一个群众积极参与、适合乡村治理的集电视娱乐、手机媒体、视频监控、政策宣传、便民服务、农产品销售于一体的智慧网络平台。三是强力推进“政法五老”调解工作室建设。通过选聘退休老法官、老检察官、老警官、老司法行政人员、老律师"五老人员"，积极组建培育专职化、专业化、专家化的"五老"人民调解员，进驻祁阳市信访接待中心、各乡镇（街道）办公，深入开展矛盾纠纷排查调处，确保矛盾纠纷隐患发现在萌芽、化解在基层，形成基层社会矛盾纠纷小事不出村，大事不出镇，矛盾不上交的社会治理新格局。四是全力搞好精神病人摸排管控工作。充分发挥各职能部门作用，按照“全面摸排、重点管控”的原则和“精准、完整、鲜活、到位”的要求，对肇事肇祸等严重精神障碍患者开展摸排管控，实现底数清、情况明、管得住。对每名摸排确诊的肇事肇祸等严重精神障碍患者逐人建立社区关爱帮扶小组，落实看护人员责任，采取针对性救治、服务、管理措施，从源头上消除安全隐患。</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3、民调工作有序运行。2021年度民调工作分上、下半年开展，组织人员扎实开展走访督导，并在走访过程中摸排的问题和诉求归纳汇总交办给相关单位和职能部门，解决了一批群众关心的热点难点问题；编印了宣传手册50000余册，印刷宣传单150000余份。2021年度民调工作综合成绩排名全市第九，在全省第62位，较2020年前移了26位，达到了年初预定目标，公众安全感和满意度也不断提高，取得了良好的社会效应。</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4、防范和处理邪教工作成效良好。一是认真落实工作责任，把各项目标任务分解到具体单位与人员，纳入年度平安创建工作考评范畴。二是落实定期走访帮教工作措施，积极开展教育转化工作。三是加强摸底排查，依法严厉打击，及时处置邪教活动。四是强化教育警示，提高群众防范邪教意识。五是抓好“法轮功”等邪教人员管控，实现了全年“五个不发生”目标任务。</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4、政法队伍更加优化。一是强化思想引领，抓实学习教育。扎实开展好“不忘初心、牢记使命”主题教育及党史学习教育和全国政法队伍教育整顿；坚持把学原著、学党史、学纪法、学案例、学典型融合推进，全面促进干警筑牢政治忠诚，树牢“四个意识”，坚定“四个自信”，做到“两个维护”。政治教育强基、党史教育明理、警示教育正行、英模教育振心；坚持重大事项请示报告；坚持以党建带队建、促发展，认真落实意识形态工作责任制，强化阵地建设和管理；开展队伍巡查，督导检查政法各单位班子建设、队伍管理、廉洁执法、纪律作风、选人用人和政治生态等方面的情况，梳理发现政法队伍建设存在的问题；健全政法干部轮岗交流机制，打破固有的惯性思维，激发全新的工作热情，基层政法单位精神面貌焕然一新。二是强化正风肃纪，狠抓队伍作风建设。坚持把政治建警作为根本保证，狠抓政治建设，以“不忘初心、牢记使命”主题教育和全国第一批政法队伍教育整顿为载体，借力“民主生活会”“学习强国”等平台，坚持“严”的主基调，严格线索核查，严实“七查”举措；开展“顽瘴痼疾”整治六大专项行动，对排查出来的问题线索建立问题台账，坚持即查即治、边查边治、限期整治，及时跟进对策措施，实行销号管理，不断规范执法司法行为，优化法治环境；落实政治建警各项工作，深入开展正风肃纪专项活动。三是强化素质提升，狠抓队伍能力建设。政法队伍教育整顿、“清朗警营”专项整治和“形式主义官僚主义”专项整治等行动深入开展，监督执纪“四种形态”全面落地落实，从严治警力度前所未有；狠抓履职能力建设，开展大练兵活动，培养了一批办（破）案能手、调解能手、服务能手。</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5、扫黑除恶更加有力。一是坚持高位推动，精心组织谋划推进。市扫黑办积极发挥“中枢”作用，强化运用线索案件会商机制，统一办案思想，强化部门协作，加强调度、督促。二是坚持依法严惩，打击成效明显。依法严厉打击了一批破坏经济社会秩序的黑恶势力，全市济社会发展环境明显改善。三是坚持除恶务尽，“打伞”“断财”同步推进。我们在打伞破网、打财断血上下足功夫，始终保持了对黑恶势力违法犯罪严打高压态势。四是坚持综合治理，行业监管力度加大。各行业主管部门加强与政法机关联动衔接，加强行业监管，扎实推进行业乱象整治行动。（扫黑除恶成效具体数据不便公开）</w:t>
      </w:r>
    </w:p>
    <w:p>
      <w:pPr>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7DC6F"/>
    <w:multiLevelType w:val="singleLevel"/>
    <w:tmpl w:val="3F97DC6F"/>
    <w:lvl w:ilvl="0" w:tentative="0">
      <w:start w:val="5"/>
      <w:numFmt w:val="decimal"/>
      <w:suff w:val="nothing"/>
      <w:lvlText w:val="%1、"/>
      <w:lvlJc w:val="left"/>
    </w:lvl>
  </w:abstractNum>
  <w:abstractNum w:abstractNumId="1">
    <w:nsid w:val="49D62DF1"/>
    <w:multiLevelType w:val="singleLevel"/>
    <w:tmpl w:val="49D62D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NkYjUzMmQ2ZmM2NzUwZDgyZjAxMjY3OWYyYmFiYW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382BF0"/>
    <w:rsid w:val="023D0B8F"/>
    <w:rsid w:val="02770E8A"/>
    <w:rsid w:val="04781ECF"/>
    <w:rsid w:val="04820ADC"/>
    <w:rsid w:val="0520214C"/>
    <w:rsid w:val="05AB2D7A"/>
    <w:rsid w:val="07742EA5"/>
    <w:rsid w:val="084C668D"/>
    <w:rsid w:val="0A2D14EA"/>
    <w:rsid w:val="0B640F3B"/>
    <w:rsid w:val="0D7111BC"/>
    <w:rsid w:val="0DB6308B"/>
    <w:rsid w:val="0E2203CD"/>
    <w:rsid w:val="0EDD4088"/>
    <w:rsid w:val="0EF33AB3"/>
    <w:rsid w:val="0FB535AD"/>
    <w:rsid w:val="10520C08"/>
    <w:rsid w:val="132C69EE"/>
    <w:rsid w:val="15046C5D"/>
    <w:rsid w:val="16823C12"/>
    <w:rsid w:val="1783538F"/>
    <w:rsid w:val="181A629A"/>
    <w:rsid w:val="18AF7A2D"/>
    <w:rsid w:val="1A4B59CE"/>
    <w:rsid w:val="1C014C1E"/>
    <w:rsid w:val="1C071E01"/>
    <w:rsid w:val="1D244C3C"/>
    <w:rsid w:val="1D2D5631"/>
    <w:rsid w:val="1D43122E"/>
    <w:rsid w:val="1DD160A6"/>
    <w:rsid w:val="1DEF77E3"/>
    <w:rsid w:val="1E725B31"/>
    <w:rsid w:val="1FF32540"/>
    <w:rsid w:val="21100EFD"/>
    <w:rsid w:val="234171BE"/>
    <w:rsid w:val="2436731B"/>
    <w:rsid w:val="2455087A"/>
    <w:rsid w:val="2462126E"/>
    <w:rsid w:val="25F33409"/>
    <w:rsid w:val="25F660D7"/>
    <w:rsid w:val="260E7CC6"/>
    <w:rsid w:val="26417654"/>
    <w:rsid w:val="26D96DA7"/>
    <w:rsid w:val="26F83F35"/>
    <w:rsid w:val="2B9B40AD"/>
    <w:rsid w:val="2B9E1909"/>
    <w:rsid w:val="2C4A3E4F"/>
    <w:rsid w:val="2C6335D9"/>
    <w:rsid w:val="2CDA5D3C"/>
    <w:rsid w:val="2D1B7EF0"/>
    <w:rsid w:val="2EC16336"/>
    <w:rsid w:val="30296DC9"/>
    <w:rsid w:val="30CE286F"/>
    <w:rsid w:val="339715FE"/>
    <w:rsid w:val="33CC1196"/>
    <w:rsid w:val="33D53E37"/>
    <w:rsid w:val="34AF1FAA"/>
    <w:rsid w:val="350C5A51"/>
    <w:rsid w:val="3513157E"/>
    <w:rsid w:val="35F2338D"/>
    <w:rsid w:val="3601278A"/>
    <w:rsid w:val="369915A3"/>
    <w:rsid w:val="36CA1E3C"/>
    <w:rsid w:val="36D80123"/>
    <w:rsid w:val="36EB2C9D"/>
    <w:rsid w:val="37A73BCB"/>
    <w:rsid w:val="38167642"/>
    <w:rsid w:val="382E0A5C"/>
    <w:rsid w:val="38843602"/>
    <w:rsid w:val="39A3297E"/>
    <w:rsid w:val="3B40257B"/>
    <w:rsid w:val="3C0637C5"/>
    <w:rsid w:val="3C686A41"/>
    <w:rsid w:val="3E7C7647"/>
    <w:rsid w:val="3ECA0ADA"/>
    <w:rsid w:val="3ECC729E"/>
    <w:rsid w:val="3F456695"/>
    <w:rsid w:val="3FA07A8C"/>
    <w:rsid w:val="42303B00"/>
    <w:rsid w:val="436E048A"/>
    <w:rsid w:val="43F71D59"/>
    <w:rsid w:val="44303DB4"/>
    <w:rsid w:val="44BF4277"/>
    <w:rsid w:val="45AE4C3B"/>
    <w:rsid w:val="462140AB"/>
    <w:rsid w:val="47181A4B"/>
    <w:rsid w:val="48012F07"/>
    <w:rsid w:val="48401995"/>
    <w:rsid w:val="48DE6A3D"/>
    <w:rsid w:val="49180694"/>
    <w:rsid w:val="497E7342"/>
    <w:rsid w:val="4AA3092D"/>
    <w:rsid w:val="4B3612A5"/>
    <w:rsid w:val="4BED2946"/>
    <w:rsid w:val="4CA87F80"/>
    <w:rsid w:val="4E8F4D09"/>
    <w:rsid w:val="4EC960C1"/>
    <w:rsid w:val="4FA90297"/>
    <w:rsid w:val="500E5CC2"/>
    <w:rsid w:val="50824153"/>
    <w:rsid w:val="50EC5631"/>
    <w:rsid w:val="512239C3"/>
    <w:rsid w:val="523F1A72"/>
    <w:rsid w:val="56680DD2"/>
    <w:rsid w:val="566A3CE9"/>
    <w:rsid w:val="57405985"/>
    <w:rsid w:val="575064EA"/>
    <w:rsid w:val="57AE108B"/>
    <w:rsid w:val="585A6E01"/>
    <w:rsid w:val="593E7C09"/>
    <w:rsid w:val="594B0611"/>
    <w:rsid w:val="595E6596"/>
    <w:rsid w:val="596926C2"/>
    <w:rsid w:val="59943D66"/>
    <w:rsid w:val="59B50AEE"/>
    <w:rsid w:val="5A2C7900"/>
    <w:rsid w:val="5BFE62CB"/>
    <w:rsid w:val="5C2634BB"/>
    <w:rsid w:val="5C7016D4"/>
    <w:rsid w:val="5E033269"/>
    <w:rsid w:val="617B314A"/>
    <w:rsid w:val="621954CB"/>
    <w:rsid w:val="62F33FBC"/>
    <w:rsid w:val="62F8276B"/>
    <w:rsid w:val="64D65E75"/>
    <w:rsid w:val="66397BA0"/>
    <w:rsid w:val="670126CA"/>
    <w:rsid w:val="675B2A2A"/>
    <w:rsid w:val="67616CA5"/>
    <w:rsid w:val="677F74D6"/>
    <w:rsid w:val="67CA2BE2"/>
    <w:rsid w:val="6829731D"/>
    <w:rsid w:val="68C00CE3"/>
    <w:rsid w:val="696C2247"/>
    <w:rsid w:val="6A1A46D5"/>
    <w:rsid w:val="6AA45DD3"/>
    <w:rsid w:val="6B1271E1"/>
    <w:rsid w:val="6C116020"/>
    <w:rsid w:val="6EAD0866"/>
    <w:rsid w:val="6F1B1ED1"/>
    <w:rsid w:val="6F3A4760"/>
    <w:rsid w:val="703E2A87"/>
    <w:rsid w:val="70F10A1E"/>
    <w:rsid w:val="7107761A"/>
    <w:rsid w:val="72B94E61"/>
    <w:rsid w:val="73775FE8"/>
    <w:rsid w:val="743972B2"/>
    <w:rsid w:val="744E3F8D"/>
    <w:rsid w:val="75950C25"/>
    <w:rsid w:val="75B34205"/>
    <w:rsid w:val="75FD62D3"/>
    <w:rsid w:val="780E6FBC"/>
    <w:rsid w:val="78E76884"/>
    <w:rsid w:val="79C46EB6"/>
    <w:rsid w:val="7A233F4D"/>
    <w:rsid w:val="7A550195"/>
    <w:rsid w:val="7A5C11B0"/>
    <w:rsid w:val="7B26797F"/>
    <w:rsid w:val="7C6E07BA"/>
    <w:rsid w:val="7CE73101"/>
    <w:rsid w:val="7DE71A07"/>
    <w:rsid w:val="7DE9592E"/>
    <w:rsid w:val="7E1D0A13"/>
    <w:rsid w:val="7F7878FB"/>
    <w:rsid w:val="7FF4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next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13557</Words>
  <Characters>15637</Characters>
  <Lines>69</Lines>
  <Paragraphs>19</Paragraphs>
  <TotalTime>17</TotalTime>
  <ScaleCrop>false</ScaleCrop>
  <LinksUpToDate>false</LinksUpToDate>
  <CharactersWithSpaces>16571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文档存本地丢失不负责</cp:lastModifiedBy>
  <cp:lastPrinted>2022-07-27T12:55:00Z</cp:lastPrinted>
  <dcterms:modified xsi:type="dcterms:W3CDTF">2024-01-04T03:41:22Z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ACF008FE0C9D485997B55FD30D80E798</vt:lpwstr>
  </property>
</Properties>
</file>