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rPr>
          <w:rFonts w:asciiTheme="minorEastAsia" w:hAnsiTheme="minorEastAsia" w:eastAsiaTheme="minorEastAsia"/>
          <w:sz w:val="56"/>
          <w:szCs w:val="56"/>
          <w:highlight w:val="none"/>
        </w:rPr>
      </w:pPr>
      <w:bookmarkStart w:id="3" w:name="_GoBack"/>
    </w:p>
    <w:p>
      <w:pPr>
        <w:pStyle w:val="15"/>
        <w:jc w:val="center"/>
        <w:rPr>
          <w:rFonts w:asciiTheme="minorEastAsia" w:hAnsiTheme="minorEastAsia" w:eastAsiaTheme="minorEastAsia"/>
          <w:sz w:val="56"/>
          <w:szCs w:val="56"/>
          <w:highlight w:val="none"/>
        </w:rPr>
      </w:pPr>
    </w:p>
    <w:p>
      <w:pPr>
        <w:pStyle w:val="15"/>
        <w:jc w:val="center"/>
        <w:rPr>
          <w:rFonts w:asciiTheme="minorEastAsia" w:hAnsiTheme="minorEastAsia" w:eastAsiaTheme="minorEastAsia"/>
          <w:sz w:val="84"/>
          <w:szCs w:val="84"/>
          <w:highlight w:val="none"/>
        </w:rPr>
      </w:pPr>
    </w:p>
    <w:p>
      <w:pPr>
        <w:pStyle w:val="15"/>
        <w:jc w:val="center"/>
        <w:rPr>
          <w:rFonts w:asciiTheme="minorEastAsia" w:hAnsiTheme="minorEastAsia" w:eastAsiaTheme="minorEastAsia"/>
          <w:sz w:val="84"/>
          <w:szCs w:val="84"/>
          <w:highlight w:val="none"/>
        </w:rPr>
      </w:pPr>
    </w:p>
    <w:p>
      <w:pPr>
        <w:pStyle w:val="15"/>
        <w:jc w:val="center"/>
        <w:rPr>
          <w:rFonts w:hint="eastAsia" w:asciiTheme="majorEastAsia" w:hAnsiTheme="majorEastAsia" w:eastAsiaTheme="majorEastAsia" w:cstheme="majorEastAsia"/>
          <w:sz w:val="72"/>
          <w:szCs w:val="72"/>
          <w:highlight w:val="none"/>
        </w:rPr>
      </w:pPr>
      <w:r>
        <w:rPr>
          <w:rFonts w:hint="eastAsia" w:asciiTheme="majorEastAsia" w:hAnsiTheme="majorEastAsia" w:eastAsiaTheme="majorEastAsia" w:cstheme="majorEastAsia"/>
          <w:sz w:val="72"/>
          <w:szCs w:val="72"/>
          <w:highlight w:val="none"/>
        </w:rPr>
        <w:t>2021年度</w:t>
      </w:r>
    </w:p>
    <w:p>
      <w:pPr>
        <w:pStyle w:val="15"/>
        <w:jc w:val="center"/>
        <w:rPr>
          <w:rFonts w:hint="eastAsia" w:asciiTheme="majorEastAsia" w:hAnsiTheme="majorEastAsia" w:eastAsiaTheme="majorEastAsia" w:cstheme="majorEastAsia"/>
          <w:sz w:val="72"/>
          <w:szCs w:val="72"/>
          <w:highlight w:val="none"/>
        </w:rPr>
      </w:pPr>
      <w:r>
        <w:rPr>
          <w:rFonts w:hint="eastAsia" w:asciiTheme="majorEastAsia" w:hAnsiTheme="majorEastAsia" w:eastAsiaTheme="majorEastAsia" w:cstheme="majorEastAsia"/>
          <w:sz w:val="72"/>
          <w:szCs w:val="72"/>
          <w:highlight w:val="none"/>
        </w:rPr>
        <w:t>中共祁阳市网络安全和信息化</w:t>
      </w:r>
    </w:p>
    <w:p>
      <w:pPr>
        <w:pStyle w:val="15"/>
        <w:jc w:val="center"/>
        <w:rPr>
          <w:rFonts w:hint="eastAsia" w:asciiTheme="majorEastAsia" w:hAnsiTheme="majorEastAsia" w:eastAsiaTheme="majorEastAsia" w:cstheme="majorEastAsia"/>
          <w:sz w:val="72"/>
          <w:szCs w:val="72"/>
          <w:highlight w:val="none"/>
        </w:rPr>
      </w:pPr>
      <w:r>
        <w:rPr>
          <w:rFonts w:hint="eastAsia" w:asciiTheme="majorEastAsia" w:hAnsiTheme="majorEastAsia" w:eastAsiaTheme="majorEastAsia" w:cstheme="majorEastAsia"/>
          <w:sz w:val="72"/>
          <w:szCs w:val="72"/>
          <w:highlight w:val="none"/>
        </w:rPr>
        <w:t>委员会办公室部门决算</w:t>
      </w:r>
    </w:p>
    <w:p>
      <w:pPr>
        <w:pStyle w:val="15"/>
        <w:jc w:val="center"/>
        <w:rPr>
          <w:rFonts w:asciiTheme="minorEastAsia" w:hAnsiTheme="minorEastAsia" w:eastAsiaTheme="minorEastAsia"/>
          <w:sz w:val="56"/>
          <w:szCs w:val="56"/>
          <w:highlight w:val="none"/>
        </w:rPr>
      </w:pPr>
    </w:p>
    <w:p>
      <w:pPr>
        <w:pStyle w:val="15"/>
        <w:jc w:val="center"/>
        <w:rPr>
          <w:rFonts w:asciiTheme="minorEastAsia" w:hAnsiTheme="minorEastAsia" w:eastAsiaTheme="minorEastAsia"/>
          <w:sz w:val="56"/>
          <w:szCs w:val="56"/>
          <w:highlight w:val="none"/>
        </w:rPr>
      </w:pPr>
    </w:p>
    <w:p>
      <w:pPr>
        <w:pStyle w:val="15"/>
        <w:jc w:val="center"/>
        <w:rPr>
          <w:rFonts w:asciiTheme="minorEastAsia" w:hAnsiTheme="minorEastAsia" w:eastAsiaTheme="minorEastAsia"/>
          <w:sz w:val="56"/>
          <w:szCs w:val="56"/>
          <w:highlight w:val="none"/>
        </w:rPr>
      </w:pPr>
    </w:p>
    <w:p>
      <w:pPr>
        <w:pStyle w:val="15"/>
        <w:jc w:val="center"/>
        <w:rPr>
          <w:rFonts w:asciiTheme="minorEastAsia" w:hAnsiTheme="minorEastAsia" w:eastAsiaTheme="minorEastAsia"/>
          <w:sz w:val="56"/>
          <w:szCs w:val="56"/>
          <w:highlight w:val="none"/>
        </w:rPr>
      </w:pPr>
    </w:p>
    <w:p>
      <w:pPr>
        <w:pStyle w:val="15"/>
        <w:jc w:val="center"/>
        <w:rPr>
          <w:rFonts w:asciiTheme="minorEastAsia" w:hAnsiTheme="minorEastAsia" w:eastAsiaTheme="minorEastAsia"/>
          <w:sz w:val="32"/>
          <w:szCs w:val="32"/>
          <w:highlight w:val="none"/>
        </w:rPr>
      </w:pPr>
    </w:p>
    <w:p>
      <w:pPr>
        <w:pStyle w:val="15"/>
        <w:jc w:val="center"/>
        <w:rPr>
          <w:rFonts w:asciiTheme="minorEastAsia" w:hAnsiTheme="minorEastAsia" w:eastAsiaTheme="minorEastAsia"/>
          <w:sz w:val="32"/>
          <w:szCs w:val="32"/>
          <w:highlight w:val="none"/>
        </w:rPr>
      </w:pPr>
    </w:p>
    <w:p>
      <w:pPr>
        <w:pStyle w:val="15"/>
        <w:jc w:val="center"/>
        <w:rPr>
          <w:rFonts w:asciiTheme="minorEastAsia" w:hAnsiTheme="minorEastAsia" w:eastAsiaTheme="minorEastAsia"/>
          <w:sz w:val="32"/>
          <w:szCs w:val="32"/>
          <w:highlight w:val="none"/>
        </w:rPr>
      </w:pPr>
    </w:p>
    <w:p>
      <w:pPr>
        <w:pStyle w:val="15"/>
        <w:jc w:val="center"/>
        <w:rPr>
          <w:rFonts w:asciiTheme="minorEastAsia" w:hAnsiTheme="minorEastAsia" w:eastAsiaTheme="minorEastAsia"/>
          <w:sz w:val="32"/>
          <w:szCs w:val="32"/>
          <w:highlight w:val="none"/>
        </w:rPr>
      </w:pPr>
    </w:p>
    <w:p>
      <w:pPr>
        <w:pStyle w:val="15"/>
        <w:spacing w:line="500" w:lineRule="exact"/>
        <w:jc w:val="both"/>
        <w:rPr>
          <w:rFonts w:asciiTheme="minorEastAsia" w:hAnsiTheme="minorEastAsia" w:eastAsiaTheme="minorEastAsia"/>
          <w:b/>
          <w:sz w:val="36"/>
          <w:szCs w:val="28"/>
          <w:highlight w:val="none"/>
        </w:rPr>
      </w:pPr>
    </w:p>
    <w:p>
      <w:pPr>
        <w:pStyle w:val="15"/>
        <w:spacing w:line="500" w:lineRule="exact"/>
        <w:jc w:val="both"/>
        <w:rPr>
          <w:rFonts w:asciiTheme="minorEastAsia" w:hAnsiTheme="minorEastAsia" w:eastAsiaTheme="minorEastAsia"/>
          <w:b/>
          <w:sz w:val="36"/>
          <w:szCs w:val="28"/>
          <w:highlight w:val="none"/>
        </w:rPr>
      </w:pPr>
    </w:p>
    <w:p>
      <w:pPr>
        <w:pStyle w:val="15"/>
        <w:spacing w:line="500" w:lineRule="exact"/>
        <w:jc w:val="center"/>
        <w:rPr>
          <w:rFonts w:asciiTheme="minorEastAsia" w:hAnsiTheme="minorEastAsia" w:eastAsiaTheme="minorEastAsia"/>
          <w:b/>
          <w:sz w:val="36"/>
          <w:szCs w:val="28"/>
          <w:highlight w:val="none"/>
        </w:rPr>
      </w:pPr>
      <w:r>
        <w:rPr>
          <w:rFonts w:hint="eastAsia" w:asciiTheme="minorEastAsia" w:hAnsiTheme="minorEastAsia" w:eastAsiaTheme="minorEastAsia"/>
          <w:b/>
          <w:sz w:val="36"/>
          <w:szCs w:val="28"/>
          <w:highlight w:val="none"/>
        </w:rPr>
        <w:t>目录</w:t>
      </w:r>
    </w:p>
    <w:p>
      <w:pPr>
        <w:pStyle w:val="15"/>
        <w:keepNext w:val="0"/>
        <w:keepLines w:val="0"/>
        <w:pageBreakBefore w:val="0"/>
        <w:widowControl w:val="0"/>
        <w:kinsoku/>
        <w:wordWrap/>
        <w:overflowPunct/>
        <w:topLinePunct w:val="0"/>
        <w:bidi w:val="0"/>
        <w:snapToGrid/>
        <w:spacing w:line="490" w:lineRule="exact"/>
        <w:textAlignment w:val="auto"/>
        <w:rPr>
          <w:rFonts w:cs="仿宋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第一部分</w:t>
      </w:r>
      <w:r>
        <w:rPr>
          <w:rFonts w:hint="eastAsia" w:asciiTheme="minorEastAsia" w:hAnsiTheme="minorEastAsia" w:eastAsiaTheme="minorEastAsia"/>
          <w:b/>
          <w:sz w:val="28"/>
          <w:szCs w:val="28"/>
          <w:highlight w:val="none"/>
          <w:lang w:val="en-US" w:eastAsia="zh-CN"/>
        </w:rPr>
        <w:t xml:space="preserve"> </w:t>
      </w:r>
      <w:r>
        <w:rPr>
          <w:rFonts w:hint="eastAsia" w:asciiTheme="minorEastAsia" w:hAnsiTheme="minorEastAsia" w:eastAsiaTheme="minorEastAsia"/>
          <w:b/>
          <w:sz w:val="28"/>
          <w:szCs w:val="28"/>
          <w:highlight w:val="none"/>
        </w:rPr>
        <w:t>中共祁阳市网络安全和信息化委员会办公室概况</w:t>
      </w:r>
    </w:p>
    <w:p>
      <w:pPr>
        <w:pStyle w:val="15"/>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一、部门职责</w:t>
      </w:r>
    </w:p>
    <w:p>
      <w:pPr>
        <w:pStyle w:val="15"/>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二、</w:t>
      </w:r>
      <w:r>
        <w:rPr>
          <w:rFonts w:hint="eastAsia" w:cs="仿宋_GB2312" w:asciiTheme="minorEastAsia" w:hAnsiTheme="minorEastAsia" w:eastAsiaTheme="minorEastAsia"/>
          <w:sz w:val="28"/>
          <w:szCs w:val="28"/>
          <w:highlight w:val="none"/>
        </w:rPr>
        <w:t>机构设置及决算单位构成</w:t>
      </w:r>
    </w:p>
    <w:p>
      <w:pPr>
        <w:pStyle w:val="15"/>
        <w:keepNext w:val="0"/>
        <w:keepLines w:val="0"/>
        <w:pageBreakBefore w:val="0"/>
        <w:widowControl w:val="0"/>
        <w:kinsoku/>
        <w:wordWrap/>
        <w:overflowPunct/>
        <w:topLinePunct w:val="0"/>
        <w:bidi w:val="0"/>
        <w:snapToGrid/>
        <w:spacing w:line="490" w:lineRule="exact"/>
        <w:textAlignment w:val="auto"/>
        <w:rPr>
          <w:rFonts w:cs="仿宋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第二部分</w:t>
      </w:r>
      <w:r>
        <w:rPr>
          <w:rFonts w:hint="eastAsia" w:asciiTheme="minorEastAsia" w:hAnsiTheme="minorEastAsia" w:eastAsiaTheme="minorEastAsia"/>
          <w:b/>
          <w:sz w:val="28"/>
          <w:szCs w:val="28"/>
          <w:highlight w:val="none"/>
          <w:lang w:val="en-US" w:eastAsia="zh-CN"/>
        </w:rPr>
        <w:t xml:space="preserve"> </w:t>
      </w:r>
      <w:r>
        <w:rPr>
          <w:rFonts w:asciiTheme="minorEastAsia" w:hAnsiTheme="minorEastAsia" w:eastAsiaTheme="minorEastAsia"/>
          <w:b/>
          <w:sz w:val="28"/>
          <w:szCs w:val="28"/>
          <w:highlight w:val="none"/>
        </w:rPr>
        <w:t>20</w:t>
      </w:r>
      <w:r>
        <w:rPr>
          <w:rFonts w:hint="eastAsia" w:asciiTheme="minorEastAsia" w:hAnsiTheme="minorEastAsia" w:eastAsiaTheme="minorEastAsia"/>
          <w:b/>
          <w:sz w:val="28"/>
          <w:szCs w:val="28"/>
          <w:highlight w:val="none"/>
        </w:rPr>
        <w:t>21年度部门决算表</w:t>
      </w:r>
    </w:p>
    <w:p>
      <w:pPr>
        <w:pStyle w:val="15"/>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一、收入支出决算总表</w:t>
      </w:r>
    </w:p>
    <w:p>
      <w:pPr>
        <w:pStyle w:val="15"/>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二、收入决算表</w:t>
      </w:r>
    </w:p>
    <w:p>
      <w:pPr>
        <w:pStyle w:val="15"/>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三、支出决算表</w:t>
      </w:r>
    </w:p>
    <w:p>
      <w:pPr>
        <w:pStyle w:val="15"/>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四、财政拨款收入支出决算总表</w:t>
      </w:r>
    </w:p>
    <w:p>
      <w:pPr>
        <w:pStyle w:val="15"/>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五、一般公共预算财政拨款支出决算表</w:t>
      </w:r>
    </w:p>
    <w:p>
      <w:pPr>
        <w:pStyle w:val="15"/>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六、一般公共预算财政拨款基本支出决算</w:t>
      </w:r>
      <w:r>
        <w:rPr>
          <w:rFonts w:hint="eastAsia" w:cs="仿宋_GB2312" w:asciiTheme="minorEastAsia" w:hAnsiTheme="minorEastAsia" w:eastAsiaTheme="minorEastAsia"/>
          <w:sz w:val="28"/>
          <w:szCs w:val="28"/>
          <w:highlight w:val="none"/>
        </w:rPr>
        <w:t>明细</w:t>
      </w:r>
      <w:r>
        <w:rPr>
          <w:rFonts w:cs="仿宋_GB2312" w:asciiTheme="minorEastAsia" w:hAnsiTheme="minorEastAsia" w:eastAsiaTheme="minorEastAsia"/>
          <w:sz w:val="28"/>
          <w:szCs w:val="28"/>
          <w:highlight w:val="none"/>
        </w:rPr>
        <w:t>表</w:t>
      </w:r>
    </w:p>
    <w:p>
      <w:pPr>
        <w:pStyle w:val="15"/>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七、一般公共预算财政拨款“三公”经费支出决算表</w:t>
      </w:r>
    </w:p>
    <w:p>
      <w:pPr>
        <w:pStyle w:val="15"/>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八、政府性基金预算财政拨款收入支出决算表</w:t>
      </w:r>
    </w:p>
    <w:p>
      <w:pPr>
        <w:pStyle w:val="15"/>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九、国有资本经营预算财政拨款支出决算表</w:t>
      </w:r>
    </w:p>
    <w:p>
      <w:pPr>
        <w:pStyle w:val="15"/>
        <w:keepNext w:val="0"/>
        <w:keepLines w:val="0"/>
        <w:pageBreakBefore w:val="0"/>
        <w:widowControl w:val="0"/>
        <w:kinsoku/>
        <w:wordWrap/>
        <w:overflowPunct/>
        <w:topLinePunct w:val="0"/>
        <w:bidi w:val="0"/>
        <w:snapToGrid/>
        <w:spacing w:line="490" w:lineRule="exact"/>
        <w:textAlignment w:val="auto"/>
        <w:rPr>
          <w:rFonts w:cs="仿宋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第三部分</w:t>
      </w:r>
      <w:r>
        <w:rPr>
          <w:rFonts w:hint="eastAsia" w:asciiTheme="minorEastAsia" w:hAnsiTheme="minorEastAsia" w:eastAsiaTheme="minorEastAsia"/>
          <w:b/>
          <w:sz w:val="28"/>
          <w:szCs w:val="28"/>
          <w:highlight w:val="none"/>
          <w:lang w:val="en-US" w:eastAsia="zh-CN"/>
        </w:rPr>
        <w:t xml:space="preserve"> </w:t>
      </w:r>
      <w:r>
        <w:rPr>
          <w:rFonts w:asciiTheme="minorEastAsia" w:hAnsiTheme="minorEastAsia" w:eastAsiaTheme="minorEastAsia"/>
          <w:b/>
          <w:sz w:val="28"/>
          <w:szCs w:val="28"/>
          <w:highlight w:val="none"/>
        </w:rPr>
        <w:t>20</w:t>
      </w:r>
      <w:r>
        <w:rPr>
          <w:rFonts w:hint="eastAsia" w:asciiTheme="minorEastAsia" w:hAnsiTheme="minorEastAsia" w:eastAsiaTheme="minorEastAsia"/>
          <w:b/>
          <w:sz w:val="28"/>
          <w:szCs w:val="28"/>
          <w:highlight w:val="none"/>
        </w:rPr>
        <w:t>21年度部门决算情况说明</w:t>
      </w:r>
    </w:p>
    <w:p>
      <w:pPr>
        <w:pStyle w:val="15"/>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一、收入支出决算总体情况说明</w:t>
      </w:r>
    </w:p>
    <w:p>
      <w:pPr>
        <w:keepNext w:val="0"/>
        <w:keepLines w:val="0"/>
        <w:pageBreakBefore w:val="0"/>
        <w:widowControl w:val="0"/>
        <w:kinsoku/>
        <w:wordWrap/>
        <w:overflowPunct/>
        <w:topLinePunct w:val="0"/>
        <w:bidi w:val="0"/>
        <w:snapToGrid/>
        <w:spacing w:line="490" w:lineRule="exact"/>
        <w:ind w:firstLine="700" w:firstLineChars="250"/>
        <w:jc w:val="left"/>
        <w:textAlignment w:val="auto"/>
        <w:rPr>
          <w:rFonts w:cs="仿宋_GB2312" w:asciiTheme="minorEastAsia" w:hAnsiTheme="minorEastAsia"/>
          <w:sz w:val="28"/>
          <w:szCs w:val="28"/>
          <w:highlight w:val="none"/>
        </w:rPr>
      </w:pPr>
      <w:r>
        <w:rPr>
          <w:rFonts w:cs="仿宋_GB2312" w:asciiTheme="minorEastAsia" w:hAnsiTheme="minorEastAsia"/>
          <w:sz w:val="28"/>
          <w:szCs w:val="28"/>
          <w:highlight w:val="none"/>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七、一般公共预算财政拨款</w:t>
      </w:r>
      <w:r>
        <w:rPr>
          <w:rFonts w:hint="eastAsia" w:cs="仿宋_GB2312" w:asciiTheme="minorEastAsia" w:hAnsiTheme="minorEastAsia"/>
          <w:color w:val="000000"/>
          <w:kern w:val="0"/>
          <w:sz w:val="28"/>
          <w:szCs w:val="28"/>
          <w:highlight w:val="none"/>
        </w:rPr>
        <w:t>“</w:t>
      </w:r>
      <w:r>
        <w:rPr>
          <w:rFonts w:cs="仿宋_GB2312" w:asciiTheme="minorEastAsia" w:hAnsiTheme="minorEastAsia"/>
          <w:color w:val="000000"/>
          <w:kern w:val="0"/>
          <w:sz w:val="28"/>
          <w:szCs w:val="28"/>
          <w:highlight w:val="none"/>
        </w:rPr>
        <w:t>三公</w:t>
      </w:r>
      <w:r>
        <w:rPr>
          <w:rFonts w:hint="eastAsia" w:cs="仿宋_GB2312" w:asciiTheme="minorEastAsia" w:hAnsiTheme="minorEastAsia"/>
          <w:color w:val="000000"/>
          <w:kern w:val="0"/>
          <w:sz w:val="28"/>
          <w:szCs w:val="28"/>
          <w:highlight w:val="none"/>
        </w:rPr>
        <w:t>”</w:t>
      </w:r>
      <w:r>
        <w:rPr>
          <w:rFonts w:cs="仿宋_GB2312" w:asciiTheme="minorEastAsia" w:hAnsiTheme="minorEastAsia"/>
          <w:color w:val="000000"/>
          <w:kern w:val="0"/>
          <w:sz w:val="28"/>
          <w:szCs w:val="28"/>
          <w:highlight w:val="none"/>
        </w:rPr>
        <w:t>经费支出决算情况说明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八</w:t>
      </w:r>
      <w:r>
        <w:rPr>
          <w:rFonts w:cs="仿宋_GB2312" w:asciiTheme="minorEastAsia" w:hAnsiTheme="minorEastAsia"/>
          <w:color w:val="000000"/>
          <w:kern w:val="0"/>
          <w:sz w:val="28"/>
          <w:szCs w:val="28"/>
          <w:highlight w:val="none"/>
        </w:rPr>
        <w:t>、</w:t>
      </w:r>
      <w:r>
        <w:rPr>
          <w:rFonts w:hint="eastAsia" w:cs="仿宋_GB2312" w:asciiTheme="minorEastAsia" w:hAnsiTheme="minorEastAsia"/>
          <w:color w:val="000000"/>
          <w:kern w:val="0"/>
          <w:sz w:val="28"/>
          <w:szCs w:val="28"/>
          <w:highlight w:val="none"/>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九</w:t>
      </w:r>
      <w:r>
        <w:rPr>
          <w:rFonts w:cs="仿宋_GB2312" w:asciiTheme="minorEastAsia" w:hAnsiTheme="minorEastAsia"/>
          <w:color w:val="000000"/>
          <w:kern w:val="0"/>
          <w:sz w:val="28"/>
          <w:szCs w:val="28"/>
          <w:highlight w:val="none"/>
        </w:rPr>
        <w:t>、</w:t>
      </w:r>
      <w:r>
        <w:rPr>
          <w:rFonts w:hint="eastAsia" w:cs="仿宋_GB2312" w:asciiTheme="minorEastAsia" w:hAnsiTheme="minorEastAsia"/>
          <w:color w:val="000000"/>
          <w:kern w:val="0"/>
          <w:sz w:val="28"/>
          <w:szCs w:val="28"/>
          <w:highlight w:val="none"/>
        </w:rPr>
        <w:t>机关运行经费支出说明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十、一般性支出情况说明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十一、政府采购支出说明</w:t>
      </w:r>
    </w:p>
    <w:p>
      <w:pPr>
        <w:pStyle w:val="15"/>
        <w:keepNext w:val="0"/>
        <w:keepLines w:val="0"/>
        <w:pageBreakBefore w:val="0"/>
        <w:widowControl w:val="0"/>
        <w:kinsoku/>
        <w:wordWrap/>
        <w:overflowPunct/>
        <w:topLinePunct w:val="0"/>
        <w:bidi w:val="0"/>
        <w:snapToGrid/>
        <w:spacing w:line="490" w:lineRule="exact"/>
        <w:ind w:firstLine="700" w:firstLineChars="25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十二、国有资产占用情况说明</w:t>
      </w:r>
    </w:p>
    <w:p>
      <w:pPr>
        <w:pStyle w:val="15"/>
        <w:keepNext w:val="0"/>
        <w:keepLines w:val="0"/>
        <w:pageBreakBefore w:val="0"/>
        <w:widowControl w:val="0"/>
        <w:kinsoku/>
        <w:wordWrap/>
        <w:overflowPunct/>
        <w:topLinePunct w:val="0"/>
        <w:bidi w:val="0"/>
        <w:snapToGrid/>
        <w:spacing w:line="490" w:lineRule="exact"/>
        <w:ind w:firstLine="700" w:firstLineChars="25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color w:val="000000"/>
          <w:sz w:val="28"/>
          <w:szCs w:val="28"/>
          <w:highlight w:val="none"/>
          <w:lang w:val="en-US" w:eastAsia="zh-CN"/>
        </w:rPr>
        <w:t>十三</w:t>
      </w:r>
      <w:r>
        <w:rPr>
          <w:rFonts w:hint="eastAsia" w:cs="仿宋_GB2312" w:asciiTheme="minorEastAsia" w:hAnsiTheme="minorEastAsia" w:eastAsiaTheme="minorEastAsia"/>
          <w:color w:val="000000"/>
          <w:sz w:val="28"/>
          <w:szCs w:val="28"/>
          <w:highlight w:val="none"/>
        </w:rPr>
        <w:t>、国有资本经营预算财政拨款支出决算情况</w:t>
      </w:r>
    </w:p>
    <w:p>
      <w:pPr>
        <w:pStyle w:val="15"/>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十</w:t>
      </w:r>
      <w:r>
        <w:rPr>
          <w:rFonts w:hint="eastAsia" w:cs="仿宋_GB2312" w:asciiTheme="minorEastAsia" w:hAnsiTheme="minorEastAsia" w:eastAsiaTheme="minorEastAsia"/>
          <w:sz w:val="28"/>
          <w:szCs w:val="28"/>
          <w:highlight w:val="none"/>
          <w:lang w:val="en-US" w:eastAsia="zh-CN"/>
        </w:rPr>
        <w:t>四</w:t>
      </w:r>
      <w:r>
        <w:rPr>
          <w:rFonts w:hint="eastAsia" w:cs="仿宋_GB2312" w:asciiTheme="minorEastAsia" w:hAnsiTheme="minorEastAsia" w:eastAsiaTheme="minorEastAsia"/>
          <w:sz w:val="28"/>
          <w:szCs w:val="28"/>
          <w:highlight w:val="none"/>
        </w:rPr>
        <w:t>、2021年度预算绩效情况说明</w:t>
      </w:r>
    </w:p>
    <w:p>
      <w:pPr>
        <w:keepNext w:val="0"/>
        <w:keepLines w:val="0"/>
        <w:pageBreakBefore w:val="0"/>
        <w:widowControl w:val="0"/>
        <w:kinsoku/>
        <w:wordWrap/>
        <w:overflowPunct/>
        <w:topLinePunct w:val="0"/>
        <w:autoSpaceDE w:val="0"/>
        <w:autoSpaceDN w:val="0"/>
        <w:bidi w:val="0"/>
        <w:adjustRightInd w:val="0"/>
        <w:snapToGrid/>
        <w:spacing w:line="490" w:lineRule="exact"/>
        <w:jc w:val="left"/>
        <w:textAlignment w:val="auto"/>
        <w:rPr>
          <w:rFonts w:cs="黑体" w:asciiTheme="minorEastAsia" w:hAnsiTheme="minorEastAsia"/>
          <w:b/>
          <w:color w:val="000000"/>
          <w:kern w:val="0"/>
          <w:sz w:val="28"/>
          <w:szCs w:val="28"/>
          <w:highlight w:val="none"/>
        </w:rPr>
      </w:pPr>
      <w:r>
        <w:rPr>
          <w:rFonts w:cs="黑体" w:asciiTheme="minorEastAsia" w:hAnsiTheme="minorEastAsia"/>
          <w:b/>
          <w:color w:val="000000"/>
          <w:kern w:val="0"/>
          <w:sz w:val="28"/>
          <w:szCs w:val="28"/>
          <w:highlight w:val="none"/>
        </w:rPr>
        <w:t>第四部分名词解释</w:t>
      </w:r>
    </w:p>
    <w:p>
      <w:pPr>
        <w:keepNext w:val="0"/>
        <w:keepLines w:val="0"/>
        <w:pageBreakBefore w:val="0"/>
        <w:widowControl w:val="0"/>
        <w:kinsoku/>
        <w:wordWrap/>
        <w:overflowPunct/>
        <w:topLinePunct w:val="0"/>
        <w:autoSpaceDE w:val="0"/>
        <w:autoSpaceDN w:val="0"/>
        <w:bidi w:val="0"/>
        <w:adjustRightInd w:val="0"/>
        <w:snapToGrid/>
        <w:spacing w:line="490" w:lineRule="exact"/>
        <w:jc w:val="left"/>
        <w:textAlignment w:val="auto"/>
        <w:rPr>
          <w:rFonts w:cs="仿宋_GB2312" w:asciiTheme="minorEastAsia" w:hAnsiTheme="minorEastAsia"/>
          <w:b/>
          <w:color w:val="000000"/>
          <w:kern w:val="0"/>
          <w:sz w:val="28"/>
          <w:szCs w:val="28"/>
          <w:highlight w:val="none"/>
        </w:rPr>
      </w:pPr>
      <w:r>
        <w:rPr>
          <w:rFonts w:hint="eastAsia" w:cs="黑体" w:asciiTheme="minorEastAsia" w:hAnsiTheme="minorEastAsia"/>
          <w:b/>
          <w:color w:val="000000"/>
          <w:kern w:val="0"/>
          <w:sz w:val="28"/>
          <w:szCs w:val="28"/>
          <w:highlight w:val="none"/>
        </w:rPr>
        <w:t>第五部分附件</w:t>
      </w: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rPr>
          <w:rFonts w:asciiTheme="minorEastAsia" w:hAnsiTheme="minorEastAsia"/>
          <w:sz w:val="72"/>
          <w:szCs w:val="72"/>
          <w:highlight w:val="none"/>
        </w:rPr>
      </w:pPr>
    </w:p>
    <w:p>
      <w:pPr>
        <w:pStyle w:val="15"/>
        <w:jc w:val="center"/>
        <w:rPr>
          <w:rFonts w:asciiTheme="minorEastAsia" w:hAnsiTheme="minorEastAsia" w:eastAsiaTheme="minorEastAsia"/>
          <w:b w:val="0"/>
          <w:bCs w:val="0"/>
          <w:sz w:val="72"/>
          <w:szCs w:val="72"/>
          <w:highlight w:val="none"/>
        </w:rPr>
      </w:pPr>
      <w:r>
        <w:rPr>
          <w:rFonts w:hint="eastAsia" w:asciiTheme="minorEastAsia" w:hAnsiTheme="minorEastAsia" w:eastAsiaTheme="minorEastAsia"/>
          <w:b w:val="0"/>
          <w:bCs w:val="0"/>
          <w:sz w:val="72"/>
          <w:szCs w:val="72"/>
          <w:highlight w:val="none"/>
        </w:rPr>
        <w:t>第一部分</w:t>
      </w:r>
      <w:r>
        <w:rPr>
          <w:rFonts w:asciiTheme="minorEastAsia" w:hAnsiTheme="minorEastAsia" w:eastAsiaTheme="minorEastAsia"/>
          <w:b w:val="0"/>
          <w:bCs w:val="0"/>
          <w:sz w:val="72"/>
          <w:szCs w:val="72"/>
          <w:highlight w:val="none"/>
        </w:rPr>
        <w:t xml:space="preserve"> </w:t>
      </w:r>
    </w:p>
    <w:p>
      <w:pPr>
        <w:pStyle w:val="15"/>
        <w:jc w:val="center"/>
        <w:rPr>
          <w:rFonts w:asciiTheme="minorEastAsia" w:hAnsiTheme="minorEastAsia" w:eastAsiaTheme="minorEastAsia"/>
          <w:b w:val="0"/>
          <w:bCs w:val="0"/>
          <w:sz w:val="72"/>
          <w:szCs w:val="72"/>
          <w:highlight w:val="none"/>
        </w:rPr>
      </w:pPr>
    </w:p>
    <w:p>
      <w:pPr>
        <w:pStyle w:val="15"/>
        <w:jc w:val="center"/>
        <w:rPr>
          <w:rFonts w:hint="eastAsia" w:asciiTheme="minorEastAsia" w:hAnsiTheme="minorEastAsia" w:eastAsiaTheme="minorEastAsia"/>
          <w:b w:val="0"/>
          <w:bCs w:val="0"/>
          <w:sz w:val="72"/>
          <w:szCs w:val="72"/>
          <w:highlight w:val="none"/>
        </w:rPr>
      </w:pPr>
      <w:r>
        <w:rPr>
          <w:rFonts w:hint="eastAsia" w:asciiTheme="minorEastAsia" w:hAnsiTheme="minorEastAsia" w:eastAsiaTheme="minorEastAsia"/>
          <w:b w:val="0"/>
          <w:bCs w:val="0"/>
          <w:sz w:val="72"/>
          <w:szCs w:val="72"/>
          <w:highlight w:val="none"/>
        </w:rPr>
        <w:t>中共祁阳市网络安全和信息化</w:t>
      </w:r>
    </w:p>
    <w:p>
      <w:pPr>
        <w:pStyle w:val="15"/>
        <w:jc w:val="center"/>
        <w:rPr>
          <w:rFonts w:asciiTheme="minorEastAsia" w:hAnsiTheme="minorEastAsia" w:eastAsiaTheme="minorEastAsia"/>
          <w:b w:val="0"/>
          <w:bCs w:val="0"/>
          <w:sz w:val="72"/>
          <w:szCs w:val="72"/>
          <w:highlight w:val="none"/>
        </w:rPr>
      </w:pPr>
      <w:r>
        <w:rPr>
          <w:rFonts w:hint="eastAsia" w:asciiTheme="minorEastAsia" w:hAnsiTheme="minorEastAsia" w:eastAsiaTheme="minorEastAsia"/>
          <w:b w:val="0"/>
          <w:bCs w:val="0"/>
          <w:sz w:val="72"/>
          <w:szCs w:val="72"/>
          <w:highlight w:val="none"/>
        </w:rPr>
        <w:t>委员会办公室概况</w:t>
      </w: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pStyle w:val="16"/>
        <w:ind w:left="0" w:leftChars="0" w:firstLine="0" w:firstLineChars="0"/>
        <w:jc w:val="left"/>
        <w:rPr>
          <w:rFonts w:asciiTheme="minorEastAsia" w:hAnsiTheme="minorEastAsia"/>
          <w:sz w:val="32"/>
          <w:szCs w:val="32"/>
          <w:highlight w:val="none"/>
        </w:rPr>
      </w:pPr>
    </w:p>
    <w:p>
      <w:pPr>
        <w:pStyle w:val="16"/>
        <w:ind w:left="0" w:leftChars="0" w:firstLine="0" w:firstLineChars="0"/>
        <w:jc w:val="left"/>
        <w:rPr>
          <w:rFonts w:asciiTheme="minorEastAsia" w:hAnsiTheme="minorEastAsia"/>
          <w:sz w:val="32"/>
          <w:szCs w:val="32"/>
          <w:highlight w:val="none"/>
        </w:rPr>
      </w:pPr>
    </w:p>
    <w:p>
      <w:pPr>
        <w:pStyle w:val="16"/>
        <w:ind w:left="0" w:leftChars="0" w:firstLine="0" w:firstLineChars="0"/>
        <w:jc w:val="left"/>
        <w:rPr>
          <w:rFonts w:asciiTheme="minorEastAsia" w:hAnsiTheme="minorEastAsia"/>
          <w:sz w:val="32"/>
          <w:szCs w:val="32"/>
          <w:highlight w:val="none"/>
        </w:rPr>
      </w:pPr>
    </w:p>
    <w:p>
      <w:pPr>
        <w:pStyle w:val="16"/>
        <w:ind w:left="0" w:leftChars="0" w:firstLine="0" w:firstLineChars="0"/>
        <w:jc w:val="left"/>
        <w:rPr>
          <w:rFonts w:asciiTheme="minorEastAsia" w:hAnsiTheme="minorEastAsia"/>
          <w:sz w:val="32"/>
          <w:szCs w:val="32"/>
          <w:highlight w:val="none"/>
        </w:rPr>
      </w:pPr>
    </w:p>
    <w:p>
      <w:pPr>
        <w:rPr>
          <w:rFonts w:hint="eastAsia" w:asciiTheme="minorEastAsia" w:hAnsiTheme="minorEastAsia"/>
          <w:sz w:val="32"/>
          <w:szCs w:val="32"/>
          <w:highlight w:val="none"/>
        </w:rPr>
      </w:pPr>
      <w:r>
        <w:rPr>
          <w:rFonts w:hint="eastAsia" w:asciiTheme="minorEastAsia" w:hAnsiTheme="minorEastAsia"/>
          <w:sz w:val="32"/>
          <w:szCs w:val="32"/>
          <w:highlight w:val="none"/>
        </w:rPr>
        <w:br w:type="page"/>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Theme="minorEastAsia" w:hAnsiTheme="minorEastAsia"/>
          <w:b/>
          <w:bCs/>
          <w:sz w:val="32"/>
          <w:szCs w:val="32"/>
          <w:highlight w:val="none"/>
        </w:rPr>
      </w:pPr>
      <w:r>
        <w:rPr>
          <w:rFonts w:hint="eastAsia" w:asciiTheme="minorEastAsia" w:hAnsiTheme="minorEastAsia"/>
          <w:b/>
          <w:bCs/>
          <w:sz w:val="32"/>
          <w:szCs w:val="32"/>
          <w:highlight w:val="none"/>
        </w:rPr>
        <w:t>一、部门职责</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sz w:val="32"/>
          <w:szCs w:val="32"/>
          <w:highlight w:val="none"/>
        </w:rPr>
      </w:pPr>
      <w:r>
        <w:rPr>
          <w:rFonts w:hint="eastAsia" w:asciiTheme="minorEastAsia" w:hAnsiTheme="minorEastAsia"/>
          <w:sz w:val="32"/>
          <w:szCs w:val="32"/>
          <w:highlight w:val="none"/>
        </w:rPr>
        <w:t>内容涉密，依法不予公开。</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Theme="minorEastAsia" w:hAnsiTheme="minorEastAsia"/>
          <w:b/>
          <w:bCs/>
          <w:sz w:val="32"/>
          <w:szCs w:val="32"/>
          <w:highlight w:val="none"/>
        </w:rPr>
      </w:pPr>
      <w:r>
        <w:rPr>
          <w:rFonts w:hint="eastAsia" w:asciiTheme="minorEastAsia" w:hAnsiTheme="minorEastAsia"/>
          <w:b/>
          <w:bCs/>
          <w:sz w:val="32"/>
          <w:szCs w:val="32"/>
          <w:highlight w:val="none"/>
        </w:rPr>
        <w:t>二、机构设置及决算单位构成</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sz w:val="32"/>
          <w:szCs w:val="32"/>
          <w:highlight w:val="none"/>
        </w:rPr>
      </w:pPr>
      <w:r>
        <w:rPr>
          <w:rFonts w:hint="eastAsia" w:asciiTheme="minorEastAsia" w:hAnsiTheme="minorEastAsia"/>
          <w:sz w:val="32"/>
          <w:szCs w:val="32"/>
          <w:highlight w:val="none"/>
        </w:rPr>
        <w:t>（一）内设机构设置。内容涉密，依法不予公开。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sz w:val="28"/>
          <w:szCs w:val="28"/>
          <w:highlight w:val="none"/>
          <w:lang w:val="en-US" w:eastAsia="zh-CN"/>
        </w:rPr>
      </w:pPr>
      <w:r>
        <w:rPr>
          <w:rFonts w:hint="eastAsia" w:asciiTheme="minorEastAsia" w:hAnsiTheme="minorEastAsia"/>
          <w:sz w:val="32"/>
          <w:szCs w:val="32"/>
          <w:highlight w:val="none"/>
        </w:rPr>
        <w:t>（二）决算单位构成。中共祁阳市网络安全和信息化委员会办公室</w:t>
      </w:r>
      <w:r>
        <w:rPr>
          <w:rFonts w:asciiTheme="minorEastAsia" w:hAnsiTheme="minorEastAsia"/>
          <w:bCs/>
          <w:kern w:val="0"/>
          <w:sz w:val="32"/>
          <w:szCs w:val="32"/>
          <w:highlight w:val="none"/>
        </w:rPr>
        <w:t>20</w:t>
      </w:r>
      <w:r>
        <w:rPr>
          <w:rFonts w:hint="eastAsia" w:asciiTheme="minorEastAsia" w:hAnsiTheme="minorEastAsia"/>
          <w:bCs/>
          <w:kern w:val="0"/>
          <w:sz w:val="32"/>
          <w:szCs w:val="32"/>
          <w:highlight w:val="none"/>
        </w:rPr>
        <w:t>21年部门决算汇总公开单位构成包括</w:t>
      </w:r>
      <w:r>
        <w:rPr>
          <w:rFonts w:hint="eastAsia" w:asciiTheme="minorEastAsia" w:hAnsiTheme="minorEastAsia"/>
          <w:bCs/>
          <w:kern w:val="0"/>
          <w:sz w:val="32"/>
          <w:szCs w:val="32"/>
          <w:highlight w:val="none"/>
          <w:lang w:val="en-US" w:eastAsia="zh-CN"/>
        </w:rPr>
        <w:t>:</w:t>
      </w:r>
      <w:r>
        <w:rPr>
          <w:rFonts w:hint="eastAsia" w:asciiTheme="minorEastAsia" w:hAnsiTheme="minorEastAsia"/>
          <w:sz w:val="32"/>
          <w:szCs w:val="32"/>
          <w:highlight w:val="none"/>
        </w:rPr>
        <w:t>中共祁阳市网络安全和信息化委员会办公室</w:t>
      </w:r>
      <w:r>
        <w:rPr>
          <w:rFonts w:hint="eastAsia" w:asciiTheme="minorEastAsia" w:hAnsiTheme="minorEastAsia"/>
          <w:sz w:val="32"/>
          <w:szCs w:val="32"/>
          <w:highlight w:val="none"/>
          <w:lang w:eastAsia="zh-CN"/>
        </w:rPr>
        <w:t>本级。</w:t>
      </w:r>
    </w:p>
    <w:p>
      <w:pPr>
        <w:jc w:val="left"/>
        <w:rPr>
          <w:rFonts w:asciiTheme="minorEastAsia" w:hAnsiTheme="minorEastAsia"/>
          <w:sz w:val="28"/>
          <w:szCs w:val="28"/>
          <w:highlight w:val="none"/>
        </w:rPr>
      </w:pPr>
    </w:p>
    <w:p>
      <w:pPr>
        <w:jc w:val="left"/>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pStyle w:val="6"/>
        <w:rPr>
          <w:rFonts w:asciiTheme="minorEastAsia" w:hAnsiTheme="minorEastAsia"/>
          <w:sz w:val="72"/>
          <w:szCs w:val="72"/>
          <w:highlight w:val="none"/>
        </w:rPr>
      </w:pPr>
    </w:p>
    <w:p>
      <w:pPr>
        <w:pStyle w:val="7"/>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pStyle w:val="6"/>
        <w:jc w:val="center"/>
        <w:rPr>
          <w:rFonts w:asciiTheme="minorEastAsia" w:hAnsiTheme="minorEastAsia"/>
          <w:sz w:val="72"/>
          <w:szCs w:val="72"/>
          <w:highlight w:val="none"/>
        </w:rPr>
      </w:pPr>
    </w:p>
    <w:p>
      <w:pPr>
        <w:pStyle w:val="7"/>
        <w:jc w:val="center"/>
        <w:rPr>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b w:val="0"/>
          <w:bCs w:val="0"/>
          <w:sz w:val="72"/>
          <w:szCs w:val="72"/>
          <w:highlight w:val="none"/>
        </w:rPr>
      </w:pPr>
      <w:r>
        <w:rPr>
          <w:rFonts w:hint="eastAsia" w:asciiTheme="minorEastAsia" w:hAnsiTheme="minorEastAsia"/>
          <w:b w:val="0"/>
          <w:bCs w:val="0"/>
          <w:sz w:val="72"/>
          <w:szCs w:val="72"/>
          <w:highlight w:val="none"/>
        </w:rPr>
        <w:t>第二部分</w:t>
      </w:r>
    </w:p>
    <w:p>
      <w:pPr>
        <w:jc w:val="center"/>
        <w:rPr>
          <w:rFonts w:asciiTheme="minorEastAsia" w:hAnsiTheme="minorEastAsia"/>
          <w:b w:val="0"/>
          <w:bCs w:val="0"/>
          <w:sz w:val="72"/>
          <w:szCs w:val="72"/>
          <w:highlight w:val="none"/>
        </w:rPr>
      </w:pPr>
    </w:p>
    <w:p>
      <w:pPr>
        <w:jc w:val="center"/>
        <w:rPr>
          <w:rFonts w:asciiTheme="minorEastAsia" w:hAnsiTheme="minorEastAsia"/>
          <w:b w:val="0"/>
          <w:bCs w:val="0"/>
          <w:sz w:val="72"/>
          <w:szCs w:val="72"/>
          <w:highlight w:val="none"/>
        </w:rPr>
      </w:pPr>
      <w:r>
        <w:rPr>
          <w:rFonts w:hint="eastAsia" w:asciiTheme="minorEastAsia" w:hAnsiTheme="minorEastAsia"/>
          <w:b w:val="0"/>
          <w:bCs w:val="0"/>
          <w:sz w:val="72"/>
          <w:szCs w:val="72"/>
          <w:highlight w:val="none"/>
          <w:lang w:val="en-US" w:eastAsia="zh-CN"/>
        </w:rPr>
        <w:t>2021年度</w:t>
      </w:r>
      <w:r>
        <w:rPr>
          <w:rFonts w:hint="eastAsia" w:asciiTheme="minorEastAsia" w:hAnsiTheme="minorEastAsia"/>
          <w:b w:val="0"/>
          <w:bCs w:val="0"/>
          <w:sz w:val="72"/>
          <w:szCs w:val="72"/>
          <w:highlight w:val="none"/>
        </w:rPr>
        <w:t>部门决算表</w:t>
      </w: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left"/>
        <w:rPr>
          <w:rFonts w:asciiTheme="minorEastAsia" w:hAnsiTheme="minorEastAsia"/>
          <w:sz w:val="32"/>
          <w:szCs w:val="32"/>
          <w:highlight w:val="none"/>
        </w:rPr>
      </w:pPr>
    </w:p>
    <w:p>
      <w:pPr>
        <w:jc w:val="left"/>
        <w:rPr>
          <w:rFonts w:asciiTheme="minorEastAsia" w:hAnsiTheme="minorEastAsia"/>
          <w:sz w:val="32"/>
          <w:szCs w:val="32"/>
          <w:highlight w:val="none"/>
        </w:rPr>
        <w:sectPr>
          <w:pgSz w:w="11906" w:h="16838"/>
          <w:pgMar w:top="720" w:right="720" w:bottom="720" w:left="720" w:header="851" w:footer="992" w:gutter="0"/>
          <w:cols w:space="425" w:num="1"/>
          <w:docGrid w:type="lines" w:linePitch="312" w:charSpace="0"/>
        </w:sectPr>
      </w:pPr>
    </w:p>
    <w:tbl>
      <w:tblPr>
        <w:tblStyle w:val="11"/>
        <w:tblW w:w="4911" w:type="pct"/>
        <w:tblInd w:w="118" w:type="dxa"/>
        <w:tblLayout w:type="autofit"/>
        <w:tblCellMar>
          <w:top w:w="0" w:type="dxa"/>
          <w:left w:w="108" w:type="dxa"/>
          <w:bottom w:w="0" w:type="dxa"/>
          <w:right w:w="108" w:type="dxa"/>
        </w:tblCellMar>
      </w:tblPr>
      <w:tblGrid>
        <w:gridCol w:w="4941"/>
        <w:gridCol w:w="636"/>
        <w:gridCol w:w="2538"/>
        <w:gridCol w:w="4032"/>
        <w:gridCol w:w="751"/>
        <w:gridCol w:w="2438"/>
      </w:tblGrid>
      <w:tr>
        <w:tblPrEx>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t>收入支出决算总表</w:t>
            </w:r>
          </w:p>
        </w:tc>
      </w:tr>
      <w:tr>
        <w:tblPrEx>
          <w:tblCellMar>
            <w:top w:w="0" w:type="dxa"/>
            <w:left w:w="108" w:type="dxa"/>
            <w:bottom w:w="0" w:type="dxa"/>
            <w:right w:w="108" w:type="dxa"/>
          </w:tblCellMar>
        </w:tblPrEx>
        <w:trPr>
          <w:trHeight w:val="199" w:hRule="atLeast"/>
        </w:trPr>
        <w:tc>
          <w:tcPr>
            <w:tcW w:w="147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240"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827"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361"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28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80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公开01表</w:t>
            </w:r>
          </w:p>
        </w:tc>
      </w:tr>
      <w:tr>
        <w:tblPrEx>
          <w:tblCellMar>
            <w:top w:w="0" w:type="dxa"/>
            <w:left w:w="108" w:type="dxa"/>
            <w:bottom w:w="0" w:type="dxa"/>
            <w:right w:w="108" w:type="dxa"/>
          </w:tblCellMar>
        </w:tblPrEx>
        <w:trPr>
          <w:trHeight w:val="300" w:hRule="atLeast"/>
        </w:trPr>
        <w:tc>
          <w:tcPr>
            <w:tcW w:w="1472" w:type="pct"/>
            <w:tcBorders>
              <w:top w:val="nil"/>
              <w:left w:val="nil"/>
              <w:bottom w:val="nil"/>
              <w:right w:val="nil"/>
            </w:tcBorders>
            <w:shd w:val="clear" w:color="000000" w:fill="FFFFFF"/>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部门： 中共祁阳市网络安全和信息化委员会办公室</w:t>
            </w:r>
          </w:p>
        </w:tc>
        <w:tc>
          <w:tcPr>
            <w:tcW w:w="240"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827"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361"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28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80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单位：万元</w:t>
            </w:r>
          </w:p>
        </w:tc>
      </w:tr>
      <w:tr>
        <w:tblPrEx>
          <w:tblCellMar>
            <w:top w:w="0" w:type="dxa"/>
            <w:left w:w="108" w:type="dxa"/>
            <w:bottom w:w="0" w:type="dxa"/>
            <w:right w:w="108" w:type="dxa"/>
          </w:tblCellMar>
        </w:tblPrEx>
        <w:trPr>
          <w:trHeight w:val="340" w:hRule="atLeast"/>
        </w:trPr>
        <w:tc>
          <w:tcPr>
            <w:tcW w:w="2539"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收入</w:t>
            </w:r>
          </w:p>
        </w:tc>
        <w:tc>
          <w:tcPr>
            <w:tcW w:w="2460" w:type="pct"/>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支出</w:t>
            </w: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项    目</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行次</w:t>
            </w:r>
          </w:p>
        </w:tc>
        <w:tc>
          <w:tcPr>
            <w:tcW w:w="82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决算数</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项    目</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行次</w:t>
            </w:r>
          </w:p>
        </w:tc>
        <w:tc>
          <w:tcPr>
            <w:tcW w:w="80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决算数</w:t>
            </w: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栏    次</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82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1</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栏    次</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80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2</w:t>
            </w: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一、一般公共预算财政拨款收入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1</w:t>
            </w:r>
          </w:p>
        </w:tc>
        <w:tc>
          <w:tcPr>
            <w:tcW w:w="25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181.15</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一、一般公共服务支出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32</w:t>
            </w:r>
          </w:p>
        </w:tc>
        <w:tc>
          <w:tcPr>
            <w:tcW w:w="2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155.43</w:t>
            </w: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二、政府性基金预算财政拨款收入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2</w:t>
            </w:r>
          </w:p>
        </w:tc>
        <w:tc>
          <w:tcPr>
            <w:tcW w:w="25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二、外交支出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33</w:t>
            </w:r>
          </w:p>
        </w:tc>
        <w:tc>
          <w:tcPr>
            <w:tcW w:w="24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三、国有资本经营预算财政拨款收入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3</w:t>
            </w:r>
          </w:p>
        </w:tc>
        <w:tc>
          <w:tcPr>
            <w:tcW w:w="25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三、国防支出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34</w:t>
            </w:r>
          </w:p>
        </w:tc>
        <w:tc>
          <w:tcPr>
            <w:tcW w:w="24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四、上级补助收入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4</w:t>
            </w:r>
          </w:p>
        </w:tc>
        <w:tc>
          <w:tcPr>
            <w:tcW w:w="25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四、公共安全支出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35</w:t>
            </w:r>
          </w:p>
        </w:tc>
        <w:tc>
          <w:tcPr>
            <w:tcW w:w="24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五、事业收入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5</w:t>
            </w:r>
          </w:p>
        </w:tc>
        <w:tc>
          <w:tcPr>
            <w:tcW w:w="25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五、教育支出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36</w:t>
            </w:r>
          </w:p>
        </w:tc>
        <w:tc>
          <w:tcPr>
            <w:tcW w:w="24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六、经营收入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6</w:t>
            </w:r>
          </w:p>
        </w:tc>
        <w:tc>
          <w:tcPr>
            <w:tcW w:w="25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六、科学技术支出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37</w:t>
            </w:r>
          </w:p>
        </w:tc>
        <w:tc>
          <w:tcPr>
            <w:tcW w:w="24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七、附属单位上缴收入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7</w:t>
            </w:r>
          </w:p>
        </w:tc>
        <w:tc>
          <w:tcPr>
            <w:tcW w:w="25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七、文化旅游体育与传媒支出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38</w:t>
            </w:r>
          </w:p>
        </w:tc>
        <w:tc>
          <w:tcPr>
            <w:tcW w:w="24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八、其他收入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8</w:t>
            </w:r>
          </w:p>
        </w:tc>
        <w:tc>
          <w:tcPr>
            <w:tcW w:w="25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八、社会保障和就业支出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39</w:t>
            </w:r>
          </w:p>
        </w:tc>
        <w:tc>
          <w:tcPr>
            <w:tcW w:w="2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11.93</w:t>
            </w: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9</w:t>
            </w:r>
          </w:p>
        </w:tc>
        <w:tc>
          <w:tcPr>
            <w:tcW w:w="25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九、卫生健康支出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40</w:t>
            </w:r>
          </w:p>
        </w:tc>
        <w:tc>
          <w:tcPr>
            <w:tcW w:w="2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b/>
                <w:bCs/>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5.60</w:t>
            </w: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10</w:t>
            </w:r>
          </w:p>
        </w:tc>
        <w:tc>
          <w:tcPr>
            <w:tcW w:w="25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十、节能环保支出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41</w:t>
            </w:r>
          </w:p>
        </w:tc>
        <w:tc>
          <w:tcPr>
            <w:tcW w:w="24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11</w:t>
            </w:r>
          </w:p>
        </w:tc>
        <w:tc>
          <w:tcPr>
            <w:tcW w:w="25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十一、城乡社区支出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42</w:t>
            </w:r>
          </w:p>
        </w:tc>
        <w:tc>
          <w:tcPr>
            <w:tcW w:w="24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12</w:t>
            </w:r>
          </w:p>
        </w:tc>
        <w:tc>
          <w:tcPr>
            <w:tcW w:w="25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十二、农林水支出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43</w:t>
            </w:r>
          </w:p>
        </w:tc>
        <w:tc>
          <w:tcPr>
            <w:tcW w:w="24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13</w:t>
            </w:r>
          </w:p>
        </w:tc>
        <w:tc>
          <w:tcPr>
            <w:tcW w:w="25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十三、交通运输支出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44</w:t>
            </w:r>
          </w:p>
        </w:tc>
        <w:tc>
          <w:tcPr>
            <w:tcW w:w="24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14</w:t>
            </w:r>
          </w:p>
        </w:tc>
        <w:tc>
          <w:tcPr>
            <w:tcW w:w="25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十四、资源勘探工业信息等支出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45</w:t>
            </w:r>
          </w:p>
        </w:tc>
        <w:tc>
          <w:tcPr>
            <w:tcW w:w="24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15</w:t>
            </w:r>
          </w:p>
        </w:tc>
        <w:tc>
          <w:tcPr>
            <w:tcW w:w="25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十五、商业服务业等支出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46</w:t>
            </w:r>
          </w:p>
        </w:tc>
        <w:tc>
          <w:tcPr>
            <w:tcW w:w="24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16</w:t>
            </w:r>
          </w:p>
        </w:tc>
        <w:tc>
          <w:tcPr>
            <w:tcW w:w="25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十六、金融支出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47</w:t>
            </w:r>
          </w:p>
        </w:tc>
        <w:tc>
          <w:tcPr>
            <w:tcW w:w="24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17</w:t>
            </w:r>
          </w:p>
        </w:tc>
        <w:tc>
          <w:tcPr>
            <w:tcW w:w="25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十七、援助其他地区支出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48</w:t>
            </w:r>
          </w:p>
        </w:tc>
        <w:tc>
          <w:tcPr>
            <w:tcW w:w="24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40"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18</w:t>
            </w:r>
          </w:p>
        </w:tc>
        <w:tc>
          <w:tcPr>
            <w:tcW w:w="25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13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十八、自然资源海洋气象等支出</w:t>
            </w:r>
          </w:p>
        </w:tc>
        <w:tc>
          <w:tcPr>
            <w:tcW w:w="2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49</w:t>
            </w:r>
          </w:p>
        </w:tc>
        <w:tc>
          <w:tcPr>
            <w:tcW w:w="24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40"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19</w:t>
            </w:r>
          </w:p>
        </w:tc>
        <w:tc>
          <w:tcPr>
            <w:tcW w:w="2537"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1361"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十九、住房保障支出</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50</w:t>
            </w:r>
          </w:p>
        </w:tc>
        <w:tc>
          <w:tcPr>
            <w:tcW w:w="243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b/>
                <w:bCs/>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8.19</w:t>
            </w: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20</w:t>
            </w:r>
          </w:p>
        </w:tc>
        <w:tc>
          <w:tcPr>
            <w:tcW w:w="25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二十、粮油物资储备支出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51</w:t>
            </w:r>
          </w:p>
        </w:tc>
        <w:tc>
          <w:tcPr>
            <w:tcW w:w="24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21</w:t>
            </w:r>
          </w:p>
        </w:tc>
        <w:tc>
          <w:tcPr>
            <w:tcW w:w="25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二十一、国有资本经营预算支出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52</w:t>
            </w:r>
          </w:p>
        </w:tc>
        <w:tc>
          <w:tcPr>
            <w:tcW w:w="24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22</w:t>
            </w:r>
          </w:p>
        </w:tc>
        <w:tc>
          <w:tcPr>
            <w:tcW w:w="25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二十二、灾害防治及应急管理支出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53</w:t>
            </w:r>
          </w:p>
        </w:tc>
        <w:tc>
          <w:tcPr>
            <w:tcW w:w="2437"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23</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二十三、其他支出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54</w:t>
            </w:r>
          </w:p>
        </w:tc>
        <w:tc>
          <w:tcPr>
            <w:tcW w:w="2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40"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24</w:t>
            </w:r>
          </w:p>
        </w:tc>
        <w:tc>
          <w:tcPr>
            <w:tcW w:w="827"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1361"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二十四、债务还本支出</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55</w:t>
            </w:r>
          </w:p>
        </w:tc>
        <w:tc>
          <w:tcPr>
            <w:tcW w:w="80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25</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二十五、债务付息支出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56</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40"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26</w:t>
            </w:r>
          </w:p>
        </w:tc>
        <w:tc>
          <w:tcPr>
            <w:tcW w:w="82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二十六、抗疫特别国债安排的支出</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57</w:t>
            </w:r>
          </w:p>
        </w:tc>
        <w:tc>
          <w:tcPr>
            <w:tcW w:w="80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b/>
                <w:bCs/>
                <w:kern w:val="0"/>
                <w:sz w:val="21"/>
                <w:szCs w:val="21"/>
                <w:highlight w:val="none"/>
              </w:rPr>
            </w:pPr>
            <w:r>
              <w:rPr>
                <w:rFonts w:hint="default" w:ascii="Times New Roman" w:hAnsi="Times New Roman" w:cs="Times New Roman"/>
                <w:b/>
                <w:bCs/>
                <w:kern w:val="0"/>
                <w:sz w:val="21"/>
                <w:szCs w:val="21"/>
                <w:highlight w:val="none"/>
              </w:rPr>
              <w:t>本年收入合计</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27</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181.15</w:t>
            </w:r>
          </w:p>
        </w:tc>
        <w:tc>
          <w:tcPr>
            <w:tcW w:w="136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b/>
                <w:bCs/>
                <w:kern w:val="0"/>
                <w:sz w:val="21"/>
                <w:szCs w:val="21"/>
                <w:highlight w:val="none"/>
              </w:rPr>
            </w:pPr>
            <w:r>
              <w:rPr>
                <w:rFonts w:hint="default" w:ascii="Times New Roman" w:hAnsi="Times New Roman" w:cs="Times New Roman"/>
                <w:b/>
                <w:bCs/>
                <w:kern w:val="0"/>
                <w:sz w:val="21"/>
                <w:szCs w:val="21"/>
                <w:highlight w:val="none"/>
              </w:rPr>
              <w:t>本年支出合计</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58</w:t>
            </w:r>
          </w:p>
        </w:tc>
        <w:tc>
          <w:tcPr>
            <w:tcW w:w="2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181.15</w:t>
            </w: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使用非财政拨款结余</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28</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结余分配</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59</w:t>
            </w:r>
          </w:p>
        </w:tc>
        <w:tc>
          <w:tcPr>
            <w:tcW w:w="24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年初结转和结余</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29</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年末结转和结余</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60</w:t>
            </w:r>
          </w:p>
        </w:tc>
        <w:tc>
          <w:tcPr>
            <w:tcW w:w="24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b/>
                <w:bCs/>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30</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b/>
                <w:bCs/>
                <w:kern w:val="0"/>
                <w:sz w:val="21"/>
                <w:szCs w:val="21"/>
                <w:highlight w:val="none"/>
              </w:rPr>
            </w:pP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61</w:t>
            </w:r>
          </w:p>
        </w:tc>
        <w:tc>
          <w:tcPr>
            <w:tcW w:w="2437"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b/>
                <w:bCs/>
                <w:kern w:val="0"/>
                <w:sz w:val="21"/>
                <w:szCs w:val="21"/>
                <w:highlight w:val="none"/>
              </w:rPr>
            </w:pPr>
            <w:r>
              <w:rPr>
                <w:rFonts w:hint="default" w:ascii="Times New Roman" w:hAnsi="Times New Roman" w:cs="Times New Roman"/>
                <w:b/>
                <w:bCs/>
                <w:kern w:val="0"/>
                <w:sz w:val="21"/>
                <w:szCs w:val="21"/>
                <w:highlight w:val="none"/>
              </w:rPr>
              <w:t>总计</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31</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181.15</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b/>
                <w:bCs/>
                <w:kern w:val="0"/>
                <w:sz w:val="21"/>
                <w:szCs w:val="21"/>
                <w:highlight w:val="none"/>
              </w:rPr>
            </w:pPr>
            <w:r>
              <w:rPr>
                <w:rFonts w:hint="default" w:ascii="Times New Roman" w:hAnsi="Times New Roman" w:cs="Times New Roman"/>
                <w:b/>
                <w:bCs/>
                <w:kern w:val="0"/>
                <w:sz w:val="21"/>
                <w:szCs w:val="21"/>
                <w:highlight w:val="none"/>
              </w:rPr>
              <w:t>总计</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62</w:t>
            </w:r>
          </w:p>
        </w:tc>
        <w:tc>
          <w:tcPr>
            <w:tcW w:w="2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b/>
                <w:bCs/>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181.15</w:t>
            </w:r>
          </w:p>
        </w:tc>
      </w:tr>
      <w:tr>
        <w:tblPrEx>
          <w:tblCellMar>
            <w:top w:w="0" w:type="dxa"/>
            <w:left w:w="108" w:type="dxa"/>
            <w:bottom w:w="0" w:type="dxa"/>
            <w:right w:w="108" w:type="dxa"/>
          </w:tblCellMar>
        </w:tblPrEx>
        <w:trPr>
          <w:trHeight w:val="1020" w:hRule="atLeast"/>
        </w:trPr>
        <w:tc>
          <w:tcPr>
            <w:tcW w:w="5000" w:type="pct"/>
            <w:gridSpan w:val="6"/>
            <w:tcBorders>
              <w:top w:val="nil"/>
              <w:left w:val="nil"/>
              <w:bottom w:val="nil"/>
              <w:right w:val="nil"/>
            </w:tcBorders>
            <w:shd w:val="clear" w:color="auto" w:fill="auto"/>
            <w:vAlign w:val="center"/>
          </w:tcPr>
          <w:p>
            <w:pPr>
              <w:widowControl/>
              <w:jc w:val="left"/>
              <w:rPr>
                <w:rFonts w:hint="default" w:ascii="Times New Roman" w:hAnsi="Times New Roman" w:cs="Times New Roman" w:eastAsiaTheme="minorEastAsia"/>
                <w:kern w:val="0"/>
                <w:sz w:val="21"/>
                <w:szCs w:val="21"/>
                <w:highlight w:val="none"/>
                <w:lang w:eastAsia="zh-CN"/>
              </w:rPr>
            </w:pPr>
            <w:r>
              <w:rPr>
                <w:rFonts w:hint="default" w:ascii="Times New Roman" w:hAnsi="Times New Roman" w:cs="Times New Roman"/>
                <w:kern w:val="0"/>
                <w:sz w:val="21"/>
                <w:szCs w:val="21"/>
                <w:highlight w:val="none"/>
              </w:rPr>
              <w:t>注：1.本表反映部门本年度的总收支和年末结转结余情况。</w:t>
            </w:r>
          </w:p>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xml:space="preserve"> 2.本套报表金额单位转换时可能存在尾数误差。</w:t>
            </w:r>
          </w:p>
        </w:tc>
      </w:tr>
    </w:tbl>
    <w:p>
      <w:pPr>
        <w:rPr>
          <w:rFonts w:hint="eastAsia" w:asciiTheme="minorEastAsia" w:hAnsiTheme="minorEastAsia"/>
          <w:color w:val="000000"/>
          <w:sz w:val="32"/>
          <w:szCs w:val="32"/>
          <w:highlight w:val="none"/>
        </w:rPr>
      </w:pPr>
      <w:r>
        <w:rPr>
          <w:rFonts w:hint="eastAsia" w:asciiTheme="minorEastAsia" w:hAnsiTheme="minorEastAsia"/>
          <w:color w:val="000000"/>
          <w:sz w:val="32"/>
          <w:szCs w:val="32"/>
          <w:highlight w:val="none"/>
        </w:rPr>
        <w:br w:type="page"/>
      </w:r>
    </w:p>
    <w:tbl>
      <w:tblPr>
        <w:tblStyle w:val="11"/>
        <w:tblW w:w="5000" w:type="pct"/>
        <w:tblInd w:w="0" w:type="dxa"/>
        <w:tblLayout w:type="fixed"/>
        <w:tblCellMar>
          <w:top w:w="0" w:type="dxa"/>
          <w:left w:w="0" w:type="dxa"/>
          <w:bottom w:w="0" w:type="dxa"/>
          <w:right w:w="0" w:type="dxa"/>
        </w:tblCellMar>
      </w:tblPr>
      <w:tblGrid>
        <w:gridCol w:w="1271"/>
        <w:gridCol w:w="4477"/>
        <w:gridCol w:w="1453"/>
        <w:gridCol w:w="1454"/>
        <w:gridCol w:w="1329"/>
        <w:gridCol w:w="1345"/>
        <w:gridCol w:w="1345"/>
        <w:gridCol w:w="1355"/>
        <w:gridCol w:w="1399"/>
      </w:tblGrid>
      <w:tr>
        <w:tblPrEx>
          <w:tblCellMar>
            <w:top w:w="0" w:type="dxa"/>
            <w:left w:w="0" w:type="dxa"/>
            <w:bottom w:w="0" w:type="dxa"/>
            <w:right w:w="0" w:type="dxa"/>
          </w:tblCellMar>
        </w:tblPrEx>
        <w:trPr>
          <w:trHeight w:val="435" w:hRule="atLeast"/>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cs="宋体" w:asciiTheme="minorEastAsia" w:hAnsiTheme="minorEastAsia"/>
                <w:color w:val="000000"/>
                <w:sz w:val="32"/>
                <w:szCs w:val="32"/>
                <w:highlight w:val="none"/>
              </w:rPr>
            </w:pPr>
            <w:r>
              <w:rPr>
                <w:rFonts w:hint="eastAsia" w:asciiTheme="minorEastAsia" w:hAnsiTheme="minorEastAsia"/>
                <w:color w:val="000000"/>
                <w:sz w:val="32"/>
                <w:szCs w:val="32"/>
                <w:highlight w:val="none"/>
              </w:rPr>
              <w:t>收入决算表</w:t>
            </w:r>
          </w:p>
        </w:tc>
      </w:tr>
      <w:tr>
        <w:tblPrEx>
          <w:tblCellMar>
            <w:top w:w="0" w:type="dxa"/>
            <w:left w:w="0" w:type="dxa"/>
            <w:bottom w:w="0" w:type="dxa"/>
            <w:right w:w="0" w:type="dxa"/>
          </w:tblCellMar>
        </w:tblPrEx>
        <w:trPr>
          <w:trHeight w:val="285" w:hRule="atLeas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公开02表</w:t>
            </w:r>
          </w:p>
        </w:tc>
      </w:tr>
      <w:tr>
        <w:tblPrEx>
          <w:tblCellMar>
            <w:top w:w="0" w:type="dxa"/>
            <w:left w:w="0" w:type="dxa"/>
            <w:bottom w:w="0" w:type="dxa"/>
            <w:right w:w="0" w:type="dxa"/>
          </w:tblCellMar>
        </w:tblPrEx>
        <w:trPr>
          <w:trHeight w:val="285" w:hRule="atLeas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hint="default" w:ascii="Times New Roman" w:hAnsi="Times New Roman" w:cs="Times New Roman"/>
                <w:sz w:val="21"/>
                <w:szCs w:val="21"/>
                <w:highlight w:val="none"/>
              </w:rPr>
            </w:pPr>
            <w:r>
              <w:rPr>
                <w:rFonts w:hint="default" w:ascii="Times New Roman" w:hAnsi="Times New Roman" w:cs="Times New Roman"/>
                <w:color w:val="000000"/>
                <w:sz w:val="21"/>
                <w:szCs w:val="21"/>
                <w:highlight w:val="none"/>
              </w:rPr>
              <w:t>部门：</w:t>
            </w:r>
            <w:r>
              <w:rPr>
                <w:rFonts w:hint="default" w:ascii="Times New Roman" w:hAnsi="Times New Roman" w:cs="Times New Roman"/>
                <w:sz w:val="21"/>
                <w:szCs w:val="21"/>
                <w:highlight w:val="none"/>
              </w:rPr>
              <w:t>　</w:t>
            </w:r>
            <w:r>
              <w:rPr>
                <w:rFonts w:hint="default" w:ascii="Times New Roman" w:hAnsi="Times New Roman" w:cs="Times New Roman"/>
                <w:color w:val="000000"/>
                <w:kern w:val="0"/>
                <w:sz w:val="21"/>
                <w:szCs w:val="21"/>
                <w:highlight w:val="none"/>
              </w:rPr>
              <w:t>中共祁阳市网络安全和信息化委员会办公室</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单位：万元</w:t>
            </w:r>
          </w:p>
        </w:tc>
      </w:tr>
      <w:tr>
        <w:tblPrEx>
          <w:tblCellMar>
            <w:top w:w="0" w:type="dxa"/>
            <w:left w:w="0" w:type="dxa"/>
            <w:bottom w:w="0" w:type="dxa"/>
            <w:right w:w="0" w:type="dxa"/>
          </w:tblCellMar>
        </w:tblPrEx>
        <w:trPr>
          <w:trHeight w:val="90"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项    目</w:t>
            </w:r>
          </w:p>
        </w:tc>
        <w:tc>
          <w:tcPr>
            <w:tcW w:w="47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本年收入合计</w:t>
            </w:r>
          </w:p>
        </w:tc>
        <w:tc>
          <w:tcPr>
            <w:tcW w:w="471"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财政拨款收入</w:t>
            </w:r>
          </w:p>
        </w:tc>
        <w:tc>
          <w:tcPr>
            <w:tcW w:w="43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上级补助收入</w:t>
            </w:r>
          </w:p>
        </w:tc>
        <w:tc>
          <w:tcPr>
            <w:tcW w:w="43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事业收入</w:t>
            </w:r>
          </w:p>
        </w:tc>
        <w:tc>
          <w:tcPr>
            <w:tcW w:w="43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经营收入</w:t>
            </w:r>
          </w:p>
        </w:tc>
        <w:tc>
          <w:tcPr>
            <w:tcW w:w="43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附属单位上缴收入</w:t>
            </w:r>
          </w:p>
        </w:tc>
        <w:tc>
          <w:tcPr>
            <w:tcW w:w="453"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其他收入</w:t>
            </w:r>
          </w:p>
        </w:tc>
      </w:tr>
      <w:tr>
        <w:tblPrEx>
          <w:tblCellMar>
            <w:top w:w="0" w:type="dxa"/>
            <w:left w:w="0" w:type="dxa"/>
            <w:bottom w:w="0" w:type="dxa"/>
            <w:right w:w="0" w:type="dxa"/>
          </w:tblCellMar>
        </w:tblPrEx>
        <w:trPr>
          <w:trHeight w:val="450" w:hRule="atLeast"/>
        </w:trPr>
        <w:tc>
          <w:tcPr>
            <w:tcW w:w="411"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功能分类</w:t>
            </w:r>
          </w:p>
          <w:p>
            <w:pPr>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科目编码</w:t>
            </w:r>
          </w:p>
        </w:tc>
        <w:tc>
          <w:tcPr>
            <w:tcW w:w="1450" w:type="pct"/>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科目名称</w:t>
            </w:r>
          </w:p>
        </w:tc>
        <w:tc>
          <w:tcPr>
            <w:tcW w:w="470"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1"/>
                <w:szCs w:val="21"/>
                <w:highlight w:val="none"/>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1"/>
                <w:szCs w:val="21"/>
                <w:highlight w:val="none"/>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1"/>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1"/>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1"/>
                <w:szCs w:val="21"/>
                <w:highlight w:val="none"/>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1"/>
                <w:szCs w:val="21"/>
                <w:highlight w:val="none"/>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1"/>
                <w:szCs w:val="21"/>
                <w:highlight w:val="none"/>
              </w:rPr>
            </w:pPr>
          </w:p>
        </w:tc>
      </w:tr>
      <w:tr>
        <w:tblPrEx>
          <w:tblCellMar>
            <w:top w:w="0" w:type="dxa"/>
            <w:left w:w="0" w:type="dxa"/>
            <w:bottom w:w="0" w:type="dxa"/>
            <w:right w:w="0" w:type="dxa"/>
          </w:tblCellMar>
        </w:tblPrEx>
        <w:trPr>
          <w:trHeight w:val="312" w:hRule="atLeast"/>
        </w:trPr>
        <w:tc>
          <w:tcPr>
            <w:tcW w:w="411"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1"/>
                <w:szCs w:val="21"/>
                <w:highlight w:val="none"/>
              </w:rPr>
            </w:pPr>
          </w:p>
        </w:tc>
        <w:tc>
          <w:tcPr>
            <w:tcW w:w="1450" w:type="pct"/>
            <w:vMerge w:val="continue"/>
            <w:tcBorders>
              <w:top w:val="nil"/>
              <w:left w:val="single" w:color="auto" w:sz="4" w:space="0"/>
              <w:bottom w:val="single" w:color="auto" w:sz="4" w:space="0"/>
              <w:right w:val="single" w:color="auto" w:sz="4" w:space="0"/>
            </w:tcBorders>
            <w:vAlign w:val="center"/>
          </w:tcPr>
          <w:p>
            <w:pPr>
              <w:rPr>
                <w:rFonts w:hint="default" w:ascii="Times New Roman" w:hAnsi="Times New Roman" w:cs="Times New Roman"/>
                <w:sz w:val="21"/>
                <w:szCs w:val="21"/>
                <w:highlight w:val="none"/>
              </w:rPr>
            </w:pPr>
          </w:p>
        </w:tc>
        <w:tc>
          <w:tcPr>
            <w:tcW w:w="470"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1"/>
                <w:szCs w:val="21"/>
                <w:highlight w:val="none"/>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1"/>
                <w:szCs w:val="21"/>
                <w:highlight w:val="none"/>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1"/>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1"/>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1"/>
                <w:szCs w:val="21"/>
                <w:highlight w:val="none"/>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1"/>
                <w:szCs w:val="21"/>
                <w:highlight w:val="none"/>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1"/>
                <w:szCs w:val="21"/>
                <w:highlight w:val="none"/>
              </w:rPr>
            </w:pPr>
          </w:p>
        </w:tc>
      </w:tr>
      <w:tr>
        <w:tblPrEx>
          <w:tblCellMar>
            <w:top w:w="0" w:type="dxa"/>
            <w:left w:w="0" w:type="dxa"/>
            <w:bottom w:w="0" w:type="dxa"/>
            <w:right w:w="0" w:type="dxa"/>
          </w:tblCellMar>
        </w:tblPrEx>
        <w:trPr>
          <w:trHeight w:val="340"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栏次</w:t>
            </w:r>
          </w:p>
        </w:tc>
        <w:tc>
          <w:tcPr>
            <w:tcW w:w="47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w:t>
            </w:r>
          </w:p>
        </w:tc>
        <w:tc>
          <w:tcPr>
            <w:tcW w:w="47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w:t>
            </w:r>
          </w:p>
        </w:tc>
        <w:tc>
          <w:tcPr>
            <w:tcW w:w="43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w:t>
            </w:r>
          </w:p>
        </w:tc>
        <w:tc>
          <w:tcPr>
            <w:tcW w:w="43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w:t>
            </w:r>
          </w:p>
        </w:tc>
        <w:tc>
          <w:tcPr>
            <w:tcW w:w="43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w:t>
            </w:r>
          </w:p>
        </w:tc>
        <w:tc>
          <w:tcPr>
            <w:tcW w:w="43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6</w:t>
            </w:r>
          </w:p>
        </w:tc>
        <w:tc>
          <w:tcPr>
            <w:tcW w:w="45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7</w:t>
            </w:r>
          </w:p>
        </w:tc>
      </w:tr>
      <w:tr>
        <w:tblPrEx>
          <w:tblCellMar>
            <w:top w:w="0" w:type="dxa"/>
            <w:left w:w="0" w:type="dxa"/>
            <w:bottom w:w="0" w:type="dxa"/>
            <w:right w:w="0" w:type="dxa"/>
          </w:tblCellMar>
        </w:tblPrEx>
        <w:trPr>
          <w:trHeight w:val="340"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合计</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181.15</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181.15</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r>
      <w:tr>
        <w:tblPrEx>
          <w:tblCellMar>
            <w:top w:w="0" w:type="dxa"/>
            <w:left w:w="0" w:type="dxa"/>
            <w:bottom w:w="0" w:type="dxa"/>
            <w:right w:w="0" w:type="dxa"/>
          </w:tblCellMar>
        </w:tblPrEx>
        <w:trPr>
          <w:trHeight w:val="34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201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一般公共服务支出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155.43</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155.43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r>
      <w:tr>
        <w:tblPrEx>
          <w:tblCellMar>
            <w:top w:w="0" w:type="dxa"/>
            <w:left w:w="0" w:type="dxa"/>
            <w:bottom w:w="0" w:type="dxa"/>
            <w:right w:w="0" w:type="dxa"/>
          </w:tblCellMar>
        </w:tblPrEx>
        <w:trPr>
          <w:trHeight w:val="34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20131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党委办公厅（室）及相关机构事务</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r>
      <w:tr>
        <w:tblPrEx>
          <w:tblCellMar>
            <w:top w:w="0" w:type="dxa"/>
            <w:left w:w="0" w:type="dxa"/>
            <w:bottom w:w="0" w:type="dxa"/>
            <w:right w:w="0" w:type="dxa"/>
          </w:tblCellMar>
        </w:tblPrEx>
        <w:trPr>
          <w:trHeight w:val="34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2013101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行政运行</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r>
      <w:tr>
        <w:tblPrEx>
          <w:tblCellMar>
            <w:top w:w="0" w:type="dxa"/>
            <w:left w:w="0" w:type="dxa"/>
            <w:bottom w:w="0" w:type="dxa"/>
            <w:right w:w="0" w:type="dxa"/>
          </w:tblCellMar>
        </w:tblPrEx>
        <w:trPr>
          <w:trHeight w:val="34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20137</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网信事务</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134.64</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134.64</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r>
      <w:tr>
        <w:tblPrEx>
          <w:tblCellMar>
            <w:top w:w="0" w:type="dxa"/>
            <w:left w:w="0" w:type="dxa"/>
            <w:bottom w:w="0" w:type="dxa"/>
            <w:right w:w="0" w:type="dxa"/>
          </w:tblCellMar>
        </w:tblPrEx>
        <w:trPr>
          <w:trHeight w:val="34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2013701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行政运行</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84.34</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84.34</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r>
      <w:tr>
        <w:tblPrEx>
          <w:tblCellMar>
            <w:top w:w="0" w:type="dxa"/>
            <w:left w:w="0" w:type="dxa"/>
            <w:bottom w:w="0" w:type="dxa"/>
            <w:right w:w="0" w:type="dxa"/>
          </w:tblCellMar>
        </w:tblPrEx>
        <w:trPr>
          <w:trHeight w:val="34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2013702</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一般行政管理事务</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50.30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50.30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r>
      <w:tr>
        <w:tblPrEx>
          <w:tblCellMar>
            <w:top w:w="0" w:type="dxa"/>
            <w:left w:w="0" w:type="dxa"/>
            <w:bottom w:w="0" w:type="dxa"/>
            <w:right w:w="0" w:type="dxa"/>
          </w:tblCellMar>
        </w:tblPrEx>
        <w:trPr>
          <w:trHeight w:val="34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20199</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其他一般公共服务支出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19.79</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19.79</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r>
      <w:tr>
        <w:tblPrEx>
          <w:tblCellMar>
            <w:top w:w="0" w:type="dxa"/>
            <w:left w:w="0" w:type="dxa"/>
            <w:bottom w:w="0" w:type="dxa"/>
            <w:right w:w="0" w:type="dxa"/>
          </w:tblCellMar>
        </w:tblPrEx>
        <w:trPr>
          <w:trHeight w:val="34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2019999</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其他一般公共服务支出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19.79</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19.79</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r>
      <w:tr>
        <w:tblPrEx>
          <w:tblCellMar>
            <w:top w:w="0" w:type="dxa"/>
            <w:left w:w="0" w:type="dxa"/>
            <w:bottom w:w="0" w:type="dxa"/>
            <w:right w:w="0" w:type="dxa"/>
          </w:tblCellMar>
        </w:tblPrEx>
        <w:trPr>
          <w:trHeight w:val="34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208</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社会保障和就业支出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11.93</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11.93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r>
      <w:tr>
        <w:tblPrEx>
          <w:tblCellMar>
            <w:top w:w="0" w:type="dxa"/>
            <w:left w:w="0" w:type="dxa"/>
            <w:bottom w:w="0" w:type="dxa"/>
            <w:right w:w="0" w:type="dxa"/>
          </w:tblCellMar>
        </w:tblPrEx>
        <w:trPr>
          <w:trHeight w:val="34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20805</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行政事业单位养老支出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11.53</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11.53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r>
      <w:tr>
        <w:tblPrEx>
          <w:tblCellMar>
            <w:top w:w="0" w:type="dxa"/>
            <w:left w:w="0" w:type="dxa"/>
            <w:bottom w:w="0" w:type="dxa"/>
            <w:right w:w="0" w:type="dxa"/>
          </w:tblCellMar>
        </w:tblPrEx>
        <w:trPr>
          <w:trHeight w:val="34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2080505</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机关事业单位基本养老保险缴费支出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11.53</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11.53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r>
      <w:tr>
        <w:tblPrEx>
          <w:tblCellMar>
            <w:top w:w="0" w:type="dxa"/>
            <w:left w:w="0" w:type="dxa"/>
            <w:bottom w:w="0" w:type="dxa"/>
            <w:right w:w="0" w:type="dxa"/>
          </w:tblCellMar>
        </w:tblPrEx>
        <w:trPr>
          <w:trHeight w:val="9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20808</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抚恤</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0.40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0.40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r>
      <w:tr>
        <w:tblPrEx>
          <w:tblCellMar>
            <w:top w:w="0" w:type="dxa"/>
            <w:left w:w="0" w:type="dxa"/>
            <w:bottom w:w="0" w:type="dxa"/>
            <w:right w:w="0" w:type="dxa"/>
          </w:tblCellMar>
        </w:tblPrEx>
        <w:trPr>
          <w:trHeight w:val="34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2080899</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其他优抚支出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0.40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0.40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r>
      <w:tr>
        <w:tblPrEx>
          <w:tblCellMar>
            <w:top w:w="0" w:type="dxa"/>
            <w:left w:w="0" w:type="dxa"/>
            <w:bottom w:w="0" w:type="dxa"/>
            <w:right w:w="0" w:type="dxa"/>
          </w:tblCellMar>
        </w:tblPrEx>
        <w:trPr>
          <w:trHeight w:val="34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210</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卫生健康支出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5.60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5.60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r>
      <w:tr>
        <w:tblPrEx>
          <w:tblCellMar>
            <w:top w:w="0" w:type="dxa"/>
            <w:left w:w="0" w:type="dxa"/>
            <w:bottom w:w="0" w:type="dxa"/>
            <w:right w:w="0" w:type="dxa"/>
          </w:tblCellMar>
        </w:tblPrEx>
        <w:trPr>
          <w:trHeight w:val="34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21011</w:t>
            </w:r>
          </w:p>
        </w:tc>
        <w:tc>
          <w:tcPr>
            <w:tcW w:w="1450"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行政事业单位医疗</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5.60</w:t>
            </w:r>
          </w:p>
        </w:tc>
        <w:tc>
          <w:tcPr>
            <w:tcW w:w="4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5.60</w:t>
            </w:r>
          </w:p>
        </w:tc>
        <w:tc>
          <w:tcPr>
            <w:tcW w:w="4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4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c>
          <w:tcPr>
            <w:tcW w:w="4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r>
      <w:tr>
        <w:tblPrEx>
          <w:tblCellMar>
            <w:top w:w="0" w:type="dxa"/>
            <w:left w:w="0" w:type="dxa"/>
            <w:bottom w:w="0" w:type="dxa"/>
            <w:right w:w="0" w:type="dxa"/>
          </w:tblCellMar>
        </w:tblPrEx>
        <w:trPr>
          <w:trHeight w:val="34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2101101</w:t>
            </w:r>
          </w:p>
        </w:tc>
        <w:tc>
          <w:tcPr>
            <w:tcW w:w="1450"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行政单位医疗</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5.60</w:t>
            </w:r>
          </w:p>
        </w:tc>
        <w:tc>
          <w:tcPr>
            <w:tcW w:w="4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5.60</w:t>
            </w:r>
          </w:p>
        </w:tc>
        <w:tc>
          <w:tcPr>
            <w:tcW w:w="4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r>
      <w:tr>
        <w:tblPrEx>
          <w:tblCellMar>
            <w:top w:w="0" w:type="dxa"/>
            <w:left w:w="0" w:type="dxa"/>
            <w:bottom w:w="0" w:type="dxa"/>
            <w:right w:w="0" w:type="dxa"/>
          </w:tblCellMar>
        </w:tblPrEx>
        <w:trPr>
          <w:trHeight w:val="34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221</w:t>
            </w:r>
          </w:p>
        </w:tc>
        <w:tc>
          <w:tcPr>
            <w:tcW w:w="1450"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住房保障支出</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8.19</w:t>
            </w:r>
          </w:p>
        </w:tc>
        <w:tc>
          <w:tcPr>
            <w:tcW w:w="4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8.19</w:t>
            </w:r>
          </w:p>
        </w:tc>
        <w:tc>
          <w:tcPr>
            <w:tcW w:w="4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r>
      <w:tr>
        <w:tblPrEx>
          <w:tblCellMar>
            <w:top w:w="0" w:type="dxa"/>
            <w:left w:w="0" w:type="dxa"/>
            <w:bottom w:w="0" w:type="dxa"/>
            <w:right w:w="0" w:type="dxa"/>
          </w:tblCellMar>
        </w:tblPrEx>
        <w:trPr>
          <w:trHeight w:val="34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22102</w:t>
            </w:r>
          </w:p>
        </w:tc>
        <w:tc>
          <w:tcPr>
            <w:tcW w:w="1450"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住房改革支出</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8.19</w:t>
            </w:r>
          </w:p>
        </w:tc>
        <w:tc>
          <w:tcPr>
            <w:tcW w:w="4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8.19</w:t>
            </w:r>
          </w:p>
        </w:tc>
        <w:tc>
          <w:tcPr>
            <w:tcW w:w="4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r>
      <w:tr>
        <w:tblPrEx>
          <w:tblCellMar>
            <w:top w:w="0" w:type="dxa"/>
            <w:left w:w="0" w:type="dxa"/>
            <w:bottom w:w="0" w:type="dxa"/>
            <w:right w:w="0" w:type="dxa"/>
          </w:tblCellMar>
        </w:tblPrEx>
        <w:trPr>
          <w:trHeight w:val="34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2210201</w:t>
            </w:r>
          </w:p>
        </w:tc>
        <w:tc>
          <w:tcPr>
            <w:tcW w:w="1450"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住房公积金</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8.19</w:t>
            </w:r>
          </w:p>
        </w:tc>
        <w:tc>
          <w:tcPr>
            <w:tcW w:w="47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8.19</w:t>
            </w:r>
          </w:p>
        </w:tc>
        <w:tc>
          <w:tcPr>
            <w:tcW w:w="43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sz w:val="21"/>
                <w:szCs w:val="21"/>
                <w:highlight w:val="none"/>
              </w:rPr>
            </w:pP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c>
          <w:tcPr>
            <w:tcW w:w="45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sz w:val="21"/>
                <w:szCs w:val="21"/>
                <w:highlight w:val="none"/>
              </w:rPr>
            </w:pPr>
          </w:p>
        </w:tc>
      </w:tr>
      <w:tr>
        <w:tblPrEx>
          <w:tblCellMar>
            <w:top w:w="0" w:type="dxa"/>
            <w:left w:w="0" w:type="dxa"/>
            <w:bottom w:w="0" w:type="dxa"/>
            <w:right w:w="0" w:type="dxa"/>
          </w:tblCellMar>
        </w:tblPrEx>
        <w:trPr>
          <w:trHeight w:val="340" w:hRule="atLeast"/>
        </w:trPr>
        <w:tc>
          <w:tcPr>
            <w:tcW w:w="5000" w:type="pct"/>
            <w:gridSpan w:val="9"/>
            <w:tcBorders>
              <w:top w:val="nil"/>
              <w:left w:val="nil"/>
              <w:bottom w:val="nil"/>
              <w:right w:val="nil"/>
            </w:tcBorders>
            <w:shd w:val="clear" w:color="auto" w:fill="auto"/>
            <w:tcMar>
              <w:top w:w="15" w:type="dxa"/>
              <w:left w:w="15" w:type="dxa"/>
              <w:bottom w:w="0" w:type="dxa"/>
              <w:right w:w="15" w:type="dxa"/>
            </w:tcMar>
            <w:vAlign w:val="center"/>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注：本表反映部门本年度取得的各项收入情况。</w:t>
            </w:r>
          </w:p>
        </w:tc>
      </w:tr>
    </w:tbl>
    <w:p>
      <w:pPr>
        <w:widowControl/>
        <w:jc w:val="center"/>
        <w:rPr>
          <w:rFonts w:hint="eastAsia"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br w:type="page"/>
      </w:r>
    </w:p>
    <w:tbl>
      <w:tblPr>
        <w:tblStyle w:val="11"/>
        <w:tblW w:w="4937" w:type="pct"/>
        <w:tblInd w:w="93" w:type="dxa"/>
        <w:tblLayout w:type="fixed"/>
        <w:tblCellMar>
          <w:top w:w="0" w:type="dxa"/>
          <w:left w:w="108" w:type="dxa"/>
          <w:bottom w:w="0" w:type="dxa"/>
          <w:right w:w="108" w:type="dxa"/>
        </w:tblCellMar>
      </w:tblPr>
      <w:tblGrid>
        <w:gridCol w:w="1159"/>
        <w:gridCol w:w="4589"/>
        <w:gridCol w:w="1694"/>
        <w:gridCol w:w="1663"/>
        <w:gridCol w:w="1558"/>
        <w:gridCol w:w="1579"/>
        <w:gridCol w:w="1580"/>
        <w:gridCol w:w="1596"/>
      </w:tblGrid>
      <w:tr>
        <w:tblPrEx>
          <w:tblCellMar>
            <w:top w:w="0" w:type="dxa"/>
            <w:left w:w="108" w:type="dxa"/>
            <w:bottom w:w="0" w:type="dxa"/>
            <w:right w:w="108" w:type="dxa"/>
          </w:tblCellMar>
        </w:tblPrEx>
        <w:trPr>
          <w:trHeight w:val="435" w:hRule="atLeast"/>
        </w:trPr>
        <w:tc>
          <w:tcPr>
            <w:tcW w:w="5000" w:type="pct"/>
            <w:gridSpan w:val="8"/>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t>支出决算表</w:t>
            </w:r>
          </w:p>
        </w:tc>
      </w:tr>
      <w:tr>
        <w:tblPrEx>
          <w:tblCellMar>
            <w:top w:w="0" w:type="dxa"/>
            <w:left w:w="108" w:type="dxa"/>
            <w:bottom w:w="0" w:type="dxa"/>
            <w:right w:w="108" w:type="dxa"/>
          </w:tblCellMar>
        </w:tblPrEx>
        <w:trPr>
          <w:trHeight w:val="237" w:hRule="atLeast"/>
        </w:trPr>
        <w:tc>
          <w:tcPr>
            <w:tcW w:w="1864" w:type="pct"/>
            <w:gridSpan w:val="2"/>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4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3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05"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1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1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17"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公开03表</w:t>
            </w:r>
          </w:p>
        </w:tc>
      </w:tr>
      <w:tr>
        <w:tblPrEx>
          <w:tblCellMar>
            <w:top w:w="0" w:type="dxa"/>
            <w:left w:w="108" w:type="dxa"/>
            <w:bottom w:w="0" w:type="dxa"/>
            <w:right w:w="108" w:type="dxa"/>
          </w:tblCellMar>
        </w:tblPrEx>
        <w:trPr>
          <w:trHeight w:val="285" w:hRule="atLeast"/>
        </w:trPr>
        <w:tc>
          <w:tcPr>
            <w:tcW w:w="1864" w:type="pct"/>
            <w:gridSpan w:val="2"/>
            <w:tcBorders>
              <w:top w:val="nil"/>
              <w:left w:val="nil"/>
              <w:bottom w:val="nil"/>
              <w:right w:val="nil"/>
            </w:tcBorders>
            <w:shd w:val="clear" w:color="000000" w:fill="FFFFFF"/>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color w:val="000000"/>
                <w:kern w:val="0"/>
                <w:sz w:val="21"/>
                <w:szCs w:val="21"/>
                <w:highlight w:val="none"/>
              </w:rPr>
              <w:t>部门：</w:t>
            </w:r>
            <w:r>
              <w:rPr>
                <w:rFonts w:hint="default" w:ascii="Times New Roman" w:hAnsi="Times New Roman" w:cs="Times New Roman"/>
                <w:kern w:val="0"/>
                <w:sz w:val="21"/>
                <w:szCs w:val="21"/>
                <w:highlight w:val="none"/>
              </w:rPr>
              <w:t>　</w:t>
            </w:r>
            <w:r>
              <w:rPr>
                <w:rFonts w:hint="default" w:ascii="Times New Roman" w:hAnsi="Times New Roman" w:cs="Times New Roman"/>
                <w:color w:val="000000"/>
                <w:kern w:val="0"/>
                <w:sz w:val="21"/>
                <w:szCs w:val="21"/>
                <w:highlight w:val="none"/>
              </w:rPr>
              <w:t>中共祁阳市网络安全和信息化委员会办公室</w:t>
            </w:r>
            <w:r>
              <w:rPr>
                <w:rFonts w:hint="default" w:ascii="Times New Roman" w:hAnsi="Times New Roman" w:cs="Times New Roman"/>
                <w:kern w:val="0"/>
                <w:sz w:val="21"/>
                <w:szCs w:val="21"/>
                <w:highlight w:val="none"/>
              </w:rPr>
              <w:t>　</w:t>
            </w:r>
          </w:p>
        </w:tc>
        <w:tc>
          <w:tcPr>
            <w:tcW w:w="54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3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05" w:type="pct"/>
            <w:tcBorders>
              <w:top w:val="nil"/>
              <w:left w:val="nil"/>
              <w:bottom w:val="nil"/>
              <w:right w:val="nil"/>
            </w:tcBorders>
            <w:shd w:val="clear" w:color="000000" w:fill="FFFFFF"/>
            <w:noWrap/>
            <w:vAlign w:val="center"/>
          </w:tcPr>
          <w:p>
            <w:pPr>
              <w:widowControl/>
              <w:jc w:val="center"/>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51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1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17"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单位：万元</w:t>
            </w:r>
          </w:p>
        </w:tc>
      </w:tr>
      <w:tr>
        <w:tblPrEx>
          <w:tblCellMar>
            <w:top w:w="0" w:type="dxa"/>
            <w:left w:w="108" w:type="dxa"/>
            <w:bottom w:w="0" w:type="dxa"/>
            <w:right w:w="108" w:type="dxa"/>
          </w:tblCellMar>
        </w:tblPrEx>
        <w:trPr>
          <w:trHeight w:val="90" w:hRule="atLeas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项    目</w:t>
            </w:r>
          </w:p>
        </w:tc>
        <w:tc>
          <w:tcPr>
            <w:tcW w:w="5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本年支出合计</w:t>
            </w:r>
          </w:p>
        </w:tc>
        <w:tc>
          <w:tcPr>
            <w:tcW w:w="5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基本支出</w:t>
            </w:r>
          </w:p>
        </w:tc>
        <w:tc>
          <w:tcPr>
            <w:tcW w:w="50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项目支出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上缴上级支出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经营支出</w:t>
            </w:r>
          </w:p>
        </w:tc>
        <w:tc>
          <w:tcPr>
            <w:tcW w:w="51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对附属单位补助支出</w:t>
            </w:r>
          </w:p>
        </w:tc>
      </w:tr>
      <w:tr>
        <w:tblPrEx>
          <w:tblCellMar>
            <w:top w:w="0" w:type="dxa"/>
            <w:left w:w="108" w:type="dxa"/>
            <w:bottom w:w="0" w:type="dxa"/>
            <w:right w:w="108" w:type="dxa"/>
          </w:tblCellMar>
        </w:tblPrEx>
        <w:trPr>
          <w:trHeight w:val="450" w:hRule="atLeast"/>
        </w:trPr>
        <w:tc>
          <w:tcPr>
            <w:tcW w:w="37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功能分类科目编码</w:t>
            </w:r>
          </w:p>
        </w:tc>
        <w:tc>
          <w:tcPr>
            <w:tcW w:w="1488"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科目名称</w:t>
            </w: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37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488"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90" w:hRule="atLeas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栏次</w:t>
            </w:r>
          </w:p>
        </w:tc>
        <w:tc>
          <w:tcPr>
            <w:tcW w:w="54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1</w:t>
            </w:r>
          </w:p>
        </w:tc>
        <w:tc>
          <w:tcPr>
            <w:tcW w:w="5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2</w:t>
            </w:r>
          </w:p>
        </w:tc>
        <w:tc>
          <w:tcPr>
            <w:tcW w:w="505"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3</w:t>
            </w:r>
          </w:p>
        </w:tc>
        <w:tc>
          <w:tcPr>
            <w:tcW w:w="51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4</w:t>
            </w:r>
          </w:p>
        </w:tc>
        <w:tc>
          <w:tcPr>
            <w:tcW w:w="51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5</w:t>
            </w:r>
          </w:p>
        </w:tc>
        <w:tc>
          <w:tcPr>
            <w:tcW w:w="51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6</w:t>
            </w:r>
          </w:p>
        </w:tc>
      </w:tr>
      <w:tr>
        <w:tblPrEx>
          <w:tblCellMar>
            <w:top w:w="0" w:type="dxa"/>
            <w:left w:w="108" w:type="dxa"/>
            <w:bottom w:w="0" w:type="dxa"/>
            <w:right w:w="108" w:type="dxa"/>
          </w:tblCellMar>
        </w:tblPrEx>
        <w:trPr>
          <w:trHeight w:val="222" w:hRule="atLeas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合计</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181.15</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123.35</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57.80</w:t>
            </w:r>
          </w:p>
        </w:tc>
        <w:tc>
          <w:tcPr>
            <w:tcW w:w="51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147"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sz w:val="21"/>
                <w:szCs w:val="21"/>
                <w:highlight w:val="none"/>
              </w:rPr>
              <w:t>201</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一般公共服务支出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155.43</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97.63</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57.80</w:t>
            </w:r>
          </w:p>
        </w:tc>
        <w:tc>
          <w:tcPr>
            <w:tcW w:w="51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90"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sz w:val="21"/>
                <w:szCs w:val="21"/>
                <w:highlight w:val="none"/>
              </w:rPr>
              <w:t>20131</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党委办公厅（室）及相关机构事务</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90"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sz w:val="21"/>
                <w:szCs w:val="21"/>
                <w:highlight w:val="none"/>
              </w:rPr>
              <w:t>2013101</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行政运行</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90"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sz w:val="21"/>
                <w:szCs w:val="21"/>
                <w:highlight w:val="none"/>
              </w:rPr>
              <w:t>20137</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网信事务</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134.64</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84.34</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50.30</w:t>
            </w:r>
          </w:p>
        </w:tc>
        <w:tc>
          <w:tcPr>
            <w:tcW w:w="51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pStyle w:val="6"/>
              <w:rPr>
                <w:rFonts w:hint="default" w:ascii="Times New Roman" w:hAnsi="Times New Roman" w:cs="Times New Roman"/>
                <w:sz w:val="21"/>
                <w:szCs w:val="21"/>
                <w:highlight w:val="none"/>
              </w:rPr>
            </w:pPr>
          </w:p>
        </w:tc>
      </w:tr>
      <w:tr>
        <w:tblPrEx>
          <w:tblCellMar>
            <w:top w:w="0" w:type="dxa"/>
            <w:left w:w="108" w:type="dxa"/>
            <w:bottom w:w="0" w:type="dxa"/>
            <w:right w:w="108" w:type="dxa"/>
          </w:tblCellMar>
        </w:tblPrEx>
        <w:trPr>
          <w:trHeight w:val="90"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sz w:val="21"/>
                <w:szCs w:val="21"/>
                <w:highlight w:val="none"/>
              </w:rPr>
              <w:t>2013701</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行政运行</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84.34</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84.34</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pStyle w:val="6"/>
              <w:rPr>
                <w:rFonts w:hint="default" w:ascii="Times New Roman" w:hAnsi="Times New Roman" w:cs="Times New Roman"/>
                <w:sz w:val="21"/>
                <w:szCs w:val="21"/>
                <w:highlight w:val="none"/>
              </w:rPr>
            </w:pPr>
          </w:p>
        </w:tc>
      </w:tr>
      <w:tr>
        <w:tblPrEx>
          <w:tblCellMar>
            <w:top w:w="0" w:type="dxa"/>
            <w:left w:w="108" w:type="dxa"/>
            <w:bottom w:w="0" w:type="dxa"/>
            <w:right w:w="108" w:type="dxa"/>
          </w:tblCellMar>
        </w:tblPrEx>
        <w:trPr>
          <w:trHeight w:val="43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sz w:val="21"/>
                <w:szCs w:val="21"/>
                <w:highlight w:val="none"/>
              </w:rPr>
              <w:t>2013702</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一般行政管理事务</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50.30</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50.30</w:t>
            </w:r>
          </w:p>
        </w:tc>
        <w:tc>
          <w:tcPr>
            <w:tcW w:w="51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pStyle w:val="6"/>
              <w:rPr>
                <w:rFonts w:hint="default" w:ascii="Times New Roman" w:hAnsi="Times New Roman" w:cs="Times New Roman"/>
                <w:sz w:val="21"/>
                <w:szCs w:val="21"/>
                <w:highlight w:val="none"/>
              </w:rPr>
            </w:pPr>
          </w:p>
        </w:tc>
      </w:tr>
      <w:tr>
        <w:tblPrEx>
          <w:tblCellMar>
            <w:top w:w="0" w:type="dxa"/>
            <w:left w:w="108" w:type="dxa"/>
            <w:bottom w:w="0" w:type="dxa"/>
            <w:right w:w="108" w:type="dxa"/>
          </w:tblCellMar>
        </w:tblPrEx>
        <w:trPr>
          <w:trHeight w:val="90"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sz w:val="21"/>
                <w:szCs w:val="21"/>
                <w:highlight w:val="none"/>
              </w:rPr>
              <w:t>20199</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其他一般公共服务支出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19.79</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12.29</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7.50</w:t>
            </w:r>
          </w:p>
        </w:tc>
        <w:tc>
          <w:tcPr>
            <w:tcW w:w="51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pStyle w:val="6"/>
              <w:rPr>
                <w:rFonts w:hint="default" w:ascii="Times New Roman" w:hAnsi="Times New Roman" w:cs="Times New Roman"/>
                <w:sz w:val="21"/>
                <w:szCs w:val="21"/>
                <w:highlight w:val="none"/>
              </w:rPr>
            </w:pPr>
          </w:p>
        </w:tc>
      </w:tr>
      <w:tr>
        <w:tblPrEx>
          <w:tblCellMar>
            <w:top w:w="0" w:type="dxa"/>
            <w:left w:w="108" w:type="dxa"/>
            <w:bottom w:w="0" w:type="dxa"/>
            <w:right w:w="108" w:type="dxa"/>
          </w:tblCellMar>
        </w:tblPrEx>
        <w:trPr>
          <w:trHeight w:val="90"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sz w:val="21"/>
                <w:szCs w:val="21"/>
                <w:highlight w:val="none"/>
              </w:rPr>
              <w:t>2019999</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其他一般公共服务支出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19.79</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12.29</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7.50</w:t>
            </w:r>
          </w:p>
        </w:tc>
        <w:tc>
          <w:tcPr>
            <w:tcW w:w="51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pStyle w:val="6"/>
              <w:rPr>
                <w:rFonts w:hint="default" w:ascii="Times New Roman" w:hAnsi="Times New Roman" w:cs="Times New Roman"/>
                <w:sz w:val="21"/>
                <w:szCs w:val="21"/>
                <w:highlight w:val="none"/>
              </w:rPr>
            </w:pPr>
          </w:p>
        </w:tc>
      </w:tr>
      <w:tr>
        <w:tblPrEx>
          <w:tblCellMar>
            <w:top w:w="0" w:type="dxa"/>
            <w:left w:w="108" w:type="dxa"/>
            <w:bottom w:w="0" w:type="dxa"/>
            <w:right w:w="108" w:type="dxa"/>
          </w:tblCellMar>
        </w:tblPrEx>
        <w:trPr>
          <w:trHeight w:val="267"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sz w:val="21"/>
                <w:szCs w:val="21"/>
                <w:highlight w:val="none"/>
              </w:rPr>
              <w:t>208</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社会保障和就业支出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11.93</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11.93</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pStyle w:val="6"/>
              <w:rPr>
                <w:rFonts w:hint="default" w:ascii="Times New Roman" w:hAnsi="Times New Roman" w:cs="Times New Roman"/>
                <w:sz w:val="21"/>
                <w:szCs w:val="21"/>
                <w:highlight w:val="none"/>
              </w:rPr>
            </w:pPr>
          </w:p>
        </w:tc>
      </w:tr>
      <w:tr>
        <w:tblPrEx>
          <w:tblCellMar>
            <w:top w:w="0" w:type="dxa"/>
            <w:left w:w="108" w:type="dxa"/>
            <w:bottom w:w="0" w:type="dxa"/>
            <w:right w:w="108" w:type="dxa"/>
          </w:tblCellMar>
        </w:tblPrEx>
        <w:trPr>
          <w:trHeight w:val="90"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sz w:val="21"/>
                <w:szCs w:val="21"/>
                <w:highlight w:val="none"/>
              </w:rPr>
              <w:t>20805</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行政事业单位养老支出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11.53</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11.53</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pStyle w:val="6"/>
              <w:rPr>
                <w:rFonts w:hint="default" w:ascii="Times New Roman" w:hAnsi="Times New Roman" w:cs="Times New Roman"/>
                <w:sz w:val="21"/>
                <w:szCs w:val="21"/>
                <w:highlight w:val="none"/>
              </w:rPr>
            </w:pPr>
          </w:p>
        </w:tc>
      </w:tr>
      <w:tr>
        <w:tblPrEx>
          <w:tblCellMar>
            <w:top w:w="0" w:type="dxa"/>
            <w:left w:w="108" w:type="dxa"/>
            <w:bottom w:w="0" w:type="dxa"/>
            <w:right w:w="108" w:type="dxa"/>
          </w:tblCellMar>
        </w:tblPrEx>
        <w:trPr>
          <w:trHeight w:val="90"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sz w:val="21"/>
                <w:szCs w:val="21"/>
                <w:highlight w:val="none"/>
              </w:rPr>
              <w:t>2080505</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机关事业单位基本养老保险缴费支出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11.53</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11.53</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pStyle w:val="6"/>
              <w:rPr>
                <w:rFonts w:hint="default" w:ascii="Times New Roman" w:hAnsi="Times New Roman" w:cs="Times New Roman"/>
                <w:sz w:val="21"/>
                <w:szCs w:val="21"/>
                <w:highlight w:val="none"/>
              </w:rPr>
            </w:pP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sz w:val="21"/>
                <w:szCs w:val="21"/>
                <w:highlight w:val="none"/>
              </w:rPr>
              <w:t>20808</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抚恤</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0.40</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0.40</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sz w:val="21"/>
                <w:szCs w:val="21"/>
                <w:highlight w:val="none"/>
              </w:rPr>
              <w:t>2080899</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其他优抚支出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0.40</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0.40</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sz w:val="21"/>
                <w:szCs w:val="21"/>
                <w:highlight w:val="none"/>
              </w:rPr>
              <w:t>210</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卫生健康支出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5.60</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5.60</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sz w:val="21"/>
                <w:szCs w:val="21"/>
                <w:highlight w:val="none"/>
              </w:rPr>
              <w:t>21011</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行政事业单位医疗</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5.60</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5.60</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sz w:val="21"/>
                <w:szCs w:val="21"/>
                <w:highlight w:val="none"/>
              </w:rPr>
              <w:t>2101101</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行政单位医疗</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5.60</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5.60</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sz w:val="21"/>
                <w:szCs w:val="21"/>
                <w:highlight w:val="none"/>
              </w:rPr>
              <w:t>221</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住房保障支出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8.19</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8.19</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sz w:val="21"/>
                <w:szCs w:val="21"/>
                <w:highlight w:val="none"/>
              </w:rPr>
              <w:t>22102</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住房改革支出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8.19</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8.19</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312" w:hRule="atLeast"/>
        </w:trPr>
        <w:tc>
          <w:tcPr>
            <w:tcW w:w="37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sz w:val="21"/>
                <w:szCs w:val="21"/>
                <w:highlight w:val="none"/>
              </w:rPr>
              <w:t>2210201</w:t>
            </w:r>
          </w:p>
        </w:tc>
        <w:tc>
          <w:tcPr>
            <w:tcW w:w="1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住房公积金</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8.19</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8.19</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312" w:hRule="atLeast"/>
        </w:trPr>
        <w:tc>
          <w:tcPr>
            <w:tcW w:w="5000" w:type="pct"/>
            <w:gridSpan w:val="8"/>
            <w:tcBorders>
              <w:top w:val="nil"/>
              <w:left w:val="nil"/>
              <w:bottom w:val="nil"/>
              <w:right w:val="nil"/>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注：本表反映部门本年度各项支出情况。</w:t>
            </w:r>
          </w:p>
        </w:tc>
      </w:tr>
    </w:tbl>
    <w:p>
      <w:pPr>
        <w:widowControl/>
        <w:jc w:val="center"/>
        <w:rPr>
          <w:rFonts w:hint="eastAsia" w:cs="宋体" w:asciiTheme="minorEastAsia" w:hAnsiTheme="minorEastAsia"/>
          <w:color w:val="000000"/>
          <w:kern w:val="0"/>
          <w:sz w:val="32"/>
          <w:szCs w:val="32"/>
          <w:highlight w:val="none"/>
        </w:rPr>
      </w:pPr>
      <w:bookmarkStart w:id="0" w:name="RANGE!A1:I22"/>
      <w:bookmarkEnd w:id="0"/>
      <w:bookmarkStart w:id="1" w:name="RANGE!A1:F16"/>
      <w:r>
        <w:rPr>
          <w:rFonts w:hint="eastAsia" w:cs="宋体" w:asciiTheme="minorEastAsia" w:hAnsiTheme="minorEastAsia"/>
          <w:color w:val="000000"/>
          <w:kern w:val="0"/>
          <w:sz w:val="32"/>
          <w:szCs w:val="32"/>
          <w:highlight w:val="none"/>
        </w:rPr>
        <w:br w:type="page"/>
      </w:r>
    </w:p>
    <w:tbl>
      <w:tblPr>
        <w:tblStyle w:val="11"/>
        <w:tblW w:w="4959" w:type="pct"/>
        <w:tblInd w:w="126" w:type="dxa"/>
        <w:tblLayout w:type="fixed"/>
        <w:tblCellMar>
          <w:top w:w="0" w:type="dxa"/>
          <w:left w:w="108" w:type="dxa"/>
          <w:bottom w:w="0" w:type="dxa"/>
          <w:right w:w="108" w:type="dxa"/>
        </w:tblCellMar>
      </w:tblPr>
      <w:tblGrid>
        <w:gridCol w:w="3362"/>
        <w:gridCol w:w="625"/>
        <w:gridCol w:w="1150"/>
        <w:gridCol w:w="3600"/>
        <w:gridCol w:w="650"/>
        <w:gridCol w:w="1175"/>
        <w:gridCol w:w="1513"/>
        <w:gridCol w:w="1725"/>
        <w:gridCol w:w="1686"/>
      </w:tblGrid>
      <w:tr>
        <w:tblPrEx>
          <w:tblCellMar>
            <w:top w:w="0" w:type="dxa"/>
            <w:left w:w="108" w:type="dxa"/>
            <w:bottom w:w="0" w:type="dxa"/>
            <w:right w:w="108" w:type="dxa"/>
          </w:tblCellMar>
        </w:tblPrEx>
        <w:trPr>
          <w:trHeight w:val="360" w:hRule="atLeast"/>
        </w:trPr>
        <w:tc>
          <w:tcPr>
            <w:tcW w:w="5000" w:type="pct"/>
            <w:gridSpan w:val="9"/>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t>财政拨款收入支出决算总表</w:t>
            </w:r>
          </w:p>
        </w:tc>
      </w:tr>
      <w:tr>
        <w:tblPrEx>
          <w:tblCellMar>
            <w:top w:w="0" w:type="dxa"/>
            <w:left w:w="108" w:type="dxa"/>
            <w:bottom w:w="0" w:type="dxa"/>
            <w:right w:w="108" w:type="dxa"/>
          </w:tblCellMar>
        </w:tblPrEx>
        <w:trPr>
          <w:trHeight w:val="337" w:hRule="atLeast"/>
        </w:trPr>
        <w:tc>
          <w:tcPr>
            <w:tcW w:w="1085"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201"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71"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16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20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7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488"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56"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44"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公开04表</w:t>
            </w:r>
          </w:p>
        </w:tc>
      </w:tr>
      <w:tr>
        <w:tblPrEx>
          <w:tblCellMar>
            <w:top w:w="0" w:type="dxa"/>
            <w:left w:w="108" w:type="dxa"/>
            <w:bottom w:w="0" w:type="dxa"/>
            <w:right w:w="108" w:type="dxa"/>
          </w:tblCellMar>
        </w:tblPrEx>
        <w:trPr>
          <w:trHeight w:val="300" w:hRule="atLeast"/>
        </w:trPr>
        <w:tc>
          <w:tcPr>
            <w:tcW w:w="1658" w:type="pct"/>
            <w:gridSpan w:val="3"/>
            <w:tcBorders>
              <w:top w:val="nil"/>
              <w:left w:val="nil"/>
              <w:bottom w:val="nil"/>
              <w:right w:val="nil"/>
            </w:tcBorders>
            <w:shd w:val="clear" w:color="000000" w:fill="FFFFFF"/>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color w:val="000000"/>
                <w:kern w:val="0"/>
                <w:sz w:val="21"/>
                <w:szCs w:val="21"/>
                <w:highlight w:val="none"/>
              </w:rPr>
              <w:t>部门：中共祁阳市网络安全和信息化委员会办公室</w:t>
            </w:r>
            <w:r>
              <w:rPr>
                <w:rFonts w:hint="default" w:ascii="Times New Roman" w:hAnsi="Times New Roman" w:cs="Times New Roman"/>
                <w:kern w:val="0"/>
                <w:sz w:val="21"/>
                <w:szCs w:val="21"/>
                <w:highlight w:val="none"/>
              </w:rPr>
              <w:t>　</w:t>
            </w:r>
          </w:p>
        </w:tc>
        <w:tc>
          <w:tcPr>
            <w:tcW w:w="116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20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7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488"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56"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44"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单位：万元</w:t>
            </w:r>
          </w:p>
        </w:tc>
      </w:tr>
      <w:tr>
        <w:tblPrEx>
          <w:tblCellMar>
            <w:top w:w="0" w:type="dxa"/>
            <w:left w:w="108" w:type="dxa"/>
            <w:bottom w:w="0" w:type="dxa"/>
            <w:right w:w="108" w:type="dxa"/>
          </w:tblCellMar>
        </w:tblPrEx>
        <w:trPr>
          <w:trHeight w:val="402" w:hRule="atLeast"/>
        </w:trPr>
        <w:tc>
          <w:tcPr>
            <w:tcW w:w="165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收入</w:t>
            </w:r>
          </w:p>
        </w:tc>
        <w:tc>
          <w:tcPr>
            <w:tcW w:w="3341" w:type="pct"/>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支出</w:t>
            </w:r>
          </w:p>
        </w:tc>
      </w:tr>
      <w:tr>
        <w:tblPrEx>
          <w:tblCellMar>
            <w:top w:w="0" w:type="dxa"/>
            <w:left w:w="108" w:type="dxa"/>
            <w:bottom w:w="0" w:type="dxa"/>
            <w:right w:w="108" w:type="dxa"/>
          </w:tblCellMar>
        </w:tblPrEx>
        <w:trPr>
          <w:trHeight w:val="630"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项    目</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行次</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金额</w:t>
            </w:r>
          </w:p>
        </w:tc>
        <w:tc>
          <w:tcPr>
            <w:tcW w:w="116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项    目</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行次</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合计</w:t>
            </w:r>
          </w:p>
        </w:tc>
        <w:tc>
          <w:tcPr>
            <w:tcW w:w="488"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一般公共预算财政拨款</w:t>
            </w:r>
          </w:p>
        </w:tc>
        <w:tc>
          <w:tcPr>
            <w:tcW w:w="556"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政府性基金预算财政拨款</w:t>
            </w:r>
          </w:p>
        </w:tc>
        <w:tc>
          <w:tcPr>
            <w:tcW w:w="544"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国有资本经营预算财政拨款</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栏    次</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1</w:t>
            </w:r>
          </w:p>
        </w:tc>
        <w:tc>
          <w:tcPr>
            <w:tcW w:w="116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栏    次</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2</w:t>
            </w: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3</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4</w:t>
            </w:r>
          </w:p>
        </w:tc>
        <w:tc>
          <w:tcPr>
            <w:tcW w:w="544"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5</w:t>
            </w:r>
          </w:p>
        </w:tc>
      </w:tr>
      <w:tr>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一、一般公共预算财政拨款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1</w:t>
            </w: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181.15</w:t>
            </w: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一、一般公共服务支出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33</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155.43</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155.43</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二、政府性基金预算财政拨款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2</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二、外交支出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34</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三、国有资本经营预算财政拨款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3</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三、国防支出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35</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4</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四、公共安全支出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36</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5</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五、教育支出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37</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6</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六、科学技术支出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38</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7</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kern w:val="0"/>
                <w:sz w:val="21"/>
                <w:szCs w:val="21"/>
                <w:highlight w:val="none"/>
              </w:rPr>
              <w:t>七、文化旅游体育与传媒支出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39</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8</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kern w:val="0"/>
                <w:sz w:val="21"/>
                <w:szCs w:val="21"/>
                <w:highlight w:val="none"/>
              </w:rPr>
              <w:t>八、社会保障和就业支出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40</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11.93</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11.93</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9</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kern w:val="0"/>
                <w:sz w:val="21"/>
                <w:szCs w:val="21"/>
                <w:highlight w:val="none"/>
              </w:rPr>
              <w:t>九、卫生健康支出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41</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5.60</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5.60</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10</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kern w:val="0"/>
                <w:sz w:val="21"/>
                <w:szCs w:val="21"/>
                <w:highlight w:val="none"/>
              </w:rPr>
              <w:t>十、节能环保支出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42</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11</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kern w:val="0"/>
                <w:sz w:val="21"/>
                <w:szCs w:val="21"/>
                <w:highlight w:val="none"/>
              </w:rPr>
              <w:t>十一、城乡社区支出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43</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12</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kern w:val="0"/>
                <w:sz w:val="21"/>
                <w:szCs w:val="21"/>
                <w:highlight w:val="none"/>
              </w:rPr>
              <w:t>十二、农林水支出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44</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13</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kern w:val="0"/>
                <w:sz w:val="21"/>
                <w:szCs w:val="21"/>
                <w:highlight w:val="none"/>
              </w:rPr>
              <w:t>十三、交通运输支出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45</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14</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kern w:val="0"/>
                <w:sz w:val="21"/>
                <w:szCs w:val="21"/>
                <w:highlight w:val="none"/>
              </w:rPr>
              <w:t>十四、资源勘探工业信息等支出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46</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15</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kern w:val="0"/>
                <w:sz w:val="21"/>
                <w:szCs w:val="21"/>
                <w:highlight w:val="none"/>
              </w:rPr>
              <w:t>十五、商业服务业等支出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47</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16</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kern w:val="0"/>
                <w:sz w:val="21"/>
                <w:szCs w:val="21"/>
                <w:highlight w:val="none"/>
              </w:rPr>
              <w:t>十六、金融支出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48</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17</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kern w:val="0"/>
                <w:sz w:val="21"/>
                <w:szCs w:val="21"/>
                <w:highlight w:val="none"/>
              </w:rPr>
              <w:t>十七、援助其他地区支出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49</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18</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kern w:val="0"/>
                <w:sz w:val="21"/>
                <w:szCs w:val="21"/>
                <w:highlight w:val="none"/>
              </w:rPr>
              <w:t>十八、自然资源海洋气象等支出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50</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p>
        </w:tc>
        <w:tc>
          <w:tcPr>
            <w:tcW w:w="2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19</w:t>
            </w: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116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kern w:val="0"/>
                <w:sz w:val="21"/>
                <w:szCs w:val="21"/>
                <w:highlight w:val="none"/>
              </w:rPr>
              <w:t>十九、住房保障支出</w:t>
            </w:r>
          </w:p>
        </w:tc>
        <w:tc>
          <w:tcPr>
            <w:tcW w:w="2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51</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8.19</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8.19</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p>
        </w:tc>
        <w:tc>
          <w:tcPr>
            <w:tcW w:w="20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20</w:t>
            </w:r>
          </w:p>
        </w:tc>
        <w:tc>
          <w:tcPr>
            <w:tcW w:w="371"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1162"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kern w:val="0"/>
                <w:sz w:val="21"/>
                <w:szCs w:val="21"/>
                <w:highlight w:val="none"/>
              </w:rPr>
              <w:t>二十、粮油物资储备支出</w:t>
            </w:r>
          </w:p>
        </w:tc>
        <w:tc>
          <w:tcPr>
            <w:tcW w:w="20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52</w:t>
            </w:r>
          </w:p>
        </w:tc>
        <w:tc>
          <w:tcPr>
            <w:tcW w:w="379"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488"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5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44"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21</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kern w:val="0"/>
                <w:sz w:val="21"/>
                <w:szCs w:val="21"/>
                <w:highlight w:val="none"/>
              </w:rPr>
              <w:t>二十一、国有资本经营预算支出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53</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22</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kern w:val="0"/>
                <w:sz w:val="21"/>
                <w:szCs w:val="21"/>
                <w:highlight w:val="none"/>
              </w:rPr>
              <w:t>二十二、灾害防治及应急管理支出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54</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23</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kern w:val="0"/>
                <w:sz w:val="21"/>
                <w:szCs w:val="21"/>
                <w:highlight w:val="none"/>
              </w:rPr>
              <w:t>二十三、其他支出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55</w:t>
            </w:r>
          </w:p>
        </w:tc>
        <w:tc>
          <w:tcPr>
            <w:tcW w:w="379"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24</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kern w:val="0"/>
                <w:sz w:val="21"/>
                <w:szCs w:val="21"/>
                <w:highlight w:val="none"/>
              </w:rPr>
              <w:t>二十四、债务还本支出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56</w:t>
            </w:r>
          </w:p>
        </w:tc>
        <w:tc>
          <w:tcPr>
            <w:tcW w:w="379"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p>
        </w:tc>
        <w:tc>
          <w:tcPr>
            <w:tcW w:w="20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25</w:t>
            </w:r>
          </w:p>
        </w:tc>
        <w:tc>
          <w:tcPr>
            <w:tcW w:w="371"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1162"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kern w:val="0"/>
                <w:sz w:val="21"/>
                <w:szCs w:val="21"/>
                <w:highlight w:val="none"/>
              </w:rPr>
              <w:t>二十五、债务付息支出</w:t>
            </w:r>
          </w:p>
        </w:tc>
        <w:tc>
          <w:tcPr>
            <w:tcW w:w="20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57</w:t>
            </w:r>
          </w:p>
        </w:tc>
        <w:tc>
          <w:tcPr>
            <w:tcW w:w="379"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488" w:type="pct"/>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highlight w:val="none"/>
              </w:rPr>
            </w:pPr>
          </w:p>
        </w:tc>
        <w:tc>
          <w:tcPr>
            <w:tcW w:w="55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44"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p>
        </w:tc>
        <w:tc>
          <w:tcPr>
            <w:tcW w:w="20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26</w:t>
            </w:r>
          </w:p>
        </w:tc>
        <w:tc>
          <w:tcPr>
            <w:tcW w:w="37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162"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kern w:val="0"/>
                <w:sz w:val="21"/>
                <w:szCs w:val="21"/>
                <w:highlight w:val="none"/>
              </w:rPr>
              <w:t>二十六、抗疫特别国债安排的支出</w:t>
            </w:r>
          </w:p>
        </w:tc>
        <w:tc>
          <w:tcPr>
            <w:tcW w:w="20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58</w:t>
            </w:r>
          </w:p>
        </w:tc>
        <w:tc>
          <w:tcPr>
            <w:tcW w:w="379"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488"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5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544"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b/>
                <w:bCs/>
                <w:kern w:val="0"/>
                <w:sz w:val="21"/>
                <w:szCs w:val="21"/>
                <w:highlight w:val="none"/>
              </w:rPr>
            </w:pPr>
            <w:r>
              <w:rPr>
                <w:rFonts w:hint="default" w:ascii="Times New Roman" w:hAnsi="Times New Roman" w:cs="Times New Roman"/>
                <w:b/>
                <w:bCs/>
                <w:kern w:val="0"/>
                <w:sz w:val="21"/>
                <w:szCs w:val="21"/>
                <w:highlight w:val="none"/>
              </w:rPr>
              <w:t>本年收入合计</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27</w:t>
            </w: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181.15</w:t>
            </w:r>
          </w:p>
        </w:tc>
        <w:tc>
          <w:tcPr>
            <w:tcW w:w="116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b/>
                <w:bCs/>
                <w:kern w:val="0"/>
                <w:sz w:val="21"/>
                <w:szCs w:val="21"/>
                <w:highlight w:val="none"/>
              </w:rPr>
            </w:pPr>
            <w:r>
              <w:rPr>
                <w:rFonts w:hint="default" w:ascii="Times New Roman" w:hAnsi="Times New Roman" w:cs="Times New Roman"/>
                <w:b/>
                <w:bCs/>
                <w:kern w:val="0"/>
                <w:sz w:val="21"/>
                <w:szCs w:val="21"/>
                <w:highlight w:val="none"/>
              </w:rPr>
              <w:t>本年支出合计</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59</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181.15</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181.15</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b/>
                <w:bCs/>
                <w:kern w:val="0"/>
                <w:sz w:val="21"/>
                <w:szCs w:val="21"/>
                <w:highlight w:val="none"/>
              </w:rPr>
            </w:pPr>
            <w:r>
              <w:rPr>
                <w:rFonts w:hint="default" w:ascii="Times New Roman" w:hAnsi="Times New Roman" w:cs="Times New Roman"/>
                <w:b/>
                <w:bCs/>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年初财政拨款结转和结余</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28</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年末财政拨款结转和结余</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60</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一般公共预算财政拨款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29</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61</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政府性基金预算财政拨款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30</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62</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国有资本经营预算财政拨款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31</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63</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b/>
                <w:bCs/>
                <w:kern w:val="0"/>
                <w:sz w:val="21"/>
                <w:szCs w:val="21"/>
                <w:highlight w:val="none"/>
              </w:rPr>
            </w:pPr>
            <w:r>
              <w:rPr>
                <w:rFonts w:hint="default" w:ascii="Times New Roman" w:hAnsi="Times New Roman" w:cs="Times New Roman"/>
                <w:b/>
                <w:bCs/>
                <w:kern w:val="0"/>
                <w:sz w:val="21"/>
                <w:szCs w:val="21"/>
                <w:highlight w:val="none"/>
              </w:rPr>
              <w:t>总计</w:t>
            </w:r>
          </w:p>
        </w:tc>
        <w:tc>
          <w:tcPr>
            <w:tcW w:w="201"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32</w:t>
            </w: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181.15</w:t>
            </w:r>
          </w:p>
        </w:tc>
        <w:tc>
          <w:tcPr>
            <w:tcW w:w="116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b/>
                <w:bCs/>
                <w:kern w:val="0"/>
                <w:sz w:val="21"/>
                <w:szCs w:val="21"/>
                <w:highlight w:val="none"/>
              </w:rPr>
            </w:pPr>
            <w:r>
              <w:rPr>
                <w:rFonts w:hint="default" w:ascii="Times New Roman" w:hAnsi="Times New Roman" w:cs="Times New Roman"/>
                <w:b/>
                <w:bCs/>
                <w:kern w:val="0"/>
                <w:sz w:val="21"/>
                <w:szCs w:val="21"/>
                <w:highlight w:val="none"/>
              </w:rPr>
              <w:t>总计</w:t>
            </w:r>
          </w:p>
        </w:tc>
        <w:tc>
          <w:tcPr>
            <w:tcW w:w="20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64</w:t>
            </w:r>
          </w:p>
        </w:tc>
        <w:tc>
          <w:tcPr>
            <w:tcW w:w="37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181.15</w:t>
            </w:r>
          </w:p>
        </w:tc>
        <w:tc>
          <w:tcPr>
            <w:tcW w:w="48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181.15</w:t>
            </w:r>
          </w:p>
        </w:tc>
        <w:tc>
          <w:tcPr>
            <w:tcW w:w="55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b/>
                <w:bCs/>
                <w:kern w:val="0"/>
                <w:sz w:val="21"/>
                <w:szCs w:val="21"/>
                <w:highlight w:val="none"/>
              </w:rPr>
            </w:pPr>
            <w:r>
              <w:rPr>
                <w:rFonts w:hint="default" w:ascii="Times New Roman" w:hAnsi="Times New Roman" w:cs="Times New Roman"/>
                <w:b/>
                <w:bCs/>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b/>
                <w:bCs/>
                <w:kern w:val="0"/>
                <w:sz w:val="21"/>
                <w:szCs w:val="21"/>
                <w:highlight w:val="none"/>
              </w:rPr>
            </w:pPr>
            <w:r>
              <w:rPr>
                <w:rFonts w:hint="default" w:ascii="Times New Roman" w:hAnsi="Times New Roman" w:cs="Times New Roman"/>
                <w:b/>
                <w:bCs/>
                <w:kern w:val="0"/>
                <w:sz w:val="21"/>
                <w:szCs w:val="21"/>
                <w:highlight w:val="none"/>
              </w:rPr>
              <w:t>　</w:t>
            </w:r>
          </w:p>
        </w:tc>
      </w:tr>
      <w:tr>
        <w:tblPrEx>
          <w:tblCellMar>
            <w:top w:w="0" w:type="dxa"/>
            <w:left w:w="108" w:type="dxa"/>
            <w:bottom w:w="0" w:type="dxa"/>
            <w:right w:w="108" w:type="dxa"/>
          </w:tblCellMar>
        </w:tblPrEx>
        <w:trPr>
          <w:trHeight w:val="312" w:hRule="atLeast"/>
        </w:trPr>
        <w:tc>
          <w:tcPr>
            <w:tcW w:w="5000" w:type="pct"/>
            <w:gridSpan w:val="9"/>
            <w:tcBorders>
              <w:top w:val="nil"/>
              <w:left w:val="nil"/>
              <w:bottom w:val="nil"/>
              <w:right w:val="nil"/>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注：本表反映部门本年度一般公共预算财政拨款、政府性基金预算财政拨款和国有资本经营预算财政拨款的总收支和年末结转结余情况。</w:t>
            </w:r>
          </w:p>
        </w:tc>
      </w:tr>
    </w:tbl>
    <w:p>
      <w:pPr>
        <w:widowControl/>
        <w:jc w:val="center"/>
        <w:rPr>
          <w:rFonts w:cs="Times New Roman" w:asciiTheme="minorEastAsia" w:hAnsiTheme="minorEastAsia"/>
          <w:kern w:val="0"/>
          <w:sz w:val="36"/>
          <w:szCs w:val="36"/>
          <w:highlight w:val="none"/>
        </w:rPr>
      </w:pPr>
    </w:p>
    <w:p>
      <w:pPr>
        <w:widowControl/>
        <w:jc w:val="center"/>
        <w:rPr>
          <w:rFonts w:cs="Times New Roman" w:asciiTheme="minorEastAsia" w:hAnsiTheme="minorEastAsia"/>
          <w:kern w:val="0"/>
          <w:sz w:val="36"/>
          <w:szCs w:val="36"/>
          <w:highlight w:val="none"/>
        </w:rPr>
      </w:pPr>
    </w:p>
    <w:p>
      <w:pPr>
        <w:rPr>
          <w:rFonts w:cs="Times New Roman" w:asciiTheme="minorEastAsia" w:hAnsiTheme="minorEastAsia"/>
          <w:kern w:val="0"/>
          <w:sz w:val="36"/>
          <w:szCs w:val="36"/>
          <w:highlight w:val="none"/>
        </w:rPr>
      </w:pPr>
      <w:r>
        <w:rPr>
          <w:rFonts w:cs="Times New Roman" w:asciiTheme="minorEastAsia" w:hAnsiTheme="minorEastAsia"/>
          <w:kern w:val="0"/>
          <w:sz w:val="36"/>
          <w:szCs w:val="36"/>
          <w:highlight w:val="none"/>
        </w:rPr>
        <w:br w:type="page"/>
      </w:r>
    </w:p>
    <w:p>
      <w:pPr>
        <w:widowControl/>
        <w:jc w:val="center"/>
        <w:rPr>
          <w:rFonts w:cs="Times New Roman" w:asciiTheme="minorEastAsia" w:hAnsiTheme="minorEastAsia"/>
          <w:color w:val="000000"/>
          <w:kern w:val="0"/>
          <w:sz w:val="20"/>
          <w:szCs w:val="20"/>
          <w:highlight w:val="none"/>
        </w:rPr>
      </w:pPr>
      <w:r>
        <w:rPr>
          <w:rFonts w:cs="Times New Roman" w:asciiTheme="minorEastAsia" w:hAnsiTheme="minorEastAsia"/>
          <w:kern w:val="0"/>
          <w:sz w:val="32"/>
          <w:szCs w:val="32"/>
          <w:highlight w:val="none"/>
        </w:rPr>
        <w:t>一般公共预算财政拨款支出决算表</w:t>
      </w:r>
      <w:bookmarkEnd w:id="1"/>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rPr>
        <w:t xml:space="preserve">                                          </w:t>
      </w:r>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lang w:val="en-US" w:eastAsia="zh-CN"/>
        </w:rPr>
        <w:t xml:space="preserve">         </w:t>
      </w:r>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rPr>
        <w:t xml:space="preserve">      </w:t>
      </w:r>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lang w:val="en-US" w:eastAsia="zh-CN"/>
        </w:rPr>
        <w:t xml:space="preserve">        </w:t>
      </w:r>
    </w:p>
    <w:tbl>
      <w:tblPr>
        <w:tblStyle w:val="11"/>
        <w:tblW w:w="5000" w:type="pct"/>
        <w:jc w:val="center"/>
        <w:tblLayout w:type="autofit"/>
        <w:tblCellMar>
          <w:top w:w="0" w:type="dxa"/>
          <w:left w:w="108" w:type="dxa"/>
          <w:bottom w:w="0" w:type="dxa"/>
          <w:right w:w="108" w:type="dxa"/>
        </w:tblCellMar>
      </w:tblPr>
      <w:tblGrid>
        <w:gridCol w:w="90"/>
        <w:gridCol w:w="980"/>
        <w:gridCol w:w="77"/>
        <w:gridCol w:w="3341"/>
        <w:gridCol w:w="878"/>
        <w:gridCol w:w="287"/>
        <w:gridCol w:w="840"/>
        <w:gridCol w:w="2316"/>
        <w:gridCol w:w="100"/>
        <w:gridCol w:w="600"/>
        <w:gridCol w:w="1084"/>
        <w:gridCol w:w="1574"/>
        <w:gridCol w:w="2701"/>
        <w:gridCol w:w="643"/>
        <w:gridCol w:w="103"/>
      </w:tblGrid>
      <w:tr>
        <w:tblPrEx>
          <w:tblCellMar>
            <w:top w:w="0" w:type="dxa"/>
            <w:left w:w="108" w:type="dxa"/>
            <w:bottom w:w="0" w:type="dxa"/>
            <w:right w:w="108" w:type="dxa"/>
          </w:tblCellMar>
        </w:tblPrEx>
        <w:trPr>
          <w:gridBefore w:val="1"/>
          <w:gridAfter w:val="1"/>
          <w:wBefore w:w="29" w:type="pct"/>
          <w:wAfter w:w="32" w:type="pct"/>
          <w:trHeight w:val="405" w:hRule="atLeast"/>
          <w:jc w:val="center"/>
        </w:trPr>
        <w:tc>
          <w:tcPr>
            <w:tcW w:w="1782" w:type="pct"/>
            <w:gridSpan w:val="5"/>
            <w:tcBorders>
              <w:top w:val="nil"/>
              <w:left w:val="nil"/>
              <w:bottom w:val="nil"/>
              <w:right w:val="nil"/>
            </w:tcBorders>
            <w:shd w:val="clear" w:color="auto" w:fill="auto"/>
            <w:vAlign w:val="center"/>
          </w:tcPr>
          <w:p>
            <w:pPr>
              <w:widowControl/>
              <w:jc w:val="left"/>
              <w:rPr>
                <w:rFonts w:hint="default" w:ascii="Times New Roman" w:hAnsi="Times New Roman" w:cs="Times New Roman"/>
                <w:color w:val="000000"/>
                <w:kern w:val="0"/>
                <w:sz w:val="21"/>
                <w:szCs w:val="21"/>
                <w:highlight w:val="none"/>
              </w:rPr>
            </w:pPr>
          </w:p>
        </w:tc>
        <w:tc>
          <w:tcPr>
            <w:tcW w:w="3154" w:type="pct"/>
            <w:gridSpan w:val="8"/>
            <w:tcBorders>
              <w:top w:val="nil"/>
              <w:left w:val="nil"/>
              <w:bottom w:val="nil"/>
              <w:right w:val="nil"/>
            </w:tcBorders>
            <w:shd w:val="clear" w:color="auto" w:fill="auto"/>
            <w:vAlign w:val="center"/>
          </w:tcPr>
          <w:p>
            <w:pPr>
              <w:widowControl/>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公开05表</w:t>
            </w:r>
          </w:p>
        </w:tc>
      </w:tr>
      <w:tr>
        <w:tblPrEx>
          <w:tblCellMar>
            <w:top w:w="0" w:type="dxa"/>
            <w:left w:w="108" w:type="dxa"/>
            <w:bottom w:w="0" w:type="dxa"/>
            <w:right w:w="108" w:type="dxa"/>
          </w:tblCellMar>
        </w:tblPrEx>
        <w:trPr>
          <w:gridBefore w:val="1"/>
          <w:gridAfter w:val="1"/>
          <w:wBefore w:w="29" w:type="pct"/>
          <w:wAfter w:w="32" w:type="pct"/>
          <w:trHeight w:val="405" w:hRule="atLeast"/>
          <w:jc w:val="center"/>
        </w:trPr>
        <w:tc>
          <w:tcPr>
            <w:tcW w:w="1782" w:type="pct"/>
            <w:gridSpan w:val="5"/>
            <w:tcBorders>
              <w:top w:val="nil"/>
              <w:left w:val="nil"/>
              <w:bottom w:val="single" w:color="auto" w:sz="4" w:space="0"/>
              <w:right w:val="nil"/>
            </w:tcBorders>
            <w:shd w:val="clear" w:color="auto" w:fill="auto"/>
            <w:vAlign w:val="center"/>
          </w:tcPr>
          <w:p>
            <w:pPr>
              <w:widowControl/>
              <w:jc w:val="left"/>
              <w:rPr>
                <w:rFonts w:hint="default" w:ascii="Times New Roman" w:hAnsi="Times New Roman" w:cs="Times New Roman"/>
                <w:b/>
                <w:kern w:val="0"/>
                <w:sz w:val="21"/>
                <w:szCs w:val="21"/>
                <w:highlight w:val="none"/>
              </w:rPr>
            </w:pPr>
            <w:r>
              <w:rPr>
                <w:rFonts w:hint="default" w:ascii="Times New Roman" w:hAnsi="Times New Roman" w:cs="Times New Roman"/>
                <w:color w:val="000000"/>
                <w:kern w:val="0"/>
                <w:sz w:val="21"/>
                <w:szCs w:val="21"/>
                <w:highlight w:val="none"/>
              </w:rPr>
              <w:t>部门：中共祁阳市网络安全和信息化委员会办公室</w:t>
            </w:r>
          </w:p>
        </w:tc>
        <w:tc>
          <w:tcPr>
            <w:tcW w:w="3154" w:type="pct"/>
            <w:gridSpan w:val="8"/>
            <w:tcBorders>
              <w:top w:val="nil"/>
              <w:left w:val="nil"/>
              <w:bottom w:val="single" w:color="auto" w:sz="4" w:space="0"/>
              <w:right w:val="nil"/>
            </w:tcBorders>
            <w:shd w:val="clear" w:color="auto" w:fill="auto"/>
            <w:vAlign w:val="center"/>
          </w:tcPr>
          <w:p>
            <w:pPr>
              <w:widowControl/>
              <w:jc w:val="right"/>
              <w:rPr>
                <w:rFonts w:hint="default" w:ascii="Times New Roman" w:hAnsi="Times New Roman" w:cs="Times New Roman"/>
                <w:b/>
                <w:kern w:val="0"/>
                <w:sz w:val="21"/>
                <w:szCs w:val="21"/>
                <w:highlight w:val="none"/>
              </w:rPr>
            </w:pPr>
            <w:r>
              <w:rPr>
                <w:rFonts w:hint="default" w:ascii="Times New Roman" w:hAnsi="Times New Roman" w:cs="Times New Roman"/>
                <w:color w:val="000000"/>
                <w:kern w:val="0"/>
                <w:sz w:val="21"/>
                <w:szCs w:val="21"/>
                <w:highlight w:val="none"/>
              </w:rPr>
              <w:t>单位：万元</w:t>
            </w:r>
          </w:p>
        </w:tc>
      </w:tr>
      <w:tr>
        <w:tblPrEx>
          <w:tblCellMar>
            <w:top w:w="0" w:type="dxa"/>
            <w:left w:w="108" w:type="dxa"/>
            <w:bottom w:w="0" w:type="dxa"/>
            <w:right w:w="108" w:type="dxa"/>
          </w:tblCellMar>
        </w:tblPrEx>
        <w:trPr>
          <w:gridBefore w:val="1"/>
          <w:gridAfter w:val="1"/>
          <w:wBefore w:w="29" w:type="pct"/>
          <w:wAfter w:w="32" w:type="pct"/>
          <w:trHeight w:val="405" w:hRule="atLeast"/>
          <w:jc w:val="center"/>
        </w:trPr>
        <w:tc>
          <w:tcPr>
            <w:tcW w:w="1782"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val="0"/>
                <w:bCs/>
                <w:kern w:val="0"/>
                <w:sz w:val="21"/>
                <w:szCs w:val="21"/>
                <w:highlight w:val="none"/>
              </w:rPr>
            </w:pPr>
            <w:r>
              <w:rPr>
                <w:rFonts w:hint="default" w:ascii="Times New Roman" w:hAnsi="Times New Roman" w:cs="Times New Roman"/>
                <w:b w:val="0"/>
                <w:bCs/>
                <w:kern w:val="0"/>
                <w:sz w:val="21"/>
                <w:szCs w:val="21"/>
                <w:highlight w:val="none"/>
              </w:rPr>
              <w:t xml:space="preserve">项 </w:t>
            </w:r>
            <w:r>
              <w:rPr>
                <w:rFonts w:hint="default" w:ascii="Times New Roman" w:hAnsi="Times New Roman" w:cs="Times New Roman"/>
                <w:b w:val="0"/>
                <w:bCs/>
                <w:color w:val="000000"/>
                <w:kern w:val="0"/>
                <w:sz w:val="21"/>
                <w:szCs w:val="21"/>
                <w:highlight w:val="none"/>
              </w:rPr>
              <w:t xml:space="preserve">   </w:t>
            </w:r>
            <w:r>
              <w:rPr>
                <w:rFonts w:hint="default" w:ascii="Times New Roman" w:hAnsi="Times New Roman" w:cs="Times New Roman"/>
                <w:b w:val="0"/>
                <w:bCs/>
                <w:kern w:val="0"/>
                <w:sz w:val="21"/>
                <w:szCs w:val="21"/>
                <w:highlight w:val="none"/>
              </w:rPr>
              <w:t>目</w:t>
            </w:r>
          </w:p>
        </w:tc>
        <w:tc>
          <w:tcPr>
            <w:tcW w:w="3154"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val="0"/>
                <w:bCs/>
                <w:kern w:val="0"/>
                <w:sz w:val="21"/>
                <w:szCs w:val="21"/>
                <w:highlight w:val="none"/>
              </w:rPr>
            </w:pPr>
            <w:r>
              <w:rPr>
                <w:rFonts w:hint="default" w:ascii="Times New Roman" w:hAnsi="Times New Roman" w:cs="Times New Roman"/>
                <w:b w:val="0"/>
                <w:bCs/>
                <w:kern w:val="0"/>
                <w:sz w:val="21"/>
                <w:szCs w:val="21"/>
                <w:highlight w:val="none"/>
              </w:rPr>
              <w:t>本年支出</w:t>
            </w:r>
          </w:p>
        </w:tc>
      </w:tr>
      <w:tr>
        <w:tblPrEx>
          <w:tblCellMar>
            <w:top w:w="0" w:type="dxa"/>
            <w:left w:w="108" w:type="dxa"/>
            <w:bottom w:w="0" w:type="dxa"/>
            <w:right w:w="108" w:type="dxa"/>
          </w:tblCellMar>
        </w:tblPrEx>
        <w:trPr>
          <w:gridBefore w:val="1"/>
          <w:gridAfter w:val="1"/>
          <w:wBefore w:w="29" w:type="pct"/>
          <w:wAfter w:w="32" w:type="pct"/>
          <w:trHeight w:val="495" w:hRule="atLeast"/>
          <w:jc w:val="center"/>
        </w:trPr>
        <w:tc>
          <w:tcPr>
            <w:tcW w:w="339" w:type="pct"/>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val="0"/>
                <w:bCs/>
                <w:kern w:val="0"/>
                <w:sz w:val="21"/>
                <w:szCs w:val="21"/>
                <w:highlight w:val="none"/>
              </w:rPr>
            </w:pPr>
            <w:r>
              <w:rPr>
                <w:rFonts w:hint="default" w:ascii="Times New Roman" w:hAnsi="Times New Roman" w:cs="Times New Roman"/>
                <w:b w:val="0"/>
                <w:bCs/>
                <w:kern w:val="0"/>
                <w:sz w:val="21"/>
                <w:szCs w:val="21"/>
                <w:highlight w:val="none"/>
              </w:rPr>
              <w:t>功能分类科目编码</w:t>
            </w:r>
          </w:p>
        </w:tc>
        <w:tc>
          <w:tcPr>
            <w:tcW w:w="1442"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val="0"/>
                <w:bCs/>
                <w:kern w:val="0"/>
                <w:sz w:val="21"/>
                <w:szCs w:val="21"/>
                <w:highlight w:val="none"/>
              </w:rPr>
            </w:pPr>
            <w:r>
              <w:rPr>
                <w:rFonts w:hint="default" w:ascii="Times New Roman" w:hAnsi="Times New Roman" w:cs="Times New Roman"/>
                <w:b w:val="0"/>
                <w:bCs/>
                <w:kern w:val="0"/>
                <w:sz w:val="21"/>
                <w:szCs w:val="21"/>
                <w:highlight w:val="none"/>
              </w:rPr>
              <w:t>科目名称</w:t>
            </w:r>
          </w:p>
        </w:tc>
        <w:tc>
          <w:tcPr>
            <w:tcW w:w="1042"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val="0"/>
                <w:bCs/>
                <w:kern w:val="0"/>
                <w:sz w:val="21"/>
                <w:szCs w:val="21"/>
                <w:highlight w:val="none"/>
              </w:rPr>
            </w:pPr>
            <w:r>
              <w:rPr>
                <w:rFonts w:hint="default" w:ascii="Times New Roman" w:hAnsi="Times New Roman" w:cs="Times New Roman"/>
                <w:b w:val="0"/>
                <w:bCs/>
                <w:kern w:val="0"/>
                <w:sz w:val="21"/>
                <w:szCs w:val="21"/>
                <w:highlight w:val="none"/>
              </w:rPr>
              <w:t>小计</w:t>
            </w:r>
          </w:p>
        </w:tc>
        <w:tc>
          <w:tcPr>
            <w:tcW w:w="1043"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val="0"/>
                <w:bCs/>
                <w:kern w:val="0"/>
                <w:sz w:val="21"/>
                <w:szCs w:val="21"/>
                <w:highlight w:val="none"/>
              </w:rPr>
            </w:pPr>
            <w:r>
              <w:rPr>
                <w:rFonts w:hint="default" w:ascii="Times New Roman" w:hAnsi="Times New Roman" w:cs="Times New Roman"/>
                <w:b w:val="0"/>
                <w:bCs/>
                <w:kern w:val="0"/>
                <w:sz w:val="21"/>
                <w:szCs w:val="21"/>
                <w:highlight w:val="none"/>
              </w:rPr>
              <w:t>基本支出</w:t>
            </w:r>
          </w:p>
        </w:tc>
        <w:tc>
          <w:tcPr>
            <w:tcW w:w="1068" w:type="pct"/>
            <w:gridSpan w:val="2"/>
            <w:vMerge w:val="restart"/>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hint="default" w:ascii="Times New Roman" w:hAnsi="Times New Roman" w:cs="Times New Roman"/>
                <w:b w:val="0"/>
                <w:bCs/>
                <w:kern w:val="0"/>
                <w:sz w:val="21"/>
                <w:szCs w:val="21"/>
                <w:highlight w:val="none"/>
              </w:rPr>
            </w:pPr>
            <w:r>
              <w:rPr>
                <w:rFonts w:hint="default" w:ascii="Times New Roman" w:hAnsi="Times New Roman" w:cs="Times New Roman"/>
                <w:b w:val="0"/>
                <w:bCs/>
                <w:kern w:val="0"/>
                <w:sz w:val="21"/>
                <w:szCs w:val="21"/>
                <w:highlight w:val="none"/>
              </w:rPr>
              <w:t>项目支出</w:t>
            </w:r>
          </w:p>
        </w:tc>
      </w:tr>
      <w:tr>
        <w:tblPrEx>
          <w:tblCellMar>
            <w:top w:w="0" w:type="dxa"/>
            <w:left w:w="108" w:type="dxa"/>
            <w:bottom w:w="0" w:type="dxa"/>
            <w:right w:w="108" w:type="dxa"/>
          </w:tblCellMar>
        </w:tblPrEx>
        <w:trPr>
          <w:gridBefore w:val="1"/>
          <w:gridAfter w:val="1"/>
          <w:wBefore w:w="29" w:type="pct"/>
          <w:wAfter w:w="32" w:type="pct"/>
          <w:trHeight w:val="360" w:hRule="atLeast"/>
          <w:jc w:val="center"/>
        </w:trPr>
        <w:tc>
          <w:tcPr>
            <w:tcW w:w="339" w:type="pct"/>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442"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042"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043"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068" w:type="pct"/>
            <w:gridSpan w:val="2"/>
            <w:vMerge w:val="continue"/>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gridBefore w:val="1"/>
          <w:gridAfter w:val="1"/>
          <w:wBefore w:w="29" w:type="pct"/>
          <w:wAfter w:w="32" w:type="pct"/>
          <w:trHeight w:val="312" w:hRule="atLeast"/>
          <w:jc w:val="center"/>
        </w:trPr>
        <w:tc>
          <w:tcPr>
            <w:tcW w:w="339" w:type="pct"/>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442"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042"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043"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068" w:type="pct"/>
            <w:gridSpan w:val="2"/>
            <w:vMerge w:val="continue"/>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gridBefore w:val="1"/>
          <w:gridAfter w:val="1"/>
          <w:wBefore w:w="29" w:type="pct"/>
          <w:wAfter w:w="32" w:type="pct"/>
          <w:trHeight w:val="312" w:hRule="atLeast"/>
          <w:jc w:val="center"/>
        </w:trPr>
        <w:tc>
          <w:tcPr>
            <w:tcW w:w="1782" w:type="pct"/>
            <w:gridSpan w:val="5"/>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栏次</w:t>
            </w:r>
          </w:p>
        </w:tc>
        <w:tc>
          <w:tcPr>
            <w:tcW w:w="104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1</w:t>
            </w:r>
          </w:p>
        </w:tc>
        <w:tc>
          <w:tcPr>
            <w:tcW w:w="1043"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2</w:t>
            </w:r>
          </w:p>
        </w:tc>
        <w:tc>
          <w:tcPr>
            <w:tcW w:w="1068" w:type="pct"/>
            <w:gridSpan w:val="2"/>
            <w:tcBorders>
              <w:top w:val="single" w:color="auto" w:sz="4" w:space="0"/>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3</w:t>
            </w:r>
          </w:p>
        </w:tc>
      </w:tr>
      <w:tr>
        <w:tblPrEx>
          <w:tblCellMar>
            <w:top w:w="0" w:type="dxa"/>
            <w:left w:w="108" w:type="dxa"/>
            <w:bottom w:w="0" w:type="dxa"/>
            <w:right w:w="108" w:type="dxa"/>
          </w:tblCellMar>
        </w:tblPrEx>
        <w:trPr>
          <w:gridBefore w:val="1"/>
          <w:gridAfter w:val="1"/>
          <w:wBefore w:w="29" w:type="pct"/>
          <w:wAfter w:w="32" w:type="pct"/>
          <w:trHeight w:val="312" w:hRule="atLeast"/>
          <w:jc w:val="center"/>
        </w:trPr>
        <w:tc>
          <w:tcPr>
            <w:tcW w:w="1782" w:type="pct"/>
            <w:gridSpan w:val="5"/>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合计</w:t>
            </w:r>
          </w:p>
        </w:tc>
        <w:tc>
          <w:tcPr>
            <w:tcW w:w="1042"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181.15</w:t>
            </w:r>
          </w:p>
        </w:tc>
        <w:tc>
          <w:tcPr>
            <w:tcW w:w="1043"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123.35</w:t>
            </w:r>
          </w:p>
        </w:tc>
        <w:tc>
          <w:tcPr>
            <w:tcW w:w="1068" w:type="pct"/>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b/>
                <w:bCs/>
                <w:i w:val="0"/>
                <w:iCs w:val="0"/>
                <w:color w:val="000000"/>
                <w:kern w:val="0"/>
                <w:sz w:val="21"/>
                <w:szCs w:val="21"/>
                <w:highlight w:val="none"/>
                <w:u w:val="none"/>
                <w:lang w:val="en-US" w:eastAsia="zh-CN" w:bidi="ar"/>
              </w:rPr>
              <w:t>57.80</w:t>
            </w:r>
          </w:p>
        </w:tc>
      </w:tr>
      <w:tr>
        <w:tblPrEx>
          <w:tblCellMar>
            <w:top w:w="0" w:type="dxa"/>
            <w:left w:w="108" w:type="dxa"/>
            <w:bottom w:w="0" w:type="dxa"/>
            <w:right w:w="108" w:type="dxa"/>
          </w:tblCellMar>
        </w:tblPrEx>
        <w:trPr>
          <w:gridBefore w:val="1"/>
          <w:gridAfter w:val="1"/>
          <w:wBefore w:w="29" w:type="pct"/>
          <w:wAfter w:w="32" w:type="pct"/>
          <w:trHeight w:val="312" w:hRule="atLeast"/>
          <w:jc w:val="center"/>
        </w:trPr>
        <w:tc>
          <w:tcPr>
            <w:tcW w:w="339"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201</w:t>
            </w:r>
          </w:p>
        </w:tc>
        <w:tc>
          <w:tcPr>
            <w:tcW w:w="1442"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一般公共服务支出</w:t>
            </w:r>
          </w:p>
        </w:tc>
        <w:tc>
          <w:tcPr>
            <w:tcW w:w="1042"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155.43</w:t>
            </w:r>
          </w:p>
        </w:tc>
        <w:tc>
          <w:tcPr>
            <w:tcW w:w="1043"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97.63</w:t>
            </w:r>
          </w:p>
        </w:tc>
        <w:tc>
          <w:tcPr>
            <w:tcW w:w="1068" w:type="pct"/>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57.80</w:t>
            </w:r>
          </w:p>
        </w:tc>
      </w:tr>
      <w:tr>
        <w:tblPrEx>
          <w:tblCellMar>
            <w:top w:w="0" w:type="dxa"/>
            <w:left w:w="108" w:type="dxa"/>
            <w:bottom w:w="0" w:type="dxa"/>
            <w:right w:w="108" w:type="dxa"/>
          </w:tblCellMar>
        </w:tblPrEx>
        <w:trPr>
          <w:gridBefore w:val="1"/>
          <w:gridAfter w:val="1"/>
          <w:wBefore w:w="29" w:type="pct"/>
          <w:wAfter w:w="32" w:type="pct"/>
          <w:trHeight w:val="312" w:hRule="atLeast"/>
          <w:jc w:val="center"/>
        </w:trPr>
        <w:tc>
          <w:tcPr>
            <w:tcW w:w="339"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20131</w:t>
            </w:r>
          </w:p>
        </w:tc>
        <w:tc>
          <w:tcPr>
            <w:tcW w:w="1442"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党委办公厅（室）及相关机构事务</w:t>
            </w:r>
          </w:p>
        </w:tc>
        <w:tc>
          <w:tcPr>
            <w:tcW w:w="1042"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tc>
        <w:tc>
          <w:tcPr>
            <w:tcW w:w="1043"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tc>
        <w:tc>
          <w:tcPr>
            <w:tcW w:w="1068" w:type="pct"/>
            <w:gridSpan w:val="2"/>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gridBefore w:val="1"/>
          <w:gridAfter w:val="1"/>
          <w:wBefore w:w="29" w:type="pct"/>
          <w:wAfter w:w="32" w:type="pct"/>
          <w:trHeight w:val="312" w:hRule="atLeast"/>
          <w:jc w:val="center"/>
        </w:trPr>
        <w:tc>
          <w:tcPr>
            <w:tcW w:w="339"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2013101</w:t>
            </w:r>
          </w:p>
        </w:tc>
        <w:tc>
          <w:tcPr>
            <w:tcW w:w="1442"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行政运行</w:t>
            </w:r>
          </w:p>
        </w:tc>
        <w:tc>
          <w:tcPr>
            <w:tcW w:w="1042"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tc>
        <w:tc>
          <w:tcPr>
            <w:tcW w:w="1043"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tc>
        <w:tc>
          <w:tcPr>
            <w:tcW w:w="1068" w:type="pct"/>
            <w:gridSpan w:val="2"/>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gridBefore w:val="1"/>
          <w:gridAfter w:val="1"/>
          <w:wBefore w:w="29" w:type="pct"/>
          <w:wAfter w:w="32" w:type="pct"/>
          <w:trHeight w:val="312" w:hRule="atLeast"/>
          <w:jc w:val="center"/>
        </w:trPr>
        <w:tc>
          <w:tcPr>
            <w:tcW w:w="339"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default" w:ascii="Times New Roman" w:hAnsi="Times New Roman" w:cs="Times New Roman"/>
                <w:kern w:val="0"/>
                <w:sz w:val="21"/>
                <w:szCs w:val="21"/>
                <w:highlight w:val="none"/>
              </w:rPr>
            </w:pPr>
            <w:r>
              <w:rPr>
                <w:rFonts w:hint="default" w:ascii="Times New Roman" w:hAnsi="Times New Roman" w:cs="Times New Roman"/>
                <w:sz w:val="21"/>
                <w:szCs w:val="21"/>
                <w:highlight w:val="none"/>
              </w:rPr>
              <w:t>20137</w:t>
            </w:r>
          </w:p>
        </w:tc>
        <w:tc>
          <w:tcPr>
            <w:tcW w:w="1442"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网信事务</w:t>
            </w:r>
          </w:p>
        </w:tc>
        <w:tc>
          <w:tcPr>
            <w:tcW w:w="1042"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134.64</w:t>
            </w:r>
          </w:p>
        </w:tc>
        <w:tc>
          <w:tcPr>
            <w:tcW w:w="1043"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84.34</w:t>
            </w:r>
          </w:p>
        </w:tc>
        <w:tc>
          <w:tcPr>
            <w:tcW w:w="1068" w:type="pct"/>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50.30</w:t>
            </w:r>
          </w:p>
        </w:tc>
      </w:tr>
      <w:tr>
        <w:tblPrEx>
          <w:tblCellMar>
            <w:top w:w="0" w:type="dxa"/>
            <w:left w:w="108" w:type="dxa"/>
            <w:bottom w:w="0" w:type="dxa"/>
            <w:right w:w="108" w:type="dxa"/>
          </w:tblCellMar>
        </w:tblPrEx>
        <w:trPr>
          <w:gridBefore w:val="1"/>
          <w:gridAfter w:val="1"/>
          <w:wBefore w:w="29" w:type="pct"/>
          <w:wAfter w:w="32" w:type="pct"/>
          <w:trHeight w:val="312" w:hRule="atLeast"/>
          <w:jc w:val="center"/>
        </w:trPr>
        <w:tc>
          <w:tcPr>
            <w:tcW w:w="339"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default" w:ascii="Times New Roman" w:hAnsi="Times New Roman" w:cs="Times New Roman"/>
                <w:kern w:val="0"/>
                <w:sz w:val="21"/>
                <w:szCs w:val="21"/>
                <w:highlight w:val="none"/>
              </w:rPr>
            </w:pPr>
            <w:r>
              <w:rPr>
                <w:rFonts w:hint="default" w:ascii="Times New Roman" w:hAnsi="Times New Roman" w:cs="Times New Roman"/>
                <w:sz w:val="21"/>
                <w:szCs w:val="21"/>
                <w:highlight w:val="none"/>
              </w:rPr>
              <w:t>2013701</w:t>
            </w:r>
          </w:p>
        </w:tc>
        <w:tc>
          <w:tcPr>
            <w:tcW w:w="1442"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行政运行</w:t>
            </w:r>
          </w:p>
        </w:tc>
        <w:tc>
          <w:tcPr>
            <w:tcW w:w="1042"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84.34</w:t>
            </w:r>
          </w:p>
        </w:tc>
        <w:tc>
          <w:tcPr>
            <w:tcW w:w="1043"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84.34</w:t>
            </w:r>
          </w:p>
        </w:tc>
        <w:tc>
          <w:tcPr>
            <w:tcW w:w="1068" w:type="pct"/>
            <w:gridSpan w:val="2"/>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gridBefore w:val="1"/>
          <w:gridAfter w:val="1"/>
          <w:wBefore w:w="29" w:type="pct"/>
          <w:wAfter w:w="32" w:type="pct"/>
          <w:trHeight w:val="312" w:hRule="atLeast"/>
          <w:jc w:val="center"/>
        </w:trPr>
        <w:tc>
          <w:tcPr>
            <w:tcW w:w="339"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default" w:ascii="Times New Roman" w:hAnsi="Times New Roman" w:cs="Times New Roman"/>
                <w:kern w:val="0"/>
                <w:sz w:val="21"/>
                <w:szCs w:val="21"/>
                <w:highlight w:val="none"/>
              </w:rPr>
            </w:pPr>
            <w:r>
              <w:rPr>
                <w:rFonts w:hint="default" w:ascii="Times New Roman" w:hAnsi="Times New Roman" w:cs="Times New Roman"/>
                <w:sz w:val="21"/>
                <w:szCs w:val="21"/>
                <w:highlight w:val="none"/>
              </w:rPr>
              <w:t>2013702</w:t>
            </w:r>
          </w:p>
        </w:tc>
        <w:tc>
          <w:tcPr>
            <w:tcW w:w="1442"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一般行政管理事务</w:t>
            </w:r>
          </w:p>
        </w:tc>
        <w:tc>
          <w:tcPr>
            <w:tcW w:w="1042"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50.30</w:t>
            </w:r>
          </w:p>
        </w:tc>
        <w:tc>
          <w:tcPr>
            <w:tcW w:w="1043" w:type="pct"/>
            <w:gridSpan w:val="3"/>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cs="Times New Roman"/>
                <w:kern w:val="0"/>
                <w:sz w:val="21"/>
                <w:szCs w:val="21"/>
                <w:highlight w:val="none"/>
              </w:rPr>
            </w:pPr>
          </w:p>
        </w:tc>
        <w:tc>
          <w:tcPr>
            <w:tcW w:w="1068" w:type="pct"/>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50.30</w:t>
            </w:r>
          </w:p>
        </w:tc>
      </w:tr>
      <w:tr>
        <w:tblPrEx>
          <w:tblCellMar>
            <w:top w:w="0" w:type="dxa"/>
            <w:left w:w="108" w:type="dxa"/>
            <w:bottom w:w="0" w:type="dxa"/>
            <w:right w:w="108" w:type="dxa"/>
          </w:tblCellMar>
        </w:tblPrEx>
        <w:trPr>
          <w:gridBefore w:val="1"/>
          <w:gridAfter w:val="1"/>
          <w:wBefore w:w="29" w:type="pct"/>
          <w:wAfter w:w="32" w:type="pct"/>
          <w:trHeight w:val="312" w:hRule="atLeast"/>
          <w:jc w:val="center"/>
        </w:trPr>
        <w:tc>
          <w:tcPr>
            <w:tcW w:w="339"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default" w:ascii="Times New Roman" w:hAnsi="Times New Roman" w:cs="Times New Roman"/>
                <w:kern w:val="0"/>
                <w:sz w:val="21"/>
                <w:szCs w:val="21"/>
                <w:highlight w:val="none"/>
              </w:rPr>
            </w:pPr>
            <w:r>
              <w:rPr>
                <w:rFonts w:hint="default" w:ascii="Times New Roman" w:hAnsi="Times New Roman" w:cs="Times New Roman"/>
                <w:sz w:val="21"/>
                <w:szCs w:val="21"/>
                <w:highlight w:val="none"/>
              </w:rPr>
              <w:t>20199</w:t>
            </w:r>
          </w:p>
        </w:tc>
        <w:tc>
          <w:tcPr>
            <w:tcW w:w="1442"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其他一般公共服务支出</w:t>
            </w:r>
          </w:p>
        </w:tc>
        <w:tc>
          <w:tcPr>
            <w:tcW w:w="1042"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19.79</w:t>
            </w:r>
          </w:p>
        </w:tc>
        <w:tc>
          <w:tcPr>
            <w:tcW w:w="1043"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12.29</w:t>
            </w:r>
          </w:p>
        </w:tc>
        <w:tc>
          <w:tcPr>
            <w:tcW w:w="1068" w:type="pct"/>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7.50</w:t>
            </w:r>
          </w:p>
        </w:tc>
      </w:tr>
      <w:tr>
        <w:tblPrEx>
          <w:tblCellMar>
            <w:top w:w="0" w:type="dxa"/>
            <w:left w:w="108" w:type="dxa"/>
            <w:bottom w:w="0" w:type="dxa"/>
            <w:right w:w="108" w:type="dxa"/>
          </w:tblCellMar>
        </w:tblPrEx>
        <w:trPr>
          <w:gridBefore w:val="1"/>
          <w:gridAfter w:val="1"/>
          <w:wBefore w:w="29" w:type="pct"/>
          <w:wAfter w:w="32" w:type="pct"/>
          <w:trHeight w:val="312" w:hRule="atLeast"/>
          <w:jc w:val="center"/>
        </w:trPr>
        <w:tc>
          <w:tcPr>
            <w:tcW w:w="339"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default" w:ascii="Times New Roman" w:hAnsi="Times New Roman" w:cs="Times New Roman"/>
                <w:kern w:val="0"/>
                <w:sz w:val="21"/>
                <w:szCs w:val="21"/>
                <w:highlight w:val="none"/>
              </w:rPr>
            </w:pPr>
            <w:r>
              <w:rPr>
                <w:rFonts w:hint="default" w:ascii="Times New Roman" w:hAnsi="Times New Roman" w:cs="Times New Roman"/>
                <w:sz w:val="21"/>
                <w:szCs w:val="21"/>
                <w:highlight w:val="none"/>
              </w:rPr>
              <w:t>2019999</w:t>
            </w:r>
          </w:p>
        </w:tc>
        <w:tc>
          <w:tcPr>
            <w:tcW w:w="1442"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其他一般公共服务支出</w:t>
            </w:r>
          </w:p>
        </w:tc>
        <w:tc>
          <w:tcPr>
            <w:tcW w:w="1042"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19.79</w:t>
            </w:r>
          </w:p>
        </w:tc>
        <w:tc>
          <w:tcPr>
            <w:tcW w:w="1043"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12.29</w:t>
            </w:r>
          </w:p>
        </w:tc>
        <w:tc>
          <w:tcPr>
            <w:tcW w:w="1068" w:type="pct"/>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7.50</w:t>
            </w:r>
          </w:p>
        </w:tc>
      </w:tr>
      <w:tr>
        <w:tblPrEx>
          <w:tblCellMar>
            <w:top w:w="0" w:type="dxa"/>
            <w:left w:w="108" w:type="dxa"/>
            <w:bottom w:w="0" w:type="dxa"/>
            <w:right w:w="108" w:type="dxa"/>
          </w:tblCellMar>
        </w:tblPrEx>
        <w:trPr>
          <w:gridBefore w:val="1"/>
          <w:gridAfter w:val="1"/>
          <w:wBefore w:w="29" w:type="pct"/>
          <w:wAfter w:w="32" w:type="pct"/>
          <w:trHeight w:val="312" w:hRule="atLeast"/>
          <w:jc w:val="center"/>
        </w:trPr>
        <w:tc>
          <w:tcPr>
            <w:tcW w:w="339"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default" w:ascii="Times New Roman" w:hAnsi="Times New Roman" w:cs="Times New Roman"/>
                <w:kern w:val="0"/>
                <w:sz w:val="21"/>
                <w:szCs w:val="21"/>
                <w:highlight w:val="none"/>
              </w:rPr>
            </w:pPr>
            <w:r>
              <w:rPr>
                <w:rFonts w:hint="default" w:ascii="Times New Roman" w:hAnsi="Times New Roman" w:cs="Times New Roman"/>
                <w:sz w:val="21"/>
                <w:szCs w:val="21"/>
                <w:highlight w:val="none"/>
              </w:rPr>
              <w:t>208</w:t>
            </w:r>
          </w:p>
        </w:tc>
        <w:tc>
          <w:tcPr>
            <w:tcW w:w="1442"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社会保障和就业支出</w:t>
            </w:r>
          </w:p>
        </w:tc>
        <w:tc>
          <w:tcPr>
            <w:tcW w:w="1042"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11.93</w:t>
            </w:r>
          </w:p>
        </w:tc>
        <w:tc>
          <w:tcPr>
            <w:tcW w:w="1043"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11.93</w:t>
            </w:r>
          </w:p>
        </w:tc>
        <w:tc>
          <w:tcPr>
            <w:tcW w:w="1068" w:type="pct"/>
            <w:gridSpan w:val="2"/>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gridBefore w:val="1"/>
          <w:gridAfter w:val="1"/>
          <w:wBefore w:w="29" w:type="pct"/>
          <w:wAfter w:w="32" w:type="pct"/>
          <w:trHeight w:val="312" w:hRule="atLeast"/>
          <w:jc w:val="center"/>
        </w:trPr>
        <w:tc>
          <w:tcPr>
            <w:tcW w:w="339"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default" w:ascii="Times New Roman" w:hAnsi="Times New Roman" w:cs="Times New Roman"/>
                <w:kern w:val="0"/>
                <w:sz w:val="21"/>
                <w:szCs w:val="21"/>
                <w:highlight w:val="none"/>
              </w:rPr>
            </w:pPr>
            <w:r>
              <w:rPr>
                <w:rFonts w:hint="default" w:ascii="Times New Roman" w:hAnsi="Times New Roman" w:cs="Times New Roman"/>
                <w:sz w:val="21"/>
                <w:szCs w:val="21"/>
                <w:highlight w:val="none"/>
              </w:rPr>
              <w:t>20805</w:t>
            </w:r>
          </w:p>
        </w:tc>
        <w:tc>
          <w:tcPr>
            <w:tcW w:w="1442"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行政事业单位养老支出</w:t>
            </w:r>
          </w:p>
        </w:tc>
        <w:tc>
          <w:tcPr>
            <w:tcW w:w="1042"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11.53</w:t>
            </w:r>
          </w:p>
        </w:tc>
        <w:tc>
          <w:tcPr>
            <w:tcW w:w="1043"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11.53</w:t>
            </w:r>
          </w:p>
        </w:tc>
        <w:tc>
          <w:tcPr>
            <w:tcW w:w="1068" w:type="pct"/>
            <w:gridSpan w:val="2"/>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gridBefore w:val="1"/>
          <w:gridAfter w:val="1"/>
          <w:wBefore w:w="29" w:type="pct"/>
          <w:wAfter w:w="32" w:type="pct"/>
          <w:trHeight w:val="312" w:hRule="atLeast"/>
          <w:jc w:val="center"/>
        </w:trPr>
        <w:tc>
          <w:tcPr>
            <w:tcW w:w="339"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default" w:ascii="Times New Roman" w:hAnsi="Times New Roman" w:cs="Times New Roman"/>
                <w:kern w:val="0"/>
                <w:sz w:val="21"/>
                <w:szCs w:val="21"/>
                <w:highlight w:val="none"/>
              </w:rPr>
            </w:pPr>
            <w:r>
              <w:rPr>
                <w:rFonts w:hint="default" w:ascii="Times New Roman" w:hAnsi="Times New Roman" w:cs="Times New Roman"/>
                <w:sz w:val="21"/>
                <w:szCs w:val="21"/>
                <w:highlight w:val="none"/>
              </w:rPr>
              <w:t>2080505</w:t>
            </w:r>
          </w:p>
        </w:tc>
        <w:tc>
          <w:tcPr>
            <w:tcW w:w="1442"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机关事业单位基本养老保险缴费支出</w:t>
            </w:r>
          </w:p>
        </w:tc>
        <w:tc>
          <w:tcPr>
            <w:tcW w:w="1042"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11.53</w:t>
            </w:r>
          </w:p>
        </w:tc>
        <w:tc>
          <w:tcPr>
            <w:tcW w:w="1043"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11.53</w:t>
            </w:r>
          </w:p>
        </w:tc>
        <w:tc>
          <w:tcPr>
            <w:tcW w:w="1068" w:type="pct"/>
            <w:gridSpan w:val="2"/>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gridBefore w:val="1"/>
          <w:gridAfter w:val="1"/>
          <w:wBefore w:w="29" w:type="pct"/>
          <w:wAfter w:w="32" w:type="pct"/>
          <w:trHeight w:val="312" w:hRule="atLeast"/>
          <w:jc w:val="center"/>
        </w:trPr>
        <w:tc>
          <w:tcPr>
            <w:tcW w:w="339"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default" w:ascii="Times New Roman" w:hAnsi="Times New Roman" w:cs="Times New Roman"/>
                <w:kern w:val="0"/>
                <w:sz w:val="21"/>
                <w:szCs w:val="21"/>
                <w:highlight w:val="none"/>
              </w:rPr>
            </w:pPr>
            <w:r>
              <w:rPr>
                <w:rFonts w:hint="default" w:ascii="Times New Roman" w:hAnsi="Times New Roman" w:cs="Times New Roman"/>
                <w:sz w:val="21"/>
                <w:szCs w:val="21"/>
                <w:highlight w:val="none"/>
              </w:rPr>
              <w:t>20808</w:t>
            </w:r>
          </w:p>
        </w:tc>
        <w:tc>
          <w:tcPr>
            <w:tcW w:w="1442"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抚恤</w:t>
            </w:r>
          </w:p>
        </w:tc>
        <w:tc>
          <w:tcPr>
            <w:tcW w:w="1042"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0.40</w:t>
            </w:r>
          </w:p>
        </w:tc>
        <w:tc>
          <w:tcPr>
            <w:tcW w:w="1043"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0.40</w:t>
            </w:r>
          </w:p>
        </w:tc>
        <w:tc>
          <w:tcPr>
            <w:tcW w:w="1068" w:type="pct"/>
            <w:gridSpan w:val="2"/>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gridBefore w:val="1"/>
          <w:gridAfter w:val="1"/>
          <w:wBefore w:w="29" w:type="pct"/>
          <w:wAfter w:w="32" w:type="pct"/>
          <w:trHeight w:val="312" w:hRule="atLeast"/>
          <w:jc w:val="center"/>
        </w:trPr>
        <w:tc>
          <w:tcPr>
            <w:tcW w:w="339"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default" w:ascii="Times New Roman" w:hAnsi="Times New Roman" w:cs="Times New Roman"/>
                <w:kern w:val="0"/>
                <w:sz w:val="21"/>
                <w:szCs w:val="21"/>
                <w:highlight w:val="none"/>
              </w:rPr>
            </w:pPr>
            <w:r>
              <w:rPr>
                <w:rFonts w:hint="default" w:ascii="Times New Roman" w:hAnsi="Times New Roman" w:cs="Times New Roman"/>
                <w:sz w:val="21"/>
                <w:szCs w:val="21"/>
                <w:highlight w:val="none"/>
              </w:rPr>
              <w:t>2080899</w:t>
            </w:r>
          </w:p>
        </w:tc>
        <w:tc>
          <w:tcPr>
            <w:tcW w:w="1442"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其他优抚支出</w:t>
            </w:r>
          </w:p>
        </w:tc>
        <w:tc>
          <w:tcPr>
            <w:tcW w:w="1042"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0.40</w:t>
            </w:r>
          </w:p>
        </w:tc>
        <w:tc>
          <w:tcPr>
            <w:tcW w:w="1043"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0.40</w:t>
            </w:r>
          </w:p>
        </w:tc>
        <w:tc>
          <w:tcPr>
            <w:tcW w:w="1068" w:type="pct"/>
            <w:gridSpan w:val="2"/>
            <w:tcBorders>
              <w:top w:val="nil"/>
              <w:left w:val="nil"/>
              <w:bottom w:val="single" w:color="auto" w:sz="8" w:space="0"/>
              <w:right w:val="single" w:color="auto" w:sz="8" w:space="0"/>
            </w:tcBorders>
            <w:shd w:val="clear" w:color="auto" w:fill="auto"/>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gridBefore w:val="1"/>
          <w:gridAfter w:val="1"/>
          <w:wBefore w:w="29" w:type="pct"/>
          <w:wAfter w:w="32" w:type="pct"/>
          <w:trHeight w:val="312" w:hRule="atLeast"/>
          <w:jc w:val="center"/>
        </w:trPr>
        <w:tc>
          <w:tcPr>
            <w:tcW w:w="339"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default" w:ascii="Times New Roman" w:hAnsi="Times New Roman" w:cs="Times New Roman"/>
                <w:kern w:val="0"/>
                <w:sz w:val="21"/>
                <w:szCs w:val="21"/>
                <w:highlight w:val="none"/>
              </w:rPr>
            </w:pPr>
            <w:r>
              <w:rPr>
                <w:rFonts w:hint="default" w:ascii="Times New Roman" w:hAnsi="Times New Roman" w:cs="Times New Roman"/>
                <w:sz w:val="21"/>
                <w:szCs w:val="21"/>
                <w:highlight w:val="none"/>
              </w:rPr>
              <w:t>210</w:t>
            </w:r>
          </w:p>
        </w:tc>
        <w:tc>
          <w:tcPr>
            <w:tcW w:w="1442"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卫生健康支出</w:t>
            </w:r>
          </w:p>
        </w:tc>
        <w:tc>
          <w:tcPr>
            <w:tcW w:w="1042"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5.60</w:t>
            </w:r>
          </w:p>
        </w:tc>
        <w:tc>
          <w:tcPr>
            <w:tcW w:w="1043"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5.60</w:t>
            </w:r>
          </w:p>
        </w:tc>
        <w:tc>
          <w:tcPr>
            <w:tcW w:w="1068" w:type="pct"/>
            <w:gridSpan w:val="2"/>
            <w:tcBorders>
              <w:top w:val="nil"/>
              <w:left w:val="nil"/>
              <w:bottom w:val="single" w:color="auto" w:sz="8" w:space="0"/>
              <w:right w:val="single" w:color="auto" w:sz="8" w:space="0"/>
            </w:tcBorders>
            <w:shd w:val="clear" w:color="auto" w:fill="auto"/>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gridBefore w:val="1"/>
          <w:gridAfter w:val="1"/>
          <w:wBefore w:w="29" w:type="pct"/>
          <w:wAfter w:w="32" w:type="pct"/>
          <w:trHeight w:val="312" w:hRule="atLeast"/>
          <w:jc w:val="center"/>
        </w:trPr>
        <w:tc>
          <w:tcPr>
            <w:tcW w:w="339"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default" w:ascii="Times New Roman" w:hAnsi="Times New Roman" w:cs="Times New Roman"/>
                <w:kern w:val="0"/>
                <w:sz w:val="21"/>
                <w:szCs w:val="21"/>
                <w:highlight w:val="none"/>
              </w:rPr>
            </w:pPr>
            <w:r>
              <w:rPr>
                <w:rFonts w:hint="default" w:ascii="Times New Roman" w:hAnsi="Times New Roman" w:cs="Times New Roman"/>
                <w:sz w:val="21"/>
                <w:szCs w:val="21"/>
                <w:highlight w:val="none"/>
              </w:rPr>
              <w:t>21011</w:t>
            </w:r>
          </w:p>
        </w:tc>
        <w:tc>
          <w:tcPr>
            <w:tcW w:w="1442"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行政事业单位医疗</w:t>
            </w:r>
          </w:p>
        </w:tc>
        <w:tc>
          <w:tcPr>
            <w:tcW w:w="1042"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5.60</w:t>
            </w:r>
          </w:p>
        </w:tc>
        <w:tc>
          <w:tcPr>
            <w:tcW w:w="1043"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5.60</w:t>
            </w:r>
          </w:p>
        </w:tc>
        <w:tc>
          <w:tcPr>
            <w:tcW w:w="1068" w:type="pct"/>
            <w:gridSpan w:val="2"/>
            <w:tcBorders>
              <w:top w:val="nil"/>
              <w:left w:val="nil"/>
              <w:bottom w:val="single" w:color="auto" w:sz="8" w:space="0"/>
              <w:right w:val="single" w:color="auto" w:sz="8" w:space="0"/>
            </w:tcBorders>
            <w:shd w:val="clear" w:color="auto" w:fill="auto"/>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gridBefore w:val="1"/>
          <w:gridAfter w:val="1"/>
          <w:wBefore w:w="29" w:type="pct"/>
          <w:wAfter w:w="32" w:type="pct"/>
          <w:trHeight w:val="312" w:hRule="atLeast"/>
          <w:jc w:val="center"/>
        </w:trPr>
        <w:tc>
          <w:tcPr>
            <w:tcW w:w="339"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default" w:ascii="Times New Roman" w:hAnsi="Times New Roman" w:cs="Times New Roman"/>
                <w:kern w:val="0"/>
                <w:sz w:val="21"/>
                <w:szCs w:val="21"/>
                <w:highlight w:val="none"/>
              </w:rPr>
            </w:pPr>
            <w:r>
              <w:rPr>
                <w:rFonts w:hint="default" w:ascii="Times New Roman" w:hAnsi="Times New Roman" w:cs="Times New Roman"/>
                <w:sz w:val="21"/>
                <w:szCs w:val="21"/>
                <w:highlight w:val="none"/>
              </w:rPr>
              <w:t>2101101</w:t>
            </w:r>
          </w:p>
        </w:tc>
        <w:tc>
          <w:tcPr>
            <w:tcW w:w="1442"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行政单位医疗</w:t>
            </w:r>
          </w:p>
        </w:tc>
        <w:tc>
          <w:tcPr>
            <w:tcW w:w="1042"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5.60</w:t>
            </w:r>
          </w:p>
        </w:tc>
        <w:tc>
          <w:tcPr>
            <w:tcW w:w="1043"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5.60</w:t>
            </w:r>
          </w:p>
        </w:tc>
        <w:tc>
          <w:tcPr>
            <w:tcW w:w="1068" w:type="pct"/>
            <w:gridSpan w:val="2"/>
            <w:tcBorders>
              <w:top w:val="nil"/>
              <w:left w:val="nil"/>
              <w:bottom w:val="single" w:color="auto" w:sz="8" w:space="0"/>
              <w:right w:val="single" w:color="auto" w:sz="8" w:space="0"/>
            </w:tcBorders>
            <w:shd w:val="clear" w:color="auto" w:fill="auto"/>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gridBefore w:val="1"/>
          <w:gridAfter w:val="1"/>
          <w:wBefore w:w="29" w:type="pct"/>
          <w:wAfter w:w="32" w:type="pct"/>
          <w:trHeight w:val="312" w:hRule="atLeast"/>
          <w:jc w:val="center"/>
        </w:trPr>
        <w:tc>
          <w:tcPr>
            <w:tcW w:w="339"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default" w:ascii="Times New Roman" w:hAnsi="Times New Roman" w:cs="Times New Roman"/>
                <w:kern w:val="0"/>
                <w:sz w:val="21"/>
                <w:szCs w:val="21"/>
                <w:highlight w:val="none"/>
              </w:rPr>
            </w:pPr>
            <w:r>
              <w:rPr>
                <w:rFonts w:hint="default" w:ascii="Times New Roman" w:hAnsi="Times New Roman" w:cs="Times New Roman"/>
                <w:sz w:val="21"/>
                <w:szCs w:val="21"/>
                <w:highlight w:val="none"/>
              </w:rPr>
              <w:t>221</w:t>
            </w:r>
          </w:p>
        </w:tc>
        <w:tc>
          <w:tcPr>
            <w:tcW w:w="1442"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住房保障支出</w:t>
            </w:r>
          </w:p>
        </w:tc>
        <w:tc>
          <w:tcPr>
            <w:tcW w:w="1042"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8.19</w:t>
            </w:r>
          </w:p>
        </w:tc>
        <w:tc>
          <w:tcPr>
            <w:tcW w:w="1043"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8.19</w:t>
            </w:r>
          </w:p>
        </w:tc>
        <w:tc>
          <w:tcPr>
            <w:tcW w:w="1068" w:type="pct"/>
            <w:gridSpan w:val="2"/>
            <w:tcBorders>
              <w:top w:val="nil"/>
              <w:left w:val="nil"/>
              <w:bottom w:val="single" w:color="auto" w:sz="8" w:space="0"/>
              <w:right w:val="single" w:color="auto" w:sz="8" w:space="0"/>
            </w:tcBorders>
            <w:shd w:val="clear" w:color="auto" w:fill="auto"/>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gridBefore w:val="1"/>
          <w:gridAfter w:val="1"/>
          <w:wBefore w:w="29" w:type="pct"/>
          <w:wAfter w:w="32" w:type="pct"/>
          <w:trHeight w:val="312" w:hRule="atLeast"/>
          <w:jc w:val="center"/>
        </w:trPr>
        <w:tc>
          <w:tcPr>
            <w:tcW w:w="339"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default" w:ascii="Times New Roman" w:hAnsi="Times New Roman" w:cs="Times New Roman"/>
                <w:kern w:val="0"/>
                <w:sz w:val="21"/>
                <w:szCs w:val="21"/>
                <w:highlight w:val="none"/>
              </w:rPr>
            </w:pPr>
            <w:r>
              <w:rPr>
                <w:rFonts w:hint="default" w:ascii="Times New Roman" w:hAnsi="Times New Roman" w:cs="Times New Roman"/>
                <w:sz w:val="21"/>
                <w:szCs w:val="21"/>
                <w:highlight w:val="none"/>
              </w:rPr>
              <w:t>22102</w:t>
            </w:r>
          </w:p>
        </w:tc>
        <w:tc>
          <w:tcPr>
            <w:tcW w:w="1442"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住房改革支出</w:t>
            </w:r>
          </w:p>
        </w:tc>
        <w:tc>
          <w:tcPr>
            <w:tcW w:w="1042"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8.19</w:t>
            </w:r>
          </w:p>
        </w:tc>
        <w:tc>
          <w:tcPr>
            <w:tcW w:w="1043"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8.19</w:t>
            </w:r>
          </w:p>
        </w:tc>
        <w:tc>
          <w:tcPr>
            <w:tcW w:w="1068" w:type="pct"/>
            <w:gridSpan w:val="2"/>
            <w:tcBorders>
              <w:top w:val="nil"/>
              <w:left w:val="nil"/>
              <w:bottom w:val="single" w:color="auto" w:sz="8" w:space="0"/>
              <w:right w:val="single" w:color="auto" w:sz="8" w:space="0"/>
            </w:tcBorders>
            <w:shd w:val="clear" w:color="auto" w:fill="auto"/>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gridBefore w:val="1"/>
          <w:gridAfter w:val="1"/>
          <w:wBefore w:w="29" w:type="pct"/>
          <w:wAfter w:w="32" w:type="pct"/>
          <w:trHeight w:val="312" w:hRule="atLeast"/>
          <w:jc w:val="center"/>
        </w:trPr>
        <w:tc>
          <w:tcPr>
            <w:tcW w:w="339"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default" w:ascii="Times New Roman" w:hAnsi="Times New Roman" w:cs="Times New Roman"/>
                <w:kern w:val="0"/>
                <w:sz w:val="21"/>
                <w:szCs w:val="21"/>
                <w:highlight w:val="none"/>
              </w:rPr>
            </w:pPr>
            <w:r>
              <w:rPr>
                <w:rFonts w:hint="default" w:ascii="Times New Roman" w:hAnsi="Times New Roman" w:cs="Times New Roman"/>
                <w:sz w:val="21"/>
                <w:szCs w:val="21"/>
                <w:highlight w:val="none"/>
              </w:rPr>
              <w:t>2210201</w:t>
            </w:r>
          </w:p>
        </w:tc>
        <w:tc>
          <w:tcPr>
            <w:tcW w:w="1442"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住房公积金</w:t>
            </w:r>
          </w:p>
        </w:tc>
        <w:tc>
          <w:tcPr>
            <w:tcW w:w="1042"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8.19</w:t>
            </w:r>
          </w:p>
        </w:tc>
        <w:tc>
          <w:tcPr>
            <w:tcW w:w="1043"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8.19</w:t>
            </w:r>
          </w:p>
        </w:tc>
        <w:tc>
          <w:tcPr>
            <w:tcW w:w="1068" w:type="pct"/>
            <w:gridSpan w:val="2"/>
            <w:tcBorders>
              <w:top w:val="nil"/>
              <w:left w:val="nil"/>
              <w:bottom w:val="single" w:color="auto" w:sz="8" w:space="0"/>
              <w:right w:val="single" w:color="auto" w:sz="8" w:space="0"/>
            </w:tcBorders>
            <w:shd w:val="clear" w:color="auto" w:fill="auto"/>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gridBefore w:val="1"/>
          <w:gridAfter w:val="1"/>
          <w:wBefore w:w="29" w:type="pct"/>
          <w:wAfter w:w="32" w:type="pct"/>
          <w:trHeight w:val="312" w:hRule="atLeast"/>
          <w:jc w:val="center"/>
        </w:trPr>
        <w:tc>
          <w:tcPr>
            <w:tcW w:w="4937" w:type="pct"/>
            <w:gridSpan w:val="13"/>
            <w:tcBorders>
              <w:top w:val="nil"/>
              <w:left w:val="nil"/>
              <w:bottom w:val="nil"/>
              <w:right w:val="nil"/>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注：本表反映部门本年度一般公共预算财政拨款支出情况。</w:t>
            </w:r>
          </w:p>
        </w:tc>
      </w:tr>
      <w:tr>
        <w:tblPrEx>
          <w:tblCellMar>
            <w:top w:w="0" w:type="dxa"/>
            <w:left w:w="108" w:type="dxa"/>
            <w:bottom w:w="0" w:type="dxa"/>
            <w:right w:w="108" w:type="dxa"/>
          </w:tblCellMar>
        </w:tblPrEx>
        <w:trPr>
          <w:trHeight w:val="113" w:hRule="atLeast"/>
          <w:jc w:val="center"/>
        </w:trPr>
        <w:tc>
          <w:tcPr>
            <w:tcW w:w="5000" w:type="pct"/>
            <w:gridSpan w:val="15"/>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Cs w:val="32"/>
                <w:highlight w:val="none"/>
              </w:rPr>
            </w:pPr>
            <w:r>
              <w:rPr>
                <w:rFonts w:cs="Times New Roman" w:asciiTheme="minorEastAsia" w:hAnsiTheme="minorEastAsia"/>
                <w:bCs/>
                <w:kern w:val="0"/>
                <w:szCs w:val="21"/>
                <w:highlight w:val="none"/>
              </w:rPr>
              <w:br w:type="page"/>
            </w:r>
            <w:bookmarkStart w:id="2" w:name="RANGE!A1:I34"/>
            <w:r>
              <w:rPr>
                <w:rFonts w:hint="eastAsia" w:cs="宋体" w:asciiTheme="minorEastAsia" w:hAnsiTheme="minorEastAsia"/>
                <w:color w:val="000000"/>
                <w:kern w:val="0"/>
                <w:sz w:val="32"/>
                <w:szCs w:val="32"/>
                <w:highlight w:val="none"/>
              </w:rPr>
              <w:t>一般公共预算财政拨款基本支出决算明细表</w:t>
            </w:r>
            <w:bookmarkEnd w:id="2"/>
          </w:p>
        </w:tc>
      </w:tr>
      <w:tr>
        <w:tblPrEx>
          <w:tblCellMar>
            <w:top w:w="0" w:type="dxa"/>
            <w:left w:w="108" w:type="dxa"/>
            <w:bottom w:w="0" w:type="dxa"/>
            <w:right w:w="108" w:type="dxa"/>
          </w:tblCellMar>
        </w:tblPrEx>
        <w:trPr>
          <w:trHeight w:val="113" w:hRule="atLeast"/>
          <w:jc w:val="center"/>
        </w:trPr>
        <w:tc>
          <w:tcPr>
            <w:tcW w:w="5000" w:type="pct"/>
            <w:gridSpan w:val="15"/>
            <w:tcBorders>
              <w:top w:val="nil"/>
              <w:left w:val="nil"/>
              <w:bottom w:val="nil"/>
              <w:right w:val="nil"/>
            </w:tcBorders>
            <w:shd w:val="clear" w:color="auto" w:fill="auto"/>
            <w:noWrap/>
            <w:vAlign w:val="center"/>
          </w:tcPr>
          <w:p>
            <w:pPr>
              <w:widowControl/>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公开06表</w:t>
            </w:r>
          </w:p>
        </w:tc>
      </w:tr>
      <w:tr>
        <w:tblPrEx>
          <w:tblCellMar>
            <w:top w:w="0" w:type="dxa"/>
            <w:left w:w="108" w:type="dxa"/>
            <w:bottom w:w="0" w:type="dxa"/>
            <w:right w:w="108" w:type="dxa"/>
          </w:tblCellMar>
        </w:tblPrEx>
        <w:trPr>
          <w:trHeight w:val="113" w:hRule="atLeast"/>
          <w:jc w:val="center"/>
        </w:trPr>
        <w:tc>
          <w:tcPr>
            <w:tcW w:w="1719" w:type="pct"/>
            <w:gridSpan w:val="5"/>
            <w:tcBorders>
              <w:top w:val="nil"/>
              <w:left w:val="nil"/>
              <w:bottom w:val="single" w:color="auto" w:sz="4" w:space="0"/>
              <w:right w:val="nil"/>
            </w:tcBorders>
            <w:shd w:val="clear" w:color="auto" w:fill="auto"/>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部门：中共祁阳市网络安全和信息化委员会办公室</w:t>
            </w:r>
          </w:p>
        </w:tc>
        <w:tc>
          <w:tcPr>
            <w:tcW w:w="361" w:type="pct"/>
            <w:gridSpan w:val="2"/>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color w:val="000000"/>
                <w:kern w:val="0"/>
                <w:sz w:val="21"/>
                <w:szCs w:val="21"/>
                <w:highlight w:val="none"/>
              </w:rPr>
            </w:pPr>
          </w:p>
        </w:tc>
        <w:tc>
          <w:tcPr>
            <w:tcW w:w="741"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color w:val="000000"/>
                <w:kern w:val="0"/>
                <w:sz w:val="21"/>
                <w:szCs w:val="21"/>
                <w:highlight w:val="none"/>
              </w:rPr>
            </w:pPr>
          </w:p>
        </w:tc>
        <w:tc>
          <w:tcPr>
            <w:tcW w:w="224" w:type="pct"/>
            <w:gridSpan w:val="2"/>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color w:val="000000"/>
                <w:kern w:val="0"/>
                <w:sz w:val="21"/>
                <w:szCs w:val="21"/>
                <w:highlight w:val="none"/>
              </w:rPr>
            </w:pPr>
          </w:p>
        </w:tc>
        <w:tc>
          <w:tcPr>
            <w:tcW w:w="347"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color w:val="000000"/>
                <w:kern w:val="0"/>
                <w:sz w:val="21"/>
                <w:szCs w:val="21"/>
                <w:highlight w:val="none"/>
              </w:rPr>
            </w:pPr>
          </w:p>
        </w:tc>
        <w:tc>
          <w:tcPr>
            <w:tcW w:w="1605" w:type="pct"/>
            <w:gridSpan w:val="4"/>
            <w:tcBorders>
              <w:top w:val="nil"/>
              <w:left w:val="nil"/>
              <w:bottom w:val="single" w:color="auto" w:sz="4" w:space="0"/>
              <w:right w:val="nil"/>
            </w:tcBorders>
            <w:shd w:val="clear" w:color="auto" w:fill="auto"/>
            <w:vAlign w:val="center"/>
          </w:tcPr>
          <w:p>
            <w:pPr>
              <w:widowControl/>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单位：万元</w:t>
            </w:r>
          </w:p>
        </w:tc>
      </w:tr>
      <w:tr>
        <w:tblPrEx>
          <w:tblCellMar>
            <w:top w:w="0" w:type="dxa"/>
            <w:left w:w="108" w:type="dxa"/>
            <w:bottom w:w="0" w:type="dxa"/>
            <w:right w:w="108" w:type="dxa"/>
          </w:tblCellMar>
        </w:tblPrEx>
        <w:trPr>
          <w:trHeight w:val="113" w:hRule="atLeast"/>
          <w:jc w:val="center"/>
        </w:trPr>
        <w:tc>
          <w:tcPr>
            <w:tcW w:w="34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经济分类科目编码</w:t>
            </w:r>
          </w:p>
        </w:tc>
        <w:tc>
          <w:tcPr>
            <w:tcW w:w="1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科目名称</w:t>
            </w:r>
          </w:p>
        </w:tc>
        <w:tc>
          <w:tcPr>
            <w:tcW w:w="2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决算数</w:t>
            </w:r>
          </w:p>
        </w:tc>
        <w:tc>
          <w:tcPr>
            <w:tcW w:w="36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经济分类科目编码</w:t>
            </w:r>
          </w:p>
        </w:tc>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科目名称</w:t>
            </w:r>
          </w:p>
        </w:tc>
        <w:tc>
          <w:tcPr>
            <w:tcW w:w="2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决算数</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经济分类科目编码</w:t>
            </w:r>
          </w:p>
        </w:tc>
        <w:tc>
          <w:tcPr>
            <w:tcW w:w="136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科目名称</w:t>
            </w:r>
          </w:p>
        </w:tc>
        <w:tc>
          <w:tcPr>
            <w:tcW w:w="23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决算数</w:t>
            </w:r>
          </w:p>
        </w:tc>
      </w:tr>
      <w:tr>
        <w:tblPrEx>
          <w:tblCellMar>
            <w:top w:w="0" w:type="dxa"/>
            <w:left w:w="108" w:type="dxa"/>
            <w:bottom w:w="0" w:type="dxa"/>
            <w:right w:w="108" w:type="dxa"/>
          </w:tblCellMar>
        </w:tblPrEx>
        <w:trPr>
          <w:trHeight w:val="284" w:hRule="exact"/>
          <w:jc w:val="center"/>
        </w:trPr>
        <w:tc>
          <w:tcPr>
            <w:tcW w:w="34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w:t>
            </w:r>
          </w:p>
        </w:tc>
        <w:tc>
          <w:tcPr>
            <w:tcW w:w="1094"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工资福利支出</w:t>
            </w:r>
          </w:p>
        </w:tc>
        <w:tc>
          <w:tcPr>
            <w:tcW w:w="28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118.87</w:t>
            </w:r>
          </w:p>
        </w:tc>
        <w:tc>
          <w:tcPr>
            <w:tcW w:w="361"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w:t>
            </w:r>
          </w:p>
        </w:tc>
        <w:tc>
          <w:tcPr>
            <w:tcW w:w="741"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商品和服务支出</w:t>
            </w:r>
          </w:p>
        </w:tc>
        <w:tc>
          <w:tcPr>
            <w:tcW w:w="224" w:type="pct"/>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4.48</w:t>
            </w:r>
          </w:p>
        </w:tc>
        <w:tc>
          <w:tcPr>
            <w:tcW w:w="347"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307</w:t>
            </w:r>
          </w:p>
        </w:tc>
        <w:tc>
          <w:tcPr>
            <w:tcW w:w="1368"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债务利息及费用支出</w:t>
            </w:r>
          </w:p>
        </w:tc>
        <w:tc>
          <w:tcPr>
            <w:tcW w:w="237"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3"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30101</w:t>
            </w:r>
          </w:p>
        </w:tc>
        <w:tc>
          <w:tcPr>
            <w:tcW w:w="109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基本工资</w:t>
            </w:r>
          </w:p>
        </w:tc>
        <w:tc>
          <w:tcPr>
            <w:tcW w:w="28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40.18</w:t>
            </w:r>
          </w:p>
        </w:tc>
        <w:tc>
          <w:tcPr>
            <w:tcW w:w="36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30201</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办公费</w:t>
            </w:r>
          </w:p>
        </w:tc>
        <w:tc>
          <w:tcPr>
            <w:tcW w:w="224"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3.50</w:t>
            </w:r>
          </w:p>
        </w:tc>
        <w:tc>
          <w:tcPr>
            <w:tcW w:w="34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30701</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国内债务付息</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3"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30102</w:t>
            </w:r>
          </w:p>
        </w:tc>
        <w:tc>
          <w:tcPr>
            <w:tcW w:w="109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津贴补贴</w:t>
            </w:r>
          </w:p>
        </w:tc>
        <w:tc>
          <w:tcPr>
            <w:tcW w:w="28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26.17</w:t>
            </w:r>
          </w:p>
        </w:tc>
        <w:tc>
          <w:tcPr>
            <w:tcW w:w="36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30202</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印刷费</w:t>
            </w:r>
          </w:p>
        </w:tc>
        <w:tc>
          <w:tcPr>
            <w:tcW w:w="224"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0.98</w:t>
            </w:r>
          </w:p>
        </w:tc>
        <w:tc>
          <w:tcPr>
            <w:tcW w:w="34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30702</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国外债务付息</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3"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30103</w:t>
            </w:r>
          </w:p>
        </w:tc>
        <w:tc>
          <w:tcPr>
            <w:tcW w:w="109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奖金</w:t>
            </w:r>
          </w:p>
        </w:tc>
        <w:tc>
          <w:tcPr>
            <w:tcW w:w="28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19.18</w:t>
            </w:r>
          </w:p>
        </w:tc>
        <w:tc>
          <w:tcPr>
            <w:tcW w:w="36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30203</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咨询费</w:t>
            </w:r>
          </w:p>
        </w:tc>
        <w:tc>
          <w:tcPr>
            <w:tcW w:w="224" w:type="pct"/>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color w:val="000000"/>
                <w:kern w:val="0"/>
                <w:sz w:val="21"/>
                <w:szCs w:val="21"/>
                <w:highlight w:val="none"/>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资本性支出</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3"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30106</w:t>
            </w:r>
          </w:p>
        </w:tc>
        <w:tc>
          <w:tcPr>
            <w:tcW w:w="109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伙食补助费</w:t>
            </w:r>
          </w:p>
        </w:tc>
        <w:tc>
          <w:tcPr>
            <w:tcW w:w="28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4.51</w:t>
            </w:r>
          </w:p>
        </w:tc>
        <w:tc>
          <w:tcPr>
            <w:tcW w:w="36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30204</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手续费</w:t>
            </w:r>
          </w:p>
        </w:tc>
        <w:tc>
          <w:tcPr>
            <w:tcW w:w="224" w:type="pct"/>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color w:val="000000"/>
                <w:kern w:val="0"/>
                <w:sz w:val="21"/>
                <w:szCs w:val="21"/>
                <w:highlight w:val="none"/>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31001</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房屋建筑物购建</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3"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30107</w:t>
            </w:r>
          </w:p>
        </w:tc>
        <w:tc>
          <w:tcPr>
            <w:tcW w:w="109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绩效工资</w:t>
            </w:r>
          </w:p>
        </w:tc>
        <w:tc>
          <w:tcPr>
            <w:tcW w:w="28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color w:val="000000"/>
                <w:kern w:val="0"/>
                <w:sz w:val="21"/>
                <w:szCs w:val="21"/>
                <w:highlight w:val="none"/>
              </w:rPr>
            </w:pPr>
          </w:p>
        </w:tc>
        <w:tc>
          <w:tcPr>
            <w:tcW w:w="36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30205</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水费</w:t>
            </w:r>
          </w:p>
        </w:tc>
        <w:tc>
          <w:tcPr>
            <w:tcW w:w="224" w:type="pct"/>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color w:val="000000"/>
                <w:kern w:val="0"/>
                <w:sz w:val="21"/>
                <w:szCs w:val="21"/>
                <w:highlight w:val="none"/>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31002</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办公设备购置</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3"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30108</w:t>
            </w:r>
          </w:p>
        </w:tc>
        <w:tc>
          <w:tcPr>
            <w:tcW w:w="109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机关事业单位基本养老保险缴费</w:t>
            </w:r>
          </w:p>
        </w:tc>
        <w:tc>
          <w:tcPr>
            <w:tcW w:w="28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10.92</w:t>
            </w:r>
          </w:p>
        </w:tc>
        <w:tc>
          <w:tcPr>
            <w:tcW w:w="36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30206</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电费</w:t>
            </w:r>
          </w:p>
        </w:tc>
        <w:tc>
          <w:tcPr>
            <w:tcW w:w="224" w:type="pct"/>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color w:val="000000"/>
                <w:kern w:val="0"/>
                <w:sz w:val="21"/>
                <w:szCs w:val="21"/>
                <w:highlight w:val="none"/>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31003</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专用设备购置</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3"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30109</w:t>
            </w:r>
          </w:p>
        </w:tc>
        <w:tc>
          <w:tcPr>
            <w:tcW w:w="109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职业年金缴费</w:t>
            </w:r>
          </w:p>
        </w:tc>
        <w:tc>
          <w:tcPr>
            <w:tcW w:w="28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color w:val="000000"/>
                <w:kern w:val="0"/>
                <w:sz w:val="21"/>
                <w:szCs w:val="21"/>
                <w:highlight w:val="none"/>
              </w:rPr>
            </w:pPr>
          </w:p>
        </w:tc>
        <w:tc>
          <w:tcPr>
            <w:tcW w:w="36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30207</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邮电费</w:t>
            </w:r>
          </w:p>
        </w:tc>
        <w:tc>
          <w:tcPr>
            <w:tcW w:w="224" w:type="pct"/>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color w:val="000000"/>
                <w:kern w:val="0"/>
                <w:sz w:val="21"/>
                <w:szCs w:val="21"/>
                <w:highlight w:val="none"/>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31005</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基础设施建设</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3"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30110</w:t>
            </w:r>
          </w:p>
        </w:tc>
        <w:tc>
          <w:tcPr>
            <w:tcW w:w="109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职工基本医疗保险缴费</w:t>
            </w:r>
          </w:p>
        </w:tc>
        <w:tc>
          <w:tcPr>
            <w:tcW w:w="28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8.38</w:t>
            </w:r>
          </w:p>
        </w:tc>
        <w:tc>
          <w:tcPr>
            <w:tcW w:w="36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30208</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取暖费</w:t>
            </w:r>
          </w:p>
        </w:tc>
        <w:tc>
          <w:tcPr>
            <w:tcW w:w="224" w:type="pct"/>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color w:val="000000"/>
                <w:kern w:val="0"/>
                <w:sz w:val="21"/>
                <w:szCs w:val="21"/>
                <w:highlight w:val="none"/>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31006</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大型修缮</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3"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30111</w:t>
            </w:r>
          </w:p>
        </w:tc>
        <w:tc>
          <w:tcPr>
            <w:tcW w:w="109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公务员医疗补助缴费</w:t>
            </w:r>
          </w:p>
        </w:tc>
        <w:tc>
          <w:tcPr>
            <w:tcW w:w="28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color w:val="000000"/>
                <w:kern w:val="0"/>
                <w:sz w:val="21"/>
                <w:szCs w:val="21"/>
                <w:highlight w:val="none"/>
              </w:rPr>
            </w:pPr>
          </w:p>
        </w:tc>
        <w:tc>
          <w:tcPr>
            <w:tcW w:w="36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30209</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物业管理费</w:t>
            </w:r>
          </w:p>
        </w:tc>
        <w:tc>
          <w:tcPr>
            <w:tcW w:w="224" w:type="pct"/>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color w:val="000000"/>
                <w:kern w:val="0"/>
                <w:sz w:val="21"/>
                <w:szCs w:val="21"/>
                <w:highlight w:val="none"/>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31007</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信息网络及软件购置更新</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3"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30112</w:t>
            </w:r>
          </w:p>
        </w:tc>
        <w:tc>
          <w:tcPr>
            <w:tcW w:w="109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其他社会保障缴费</w:t>
            </w:r>
          </w:p>
        </w:tc>
        <w:tc>
          <w:tcPr>
            <w:tcW w:w="28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0.91</w:t>
            </w:r>
          </w:p>
        </w:tc>
        <w:tc>
          <w:tcPr>
            <w:tcW w:w="36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30211</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差旅费</w:t>
            </w:r>
          </w:p>
        </w:tc>
        <w:tc>
          <w:tcPr>
            <w:tcW w:w="224" w:type="pct"/>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color w:val="000000"/>
                <w:kern w:val="0"/>
                <w:sz w:val="21"/>
                <w:szCs w:val="21"/>
                <w:highlight w:val="none"/>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31008</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物资储备</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3"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30113</w:t>
            </w:r>
          </w:p>
        </w:tc>
        <w:tc>
          <w:tcPr>
            <w:tcW w:w="109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住房公积金</w:t>
            </w:r>
          </w:p>
        </w:tc>
        <w:tc>
          <w:tcPr>
            <w:tcW w:w="28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8.19</w:t>
            </w:r>
          </w:p>
        </w:tc>
        <w:tc>
          <w:tcPr>
            <w:tcW w:w="36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30212</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因公出国（境）费用</w:t>
            </w:r>
          </w:p>
        </w:tc>
        <w:tc>
          <w:tcPr>
            <w:tcW w:w="224"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21"/>
                <w:szCs w:val="21"/>
                <w:highlight w:val="none"/>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31009</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土地补偿</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3"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30114</w:t>
            </w:r>
          </w:p>
        </w:tc>
        <w:tc>
          <w:tcPr>
            <w:tcW w:w="109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医疗费</w:t>
            </w:r>
          </w:p>
        </w:tc>
        <w:tc>
          <w:tcPr>
            <w:tcW w:w="28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0.43</w:t>
            </w:r>
          </w:p>
        </w:tc>
        <w:tc>
          <w:tcPr>
            <w:tcW w:w="36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30213</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维修（护）费</w:t>
            </w:r>
          </w:p>
        </w:tc>
        <w:tc>
          <w:tcPr>
            <w:tcW w:w="224"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21"/>
                <w:szCs w:val="21"/>
                <w:highlight w:val="none"/>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31010</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安置补助</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3"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30199</w:t>
            </w:r>
          </w:p>
        </w:tc>
        <w:tc>
          <w:tcPr>
            <w:tcW w:w="109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其他工资福利支出</w:t>
            </w:r>
          </w:p>
        </w:tc>
        <w:tc>
          <w:tcPr>
            <w:tcW w:w="28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color w:val="000000"/>
                <w:kern w:val="0"/>
                <w:sz w:val="21"/>
                <w:szCs w:val="21"/>
                <w:highlight w:val="none"/>
              </w:rPr>
            </w:pPr>
          </w:p>
        </w:tc>
        <w:tc>
          <w:tcPr>
            <w:tcW w:w="36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30214</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租赁费</w:t>
            </w:r>
          </w:p>
        </w:tc>
        <w:tc>
          <w:tcPr>
            <w:tcW w:w="224"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21"/>
                <w:szCs w:val="21"/>
                <w:highlight w:val="none"/>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31011</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地上附着物和青苗补偿</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3"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303</w:t>
            </w:r>
          </w:p>
        </w:tc>
        <w:tc>
          <w:tcPr>
            <w:tcW w:w="109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对个人和家庭的补助</w:t>
            </w:r>
          </w:p>
        </w:tc>
        <w:tc>
          <w:tcPr>
            <w:tcW w:w="28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color w:val="000000"/>
                <w:kern w:val="0"/>
                <w:sz w:val="21"/>
                <w:szCs w:val="21"/>
                <w:highlight w:val="none"/>
              </w:rPr>
            </w:pPr>
          </w:p>
        </w:tc>
        <w:tc>
          <w:tcPr>
            <w:tcW w:w="36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30215</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会议费</w:t>
            </w:r>
          </w:p>
        </w:tc>
        <w:tc>
          <w:tcPr>
            <w:tcW w:w="224"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21"/>
                <w:szCs w:val="21"/>
                <w:highlight w:val="none"/>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31012</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拆迁补偿</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3"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30301</w:t>
            </w:r>
          </w:p>
        </w:tc>
        <w:tc>
          <w:tcPr>
            <w:tcW w:w="109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离休费</w:t>
            </w:r>
          </w:p>
        </w:tc>
        <w:tc>
          <w:tcPr>
            <w:tcW w:w="28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color w:val="000000"/>
                <w:kern w:val="0"/>
                <w:sz w:val="21"/>
                <w:szCs w:val="21"/>
                <w:highlight w:val="none"/>
              </w:rPr>
            </w:pPr>
          </w:p>
        </w:tc>
        <w:tc>
          <w:tcPr>
            <w:tcW w:w="36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30216</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培训费</w:t>
            </w:r>
          </w:p>
        </w:tc>
        <w:tc>
          <w:tcPr>
            <w:tcW w:w="224"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21"/>
                <w:szCs w:val="21"/>
                <w:highlight w:val="none"/>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31013</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公务用车购置</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3"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30302</w:t>
            </w:r>
          </w:p>
        </w:tc>
        <w:tc>
          <w:tcPr>
            <w:tcW w:w="109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退休费</w:t>
            </w:r>
          </w:p>
        </w:tc>
        <w:tc>
          <w:tcPr>
            <w:tcW w:w="28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color w:val="000000"/>
                <w:kern w:val="0"/>
                <w:sz w:val="21"/>
                <w:szCs w:val="21"/>
                <w:highlight w:val="none"/>
              </w:rPr>
            </w:pPr>
          </w:p>
        </w:tc>
        <w:tc>
          <w:tcPr>
            <w:tcW w:w="36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30217</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公务接待费</w:t>
            </w:r>
          </w:p>
        </w:tc>
        <w:tc>
          <w:tcPr>
            <w:tcW w:w="224"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21"/>
                <w:szCs w:val="21"/>
                <w:highlight w:val="none"/>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31019</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其他交通工具购置</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3"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30303</w:t>
            </w:r>
          </w:p>
        </w:tc>
        <w:tc>
          <w:tcPr>
            <w:tcW w:w="109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退职（役）费</w:t>
            </w:r>
          </w:p>
        </w:tc>
        <w:tc>
          <w:tcPr>
            <w:tcW w:w="28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color w:val="000000"/>
                <w:kern w:val="0"/>
                <w:sz w:val="21"/>
                <w:szCs w:val="21"/>
                <w:highlight w:val="none"/>
              </w:rPr>
            </w:pPr>
          </w:p>
        </w:tc>
        <w:tc>
          <w:tcPr>
            <w:tcW w:w="36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30218</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专用材料费</w:t>
            </w:r>
          </w:p>
        </w:tc>
        <w:tc>
          <w:tcPr>
            <w:tcW w:w="224"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21"/>
                <w:szCs w:val="21"/>
                <w:highlight w:val="none"/>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31021</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文物和陈列品购置</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3"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30304</w:t>
            </w:r>
          </w:p>
        </w:tc>
        <w:tc>
          <w:tcPr>
            <w:tcW w:w="109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抚恤金</w:t>
            </w:r>
          </w:p>
        </w:tc>
        <w:tc>
          <w:tcPr>
            <w:tcW w:w="28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color w:val="000000"/>
                <w:kern w:val="0"/>
                <w:sz w:val="21"/>
                <w:szCs w:val="21"/>
                <w:highlight w:val="none"/>
              </w:rPr>
            </w:pPr>
          </w:p>
        </w:tc>
        <w:tc>
          <w:tcPr>
            <w:tcW w:w="36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30224</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被装购置费</w:t>
            </w:r>
          </w:p>
        </w:tc>
        <w:tc>
          <w:tcPr>
            <w:tcW w:w="224"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21"/>
                <w:szCs w:val="21"/>
                <w:highlight w:val="none"/>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31022</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无形资产购置</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3"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30305</w:t>
            </w:r>
          </w:p>
        </w:tc>
        <w:tc>
          <w:tcPr>
            <w:tcW w:w="109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生活补助</w:t>
            </w:r>
          </w:p>
        </w:tc>
        <w:tc>
          <w:tcPr>
            <w:tcW w:w="28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color w:val="000000"/>
                <w:kern w:val="0"/>
                <w:sz w:val="21"/>
                <w:szCs w:val="21"/>
                <w:highlight w:val="none"/>
              </w:rPr>
            </w:pPr>
          </w:p>
        </w:tc>
        <w:tc>
          <w:tcPr>
            <w:tcW w:w="36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30225</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专用燃料费</w:t>
            </w:r>
          </w:p>
        </w:tc>
        <w:tc>
          <w:tcPr>
            <w:tcW w:w="224"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21"/>
                <w:szCs w:val="21"/>
                <w:highlight w:val="none"/>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31099</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其他资本性支出</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3"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30306</w:t>
            </w:r>
          </w:p>
        </w:tc>
        <w:tc>
          <w:tcPr>
            <w:tcW w:w="109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救济费</w:t>
            </w:r>
          </w:p>
        </w:tc>
        <w:tc>
          <w:tcPr>
            <w:tcW w:w="28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color w:val="000000"/>
                <w:kern w:val="0"/>
                <w:sz w:val="21"/>
                <w:szCs w:val="21"/>
                <w:highlight w:val="none"/>
              </w:rPr>
            </w:pPr>
          </w:p>
        </w:tc>
        <w:tc>
          <w:tcPr>
            <w:tcW w:w="36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30226</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劳务费</w:t>
            </w:r>
          </w:p>
        </w:tc>
        <w:tc>
          <w:tcPr>
            <w:tcW w:w="224"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21"/>
                <w:szCs w:val="21"/>
                <w:highlight w:val="none"/>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399</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其他支出</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3"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30307</w:t>
            </w:r>
          </w:p>
        </w:tc>
        <w:tc>
          <w:tcPr>
            <w:tcW w:w="109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医疗费补助</w:t>
            </w:r>
          </w:p>
        </w:tc>
        <w:tc>
          <w:tcPr>
            <w:tcW w:w="28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color w:val="000000"/>
                <w:kern w:val="0"/>
                <w:sz w:val="21"/>
                <w:szCs w:val="21"/>
                <w:highlight w:val="none"/>
              </w:rPr>
            </w:pPr>
          </w:p>
        </w:tc>
        <w:tc>
          <w:tcPr>
            <w:tcW w:w="36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30227</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委托业务费</w:t>
            </w:r>
          </w:p>
        </w:tc>
        <w:tc>
          <w:tcPr>
            <w:tcW w:w="224"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21"/>
                <w:szCs w:val="21"/>
                <w:highlight w:val="none"/>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39906</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赠与</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3"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30308</w:t>
            </w:r>
          </w:p>
        </w:tc>
        <w:tc>
          <w:tcPr>
            <w:tcW w:w="109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助学金</w:t>
            </w:r>
          </w:p>
        </w:tc>
        <w:tc>
          <w:tcPr>
            <w:tcW w:w="28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color w:val="000000"/>
                <w:kern w:val="0"/>
                <w:sz w:val="21"/>
                <w:szCs w:val="21"/>
                <w:highlight w:val="none"/>
              </w:rPr>
            </w:pPr>
          </w:p>
        </w:tc>
        <w:tc>
          <w:tcPr>
            <w:tcW w:w="36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30228</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工会经费</w:t>
            </w:r>
          </w:p>
        </w:tc>
        <w:tc>
          <w:tcPr>
            <w:tcW w:w="224"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21"/>
                <w:szCs w:val="21"/>
                <w:highlight w:val="none"/>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39907</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国家赔偿费用支出</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3"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30309</w:t>
            </w:r>
          </w:p>
        </w:tc>
        <w:tc>
          <w:tcPr>
            <w:tcW w:w="109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奖励金</w:t>
            </w:r>
          </w:p>
        </w:tc>
        <w:tc>
          <w:tcPr>
            <w:tcW w:w="28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color w:val="000000"/>
                <w:kern w:val="0"/>
                <w:sz w:val="21"/>
                <w:szCs w:val="21"/>
                <w:highlight w:val="none"/>
              </w:rPr>
            </w:pPr>
          </w:p>
        </w:tc>
        <w:tc>
          <w:tcPr>
            <w:tcW w:w="36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30229</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福利费</w:t>
            </w:r>
          </w:p>
        </w:tc>
        <w:tc>
          <w:tcPr>
            <w:tcW w:w="224"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21"/>
                <w:szCs w:val="21"/>
                <w:highlight w:val="none"/>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39908</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对民间非营利组织和群众性自治组织补贴</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3"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30310</w:t>
            </w:r>
          </w:p>
        </w:tc>
        <w:tc>
          <w:tcPr>
            <w:tcW w:w="109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个人农业生产补贴</w:t>
            </w:r>
          </w:p>
        </w:tc>
        <w:tc>
          <w:tcPr>
            <w:tcW w:w="28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color w:val="000000"/>
                <w:kern w:val="0"/>
                <w:sz w:val="21"/>
                <w:szCs w:val="21"/>
                <w:highlight w:val="none"/>
              </w:rPr>
            </w:pPr>
          </w:p>
        </w:tc>
        <w:tc>
          <w:tcPr>
            <w:tcW w:w="36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30231</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公务用车运行维护费</w:t>
            </w:r>
          </w:p>
        </w:tc>
        <w:tc>
          <w:tcPr>
            <w:tcW w:w="224"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21"/>
                <w:szCs w:val="21"/>
                <w:highlight w:val="none"/>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39999</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其他支出</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3"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30311</w:t>
            </w:r>
          </w:p>
        </w:tc>
        <w:tc>
          <w:tcPr>
            <w:tcW w:w="109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代缴社会保险费</w:t>
            </w:r>
          </w:p>
        </w:tc>
        <w:tc>
          <w:tcPr>
            <w:tcW w:w="28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color w:val="000000"/>
                <w:kern w:val="0"/>
                <w:sz w:val="21"/>
                <w:szCs w:val="21"/>
                <w:highlight w:val="none"/>
              </w:rPr>
            </w:pPr>
          </w:p>
        </w:tc>
        <w:tc>
          <w:tcPr>
            <w:tcW w:w="36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30239</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其他交通费用</w:t>
            </w:r>
          </w:p>
        </w:tc>
        <w:tc>
          <w:tcPr>
            <w:tcW w:w="224"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21"/>
                <w:szCs w:val="21"/>
                <w:highlight w:val="none"/>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3"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30399</w:t>
            </w:r>
          </w:p>
        </w:tc>
        <w:tc>
          <w:tcPr>
            <w:tcW w:w="109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其他对个人和家庭的补助</w:t>
            </w:r>
          </w:p>
        </w:tc>
        <w:tc>
          <w:tcPr>
            <w:tcW w:w="28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color w:val="000000"/>
                <w:kern w:val="0"/>
                <w:sz w:val="21"/>
                <w:szCs w:val="21"/>
                <w:highlight w:val="none"/>
              </w:rPr>
            </w:pPr>
          </w:p>
        </w:tc>
        <w:tc>
          <w:tcPr>
            <w:tcW w:w="36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30240</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税金及附加费用</w:t>
            </w:r>
          </w:p>
        </w:tc>
        <w:tc>
          <w:tcPr>
            <w:tcW w:w="224"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21"/>
                <w:szCs w:val="21"/>
                <w:highlight w:val="none"/>
              </w:rPr>
            </w:pPr>
          </w:p>
        </w:tc>
        <w:tc>
          <w:tcPr>
            <w:tcW w:w="34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343"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109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281"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color w:val="000000"/>
                <w:kern w:val="0"/>
                <w:sz w:val="21"/>
                <w:szCs w:val="21"/>
                <w:highlight w:val="none"/>
              </w:rPr>
            </w:pPr>
          </w:p>
        </w:tc>
        <w:tc>
          <w:tcPr>
            <w:tcW w:w="36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30299</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xml:space="preserve">  其他商品和服务支出</w:t>
            </w:r>
          </w:p>
        </w:tc>
        <w:tc>
          <w:tcPr>
            <w:tcW w:w="224"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34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　</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21"/>
                <w:szCs w:val="21"/>
                <w:highlight w:val="none"/>
              </w:rPr>
            </w:pPr>
          </w:p>
        </w:tc>
      </w:tr>
      <w:tr>
        <w:tblPrEx>
          <w:tblCellMar>
            <w:top w:w="0" w:type="dxa"/>
            <w:left w:w="108" w:type="dxa"/>
            <w:bottom w:w="0" w:type="dxa"/>
            <w:right w:w="108" w:type="dxa"/>
          </w:tblCellMar>
        </w:tblPrEx>
        <w:trPr>
          <w:trHeight w:val="284" w:hRule="exact"/>
          <w:jc w:val="center"/>
        </w:trPr>
        <w:tc>
          <w:tcPr>
            <w:tcW w:w="143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人员经费合计</w:t>
            </w:r>
          </w:p>
        </w:tc>
        <w:tc>
          <w:tcPr>
            <w:tcW w:w="28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118.87</w:t>
            </w:r>
          </w:p>
        </w:tc>
        <w:tc>
          <w:tcPr>
            <w:tcW w:w="3042" w:type="pct"/>
            <w:gridSpan w:val="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公用经费合计</w:t>
            </w:r>
          </w:p>
        </w:tc>
        <w:tc>
          <w:tcPr>
            <w:tcW w:w="237"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4.48</w:t>
            </w:r>
          </w:p>
        </w:tc>
      </w:tr>
      <w:tr>
        <w:tblPrEx>
          <w:tblCellMar>
            <w:top w:w="0" w:type="dxa"/>
            <w:left w:w="108" w:type="dxa"/>
            <w:bottom w:w="0" w:type="dxa"/>
            <w:right w:w="108" w:type="dxa"/>
          </w:tblCellMar>
        </w:tblPrEx>
        <w:trPr>
          <w:trHeight w:val="284" w:hRule="exact"/>
          <w:jc w:val="center"/>
        </w:trPr>
        <w:tc>
          <w:tcPr>
            <w:tcW w:w="5000" w:type="pct"/>
            <w:gridSpan w:val="15"/>
            <w:tcBorders>
              <w:top w:val="nil"/>
              <w:left w:val="nil"/>
              <w:bottom w:val="nil"/>
              <w:right w:val="nil"/>
            </w:tcBorders>
            <w:shd w:val="clear" w:color="auto" w:fill="auto"/>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注：本表反映部门本年度一般公共预算财政拨款基本支出明细情况。</w:t>
            </w:r>
          </w:p>
        </w:tc>
      </w:tr>
    </w:tbl>
    <w:p>
      <w:pPr>
        <w:widowControl/>
        <w:jc w:val="center"/>
        <w:rPr>
          <w:rFonts w:hint="eastAsia" w:cs="Times New Roman" w:asciiTheme="minorEastAsia" w:hAnsiTheme="minorEastAsia"/>
          <w:color w:val="000000"/>
          <w:kern w:val="0"/>
          <w:sz w:val="21"/>
          <w:szCs w:val="21"/>
          <w:highlight w:val="none"/>
        </w:rPr>
      </w:pPr>
    </w:p>
    <w:p>
      <w:pPr>
        <w:widowControl/>
        <w:jc w:val="center"/>
        <w:rPr>
          <w:rFonts w:cs="Times New Roman" w:asciiTheme="minorEastAsia" w:hAnsiTheme="minorEastAsia"/>
          <w:color w:val="000000"/>
          <w:kern w:val="0"/>
          <w:szCs w:val="21"/>
          <w:highlight w:val="none"/>
        </w:rPr>
      </w:pPr>
      <w:r>
        <w:rPr>
          <w:rFonts w:hint="eastAsia" w:cs="Times New Roman" w:asciiTheme="minorEastAsia" w:hAnsiTheme="minorEastAsia"/>
          <w:color w:val="000000"/>
          <w:kern w:val="0"/>
          <w:sz w:val="36"/>
          <w:szCs w:val="36"/>
          <w:highlight w:val="none"/>
        </w:rPr>
        <w:t>一般公共预算财政拨款“三公”经费支出决算表</w:t>
      </w:r>
      <w:r>
        <w:rPr>
          <w:rFonts w:cs="Times New Roman" w:asciiTheme="minorEastAsia" w:hAnsiTheme="minorEastAsia"/>
          <w:color w:val="000000"/>
          <w:kern w:val="0"/>
          <w:szCs w:val="21"/>
          <w:highlight w:val="none"/>
        </w:rPr>
        <w:t xml:space="preserve">                                                                                                              </w:t>
      </w:r>
      <w:r>
        <w:rPr>
          <w:rFonts w:hint="eastAsia" w:cs="Times New Roman" w:asciiTheme="minorEastAsia" w:hAnsiTheme="minorEastAsia"/>
          <w:color w:val="000000"/>
          <w:kern w:val="0"/>
          <w:szCs w:val="21"/>
          <w:highlight w:val="none"/>
        </w:rPr>
        <w:t xml:space="preserve">         </w:t>
      </w:r>
      <w:r>
        <w:rPr>
          <w:rFonts w:cs="Times New Roman" w:asciiTheme="minorEastAsia" w:hAnsiTheme="minorEastAsia"/>
          <w:color w:val="000000"/>
          <w:kern w:val="0"/>
          <w:szCs w:val="21"/>
          <w:highlight w:val="none"/>
        </w:rPr>
        <w:t xml:space="preserve">       </w:t>
      </w:r>
    </w:p>
    <w:tbl>
      <w:tblPr>
        <w:tblStyle w:val="11"/>
        <w:tblW w:w="4941" w:type="pct"/>
        <w:jc w:val="center"/>
        <w:tblLayout w:type="autofit"/>
        <w:tblCellMar>
          <w:top w:w="0" w:type="dxa"/>
          <w:left w:w="108" w:type="dxa"/>
          <w:bottom w:w="0" w:type="dxa"/>
          <w:right w:w="108" w:type="dxa"/>
        </w:tblCellMar>
      </w:tblPr>
      <w:tblGrid>
        <w:gridCol w:w="1182"/>
        <w:gridCol w:w="1296"/>
        <w:gridCol w:w="1296"/>
        <w:gridCol w:w="1296"/>
        <w:gridCol w:w="1305"/>
        <w:gridCol w:w="1324"/>
        <w:gridCol w:w="1296"/>
        <w:gridCol w:w="1296"/>
        <w:gridCol w:w="1296"/>
        <w:gridCol w:w="1296"/>
        <w:gridCol w:w="1305"/>
        <w:gridCol w:w="1242"/>
      </w:tblGrid>
      <w:tr>
        <w:tblPrEx>
          <w:tblCellMar>
            <w:top w:w="0" w:type="dxa"/>
            <w:left w:w="108" w:type="dxa"/>
            <w:bottom w:w="0" w:type="dxa"/>
            <w:right w:w="108" w:type="dxa"/>
          </w:tblCellMar>
        </w:tblPrEx>
        <w:trPr>
          <w:trHeight w:val="397" w:hRule="atLeast"/>
          <w:jc w:val="center"/>
        </w:trPr>
        <w:tc>
          <w:tcPr>
            <w:tcW w:w="2493" w:type="pct"/>
            <w:gridSpan w:val="6"/>
            <w:tcBorders>
              <w:top w:val="nil"/>
              <w:left w:val="nil"/>
              <w:bottom w:val="nil"/>
              <w:right w:val="nil"/>
            </w:tcBorders>
            <w:shd w:val="clear" w:color="auto" w:fill="auto"/>
            <w:vAlign w:val="center"/>
          </w:tcPr>
          <w:p>
            <w:pPr>
              <w:widowControl/>
              <w:jc w:val="center"/>
              <w:rPr>
                <w:rFonts w:hint="default" w:ascii="Times New Roman" w:hAnsi="Times New Roman" w:cs="Times New Roman"/>
                <w:kern w:val="0"/>
                <w:sz w:val="21"/>
                <w:szCs w:val="21"/>
                <w:highlight w:val="none"/>
              </w:rPr>
            </w:pPr>
          </w:p>
        </w:tc>
        <w:tc>
          <w:tcPr>
            <w:tcW w:w="2506" w:type="pct"/>
            <w:gridSpan w:val="6"/>
            <w:tcBorders>
              <w:top w:val="nil"/>
              <w:left w:val="nil"/>
              <w:bottom w:val="nil"/>
              <w:right w:val="nil"/>
            </w:tcBorders>
            <w:shd w:val="clear" w:color="auto" w:fill="auto"/>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color w:val="000000"/>
                <w:kern w:val="0"/>
                <w:sz w:val="21"/>
                <w:szCs w:val="21"/>
                <w:highlight w:val="none"/>
              </w:rPr>
              <w:t>公开07表</w:t>
            </w:r>
          </w:p>
        </w:tc>
      </w:tr>
      <w:tr>
        <w:tblPrEx>
          <w:tblCellMar>
            <w:top w:w="0" w:type="dxa"/>
            <w:left w:w="108" w:type="dxa"/>
            <w:bottom w:w="0" w:type="dxa"/>
            <w:right w:w="108" w:type="dxa"/>
          </w:tblCellMar>
        </w:tblPrEx>
        <w:trPr>
          <w:trHeight w:val="397" w:hRule="atLeast"/>
          <w:jc w:val="center"/>
        </w:trPr>
        <w:tc>
          <w:tcPr>
            <w:tcW w:w="2493" w:type="pct"/>
            <w:gridSpan w:val="6"/>
            <w:tcBorders>
              <w:top w:val="nil"/>
              <w:left w:val="nil"/>
              <w:bottom w:val="single" w:color="auto" w:sz="4" w:space="0"/>
              <w:right w:val="nil"/>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color w:val="000000"/>
                <w:kern w:val="0"/>
                <w:sz w:val="21"/>
                <w:szCs w:val="21"/>
                <w:highlight w:val="none"/>
              </w:rPr>
              <w:t>部门：中共祁阳市网络安全和信息化委员会办公室</w:t>
            </w:r>
          </w:p>
        </w:tc>
        <w:tc>
          <w:tcPr>
            <w:tcW w:w="2506" w:type="pct"/>
            <w:gridSpan w:val="6"/>
            <w:tcBorders>
              <w:top w:val="nil"/>
              <w:left w:val="nil"/>
              <w:bottom w:val="single" w:color="auto" w:sz="4" w:space="0"/>
              <w:right w:val="nil"/>
            </w:tcBorders>
            <w:shd w:val="clear" w:color="auto" w:fill="auto"/>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color w:val="000000"/>
                <w:kern w:val="0"/>
                <w:sz w:val="21"/>
                <w:szCs w:val="21"/>
                <w:highlight w:val="none"/>
              </w:rPr>
              <w:t>单位：万元</w:t>
            </w:r>
          </w:p>
        </w:tc>
      </w:tr>
      <w:tr>
        <w:tblPrEx>
          <w:tblCellMar>
            <w:top w:w="0" w:type="dxa"/>
            <w:left w:w="108" w:type="dxa"/>
            <w:bottom w:w="0" w:type="dxa"/>
            <w:right w:w="108" w:type="dxa"/>
          </w:tblCellMar>
        </w:tblPrEx>
        <w:trPr>
          <w:trHeight w:val="397" w:hRule="atLeast"/>
          <w:jc w:val="center"/>
        </w:trPr>
        <w:tc>
          <w:tcPr>
            <w:tcW w:w="2493"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预算数</w:t>
            </w:r>
          </w:p>
        </w:tc>
        <w:tc>
          <w:tcPr>
            <w:tcW w:w="250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决算数</w:t>
            </w:r>
          </w:p>
        </w:tc>
      </w:tr>
      <w:tr>
        <w:tblPrEx>
          <w:tblCellMar>
            <w:top w:w="0" w:type="dxa"/>
            <w:left w:w="108" w:type="dxa"/>
            <w:bottom w:w="0" w:type="dxa"/>
            <w:right w:w="108" w:type="dxa"/>
          </w:tblCellMar>
        </w:tblPrEx>
        <w:trPr>
          <w:trHeight w:val="397" w:hRule="atLeast"/>
          <w:jc w:val="center"/>
        </w:trPr>
        <w:tc>
          <w:tcPr>
            <w:tcW w:w="38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合计</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因公出国（境）费</w:t>
            </w:r>
          </w:p>
        </w:tc>
        <w:tc>
          <w:tcPr>
            <w:tcW w:w="1263"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公务用车购置及运行费</w:t>
            </w:r>
          </w:p>
        </w:tc>
        <w:tc>
          <w:tcPr>
            <w:tcW w:w="4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公务</w:t>
            </w:r>
          </w:p>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接待费</w:t>
            </w:r>
          </w:p>
        </w:tc>
        <w:tc>
          <w:tcPr>
            <w:tcW w:w="420"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合计</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因公出国（境）费</w:t>
            </w:r>
          </w:p>
        </w:tc>
        <w:tc>
          <w:tcPr>
            <w:tcW w:w="1263"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公务用车购置及运行费</w:t>
            </w:r>
          </w:p>
        </w:tc>
        <w:tc>
          <w:tcPr>
            <w:tcW w:w="401" w:type="pct"/>
            <w:vMerge w:val="restart"/>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公务</w:t>
            </w:r>
          </w:p>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接待费</w:t>
            </w:r>
          </w:p>
        </w:tc>
      </w:tr>
      <w:tr>
        <w:tblPrEx>
          <w:tblCellMar>
            <w:top w:w="0" w:type="dxa"/>
            <w:left w:w="108" w:type="dxa"/>
            <w:bottom w:w="0" w:type="dxa"/>
            <w:right w:w="108" w:type="dxa"/>
          </w:tblCellMar>
        </w:tblPrEx>
        <w:trPr>
          <w:trHeight w:val="397" w:hRule="atLeast"/>
          <w:jc w:val="center"/>
        </w:trPr>
        <w:tc>
          <w:tcPr>
            <w:tcW w:w="383" w:type="pct"/>
            <w:vMerge w:val="continue"/>
            <w:tcBorders>
              <w:top w:val="single" w:color="auto" w:sz="4" w:space="0"/>
              <w:left w:val="single" w:color="auto" w:sz="8" w:space="0"/>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420"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4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小计</w:t>
            </w:r>
          </w:p>
        </w:tc>
        <w:tc>
          <w:tcPr>
            <w:tcW w:w="4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lang w:eastAsia="zh-CN"/>
              </w:rPr>
            </w:pPr>
            <w:r>
              <w:rPr>
                <w:rFonts w:hint="default" w:ascii="Times New Roman" w:hAnsi="Times New Roman" w:cs="Times New Roman"/>
                <w:kern w:val="0"/>
                <w:sz w:val="21"/>
                <w:szCs w:val="21"/>
                <w:highlight w:val="none"/>
              </w:rPr>
              <w:t>公务用车</w:t>
            </w:r>
          </w:p>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购置费</w:t>
            </w:r>
          </w:p>
        </w:tc>
        <w:tc>
          <w:tcPr>
            <w:tcW w:w="42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lang w:eastAsia="zh-CN"/>
              </w:rPr>
            </w:pPr>
            <w:r>
              <w:rPr>
                <w:rFonts w:hint="default" w:ascii="Times New Roman" w:hAnsi="Times New Roman" w:cs="Times New Roman"/>
                <w:kern w:val="0"/>
                <w:sz w:val="21"/>
                <w:szCs w:val="21"/>
                <w:highlight w:val="none"/>
              </w:rPr>
              <w:t>公务用车</w:t>
            </w:r>
          </w:p>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运行费</w:t>
            </w:r>
          </w:p>
        </w:tc>
        <w:tc>
          <w:tcPr>
            <w:tcW w:w="42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420" w:type="pct"/>
            <w:vMerge w:val="continue"/>
            <w:tcBorders>
              <w:top w:val="single" w:color="auto" w:sz="4" w:space="0"/>
              <w:left w:val="nil"/>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420"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4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小计</w:t>
            </w:r>
          </w:p>
        </w:tc>
        <w:tc>
          <w:tcPr>
            <w:tcW w:w="4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lang w:eastAsia="zh-CN"/>
              </w:rPr>
            </w:pPr>
            <w:r>
              <w:rPr>
                <w:rFonts w:hint="default" w:ascii="Times New Roman" w:hAnsi="Times New Roman" w:cs="Times New Roman"/>
                <w:kern w:val="0"/>
                <w:sz w:val="21"/>
                <w:szCs w:val="21"/>
                <w:highlight w:val="none"/>
              </w:rPr>
              <w:t>公务用车</w:t>
            </w:r>
          </w:p>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购置费</w:t>
            </w:r>
          </w:p>
        </w:tc>
        <w:tc>
          <w:tcPr>
            <w:tcW w:w="42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lang w:eastAsia="zh-CN"/>
              </w:rPr>
            </w:pPr>
            <w:r>
              <w:rPr>
                <w:rFonts w:hint="default" w:ascii="Times New Roman" w:hAnsi="Times New Roman" w:cs="Times New Roman"/>
                <w:kern w:val="0"/>
                <w:sz w:val="21"/>
                <w:szCs w:val="21"/>
                <w:highlight w:val="none"/>
              </w:rPr>
              <w:t>公务用车</w:t>
            </w:r>
          </w:p>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运行费</w:t>
            </w:r>
          </w:p>
        </w:tc>
        <w:tc>
          <w:tcPr>
            <w:tcW w:w="401" w:type="pct"/>
            <w:vMerge w:val="continue"/>
            <w:tcBorders>
              <w:top w:val="single" w:color="auto" w:sz="4" w:space="0"/>
              <w:left w:val="single" w:color="auto" w:sz="4" w:space="0"/>
              <w:bottom w:val="single" w:color="000000" w:sz="4" w:space="0"/>
              <w:right w:val="single" w:color="auto" w:sz="8" w:space="0"/>
            </w:tcBorders>
            <w:vAlign w:val="center"/>
          </w:tcPr>
          <w:p>
            <w:pPr>
              <w:widowControl/>
              <w:jc w:val="lef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97" w:hRule="atLeast"/>
          <w:jc w:val="center"/>
        </w:trPr>
        <w:tc>
          <w:tcPr>
            <w:tcW w:w="383"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1</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2</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3</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4</w:t>
            </w:r>
          </w:p>
        </w:tc>
        <w:tc>
          <w:tcPr>
            <w:tcW w:w="421"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5</w:t>
            </w:r>
          </w:p>
        </w:tc>
        <w:tc>
          <w:tcPr>
            <w:tcW w:w="424"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6</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7</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8</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9</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10</w:t>
            </w:r>
          </w:p>
        </w:tc>
        <w:tc>
          <w:tcPr>
            <w:tcW w:w="421"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11</w:t>
            </w:r>
          </w:p>
        </w:tc>
        <w:tc>
          <w:tcPr>
            <w:tcW w:w="401" w:type="pct"/>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12</w:t>
            </w:r>
          </w:p>
        </w:tc>
      </w:tr>
      <w:tr>
        <w:tblPrEx>
          <w:tblCellMar>
            <w:top w:w="0" w:type="dxa"/>
            <w:left w:w="108" w:type="dxa"/>
            <w:bottom w:w="0" w:type="dxa"/>
            <w:right w:w="108" w:type="dxa"/>
          </w:tblCellMar>
        </w:tblPrEx>
        <w:trPr>
          <w:trHeight w:val="397" w:hRule="atLeast"/>
          <w:jc w:val="center"/>
        </w:trPr>
        <w:tc>
          <w:tcPr>
            <w:tcW w:w="1182"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tc>
        <w:tc>
          <w:tcPr>
            <w:tcW w:w="1296" w:type="dxa"/>
            <w:tcBorders>
              <w:top w:val="nil"/>
              <w:left w:val="nil"/>
              <w:bottom w:val="single" w:color="auto" w:sz="8" w:space="0"/>
              <w:right w:val="single" w:color="auto" w:sz="4" w:space="0"/>
            </w:tcBorders>
            <w:shd w:val="clear" w:color="auto" w:fill="auto"/>
            <w:vAlign w:val="center"/>
          </w:tcPr>
          <w:p>
            <w:pPr>
              <w:jc w:val="center"/>
              <w:rPr>
                <w:rFonts w:hint="default" w:ascii="Times New Roman" w:hAnsi="Times New Roman" w:cs="Times New Roman"/>
                <w:kern w:val="0"/>
                <w:sz w:val="21"/>
                <w:szCs w:val="21"/>
                <w:highlight w:val="none"/>
              </w:rPr>
            </w:pPr>
          </w:p>
        </w:tc>
        <w:tc>
          <w:tcPr>
            <w:tcW w:w="1296" w:type="dxa"/>
            <w:tcBorders>
              <w:top w:val="nil"/>
              <w:left w:val="nil"/>
              <w:bottom w:val="single" w:color="auto" w:sz="8" w:space="0"/>
              <w:right w:val="single" w:color="auto" w:sz="4" w:space="0"/>
            </w:tcBorders>
            <w:shd w:val="clear" w:color="auto" w:fill="auto"/>
            <w:vAlign w:val="center"/>
          </w:tcPr>
          <w:p>
            <w:pPr>
              <w:jc w:val="center"/>
              <w:rPr>
                <w:rFonts w:hint="default" w:ascii="Times New Roman" w:hAnsi="Times New Roman" w:cs="Times New Roman"/>
                <w:kern w:val="0"/>
                <w:sz w:val="21"/>
                <w:szCs w:val="21"/>
                <w:highlight w:val="none"/>
              </w:rPr>
            </w:pPr>
          </w:p>
        </w:tc>
        <w:tc>
          <w:tcPr>
            <w:tcW w:w="1296" w:type="dxa"/>
            <w:tcBorders>
              <w:top w:val="nil"/>
              <w:left w:val="nil"/>
              <w:bottom w:val="single" w:color="auto" w:sz="8" w:space="0"/>
              <w:right w:val="single" w:color="auto" w:sz="4" w:space="0"/>
            </w:tcBorders>
            <w:shd w:val="clear" w:color="auto" w:fill="auto"/>
            <w:vAlign w:val="center"/>
          </w:tcPr>
          <w:p>
            <w:pPr>
              <w:jc w:val="center"/>
              <w:rPr>
                <w:rFonts w:hint="default" w:ascii="Times New Roman" w:hAnsi="Times New Roman" w:cs="Times New Roman"/>
                <w:kern w:val="0"/>
                <w:sz w:val="21"/>
                <w:szCs w:val="21"/>
                <w:highlight w:val="none"/>
              </w:rPr>
            </w:pPr>
          </w:p>
        </w:tc>
        <w:tc>
          <w:tcPr>
            <w:tcW w:w="1305" w:type="dxa"/>
            <w:tcBorders>
              <w:top w:val="nil"/>
              <w:left w:val="nil"/>
              <w:bottom w:val="single" w:color="auto" w:sz="8" w:space="0"/>
              <w:right w:val="single" w:color="auto" w:sz="4" w:space="0"/>
            </w:tcBorders>
            <w:shd w:val="clear" w:color="auto" w:fill="auto"/>
            <w:vAlign w:val="center"/>
          </w:tcPr>
          <w:p>
            <w:pPr>
              <w:jc w:val="center"/>
              <w:rPr>
                <w:rFonts w:hint="default" w:ascii="Times New Roman" w:hAnsi="Times New Roman" w:cs="Times New Roman"/>
                <w:kern w:val="0"/>
                <w:sz w:val="21"/>
                <w:szCs w:val="21"/>
                <w:highlight w:val="none"/>
              </w:rPr>
            </w:pPr>
          </w:p>
        </w:tc>
        <w:tc>
          <w:tcPr>
            <w:tcW w:w="1324"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1.00</w:t>
            </w:r>
          </w:p>
        </w:tc>
        <w:tc>
          <w:tcPr>
            <w:tcW w:w="1296"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0.88</w:t>
            </w:r>
          </w:p>
        </w:tc>
        <w:tc>
          <w:tcPr>
            <w:tcW w:w="1296" w:type="dxa"/>
            <w:tcBorders>
              <w:top w:val="nil"/>
              <w:left w:val="nil"/>
              <w:bottom w:val="single" w:color="auto" w:sz="8" w:space="0"/>
              <w:right w:val="single" w:color="auto" w:sz="4" w:space="0"/>
            </w:tcBorders>
            <w:shd w:val="clear" w:color="auto" w:fill="auto"/>
            <w:vAlign w:val="center"/>
          </w:tcPr>
          <w:p>
            <w:pPr>
              <w:jc w:val="center"/>
              <w:rPr>
                <w:rFonts w:hint="default" w:ascii="Times New Roman" w:hAnsi="Times New Roman" w:cs="Times New Roman"/>
                <w:kern w:val="0"/>
                <w:sz w:val="21"/>
                <w:szCs w:val="21"/>
                <w:highlight w:val="none"/>
              </w:rPr>
            </w:pPr>
          </w:p>
        </w:tc>
        <w:tc>
          <w:tcPr>
            <w:tcW w:w="1296" w:type="dxa"/>
            <w:tcBorders>
              <w:top w:val="nil"/>
              <w:left w:val="nil"/>
              <w:bottom w:val="single" w:color="auto" w:sz="8" w:space="0"/>
              <w:right w:val="single" w:color="auto" w:sz="4" w:space="0"/>
            </w:tcBorders>
            <w:shd w:val="clear" w:color="auto" w:fill="auto"/>
            <w:vAlign w:val="center"/>
          </w:tcPr>
          <w:p>
            <w:pPr>
              <w:jc w:val="center"/>
              <w:rPr>
                <w:rFonts w:hint="default" w:ascii="Times New Roman" w:hAnsi="Times New Roman" w:cs="Times New Roman"/>
                <w:kern w:val="0"/>
                <w:sz w:val="21"/>
                <w:szCs w:val="21"/>
                <w:highlight w:val="none"/>
              </w:rPr>
            </w:pPr>
          </w:p>
        </w:tc>
        <w:tc>
          <w:tcPr>
            <w:tcW w:w="1296" w:type="dxa"/>
            <w:tcBorders>
              <w:top w:val="nil"/>
              <w:left w:val="nil"/>
              <w:bottom w:val="single" w:color="auto" w:sz="8" w:space="0"/>
              <w:right w:val="single" w:color="auto" w:sz="4" w:space="0"/>
            </w:tcBorders>
            <w:shd w:val="clear" w:color="auto" w:fill="auto"/>
            <w:vAlign w:val="center"/>
          </w:tcPr>
          <w:p>
            <w:pPr>
              <w:jc w:val="center"/>
              <w:rPr>
                <w:rFonts w:hint="default" w:ascii="Times New Roman" w:hAnsi="Times New Roman" w:cs="Times New Roman"/>
                <w:kern w:val="0"/>
                <w:sz w:val="21"/>
                <w:szCs w:val="21"/>
                <w:highlight w:val="none"/>
              </w:rPr>
            </w:pPr>
          </w:p>
        </w:tc>
        <w:tc>
          <w:tcPr>
            <w:tcW w:w="1305" w:type="dxa"/>
            <w:tcBorders>
              <w:top w:val="nil"/>
              <w:left w:val="nil"/>
              <w:bottom w:val="single" w:color="auto" w:sz="8" w:space="0"/>
              <w:right w:val="nil"/>
            </w:tcBorders>
            <w:shd w:val="clear" w:color="auto" w:fill="auto"/>
            <w:vAlign w:val="center"/>
          </w:tcPr>
          <w:p>
            <w:pPr>
              <w:jc w:val="center"/>
              <w:rPr>
                <w:rFonts w:hint="default" w:ascii="Times New Roman" w:hAnsi="Times New Roman" w:cs="Times New Roman"/>
                <w:kern w:val="0"/>
                <w:sz w:val="21"/>
                <w:szCs w:val="21"/>
                <w:highlight w:val="none"/>
              </w:rPr>
            </w:pPr>
          </w:p>
        </w:tc>
        <w:tc>
          <w:tcPr>
            <w:tcW w:w="1242"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0.88</w:t>
            </w:r>
          </w:p>
        </w:tc>
      </w:tr>
    </w:tbl>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default" w:ascii="Times New Roman" w:hAnsi="Times New Roman" w:cs="Times New Roman"/>
          <w:kern w:val="0"/>
          <w:sz w:val="21"/>
          <w:szCs w:val="21"/>
          <w:highlight w:val="none"/>
        </w:rPr>
        <w:br w:type="page"/>
      </w:r>
    </w:p>
    <w:p>
      <w:pPr>
        <w:autoSpaceDE w:val="0"/>
        <w:autoSpaceDN w:val="0"/>
        <w:adjustRightInd w:val="0"/>
        <w:ind w:left="315" w:leftChars="150"/>
        <w:jc w:val="left"/>
        <w:rPr>
          <w:rFonts w:cs="宋体" w:asciiTheme="minorEastAsia" w:hAnsiTheme="minorEastAsia"/>
          <w:kern w:val="0"/>
          <w:sz w:val="24"/>
          <w:szCs w:val="24"/>
          <w:highlight w:val="none"/>
        </w:rPr>
      </w:pPr>
    </w:p>
    <w:p>
      <w:pPr>
        <w:widowControl/>
        <w:jc w:val="center"/>
        <w:rPr>
          <w:rFonts w:cs="Times New Roman" w:asciiTheme="minorEastAsia" w:hAnsiTheme="minorEastAsia"/>
          <w:color w:val="000000"/>
          <w:kern w:val="0"/>
          <w:szCs w:val="21"/>
          <w:highlight w:val="none"/>
        </w:rPr>
      </w:pPr>
      <w:r>
        <w:rPr>
          <w:rFonts w:cs="Times New Roman" w:asciiTheme="minorEastAsia" w:hAnsiTheme="minorEastAsia"/>
          <w:kern w:val="0"/>
          <w:sz w:val="36"/>
          <w:szCs w:val="36"/>
          <w:highlight w:val="none"/>
        </w:rPr>
        <w:t>政府性基金预算财政拨款收入支出决算表</w:t>
      </w:r>
      <w:r>
        <w:rPr>
          <w:rFonts w:cs="Times New Roman" w:asciiTheme="minorEastAsia" w:hAnsiTheme="minorEastAsia"/>
          <w:color w:val="000000"/>
          <w:kern w:val="0"/>
          <w:szCs w:val="21"/>
          <w:highlight w:val="none"/>
        </w:rPr>
        <w:t xml:space="preserve">                                                                                                                 </w:t>
      </w:r>
    </w:p>
    <w:tbl>
      <w:tblPr>
        <w:tblStyle w:val="11"/>
        <w:tblW w:w="494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63"/>
        <w:gridCol w:w="3933"/>
        <w:gridCol w:w="1720"/>
        <w:gridCol w:w="1720"/>
        <w:gridCol w:w="1713"/>
        <w:gridCol w:w="1720"/>
        <w:gridCol w:w="1732"/>
        <w:gridCol w:w="173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nil"/>
              <w:left w:val="nil"/>
              <w:bottom w:val="nil"/>
              <w:right w:val="nil"/>
            </w:tcBorders>
            <w:shd w:val="clear" w:color="auto" w:fill="auto"/>
            <w:vAlign w:val="center"/>
          </w:tcPr>
          <w:p>
            <w:pPr>
              <w:widowControl/>
              <w:jc w:val="center"/>
              <w:rPr>
                <w:rFonts w:hint="default" w:ascii="Times New Roman" w:hAnsi="Times New Roman" w:cs="Times New Roman"/>
                <w:b/>
                <w:kern w:val="0"/>
                <w:sz w:val="21"/>
                <w:szCs w:val="21"/>
                <w:highlight w:val="none"/>
              </w:rPr>
            </w:pPr>
          </w:p>
        </w:tc>
        <w:tc>
          <w:tcPr>
            <w:tcW w:w="557" w:type="pct"/>
            <w:tcBorders>
              <w:top w:val="nil"/>
              <w:left w:val="nil"/>
              <w:bottom w:val="nil"/>
              <w:right w:val="nil"/>
            </w:tcBorders>
            <w:shd w:val="clear" w:color="auto" w:fill="auto"/>
            <w:vAlign w:val="center"/>
          </w:tcPr>
          <w:p>
            <w:pPr>
              <w:widowControl/>
              <w:jc w:val="center"/>
              <w:rPr>
                <w:rFonts w:hint="default" w:ascii="Times New Roman" w:hAnsi="Times New Roman" w:cs="Times New Roman"/>
                <w:b/>
                <w:kern w:val="0"/>
                <w:sz w:val="21"/>
                <w:szCs w:val="21"/>
                <w:highlight w:val="none"/>
              </w:rPr>
            </w:pPr>
          </w:p>
        </w:tc>
        <w:tc>
          <w:tcPr>
            <w:tcW w:w="557" w:type="pct"/>
            <w:tcBorders>
              <w:top w:val="nil"/>
              <w:left w:val="nil"/>
              <w:bottom w:val="nil"/>
              <w:right w:val="nil"/>
            </w:tcBorders>
            <w:shd w:val="clear" w:color="auto" w:fill="auto"/>
            <w:vAlign w:val="center"/>
          </w:tcPr>
          <w:p>
            <w:pPr>
              <w:widowControl/>
              <w:jc w:val="center"/>
              <w:rPr>
                <w:rFonts w:hint="default" w:ascii="Times New Roman" w:hAnsi="Times New Roman" w:cs="Times New Roman"/>
                <w:b/>
                <w:kern w:val="0"/>
                <w:sz w:val="21"/>
                <w:szCs w:val="21"/>
                <w:highlight w:val="none"/>
              </w:rPr>
            </w:pPr>
          </w:p>
        </w:tc>
        <w:tc>
          <w:tcPr>
            <w:tcW w:w="1673" w:type="pct"/>
            <w:gridSpan w:val="3"/>
            <w:tcBorders>
              <w:top w:val="nil"/>
              <w:left w:val="nil"/>
              <w:bottom w:val="nil"/>
              <w:right w:val="nil"/>
            </w:tcBorders>
            <w:shd w:val="clear" w:color="auto" w:fill="auto"/>
            <w:vAlign w:val="center"/>
          </w:tcPr>
          <w:p>
            <w:pPr>
              <w:widowControl/>
              <w:jc w:val="center"/>
              <w:rPr>
                <w:rFonts w:hint="default" w:ascii="Times New Roman" w:hAnsi="Times New Roman" w:cs="Times New Roman"/>
                <w:b/>
                <w:kern w:val="0"/>
                <w:sz w:val="21"/>
                <w:szCs w:val="21"/>
                <w:highlight w:val="none"/>
              </w:rPr>
            </w:pPr>
          </w:p>
        </w:tc>
        <w:tc>
          <w:tcPr>
            <w:tcW w:w="561" w:type="pct"/>
            <w:tcBorders>
              <w:top w:val="nil"/>
              <w:left w:val="nil"/>
              <w:bottom w:val="nil"/>
              <w:right w:val="nil"/>
            </w:tcBorders>
            <w:shd w:val="clear" w:color="auto" w:fill="auto"/>
            <w:vAlign w:val="center"/>
          </w:tcPr>
          <w:p>
            <w:pPr>
              <w:widowControl/>
              <w:jc w:val="right"/>
              <w:rPr>
                <w:rFonts w:hint="default" w:ascii="Times New Roman" w:hAnsi="Times New Roman" w:cs="Times New Roman"/>
                <w:b/>
                <w:kern w:val="0"/>
                <w:sz w:val="21"/>
                <w:szCs w:val="21"/>
                <w:highlight w:val="none"/>
              </w:rPr>
            </w:pPr>
            <w:r>
              <w:rPr>
                <w:rFonts w:hint="default" w:ascii="Times New Roman" w:hAnsi="Times New Roman" w:cs="Times New Roman"/>
                <w:color w:val="000000"/>
                <w:kern w:val="0"/>
                <w:sz w:val="21"/>
                <w:szCs w:val="21"/>
                <w:highlight w:val="none"/>
              </w:rPr>
              <w:t>公开08表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nil"/>
              <w:left w:val="nil"/>
              <w:bottom w:val="single" w:color="auto" w:sz="4" w:space="0"/>
              <w:right w:val="nil"/>
            </w:tcBorders>
            <w:shd w:val="clear" w:color="auto" w:fill="auto"/>
            <w:vAlign w:val="center"/>
          </w:tcPr>
          <w:p>
            <w:pPr>
              <w:widowControl/>
              <w:jc w:val="left"/>
              <w:rPr>
                <w:rFonts w:hint="default" w:ascii="Times New Roman" w:hAnsi="Times New Roman" w:cs="Times New Roman"/>
                <w:b/>
                <w:kern w:val="0"/>
                <w:sz w:val="21"/>
                <w:szCs w:val="21"/>
                <w:highlight w:val="none"/>
              </w:rPr>
            </w:pPr>
            <w:r>
              <w:rPr>
                <w:rFonts w:hint="default" w:ascii="Times New Roman" w:hAnsi="Times New Roman" w:cs="Times New Roman"/>
                <w:color w:val="000000"/>
                <w:kern w:val="0"/>
                <w:sz w:val="21"/>
                <w:szCs w:val="21"/>
                <w:highlight w:val="none"/>
              </w:rPr>
              <w:t>部门：中共祁阳市网络安全和信息化委员会办公室</w:t>
            </w:r>
          </w:p>
        </w:tc>
        <w:tc>
          <w:tcPr>
            <w:tcW w:w="557"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b/>
                <w:kern w:val="0"/>
                <w:sz w:val="21"/>
                <w:szCs w:val="21"/>
                <w:highlight w:val="none"/>
              </w:rPr>
            </w:pPr>
          </w:p>
        </w:tc>
        <w:tc>
          <w:tcPr>
            <w:tcW w:w="557"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b/>
                <w:kern w:val="0"/>
                <w:sz w:val="21"/>
                <w:szCs w:val="21"/>
                <w:highlight w:val="none"/>
              </w:rPr>
            </w:pPr>
          </w:p>
        </w:tc>
        <w:tc>
          <w:tcPr>
            <w:tcW w:w="1673" w:type="pct"/>
            <w:gridSpan w:val="3"/>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b/>
                <w:kern w:val="0"/>
                <w:sz w:val="21"/>
                <w:szCs w:val="21"/>
                <w:highlight w:val="none"/>
              </w:rPr>
            </w:pPr>
          </w:p>
        </w:tc>
        <w:tc>
          <w:tcPr>
            <w:tcW w:w="561" w:type="pct"/>
            <w:tcBorders>
              <w:top w:val="nil"/>
              <w:left w:val="nil"/>
              <w:bottom w:val="single" w:color="auto" w:sz="4" w:space="0"/>
              <w:right w:val="nil"/>
            </w:tcBorders>
            <w:shd w:val="clear" w:color="auto" w:fill="auto"/>
            <w:vAlign w:val="center"/>
          </w:tcPr>
          <w:p>
            <w:pPr>
              <w:widowControl/>
              <w:jc w:val="right"/>
              <w:rPr>
                <w:rFonts w:hint="default" w:ascii="Times New Roman" w:hAnsi="Times New Roman" w:cs="Times New Roman"/>
                <w:b/>
                <w:kern w:val="0"/>
                <w:sz w:val="21"/>
                <w:szCs w:val="21"/>
                <w:highlight w:val="none"/>
              </w:rPr>
            </w:pPr>
            <w:r>
              <w:rPr>
                <w:rFonts w:hint="default" w:ascii="Times New Roman" w:hAnsi="Times New Roman" w:cs="Times New Roman"/>
                <w:color w:val="000000"/>
                <w:kern w:val="0"/>
                <w:sz w:val="21"/>
                <w:szCs w:val="21"/>
                <w:highlight w:val="none"/>
              </w:rPr>
              <w:t>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val="0"/>
                <w:bCs/>
                <w:kern w:val="0"/>
                <w:sz w:val="21"/>
                <w:szCs w:val="21"/>
                <w:highlight w:val="none"/>
              </w:rPr>
            </w:pPr>
            <w:r>
              <w:rPr>
                <w:rFonts w:hint="default" w:ascii="Times New Roman" w:hAnsi="Times New Roman" w:cs="Times New Roman"/>
                <w:b w:val="0"/>
                <w:bCs/>
                <w:kern w:val="0"/>
                <w:sz w:val="21"/>
                <w:szCs w:val="21"/>
                <w:highlight w:val="none"/>
              </w:rPr>
              <w:t xml:space="preserve">项 </w:t>
            </w:r>
            <w:r>
              <w:rPr>
                <w:rFonts w:hint="default" w:ascii="Times New Roman" w:hAnsi="Times New Roman" w:cs="Times New Roman"/>
                <w:b w:val="0"/>
                <w:bCs/>
                <w:color w:val="000000"/>
                <w:kern w:val="0"/>
                <w:sz w:val="21"/>
                <w:szCs w:val="21"/>
                <w:highlight w:val="none"/>
              </w:rPr>
              <w:t xml:space="preserve">   </w:t>
            </w:r>
            <w:r>
              <w:rPr>
                <w:rFonts w:hint="default" w:ascii="Times New Roman" w:hAnsi="Times New Roman" w:cs="Times New Roman"/>
                <w:b w:val="0"/>
                <w:bCs/>
                <w:kern w:val="0"/>
                <w:sz w:val="21"/>
                <w:szCs w:val="21"/>
                <w:highlight w:val="none"/>
              </w:rPr>
              <w:t>目</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val="0"/>
                <w:bCs/>
                <w:kern w:val="0"/>
                <w:sz w:val="21"/>
                <w:szCs w:val="21"/>
                <w:highlight w:val="none"/>
              </w:rPr>
            </w:pPr>
            <w:r>
              <w:rPr>
                <w:rFonts w:hint="default" w:ascii="Times New Roman" w:hAnsi="Times New Roman" w:cs="Times New Roman"/>
                <w:b w:val="0"/>
                <w:bCs/>
                <w:kern w:val="0"/>
                <w:sz w:val="21"/>
                <w:szCs w:val="21"/>
                <w:highlight w:val="none"/>
              </w:rPr>
              <w:t>年初结转和结余</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val="0"/>
                <w:bCs/>
                <w:kern w:val="0"/>
                <w:sz w:val="21"/>
                <w:szCs w:val="21"/>
                <w:highlight w:val="none"/>
              </w:rPr>
            </w:pPr>
            <w:r>
              <w:rPr>
                <w:rFonts w:hint="default" w:ascii="Times New Roman" w:hAnsi="Times New Roman" w:cs="Times New Roman"/>
                <w:b w:val="0"/>
                <w:bCs/>
                <w:kern w:val="0"/>
                <w:sz w:val="21"/>
                <w:szCs w:val="21"/>
                <w:highlight w:val="none"/>
              </w:rPr>
              <w:t>本年收入</w:t>
            </w:r>
          </w:p>
        </w:tc>
        <w:tc>
          <w:tcPr>
            <w:tcW w:w="167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val="0"/>
                <w:bCs/>
                <w:kern w:val="0"/>
                <w:sz w:val="21"/>
                <w:szCs w:val="21"/>
                <w:highlight w:val="none"/>
              </w:rPr>
            </w:pPr>
            <w:r>
              <w:rPr>
                <w:rFonts w:hint="default" w:ascii="Times New Roman" w:hAnsi="Times New Roman" w:cs="Times New Roman"/>
                <w:b w:val="0"/>
                <w:bCs/>
                <w:kern w:val="0"/>
                <w:sz w:val="21"/>
                <w:szCs w:val="21"/>
                <w:highlight w:val="none"/>
              </w:rPr>
              <w:t>本年支出</w:t>
            </w:r>
          </w:p>
        </w:tc>
        <w:tc>
          <w:tcPr>
            <w:tcW w:w="5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val="0"/>
                <w:bCs/>
                <w:kern w:val="0"/>
                <w:sz w:val="21"/>
                <w:szCs w:val="21"/>
                <w:highlight w:val="none"/>
              </w:rPr>
            </w:pPr>
            <w:r>
              <w:rPr>
                <w:rFonts w:hint="default" w:ascii="Times New Roman" w:hAnsi="Times New Roman" w:cs="Times New Roman"/>
                <w:b w:val="0"/>
                <w:bCs/>
                <w:kern w:val="0"/>
                <w:sz w:val="21"/>
                <w:szCs w:val="21"/>
                <w:highlight w:val="none"/>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restart"/>
            <w:tcBorders>
              <w:top w:val="single" w:color="auto" w:sz="4" w:space="0"/>
              <w:bottom w:val="single" w:color="auto" w:sz="4" w:space="0"/>
            </w:tcBorders>
            <w:shd w:val="clear" w:color="auto" w:fill="auto"/>
            <w:vAlign w:val="center"/>
          </w:tcPr>
          <w:p>
            <w:pPr>
              <w:widowControl/>
              <w:jc w:val="center"/>
              <w:rPr>
                <w:rFonts w:hint="default" w:ascii="Times New Roman" w:hAnsi="Times New Roman" w:cs="Times New Roman"/>
                <w:b w:val="0"/>
                <w:bCs/>
                <w:kern w:val="0"/>
                <w:sz w:val="21"/>
                <w:szCs w:val="21"/>
                <w:highlight w:val="none"/>
              </w:rPr>
            </w:pPr>
            <w:r>
              <w:rPr>
                <w:rFonts w:hint="default" w:ascii="Times New Roman" w:hAnsi="Times New Roman" w:cs="Times New Roman"/>
                <w:b w:val="0"/>
                <w:bCs/>
                <w:kern w:val="0"/>
                <w:sz w:val="21"/>
                <w:szCs w:val="21"/>
                <w:highlight w:val="none"/>
              </w:rPr>
              <w:t>功能分类科目编码</w:t>
            </w:r>
          </w:p>
        </w:tc>
        <w:tc>
          <w:tcPr>
            <w:tcW w:w="1273" w:type="pct"/>
            <w:vMerge w:val="restart"/>
            <w:tcBorders>
              <w:top w:val="single" w:color="auto" w:sz="4" w:space="0"/>
              <w:bottom w:val="single" w:color="auto" w:sz="4" w:space="0"/>
            </w:tcBorders>
            <w:shd w:val="clear" w:color="auto" w:fill="auto"/>
            <w:vAlign w:val="center"/>
          </w:tcPr>
          <w:p>
            <w:pPr>
              <w:widowControl/>
              <w:jc w:val="center"/>
              <w:rPr>
                <w:rFonts w:hint="default" w:ascii="Times New Roman" w:hAnsi="Times New Roman" w:cs="Times New Roman"/>
                <w:b w:val="0"/>
                <w:bCs/>
                <w:kern w:val="0"/>
                <w:sz w:val="21"/>
                <w:szCs w:val="21"/>
                <w:highlight w:val="none"/>
              </w:rPr>
            </w:pPr>
            <w:r>
              <w:rPr>
                <w:rFonts w:hint="default" w:ascii="Times New Roman" w:hAnsi="Times New Roman" w:cs="Times New Roman"/>
                <w:b w:val="0"/>
                <w:bCs/>
                <w:kern w:val="0"/>
                <w:sz w:val="21"/>
                <w:szCs w:val="21"/>
                <w:highlight w:val="none"/>
              </w:rPr>
              <w:t>科目名称</w:t>
            </w: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b w:val="0"/>
                <w:bCs/>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b w:val="0"/>
                <w:bCs/>
                <w:kern w:val="0"/>
                <w:sz w:val="21"/>
                <w:szCs w:val="21"/>
                <w:highlight w:val="none"/>
              </w:rPr>
            </w:pPr>
          </w:p>
        </w:tc>
        <w:tc>
          <w:tcPr>
            <w:tcW w:w="555" w:type="pct"/>
            <w:vMerge w:val="restart"/>
            <w:tcBorders>
              <w:top w:val="single" w:color="auto" w:sz="4" w:space="0"/>
              <w:bottom w:val="single" w:color="auto" w:sz="4" w:space="0"/>
            </w:tcBorders>
            <w:shd w:val="clear" w:color="auto" w:fill="auto"/>
            <w:vAlign w:val="center"/>
          </w:tcPr>
          <w:p>
            <w:pPr>
              <w:widowControl/>
              <w:jc w:val="center"/>
              <w:rPr>
                <w:rFonts w:hint="default" w:ascii="Times New Roman" w:hAnsi="Times New Roman" w:cs="Times New Roman"/>
                <w:b w:val="0"/>
                <w:bCs/>
                <w:kern w:val="0"/>
                <w:sz w:val="21"/>
                <w:szCs w:val="21"/>
                <w:highlight w:val="none"/>
              </w:rPr>
            </w:pPr>
            <w:r>
              <w:rPr>
                <w:rFonts w:hint="default" w:ascii="Times New Roman" w:hAnsi="Times New Roman" w:cs="Times New Roman"/>
                <w:b w:val="0"/>
                <w:bCs/>
                <w:kern w:val="0"/>
                <w:sz w:val="21"/>
                <w:szCs w:val="21"/>
                <w:highlight w:val="none"/>
              </w:rPr>
              <w:t>小计</w:t>
            </w:r>
          </w:p>
        </w:tc>
        <w:tc>
          <w:tcPr>
            <w:tcW w:w="557" w:type="pct"/>
            <w:vMerge w:val="restart"/>
            <w:tcBorders>
              <w:top w:val="single" w:color="auto" w:sz="4" w:space="0"/>
              <w:bottom w:val="single" w:color="auto" w:sz="4" w:space="0"/>
            </w:tcBorders>
            <w:shd w:val="clear" w:color="auto" w:fill="auto"/>
            <w:vAlign w:val="center"/>
          </w:tcPr>
          <w:p>
            <w:pPr>
              <w:widowControl/>
              <w:jc w:val="center"/>
              <w:rPr>
                <w:rFonts w:hint="default" w:ascii="Times New Roman" w:hAnsi="Times New Roman" w:cs="Times New Roman"/>
                <w:b w:val="0"/>
                <w:bCs/>
                <w:kern w:val="0"/>
                <w:sz w:val="21"/>
                <w:szCs w:val="21"/>
                <w:highlight w:val="none"/>
              </w:rPr>
            </w:pPr>
            <w:r>
              <w:rPr>
                <w:rFonts w:hint="default" w:ascii="Times New Roman" w:hAnsi="Times New Roman" w:cs="Times New Roman"/>
                <w:b w:val="0"/>
                <w:bCs/>
                <w:kern w:val="0"/>
                <w:sz w:val="21"/>
                <w:szCs w:val="21"/>
                <w:highlight w:val="none"/>
              </w:rPr>
              <w:t xml:space="preserve">基本支出  </w:t>
            </w:r>
          </w:p>
        </w:tc>
        <w:tc>
          <w:tcPr>
            <w:tcW w:w="560" w:type="pct"/>
            <w:vMerge w:val="restart"/>
            <w:tcBorders>
              <w:top w:val="single" w:color="auto" w:sz="4" w:space="0"/>
              <w:bottom w:val="single" w:color="auto" w:sz="4" w:space="0"/>
            </w:tcBorders>
            <w:shd w:val="clear" w:color="auto" w:fill="auto"/>
            <w:vAlign w:val="center"/>
          </w:tcPr>
          <w:p>
            <w:pPr>
              <w:widowControl/>
              <w:jc w:val="center"/>
              <w:rPr>
                <w:rFonts w:hint="default" w:ascii="Times New Roman" w:hAnsi="Times New Roman" w:cs="Times New Roman"/>
                <w:b w:val="0"/>
                <w:bCs/>
                <w:kern w:val="0"/>
                <w:sz w:val="21"/>
                <w:szCs w:val="21"/>
                <w:highlight w:val="none"/>
              </w:rPr>
            </w:pPr>
            <w:r>
              <w:rPr>
                <w:rFonts w:hint="default" w:ascii="Times New Roman" w:hAnsi="Times New Roman" w:cs="Times New Roman"/>
                <w:b w:val="0"/>
                <w:bCs/>
                <w:kern w:val="0"/>
                <w:sz w:val="21"/>
                <w:szCs w:val="21"/>
                <w:highlight w:val="none"/>
              </w:rPr>
              <w:t>项目支出</w:t>
            </w:r>
          </w:p>
        </w:tc>
        <w:tc>
          <w:tcPr>
            <w:tcW w:w="561" w:type="pct"/>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b w:val="0"/>
                <w:bCs/>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273"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55"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60"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61" w:type="pct"/>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37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273"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55"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60"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561" w:type="pct"/>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栏次</w:t>
            </w:r>
          </w:p>
        </w:tc>
        <w:tc>
          <w:tcPr>
            <w:tcW w:w="557" w:type="pct"/>
            <w:tcBorders>
              <w:top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1</w:t>
            </w:r>
          </w:p>
        </w:tc>
        <w:tc>
          <w:tcPr>
            <w:tcW w:w="557" w:type="pct"/>
            <w:tcBorders>
              <w:top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2</w:t>
            </w:r>
          </w:p>
        </w:tc>
        <w:tc>
          <w:tcPr>
            <w:tcW w:w="555" w:type="pct"/>
            <w:tcBorders>
              <w:top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3</w:t>
            </w:r>
          </w:p>
        </w:tc>
        <w:tc>
          <w:tcPr>
            <w:tcW w:w="557" w:type="pct"/>
            <w:tcBorders>
              <w:top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4</w:t>
            </w:r>
          </w:p>
        </w:tc>
        <w:tc>
          <w:tcPr>
            <w:tcW w:w="560" w:type="pct"/>
            <w:tcBorders>
              <w:top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5</w:t>
            </w:r>
          </w:p>
        </w:tc>
        <w:tc>
          <w:tcPr>
            <w:tcW w:w="561" w:type="pct"/>
            <w:tcBorders>
              <w:top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合计</w:t>
            </w:r>
          </w:p>
        </w:tc>
        <w:tc>
          <w:tcPr>
            <w:tcW w:w="557" w:type="pct"/>
            <w:shd w:val="clear" w:color="auto" w:fill="auto"/>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0</w:t>
            </w:r>
          </w:p>
        </w:tc>
        <w:tc>
          <w:tcPr>
            <w:tcW w:w="557" w:type="pct"/>
            <w:shd w:val="clear" w:color="auto" w:fill="auto"/>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kern w:val="0"/>
                <w:sz w:val="21"/>
                <w:szCs w:val="21"/>
                <w:highlight w:val="none"/>
              </w:rPr>
              <w:t>　</w:t>
            </w:r>
            <w:r>
              <w:rPr>
                <w:rFonts w:hint="default" w:ascii="Times New Roman" w:hAnsi="Times New Roman" w:cs="Times New Roman"/>
                <w:kern w:val="0"/>
                <w:sz w:val="21"/>
                <w:szCs w:val="21"/>
                <w:highlight w:val="none"/>
                <w:lang w:val="en-US" w:eastAsia="zh-CN"/>
              </w:rPr>
              <w:t>0</w:t>
            </w:r>
          </w:p>
        </w:tc>
        <w:tc>
          <w:tcPr>
            <w:tcW w:w="555" w:type="pct"/>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lang w:val="en-US" w:eastAsia="zh-CN"/>
              </w:rPr>
              <w:t>0</w:t>
            </w:r>
            <w:r>
              <w:rPr>
                <w:rFonts w:hint="default" w:ascii="Times New Roman" w:hAnsi="Times New Roman" w:cs="Times New Roman"/>
                <w:kern w:val="0"/>
                <w:sz w:val="21"/>
                <w:szCs w:val="21"/>
                <w:highlight w:val="none"/>
              </w:rPr>
              <w:t>　</w:t>
            </w:r>
          </w:p>
        </w:tc>
        <w:tc>
          <w:tcPr>
            <w:tcW w:w="557" w:type="pct"/>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lang w:val="en-US" w:eastAsia="zh-CN"/>
              </w:rPr>
              <w:t>0</w:t>
            </w:r>
            <w:r>
              <w:rPr>
                <w:rFonts w:hint="default" w:ascii="Times New Roman" w:hAnsi="Times New Roman" w:cs="Times New Roman"/>
                <w:kern w:val="0"/>
                <w:sz w:val="21"/>
                <w:szCs w:val="21"/>
                <w:highlight w:val="none"/>
              </w:rPr>
              <w:t>　</w:t>
            </w:r>
          </w:p>
        </w:tc>
        <w:tc>
          <w:tcPr>
            <w:tcW w:w="560" w:type="pct"/>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lang w:val="en-US" w:eastAsia="zh-CN"/>
              </w:rPr>
              <w:t>0</w:t>
            </w:r>
            <w:r>
              <w:rPr>
                <w:rFonts w:hint="default" w:ascii="Times New Roman" w:hAnsi="Times New Roman" w:cs="Times New Roman"/>
                <w:kern w:val="0"/>
                <w:sz w:val="21"/>
                <w:szCs w:val="21"/>
                <w:highlight w:val="none"/>
              </w:rPr>
              <w:t>　</w:t>
            </w:r>
          </w:p>
        </w:tc>
        <w:tc>
          <w:tcPr>
            <w:tcW w:w="561" w:type="pct"/>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lang w:val="en-US" w:eastAsia="zh-CN"/>
              </w:rPr>
              <w:t>0</w:t>
            </w:r>
            <w:r>
              <w:rPr>
                <w:rFonts w:hint="default" w:ascii="Times New Roman" w:hAnsi="Times New Roman" w:cs="Times New Roman"/>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273" w:type="pct"/>
            <w:shd w:val="clear" w:color="auto" w:fill="auto"/>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eastAsia="zh-CN"/>
              </w:rPr>
              <w:t>无</w:t>
            </w:r>
          </w:p>
        </w:tc>
        <w:tc>
          <w:tcPr>
            <w:tcW w:w="557" w:type="pct"/>
            <w:shd w:val="clear" w:color="auto" w:fill="auto"/>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0</w:t>
            </w:r>
          </w:p>
        </w:tc>
        <w:tc>
          <w:tcPr>
            <w:tcW w:w="557" w:type="pct"/>
            <w:shd w:val="clear" w:color="auto" w:fill="auto"/>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0</w:t>
            </w:r>
          </w:p>
        </w:tc>
        <w:tc>
          <w:tcPr>
            <w:tcW w:w="555" w:type="pct"/>
            <w:shd w:val="clear" w:color="auto" w:fill="auto"/>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0</w:t>
            </w:r>
          </w:p>
        </w:tc>
        <w:tc>
          <w:tcPr>
            <w:tcW w:w="557" w:type="pct"/>
            <w:shd w:val="clear" w:color="auto" w:fill="auto"/>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0</w:t>
            </w:r>
          </w:p>
        </w:tc>
        <w:tc>
          <w:tcPr>
            <w:tcW w:w="560" w:type="pct"/>
            <w:shd w:val="clear" w:color="auto" w:fill="auto"/>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0</w:t>
            </w:r>
          </w:p>
        </w:tc>
        <w:tc>
          <w:tcPr>
            <w:tcW w:w="561" w:type="pct"/>
            <w:shd w:val="clear" w:color="auto" w:fill="auto"/>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273"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55"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60"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61"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273"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55"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60"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61"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273"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55"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60"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61"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273"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55"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60"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61"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273"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55"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60"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561" w:type="pct"/>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bl>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注：本表反映部门本年度政府性基金预算财政拨款收入、支出及结转和结余情况</w:t>
      </w:r>
    </w:p>
    <w:p>
      <w:pPr>
        <w:widowControl/>
        <w:jc w:val="left"/>
        <w:rPr>
          <w:rFonts w:cs="Times New Roman" w:asciiTheme="minorEastAsia" w:hAnsiTheme="minorEastAsia"/>
          <w:kern w:val="0"/>
          <w:szCs w:val="21"/>
          <w:highlight w:val="none"/>
        </w:rPr>
      </w:pPr>
      <w:r>
        <w:rPr>
          <w:rFonts w:hint="eastAsia" w:cs="Times New Roman" w:asciiTheme="minorEastAsia" w:hAnsiTheme="minorEastAsia"/>
          <w:kern w:val="0"/>
          <w:szCs w:val="21"/>
          <w:highlight w:val="none"/>
        </w:rPr>
        <w:t>说明：本单位没有政府性基金收入，也没有使用政府性基金安排的支出，故本表无数据。</w:t>
      </w:r>
      <w:r>
        <w:rPr>
          <w:rFonts w:cs="Times New Roman" w:asciiTheme="minorEastAsia" w:hAnsiTheme="minorEastAsia"/>
          <w:kern w:val="0"/>
          <w:szCs w:val="21"/>
          <w:highlight w:val="none"/>
        </w:rPr>
        <w:t>。</w:t>
      </w:r>
    </w:p>
    <w:p>
      <w:pPr>
        <w:widowControl/>
        <w:jc w:val="left"/>
        <w:rPr>
          <w:rFonts w:asciiTheme="minorEastAsia" w:hAnsiTheme="minorEastAsia"/>
          <w:szCs w:val="21"/>
          <w:highlight w:val="none"/>
        </w:rPr>
      </w:pPr>
      <w:r>
        <w:rPr>
          <w:rFonts w:asciiTheme="minorEastAsia" w:hAnsiTheme="minorEastAsia"/>
          <w:szCs w:val="21"/>
          <w:highlight w:val="none"/>
        </w:rPr>
        <w:br w:type="page"/>
      </w:r>
    </w:p>
    <w:tbl>
      <w:tblPr>
        <w:tblStyle w:val="11"/>
        <w:tblW w:w="4918" w:type="pct"/>
        <w:tblInd w:w="114" w:type="dxa"/>
        <w:tblLayout w:type="autofit"/>
        <w:tblCellMar>
          <w:top w:w="0" w:type="dxa"/>
          <w:left w:w="108" w:type="dxa"/>
          <w:bottom w:w="0" w:type="dxa"/>
          <w:right w:w="108" w:type="dxa"/>
        </w:tblCellMar>
      </w:tblPr>
      <w:tblGrid>
        <w:gridCol w:w="1327"/>
        <w:gridCol w:w="4162"/>
        <w:gridCol w:w="3486"/>
        <w:gridCol w:w="3155"/>
        <w:gridCol w:w="3228"/>
      </w:tblGrid>
      <w:tr>
        <w:tblPrEx>
          <w:tblCellMar>
            <w:top w:w="0" w:type="dxa"/>
            <w:left w:w="108" w:type="dxa"/>
            <w:bottom w:w="0" w:type="dxa"/>
            <w:right w:w="108" w:type="dxa"/>
          </w:tblCellMar>
        </w:tblPrEx>
        <w:trPr>
          <w:trHeight w:val="720" w:hRule="atLeast"/>
        </w:trPr>
        <w:tc>
          <w:tcPr>
            <w:tcW w:w="5000" w:type="pct"/>
            <w:gridSpan w:val="5"/>
            <w:tcBorders>
              <w:top w:val="nil"/>
              <w:left w:val="nil"/>
              <w:bottom w:val="nil"/>
              <w:right w:val="nil"/>
            </w:tcBorders>
            <w:shd w:val="clear" w:color="000000" w:fill="FFFFFF"/>
            <w:vAlign w:val="center"/>
          </w:tcPr>
          <w:p>
            <w:pPr>
              <w:widowControl/>
              <w:jc w:val="center"/>
              <w:rPr>
                <w:rFonts w:cs="宋体" w:asciiTheme="minorEastAsia" w:hAnsiTheme="minorEastAsia"/>
                <w:kern w:val="0"/>
                <w:sz w:val="32"/>
                <w:szCs w:val="32"/>
                <w:highlight w:val="none"/>
              </w:rPr>
            </w:pPr>
            <w:r>
              <w:rPr>
                <w:rFonts w:hint="eastAsia" w:cs="宋体" w:asciiTheme="minorEastAsia" w:hAnsiTheme="minorEastAsia"/>
                <w:kern w:val="0"/>
                <w:sz w:val="32"/>
                <w:szCs w:val="32"/>
                <w:highlight w:val="none"/>
              </w:rPr>
              <w:t>国有资本经营预算财政拨款支出决算表</w:t>
            </w:r>
          </w:p>
        </w:tc>
      </w:tr>
      <w:tr>
        <w:tblPrEx>
          <w:tblCellMar>
            <w:top w:w="0" w:type="dxa"/>
            <w:left w:w="108" w:type="dxa"/>
            <w:bottom w:w="0" w:type="dxa"/>
            <w:right w:w="108" w:type="dxa"/>
          </w:tblCellMar>
        </w:tblPrEx>
        <w:trPr>
          <w:trHeight w:val="285" w:hRule="atLeast"/>
        </w:trPr>
        <w:tc>
          <w:tcPr>
            <w:tcW w:w="1787" w:type="pct"/>
            <w:gridSpan w:val="2"/>
            <w:tcBorders>
              <w:top w:val="nil"/>
              <w:left w:val="nil"/>
              <w:bottom w:val="nil"/>
              <w:right w:val="nil"/>
            </w:tcBorders>
            <w:shd w:val="clear" w:color="000000" w:fill="FFFFFF"/>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135" w:type="pct"/>
            <w:tcBorders>
              <w:top w:val="nil"/>
              <w:left w:val="nil"/>
              <w:bottom w:val="nil"/>
              <w:right w:val="nil"/>
            </w:tcBorders>
            <w:shd w:val="clear" w:color="000000" w:fill="FFFFFF"/>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27" w:type="pct"/>
            <w:tcBorders>
              <w:top w:val="nil"/>
              <w:left w:val="nil"/>
              <w:bottom w:val="nil"/>
              <w:right w:val="nil"/>
            </w:tcBorders>
            <w:shd w:val="clear" w:color="000000" w:fill="FFFFFF"/>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4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公开09表</w:t>
            </w:r>
          </w:p>
        </w:tc>
      </w:tr>
      <w:tr>
        <w:tblPrEx>
          <w:tblCellMar>
            <w:top w:w="0" w:type="dxa"/>
            <w:left w:w="108" w:type="dxa"/>
            <w:bottom w:w="0" w:type="dxa"/>
            <w:right w:w="108" w:type="dxa"/>
          </w:tblCellMar>
        </w:tblPrEx>
        <w:trPr>
          <w:trHeight w:val="285" w:hRule="atLeast"/>
        </w:trPr>
        <w:tc>
          <w:tcPr>
            <w:tcW w:w="1787" w:type="pct"/>
            <w:gridSpan w:val="2"/>
            <w:tcBorders>
              <w:top w:val="nil"/>
              <w:left w:val="nil"/>
              <w:bottom w:val="nil"/>
              <w:right w:val="nil"/>
            </w:tcBorders>
            <w:shd w:val="clear" w:color="000000" w:fill="FFFFFF"/>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color w:val="000000"/>
                <w:kern w:val="0"/>
                <w:sz w:val="21"/>
                <w:szCs w:val="21"/>
                <w:highlight w:val="none"/>
              </w:rPr>
              <w:t>部门：中共祁阳市网络安全和信息化委员会办公室</w:t>
            </w:r>
          </w:p>
        </w:tc>
        <w:tc>
          <w:tcPr>
            <w:tcW w:w="1135" w:type="pct"/>
            <w:tcBorders>
              <w:top w:val="nil"/>
              <w:left w:val="nil"/>
              <w:bottom w:val="single" w:color="auto" w:sz="8" w:space="0"/>
              <w:right w:val="nil"/>
            </w:tcBorders>
            <w:shd w:val="clear" w:color="000000" w:fill="FFFFFF"/>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27" w:type="pct"/>
            <w:tcBorders>
              <w:top w:val="nil"/>
              <w:left w:val="nil"/>
              <w:bottom w:val="single" w:color="auto" w:sz="8" w:space="0"/>
              <w:right w:val="nil"/>
            </w:tcBorders>
            <w:shd w:val="clear" w:color="000000" w:fill="FFFFFF"/>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4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单位：万元</w:t>
            </w:r>
          </w:p>
        </w:tc>
      </w:tr>
      <w:tr>
        <w:tblPrEx>
          <w:tblCellMar>
            <w:top w:w="0" w:type="dxa"/>
            <w:left w:w="108" w:type="dxa"/>
            <w:bottom w:w="0" w:type="dxa"/>
            <w:right w:w="108" w:type="dxa"/>
          </w:tblCellMar>
        </w:tblPrEx>
        <w:trPr>
          <w:trHeight w:val="402" w:hRule="atLeast"/>
        </w:trPr>
        <w:tc>
          <w:tcPr>
            <w:tcW w:w="1787" w:type="pct"/>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xml:space="preserve">项 </w:t>
            </w:r>
            <w:r>
              <w:rPr>
                <w:rFonts w:hint="default" w:ascii="Times New Roman" w:hAnsi="Times New Roman" w:cs="Times New Roman"/>
                <w:color w:val="000000"/>
                <w:kern w:val="0"/>
                <w:sz w:val="21"/>
                <w:szCs w:val="21"/>
                <w:highlight w:val="none"/>
              </w:rPr>
              <w:t xml:space="preserve">   </w:t>
            </w:r>
            <w:r>
              <w:rPr>
                <w:rFonts w:hint="default" w:ascii="Times New Roman" w:hAnsi="Times New Roman" w:cs="Times New Roman"/>
                <w:kern w:val="0"/>
                <w:sz w:val="21"/>
                <w:szCs w:val="21"/>
                <w:highlight w:val="none"/>
              </w:rPr>
              <w:t>目</w:t>
            </w:r>
          </w:p>
        </w:tc>
        <w:tc>
          <w:tcPr>
            <w:tcW w:w="3212" w:type="pct"/>
            <w:gridSpan w:val="3"/>
            <w:tcBorders>
              <w:top w:val="single" w:color="auto" w:sz="8"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本年支出</w:t>
            </w:r>
          </w:p>
        </w:tc>
      </w:tr>
      <w:tr>
        <w:tblPrEx>
          <w:tblCellMar>
            <w:top w:w="0" w:type="dxa"/>
            <w:left w:w="108" w:type="dxa"/>
            <w:bottom w:w="0" w:type="dxa"/>
            <w:right w:w="108" w:type="dxa"/>
          </w:tblCellMar>
        </w:tblPrEx>
        <w:trPr>
          <w:trHeight w:val="402" w:hRule="atLeast"/>
        </w:trPr>
        <w:tc>
          <w:tcPr>
            <w:tcW w:w="432"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功能分类科目编码</w:t>
            </w:r>
          </w:p>
        </w:tc>
        <w:tc>
          <w:tcPr>
            <w:tcW w:w="135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科目名称</w:t>
            </w:r>
          </w:p>
        </w:tc>
        <w:tc>
          <w:tcPr>
            <w:tcW w:w="1135"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合计</w:t>
            </w:r>
          </w:p>
        </w:tc>
        <w:tc>
          <w:tcPr>
            <w:tcW w:w="1027"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xml:space="preserve">基本支出  </w:t>
            </w:r>
          </w:p>
        </w:tc>
        <w:tc>
          <w:tcPr>
            <w:tcW w:w="104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项目支出</w:t>
            </w:r>
          </w:p>
        </w:tc>
      </w:tr>
      <w:tr>
        <w:tblPrEx>
          <w:tblCellMar>
            <w:top w:w="0" w:type="dxa"/>
            <w:left w:w="108" w:type="dxa"/>
            <w:bottom w:w="0" w:type="dxa"/>
            <w:right w:w="108" w:type="dxa"/>
          </w:tblCellMar>
        </w:tblPrEx>
        <w:trPr>
          <w:trHeight w:val="402" w:hRule="atLeast"/>
        </w:trPr>
        <w:tc>
          <w:tcPr>
            <w:tcW w:w="432"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355"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135"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027"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049"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r>
      <w:tr>
        <w:trPr>
          <w:trHeight w:val="402" w:hRule="atLeast"/>
        </w:trPr>
        <w:tc>
          <w:tcPr>
            <w:tcW w:w="432"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355"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135"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027"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049"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402" w:hRule="atLeast"/>
        </w:trPr>
        <w:tc>
          <w:tcPr>
            <w:tcW w:w="1787"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栏次</w:t>
            </w:r>
          </w:p>
        </w:tc>
        <w:tc>
          <w:tcPr>
            <w:tcW w:w="1135"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1</w:t>
            </w:r>
          </w:p>
        </w:tc>
        <w:tc>
          <w:tcPr>
            <w:tcW w:w="102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2</w:t>
            </w:r>
          </w:p>
        </w:tc>
        <w:tc>
          <w:tcPr>
            <w:tcW w:w="1049"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3</w:t>
            </w:r>
          </w:p>
        </w:tc>
      </w:tr>
      <w:tr>
        <w:tblPrEx>
          <w:tblCellMar>
            <w:top w:w="0" w:type="dxa"/>
            <w:left w:w="108" w:type="dxa"/>
            <w:bottom w:w="0" w:type="dxa"/>
            <w:right w:w="108" w:type="dxa"/>
          </w:tblCellMar>
        </w:tblPrEx>
        <w:trPr>
          <w:trHeight w:val="402" w:hRule="atLeast"/>
        </w:trPr>
        <w:tc>
          <w:tcPr>
            <w:tcW w:w="1787" w:type="pct"/>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合计</w:t>
            </w:r>
          </w:p>
        </w:tc>
        <w:tc>
          <w:tcPr>
            <w:tcW w:w="1135"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lang w:val="en-US" w:eastAsia="zh-CN"/>
              </w:rPr>
              <w:t>0</w:t>
            </w:r>
          </w:p>
        </w:tc>
        <w:tc>
          <w:tcPr>
            <w:tcW w:w="102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lang w:val="en-US" w:eastAsia="zh-CN"/>
              </w:rPr>
              <w:t>0</w:t>
            </w:r>
            <w:r>
              <w:rPr>
                <w:rFonts w:hint="default" w:ascii="Times New Roman" w:hAnsi="Times New Roman" w:cs="Times New Roman"/>
                <w:kern w:val="0"/>
                <w:sz w:val="21"/>
                <w:szCs w:val="21"/>
                <w:highlight w:val="none"/>
              </w:rPr>
              <w:t>　</w:t>
            </w:r>
          </w:p>
        </w:tc>
        <w:tc>
          <w:tcPr>
            <w:tcW w:w="1049"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lang w:val="en-US" w:eastAsia="zh-CN"/>
              </w:rPr>
              <w:t>0</w:t>
            </w: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402" w:hRule="atLeast"/>
        </w:trPr>
        <w:tc>
          <w:tcPr>
            <w:tcW w:w="432"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355"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eastAsia="zh-CN"/>
              </w:rPr>
              <w:t>无</w:t>
            </w:r>
          </w:p>
        </w:tc>
        <w:tc>
          <w:tcPr>
            <w:tcW w:w="1135"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0</w:t>
            </w:r>
          </w:p>
        </w:tc>
        <w:tc>
          <w:tcPr>
            <w:tcW w:w="102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0</w:t>
            </w:r>
          </w:p>
        </w:tc>
        <w:tc>
          <w:tcPr>
            <w:tcW w:w="1049"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0</w:t>
            </w:r>
          </w:p>
        </w:tc>
      </w:tr>
      <w:tr>
        <w:tblPrEx>
          <w:tblCellMar>
            <w:top w:w="0" w:type="dxa"/>
            <w:left w:w="108" w:type="dxa"/>
            <w:bottom w:w="0" w:type="dxa"/>
            <w:right w:w="108" w:type="dxa"/>
          </w:tblCellMar>
        </w:tblPrEx>
        <w:trPr>
          <w:trHeight w:val="402" w:hRule="atLeast"/>
        </w:trPr>
        <w:tc>
          <w:tcPr>
            <w:tcW w:w="432"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355"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135"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27"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49"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402" w:hRule="atLeast"/>
        </w:trPr>
        <w:tc>
          <w:tcPr>
            <w:tcW w:w="432"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355"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135"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27"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49"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rPr>
          <w:trHeight w:val="402" w:hRule="atLeast"/>
        </w:trPr>
        <w:tc>
          <w:tcPr>
            <w:tcW w:w="432"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355"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135"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27"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49"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rPr>
          <w:trHeight w:val="402" w:hRule="atLeast"/>
        </w:trPr>
        <w:tc>
          <w:tcPr>
            <w:tcW w:w="432"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355"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135"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27"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49"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rPr>
          <w:trHeight w:val="402" w:hRule="atLeast"/>
        </w:trPr>
        <w:tc>
          <w:tcPr>
            <w:tcW w:w="432" w:type="pct"/>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355" w:type="pct"/>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135" w:type="pct"/>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27" w:type="pct"/>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49" w:type="pct"/>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rPr>
          <w:trHeight w:val="720" w:hRule="atLeast"/>
        </w:trPr>
        <w:tc>
          <w:tcPr>
            <w:tcW w:w="5000" w:type="pct"/>
            <w:gridSpan w:val="5"/>
            <w:tcBorders>
              <w:top w:val="single" w:color="auto" w:sz="8" w:space="0"/>
              <w:left w:val="nil"/>
              <w:bottom w:val="nil"/>
              <w:right w:val="nil"/>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注：本表反映部门本年度国有资本经营预算财政拨款支出情况。</w:t>
            </w:r>
          </w:p>
          <w:p>
            <w:pPr>
              <w:widowControl/>
              <w:ind w:firstLine="420" w:firstLineChars="200"/>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本单位无国有资本经营预算财政拨款支出，故本表无数据</w:t>
            </w:r>
          </w:p>
        </w:tc>
      </w:tr>
    </w:tbl>
    <w:p>
      <w:pPr>
        <w:pStyle w:val="15"/>
        <w:rPr>
          <w:rFonts w:asciiTheme="minorEastAsia" w:hAnsiTheme="minorEastAsia" w:eastAsiaTheme="minorEastAsia"/>
          <w:sz w:val="72"/>
          <w:szCs w:val="72"/>
          <w:highlight w:val="none"/>
        </w:rPr>
        <w:sectPr>
          <w:pgSz w:w="16838" w:h="11906" w:orient="landscape"/>
          <w:pgMar w:top="720" w:right="720" w:bottom="720" w:left="720" w:header="851" w:footer="992" w:gutter="0"/>
          <w:cols w:space="425" w:num="1"/>
          <w:docGrid w:type="lines" w:linePitch="312" w:charSpace="0"/>
        </w:sectPr>
      </w:pPr>
    </w:p>
    <w:p>
      <w:pPr>
        <w:pStyle w:val="15"/>
        <w:rPr>
          <w:rFonts w:asciiTheme="minorEastAsia" w:hAnsiTheme="minorEastAsia" w:eastAsiaTheme="minorEastAsia"/>
          <w:sz w:val="72"/>
          <w:szCs w:val="72"/>
          <w:highlight w:val="none"/>
        </w:rPr>
      </w:pPr>
    </w:p>
    <w:p>
      <w:pPr>
        <w:pStyle w:val="15"/>
        <w:rPr>
          <w:rFonts w:asciiTheme="minorEastAsia" w:hAnsiTheme="minorEastAsia" w:eastAsiaTheme="minorEastAsia"/>
          <w:sz w:val="72"/>
          <w:szCs w:val="72"/>
          <w:highlight w:val="none"/>
        </w:rPr>
      </w:pPr>
    </w:p>
    <w:p>
      <w:pPr>
        <w:pStyle w:val="15"/>
        <w:rPr>
          <w:rFonts w:asciiTheme="minorEastAsia" w:hAnsiTheme="minorEastAsia" w:eastAsiaTheme="minorEastAsia"/>
          <w:sz w:val="72"/>
          <w:szCs w:val="72"/>
          <w:highlight w:val="none"/>
        </w:rPr>
      </w:pPr>
    </w:p>
    <w:p>
      <w:pPr>
        <w:pStyle w:val="15"/>
        <w:rPr>
          <w:rFonts w:asciiTheme="minorEastAsia" w:hAnsiTheme="minorEastAsia" w:eastAsiaTheme="minorEastAsia"/>
          <w:sz w:val="72"/>
          <w:szCs w:val="72"/>
          <w:highlight w:val="none"/>
        </w:rPr>
      </w:pPr>
    </w:p>
    <w:p>
      <w:pPr>
        <w:pStyle w:val="15"/>
        <w:jc w:val="center"/>
        <w:rPr>
          <w:rFonts w:asciiTheme="minorEastAsia" w:hAnsiTheme="minorEastAsia" w:eastAsiaTheme="minorEastAsia"/>
          <w:sz w:val="72"/>
          <w:szCs w:val="72"/>
          <w:highlight w:val="none"/>
        </w:rPr>
      </w:pPr>
    </w:p>
    <w:p>
      <w:pPr>
        <w:pStyle w:val="15"/>
        <w:jc w:val="center"/>
        <w:rPr>
          <w:rFonts w:asciiTheme="minorEastAsia" w:hAnsiTheme="minorEastAsia" w:eastAsiaTheme="minorEastAsia"/>
          <w:sz w:val="72"/>
          <w:szCs w:val="72"/>
          <w:highlight w:val="none"/>
        </w:rPr>
      </w:pPr>
    </w:p>
    <w:p>
      <w:pPr>
        <w:pStyle w:val="15"/>
        <w:jc w:val="center"/>
        <w:rPr>
          <w:rFonts w:asciiTheme="minorEastAsia" w:hAnsiTheme="minorEastAsia" w:eastAsiaTheme="minorEastAsia"/>
          <w:b w:val="0"/>
          <w:bCs w:val="0"/>
          <w:sz w:val="72"/>
          <w:szCs w:val="72"/>
          <w:highlight w:val="none"/>
        </w:rPr>
      </w:pPr>
      <w:r>
        <w:rPr>
          <w:rFonts w:hint="eastAsia" w:asciiTheme="minorEastAsia" w:hAnsiTheme="minorEastAsia" w:eastAsiaTheme="minorEastAsia"/>
          <w:b w:val="0"/>
          <w:bCs w:val="0"/>
          <w:sz w:val="72"/>
          <w:szCs w:val="72"/>
          <w:highlight w:val="none"/>
        </w:rPr>
        <w:t>第三部分</w:t>
      </w:r>
    </w:p>
    <w:p>
      <w:pPr>
        <w:pStyle w:val="15"/>
        <w:jc w:val="center"/>
        <w:rPr>
          <w:rFonts w:asciiTheme="minorEastAsia" w:hAnsiTheme="minorEastAsia" w:eastAsiaTheme="minorEastAsia"/>
          <w:b w:val="0"/>
          <w:bCs w:val="0"/>
          <w:sz w:val="72"/>
          <w:szCs w:val="72"/>
          <w:highlight w:val="none"/>
        </w:rPr>
      </w:pPr>
    </w:p>
    <w:p>
      <w:pPr>
        <w:pStyle w:val="15"/>
        <w:jc w:val="center"/>
        <w:rPr>
          <w:rFonts w:asciiTheme="minorEastAsia" w:hAnsiTheme="minorEastAsia" w:eastAsiaTheme="minorEastAsia"/>
          <w:b w:val="0"/>
          <w:bCs w:val="0"/>
          <w:sz w:val="72"/>
          <w:szCs w:val="72"/>
          <w:highlight w:val="none"/>
        </w:rPr>
      </w:pPr>
      <w:r>
        <w:rPr>
          <w:rFonts w:asciiTheme="minorEastAsia" w:hAnsiTheme="minorEastAsia" w:eastAsiaTheme="minorEastAsia"/>
          <w:b w:val="0"/>
          <w:bCs w:val="0"/>
          <w:sz w:val="72"/>
          <w:szCs w:val="72"/>
          <w:highlight w:val="none"/>
        </w:rPr>
        <w:t>20</w:t>
      </w:r>
      <w:r>
        <w:rPr>
          <w:rFonts w:hint="eastAsia" w:asciiTheme="minorEastAsia" w:hAnsiTheme="minorEastAsia" w:eastAsiaTheme="minorEastAsia"/>
          <w:b w:val="0"/>
          <w:bCs w:val="0"/>
          <w:sz w:val="72"/>
          <w:szCs w:val="72"/>
          <w:highlight w:val="none"/>
        </w:rPr>
        <w:t>21年度部门决算情况说明</w:t>
      </w:r>
    </w:p>
    <w:p>
      <w:pPr>
        <w:widowControl/>
        <w:jc w:val="left"/>
        <w:rPr>
          <w:rFonts w:asciiTheme="minorEastAsia" w:hAnsiTheme="minorEastAsia" w:eastAsiaTheme="minorEastAsia"/>
          <w:b w:val="0"/>
          <w:bCs w:val="0"/>
          <w:sz w:val="72"/>
          <w:szCs w:val="72"/>
          <w:highlight w:val="none"/>
        </w:rPr>
      </w:pPr>
      <w:r>
        <w:rPr>
          <w:rFonts w:asciiTheme="minorEastAsia" w:hAnsiTheme="minorEastAsia"/>
          <w:b w:val="0"/>
          <w:bCs w:val="0"/>
          <w:sz w:val="72"/>
          <w:szCs w:val="72"/>
          <w:highlight w:val="none"/>
        </w:rPr>
        <w:br w:type="page"/>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一、收入支出决算总体情况说明</w:t>
      </w:r>
    </w:p>
    <w:p>
      <w:pPr>
        <w:pStyle w:val="15"/>
        <w:keepNext w:val="0"/>
        <w:keepLines w:val="0"/>
        <w:pageBreakBefore w:val="0"/>
        <w:kinsoku/>
        <w:wordWrap/>
        <w:overflowPunct/>
        <w:topLinePunct w:val="0"/>
        <w:bidi w:val="0"/>
        <w:snapToGrid/>
        <w:ind w:firstLine="640" w:firstLineChars="200"/>
        <w:textAlignment w:val="auto"/>
        <w:rPr>
          <w:rFonts w:hint="default"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2021年度收</w:t>
      </w:r>
      <w:r>
        <w:rPr>
          <w:rFonts w:hint="eastAsia" w:asciiTheme="minorEastAsia" w:hAnsiTheme="minorEastAsia" w:eastAsiaTheme="minorEastAsia"/>
          <w:sz w:val="32"/>
          <w:szCs w:val="32"/>
          <w:highlight w:val="none"/>
          <w:lang w:eastAsia="zh-CN"/>
        </w:rPr>
        <w:t>入</w:t>
      </w:r>
      <w:r>
        <w:rPr>
          <w:rFonts w:hint="eastAsia" w:asciiTheme="minorEastAsia" w:hAnsiTheme="minorEastAsia" w:eastAsiaTheme="minorEastAsia"/>
          <w:sz w:val="32"/>
          <w:szCs w:val="32"/>
          <w:highlight w:val="none"/>
        </w:rPr>
        <w:t>支</w:t>
      </w:r>
      <w:r>
        <w:rPr>
          <w:rFonts w:hint="eastAsia" w:asciiTheme="minorEastAsia" w:hAnsiTheme="minorEastAsia" w:eastAsiaTheme="minorEastAsia"/>
          <w:sz w:val="32"/>
          <w:szCs w:val="32"/>
          <w:highlight w:val="none"/>
          <w:lang w:eastAsia="zh-CN"/>
        </w:rPr>
        <w:t>出</w:t>
      </w:r>
      <w:r>
        <w:rPr>
          <w:rFonts w:hint="eastAsia" w:asciiTheme="minorEastAsia" w:hAnsiTheme="minorEastAsia" w:eastAsiaTheme="minorEastAsia"/>
          <w:sz w:val="32"/>
          <w:szCs w:val="32"/>
          <w:highlight w:val="none"/>
        </w:rPr>
        <w:t>总计</w:t>
      </w:r>
      <w:r>
        <w:rPr>
          <w:rFonts w:hint="eastAsia" w:asciiTheme="minorEastAsia" w:hAnsiTheme="minorEastAsia" w:eastAsiaTheme="minorEastAsia"/>
          <w:sz w:val="32"/>
          <w:szCs w:val="32"/>
          <w:highlight w:val="none"/>
          <w:lang w:val="en-US" w:eastAsia="zh-CN"/>
        </w:rPr>
        <w:t>181.15</w:t>
      </w:r>
      <w:r>
        <w:rPr>
          <w:rFonts w:hint="eastAsia" w:asciiTheme="minorEastAsia" w:hAnsiTheme="minorEastAsia" w:eastAsiaTheme="minorEastAsia"/>
          <w:sz w:val="32"/>
          <w:szCs w:val="32"/>
          <w:highlight w:val="none"/>
        </w:rPr>
        <w:t>万元。本单位是</w:t>
      </w:r>
      <w:r>
        <w:rPr>
          <w:rFonts w:hint="eastAsia" w:asciiTheme="minorEastAsia" w:hAnsiTheme="minorEastAsia" w:eastAsiaTheme="minorEastAsia"/>
          <w:sz w:val="32"/>
          <w:szCs w:val="32"/>
          <w:highlight w:val="none"/>
          <w:lang w:val="en-US" w:eastAsia="zh-CN"/>
        </w:rPr>
        <w:t>2021年</w:t>
      </w:r>
      <w:r>
        <w:rPr>
          <w:rFonts w:hint="eastAsia" w:asciiTheme="minorEastAsia" w:hAnsiTheme="minorEastAsia" w:eastAsiaTheme="minorEastAsia"/>
          <w:sz w:val="32"/>
          <w:szCs w:val="32"/>
          <w:highlight w:val="none"/>
        </w:rPr>
        <w:t>新独立编制决算的单位</w:t>
      </w:r>
      <w:r>
        <w:rPr>
          <w:rFonts w:hint="eastAsia" w:asciiTheme="minorEastAsia" w:hAnsiTheme="minorEastAsia" w:eastAsiaTheme="minorEastAsia"/>
          <w:sz w:val="32"/>
          <w:szCs w:val="32"/>
          <w:highlight w:val="none"/>
          <w:lang w:val="zh-CN"/>
        </w:rPr>
        <w:t>，无202</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lang w:val="zh-CN"/>
        </w:rPr>
        <w:t>年决算数据，无增减变化对比情况</w:t>
      </w:r>
      <w:r>
        <w:rPr>
          <w:rFonts w:hint="eastAsia" w:asciiTheme="minorEastAsia" w:hAnsiTheme="minorEastAsia" w:eastAsiaTheme="minorEastAsia"/>
          <w:sz w:val="32"/>
          <w:szCs w:val="32"/>
          <w:highlight w:val="none"/>
          <w:lang w:val="en-US" w:eastAsia="zh-CN"/>
        </w:rPr>
        <w:t>。</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二、收入决算情况说明</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2021年度收入合计</w:t>
      </w:r>
      <w:r>
        <w:rPr>
          <w:rFonts w:hint="eastAsia" w:asciiTheme="minorEastAsia" w:hAnsiTheme="minorEastAsia" w:eastAsiaTheme="minorEastAsia"/>
          <w:sz w:val="32"/>
          <w:szCs w:val="32"/>
          <w:highlight w:val="none"/>
          <w:lang w:val="en-US" w:eastAsia="zh-CN"/>
        </w:rPr>
        <w:t>181.15</w:t>
      </w:r>
      <w:r>
        <w:rPr>
          <w:rFonts w:hint="eastAsia" w:asciiTheme="minorEastAsia" w:hAnsiTheme="minorEastAsia" w:eastAsiaTheme="minorEastAsia"/>
          <w:sz w:val="32"/>
          <w:szCs w:val="32"/>
          <w:highlight w:val="none"/>
        </w:rPr>
        <w:t>万元，其中：财政拨款收入</w:t>
      </w:r>
      <w:r>
        <w:rPr>
          <w:rFonts w:hint="eastAsia" w:asciiTheme="minorEastAsia" w:hAnsiTheme="minorEastAsia" w:eastAsiaTheme="minorEastAsia"/>
          <w:sz w:val="32"/>
          <w:szCs w:val="32"/>
          <w:highlight w:val="none"/>
          <w:lang w:val="en-US" w:eastAsia="zh-CN"/>
        </w:rPr>
        <w:t>181.15</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%；上级补助收入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%；事业收入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%；经营收入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%；附属单位上缴收入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%；其他收入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三、支出决算情况说明</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2021年度支出合计</w:t>
      </w:r>
      <w:r>
        <w:rPr>
          <w:rFonts w:hint="eastAsia" w:asciiTheme="minorEastAsia" w:hAnsiTheme="minorEastAsia" w:eastAsiaTheme="minorEastAsia"/>
          <w:sz w:val="32"/>
          <w:szCs w:val="32"/>
          <w:highlight w:val="none"/>
          <w:lang w:val="en-US" w:eastAsia="zh-CN"/>
        </w:rPr>
        <w:t>181.15</w:t>
      </w:r>
      <w:r>
        <w:rPr>
          <w:rFonts w:hint="eastAsia" w:asciiTheme="minorEastAsia" w:hAnsiTheme="minorEastAsia" w:eastAsiaTheme="minorEastAsia"/>
          <w:sz w:val="32"/>
          <w:szCs w:val="32"/>
          <w:highlight w:val="none"/>
        </w:rPr>
        <w:t>万元，其中：基本支出123.35万元，占</w:t>
      </w:r>
      <w:r>
        <w:rPr>
          <w:rFonts w:hint="eastAsia" w:asciiTheme="minorEastAsia" w:hAnsiTheme="minorEastAsia" w:eastAsiaTheme="minorEastAsia"/>
          <w:sz w:val="32"/>
          <w:szCs w:val="32"/>
          <w:highlight w:val="none"/>
          <w:lang w:val="en-US" w:eastAsia="zh-CN"/>
        </w:rPr>
        <w:t>68.09</w:t>
      </w:r>
      <w:r>
        <w:rPr>
          <w:rFonts w:hint="eastAsia" w:asciiTheme="minorEastAsia" w:hAnsiTheme="minorEastAsia" w:eastAsiaTheme="minorEastAsia"/>
          <w:sz w:val="32"/>
          <w:szCs w:val="32"/>
          <w:highlight w:val="none"/>
        </w:rPr>
        <w:t>%；项目支出57.8万元，占</w:t>
      </w:r>
      <w:r>
        <w:rPr>
          <w:rFonts w:hint="eastAsia" w:asciiTheme="minorEastAsia" w:hAnsiTheme="minorEastAsia" w:eastAsiaTheme="minorEastAsia"/>
          <w:sz w:val="32"/>
          <w:szCs w:val="32"/>
          <w:highlight w:val="none"/>
          <w:lang w:val="en-US" w:eastAsia="zh-CN"/>
        </w:rPr>
        <w:t>31.91</w:t>
      </w:r>
      <w:r>
        <w:rPr>
          <w:rFonts w:hint="eastAsia" w:asciiTheme="minorEastAsia" w:hAnsiTheme="minorEastAsia" w:eastAsiaTheme="minorEastAsia"/>
          <w:sz w:val="32"/>
          <w:szCs w:val="32"/>
          <w:highlight w:val="none"/>
        </w:rPr>
        <w:t>%；上缴上级支出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%；经营支出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%；对附属单位补助支出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四、财政拨款收入支出决算总体情况说明</w:t>
      </w:r>
    </w:p>
    <w:p>
      <w:pPr>
        <w:pStyle w:val="15"/>
        <w:keepNext w:val="0"/>
        <w:keepLines w:val="0"/>
        <w:pageBreakBefore w:val="0"/>
        <w:kinsoku/>
        <w:wordWrap/>
        <w:overflowPunct/>
        <w:topLinePunct w:val="0"/>
        <w:bidi w:val="0"/>
        <w:snapToGrid/>
        <w:ind w:firstLine="640" w:firstLineChars="200"/>
        <w:textAlignment w:val="auto"/>
        <w:rPr>
          <w:rFonts w:hint="default"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 xml:space="preserve"> 2021年度财政拨款收</w:t>
      </w:r>
      <w:r>
        <w:rPr>
          <w:rFonts w:hint="eastAsia" w:asciiTheme="minorEastAsia" w:hAnsiTheme="minorEastAsia" w:eastAsiaTheme="minorEastAsia"/>
          <w:sz w:val="32"/>
          <w:szCs w:val="32"/>
          <w:highlight w:val="none"/>
          <w:lang w:eastAsia="zh-CN"/>
        </w:rPr>
        <w:t>入、</w:t>
      </w:r>
      <w:r>
        <w:rPr>
          <w:rFonts w:hint="eastAsia" w:asciiTheme="minorEastAsia" w:hAnsiTheme="minorEastAsia" w:eastAsiaTheme="minorEastAsia"/>
          <w:sz w:val="32"/>
          <w:szCs w:val="32"/>
          <w:highlight w:val="none"/>
        </w:rPr>
        <w:t>支</w:t>
      </w:r>
      <w:r>
        <w:rPr>
          <w:rFonts w:hint="eastAsia" w:asciiTheme="minorEastAsia" w:hAnsiTheme="minorEastAsia" w:eastAsiaTheme="minorEastAsia"/>
          <w:sz w:val="32"/>
          <w:szCs w:val="32"/>
          <w:highlight w:val="none"/>
          <w:lang w:eastAsia="zh-CN"/>
        </w:rPr>
        <w:t>出</w:t>
      </w:r>
      <w:r>
        <w:rPr>
          <w:rFonts w:hint="eastAsia" w:asciiTheme="minorEastAsia" w:hAnsiTheme="minorEastAsia" w:eastAsiaTheme="minorEastAsia"/>
          <w:sz w:val="32"/>
          <w:szCs w:val="32"/>
          <w:highlight w:val="none"/>
        </w:rPr>
        <w:t>总计</w:t>
      </w:r>
      <w:r>
        <w:rPr>
          <w:rFonts w:hint="eastAsia" w:asciiTheme="minorEastAsia" w:hAnsiTheme="minorEastAsia" w:eastAsiaTheme="minorEastAsia"/>
          <w:sz w:val="32"/>
          <w:szCs w:val="32"/>
          <w:highlight w:val="none"/>
          <w:lang w:val="en-US" w:eastAsia="zh-CN"/>
        </w:rPr>
        <w:t>181.15</w:t>
      </w:r>
      <w:r>
        <w:rPr>
          <w:rFonts w:hint="eastAsia" w:asciiTheme="minorEastAsia" w:hAnsiTheme="minorEastAsia" w:eastAsiaTheme="minorEastAsia"/>
          <w:sz w:val="32"/>
          <w:szCs w:val="32"/>
          <w:highlight w:val="none"/>
        </w:rPr>
        <w:t>万元。本单位是</w:t>
      </w:r>
      <w:r>
        <w:rPr>
          <w:rFonts w:hint="eastAsia" w:asciiTheme="minorEastAsia" w:hAnsiTheme="minorEastAsia" w:eastAsiaTheme="minorEastAsia"/>
          <w:sz w:val="32"/>
          <w:szCs w:val="32"/>
          <w:highlight w:val="none"/>
          <w:lang w:val="en-US" w:eastAsia="zh-CN"/>
        </w:rPr>
        <w:t>2021年</w:t>
      </w:r>
      <w:r>
        <w:rPr>
          <w:rFonts w:hint="eastAsia" w:asciiTheme="minorEastAsia" w:hAnsiTheme="minorEastAsia" w:eastAsiaTheme="minorEastAsia"/>
          <w:sz w:val="32"/>
          <w:szCs w:val="32"/>
          <w:highlight w:val="none"/>
        </w:rPr>
        <w:t>新独立编制决算的单位</w:t>
      </w:r>
      <w:r>
        <w:rPr>
          <w:rFonts w:hint="eastAsia" w:asciiTheme="minorEastAsia" w:hAnsiTheme="minorEastAsia" w:eastAsiaTheme="minorEastAsia"/>
          <w:sz w:val="32"/>
          <w:szCs w:val="32"/>
          <w:highlight w:val="none"/>
          <w:lang w:val="zh-CN"/>
        </w:rPr>
        <w:t>，无202</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lang w:val="zh-CN"/>
        </w:rPr>
        <w:t>年决算数据，无增减变化对比情况</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五、一般公共预算财政拨款支出决算情况说明</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（一）财政拨款支出决算总体情况</w:t>
      </w:r>
    </w:p>
    <w:p>
      <w:pPr>
        <w:pStyle w:val="15"/>
        <w:keepNext w:val="0"/>
        <w:keepLines w:val="0"/>
        <w:pageBreakBefore w:val="0"/>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lang w:val="zh-CN"/>
        </w:rPr>
      </w:pPr>
      <w:r>
        <w:rPr>
          <w:rFonts w:hint="eastAsia" w:asciiTheme="minorEastAsia" w:hAnsiTheme="minorEastAsia" w:eastAsiaTheme="minorEastAsia"/>
          <w:sz w:val="32"/>
          <w:szCs w:val="32"/>
          <w:highlight w:val="none"/>
        </w:rPr>
        <w:t>2021年度财政拨款支出</w:t>
      </w:r>
      <w:r>
        <w:rPr>
          <w:rFonts w:hint="eastAsia" w:asciiTheme="minorEastAsia" w:hAnsiTheme="minorEastAsia" w:eastAsiaTheme="minorEastAsia"/>
          <w:sz w:val="32"/>
          <w:szCs w:val="32"/>
          <w:highlight w:val="none"/>
          <w:lang w:val="en-US" w:eastAsia="zh-CN"/>
        </w:rPr>
        <w:t>181.15</w:t>
      </w:r>
      <w:r>
        <w:rPr>
          <w:rFonts w:hint="eastAsia" w:asciiTheme="minorEastAsia" w:hAnsiTheme="minorEastAsia" w:eastAsiaTheme="minorEastAsia"/>
          <w:sz w:val="32"/>
          <w:szCs w:val="32"/>
          <w:highlight w:val="none"/>
        </w:rPr>
        <w:t>万元，占本年支出合计的</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%，本单位是</w:t>
      </w:r>
      <w:r>
        <w:rPr>
          <w:rFonts w:hint="eastAsia" w:asciiTheme="minorEastAsia" w:hAnsiTheme="minorEastAsia" w:eastAsiaTheme="minorEastAsia"/>
          <w:sz w:val="32"/>
          <w:szCs w:val="32"/>
          <w:highlight w:val="none"/>
          <w:lang w:val="en-US" w:eastAsia="zh-CN"/>
        </w:rPr>
        <w:t>2021年</w:t>
      </w:r>
      <w:r>
        <w:rPr>
          <w:rFonts w:hint="eastAsia" w:asciiTheme="minorEastAsia" w:hAnsiTheme="minorEastAsia" w:eastAsiaTheme="minorEastAsia"/>
          <w:sz w:val="32"/>
          <w:szCs w:val="32"/>
          <w:highlight w:val="none"/>
        </w:rPr>
        <w:t>新独立编制决算的单位</w:t>
      </w:r>
      <w:r>
        <w:rPr>
          <w:rFonts w:hint="eastAsia" w:asciiTheme="minorEastAsia" w:hAnsiTheme="minorEastAsia" w:eastAsiaTheme="minorEastAsia"/>
          <w:sz w:val="32"/>
          <w:szCs w:val="32"/>
          <w:highlight w:val="none"/>
          <w:lang w:val="zh-CN"/>
        </w:rPr>
        <w:t>，无202</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lang w:val="zh-CN"/>
        </w:rPr>
        <w:t>年决算数据，无增减变化对比情况</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（二）财政拨款支出决算结构情况</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2021年度财政拨款支出</w:t>
      </w:r>
      <w:r>
        <w:rPr>
          <w:rFonts w:hint="eastAsia" w:asciiTheme="minorEastAsia" w:hAnsiTheme="minorEastAsia" w:eastAsiaTheme="minorEastAsia"/>
          <w:sz w:val="32"/>
          <w:szCs w:val="32"/>
          <w:highlight w:val="none"/>
          <w:lang w:val="en-US" w:eastAsia="zh-CN"/>
        </w:rPr>
        <w:t>181.15</w:t>
      </w:r>
      <w:r>
        <w:rPr>
          <w:rFonts w:hint="eastAsia" w:asciiTheme="minorEastAsia" w:hAnsiTheme="minorEastAsia" w:eastAsiaTheme="minorEastAsia"/>
          <w:sz w:val="32"/>
          <w:szCs w:val="32"/>
          <w:highlight w:val="none"/>
        </w:rPr>
        <w:t>万元，主要用于以下方面：一般公共服务（201）支出</w:t>
      </w:r>
      <w:r>
        <w:rPr>
          <w:rFonts w:hint="eastAsia" w:asciiTheme="minorEastAsia" w:hAnsiTheme="minorEastAsia" w:eastAsiaTheme="minorEastAsia"/>
          <w:sz w:val="32"/>
          <w:szCs w:val="32"/>
          <w:highlight w:val="none"/>
          <w:lang w:val="en-US" w:eastAsia="zh-CN"/>
        </w:rPr>
        <w:t>155.43</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85.80</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社会保障和就业</w:t>
      </w:r>
      <w:r>
        <w:rPr>
          <w:rFonts w:hint="eastAsia" w:asciiTheme="minorEastAsia" w:hAnsiTheme="minorEastAsia" w:eastAsiaTheme="minorEastAsia"/>
          <w:sz w:val="32"/>
          <w:szCs w:val="32"/>
          <w:highlight w:val="none"/>
        </w:rPr>
        <w:t>（208）</w:t>
      </w:r>
      <w:r>
        <w:rPr>
          <w:rFonts w:hint="eastAsia" w:asciiTheme="minorEastAsia" w:hAnsiTheme="minorEastAsia" w:eastAsiaTheme="minorEastAsia"/>
          <w:sz w:val="32"/>
          <w:szCs w:val="32"/>
          <w:highlight w:val="none"/>
          <w:lang w:eastAsia="zh-CN"/>
        </w:rPr>
        <w:t>支出</w:t>
      </w:r>
      <w:r>
        <w:rPr>
          <w:rFonts w:hint="eastAsia" w:asciiTheme="minorEastAsia" w:hAnsiTheme="minorEastAsia" w:eastAsiaTheme="minorEastAsia"/>
          <w:sz w:val="32"/>
          <w:szCs w:val="32"/>
          <w:highlight w:val="none"/>
        </w:rPr>
        <w:t>11.93</w:t>
      </w:r>
      <w:r>
        <w:rPr>
          <w:rFonts w:hint="eastAsia" w:asciiTheme="minorEastAsia" w:hAnsiTheme="minorEastAsia" w:eastAsiaTheme="minorEastAsia"/>
          <w:sz w:val="32"/>
          <w:szCs w:val="32"/>
          <w:highlight w:val="none"/>
          <w:lang w:eastAsia="zh-CN"/>
        </w:rPr>
        <w:t>万元，占</w:t>
      </w:r>
      <w:r>
        <w:rPr>
          <w:rFonts w:hint="eastAsia" w:asciiTheme="minorEastAsia" w:hAnsiTheme="minorEastAsia" w:eastAsiaTheme="minorEastAsia"/>
          <w:sz w:val="32"/>
          <w:szCs w:val="32"/>
          <w:highlight w:val="none"/>
          <w:lang w:val="en-US" w:eastAsia="zh-CN"/>
        </w:rPr>
        <w:t>6.59</w:t>
      </w:r>
      <w:r>
        <w:rPr>
          <w:rFonts w:hint="eastAsia" w:asciiTheme="minorEastAsia" w:hAnsiTheme="minorEastAsia" w:eastAsiaTheme="minorEastAsia"/>
          <w:sz w:val="32"/>
          <w:szCs w:val="32"/>
          <w:highlight w:val="none"/>
          <w:lang w:eastAsia="zh-CN"/>
        </w:rPr>
        <w:t>%；卫生健康</w:t>
      </w:r>
      <w:r>
        <w:rPr>
          <w:rFonts w:hint="eastAsia" w:asciiTheme="minorEastAsia" w:hAnsiTheme="minorEastAsia" w:eastAsiaTheme="minorEastAsia"/>
          <w:sz w:val="32"/>
          <w:szCs w:val="32"/>
          <w:highlight w:val="none"/>
        </w:rPr>
        <w:t>（2</w:t>
      </w:r>
      <w:r>
        <w:rPr>
          <w:rFonts w:hint="eastAsia" w:asciiTheme="minorEastAsia" w:hAnsiTheme="minorEastAsia" w:eastAsiaTheme="minorEastAsia"/>
          <w:sz w:val="32"/>
          <w:szCs w:val="32"/>
          <w:highlight w:val="none"/>
          <w:lang w:val="en-US" w:eastAsia="zh-CN"/>
        </w:rPr>
        <w:t>10</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支出</w:t>
      </w:r>
      <w:r>
        <w:rPr>
          <w:rFonts w:hint="eastAsia" w:asciiTheme="minorEastAsia" w:hAnsiTheme="minorEastAsia" w:eastAsiaTheme="minorEastAsia"/>
          <w:sz w:val="32"/>
          <w:szCs w:val="32"/>
          <w:highlight w:val="none"/>
        </w:rPr>
        <w:t>5.6</w:t>
      </w:r>
      <w:r>
        <w:rPr>
          <w:rFonts w:hint="eastAsia" w:asciiTheme="minorEastAsia" w:hAnsiTheme="minorEastAsia" w:eastAsiaTheme="minorEastAsia"/>
          <w:sz w:val="32"/>
          <w:szCs w:val="32"/>
          <w:highlight w:val="none"/>
          <w:lang w:eastAsia="zh-CN"/>
        </w:rPr>
        <w:t>万元，占</w:t>
      </w:r>
      <w:r>
        <w:rPr>
          <w:rFonts w:hint="eastAsia" w:asciiTheme="minorEastAsia" w:hAnsiTheme="minorEastAsia" w:eastAsiaTheme="minorEastAsia"/>
          <w:sz w:val="32"/>
          <w:szCs w:val="32"/>
          <w:highlight w:val="none"/>
          <w:lang w:val="en-US" w:eastAsia="zh-CN"/>
        </w:rPr>
        <w:t>3.09</w:t>
      </w:r>
      <w:r>
        <w:rPr>
          <w:rFonts w:hint="eastAsia" w:asciiTheme="minorEastAsia" w:hAnsiTheme="minorEastAsia" w:eastAsiaTheme="minorEastAsia"/>
          <w:sz w:val="32"/>
          <w:szCs w:val="32"/>
          <w:highlight w:val="none"/>
          <w:lang w:eastAsia="zh-CN"/>
        </w:rPr>
        <w:t>%；住房保障</w:t>
      </w:r>
      <w:r>
        <w:rPr>
          <w:rFonts w:hint="eastAsia" w:asciiTheme="minorEastAsia" w:hAnsiTheme="minorEastAsia" w:eastAsiaTheme="minorEastAsia"/>
          <w:sz w:val="32"/>
          <w:szCs w:val="32"/>
          <w:highlight w:val="none"/>
        </w:rPr>
        <w:t>（221）</w:t>
      </w:r>
      <w:r>
        <w:rPr>
          <w:rFonts w:hint="eastAsia" w:asciiTheme="minorEastAsia" w:hAnsiTheme="minorEastAsia" w:eastAsiaTheme="minorEastAsia"/>
          <w:sz w:val="32"/>
          <w:szCs w:val="32"/>
          <w:highlight w:val="none"/>
          <w:lang w:eastAsia="zh-CN"/>
        </w:rPr>
        <w:t>支出</w:t>
      </w:r>
      <w:r>
        <w:rPr>
          <w:rFonts w:hint="eastAsia" w:asciiTheme="minorEastAsia" w:hAnsiTheme="minorEastAsia" w:eastAsiaTheme="minorEastAsia"/>
          <w:sz w:val="32"/>
          <w:szCs w:val="32"/>
          <w:highlight w:val="none"/>
          <w:lang w:val="en-US" w:eastAsia="zh-CN"/>
        </w:rPr>
        <w:t>8.19</w:t>
      </w:r>
      <w:r>
        <w:rPr>
          <w:rFonts w:hint="eastAsia" w:asciiTheme="minorEastAsia" w:hAnsiTheme="minorEastAsia" w:eastAsiaTheme="minorEastAsia"/>
          <w:sz w:val="32"/>
          <w:szCs w:val="32"/>
          <w:highlight w:val="none"/>
          <w:lang w:eastAsia="zh-CN"/>
        </w:rPr>
        <w:t>万元，占</w:t>
      </w:r>
      <w:r>
        <w:rPr>
          <w:rFonts w:hint="eastAsia" w:asciiTheme="minorEastAsia" w:hAnsiTheme="minorEastAsia" w:eastAsiaTheme="minorEastAsia"/>
          <w:sz w:val="32"/>
          <w:szCs w:val="32"/>
          <w:highlight w:val="none"/>
          <w:lang w:val="en-US" w:eastAsia="zh-CN"/>
        </w:rPr>
        <w:t>4.52</w:t>
      </w:r>
      <w:r>
        <w:rPr>
          <w:rFonts w:hint="eastAsia" w:asciiTheme="minorEastAsia" w:hAnsiTheme="minorEastAsia" w:eastAsiaTheme="minorEastAsia"/>
          <w:sz w:val="32"/>
          <w:szCs w:val="32"/>
          <w:highlight w:val="none"/>
          <w:lang w:eastAsia="zh-CN"/>
        </w:rPr>
        <w:t>%。</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（三）财政拨款支出决算具体情况</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2021年度财政拨款支出年初预算数为</w:t>
      </w:r>
      <w:r>
        <w:rPr>
          <w:rFonts w:hint="eastAsia" w:asciiTheme="minorEastAsia" w:hAnsiTheme="minorEastAsia" w:eastAsiaTheme="minorEastAsia"/>
          <w:sz w:val="32"/>
          <w:szCs w:val="32"/>
          <w:highlight w:val="none"/>
          <w:lang w:val="en-US" w:eastAsia="zh-CN"/>
        </w:rPr>
        <w:t>156.49</w:t>
      </w:r>
      <w:r>
        <w:rPr>
          <w:rFonts w:hint="eastAsia" w:asciiTheme="minorEastAsia" w:hAnsiTheme="minorEastAsia" w:eastAsiaTheme="minorEastAsia"/>
          <w:sz w:val="32"/>
          <w:szCs w:val="32"/>
          <w:highlight w:val="none"/>
        </w:rPr>
        <w:t>万元，支出决算数为</w:t>
      </w:r>
      <w:r>
        <w:rPr>
          <w:rFonts w:hint="eastAsia" w:asciiTheme="minorEastAsia" w:hAnsiTheme="minorEastAsia" w:eastAsiaTheme="minorEastAsia"/>
          <w:sz w:val="32"/>
          <w:szCs w:val="32"/>
          <w:highlight w:val="none"/>
          <w:lang w:val="en-US" w:eastAsia="zh-CN"/>
        </w:rPr>
        <w:t>181.15</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115.76</w:t>
      </w:r>
      <w:r>
        <w:rPr>
          <w:rFonts w:hint="eastAsia" w:asciiTheme="minorEastAsia" w:hAnsiTheme="minorEastAsia" w:eastAsiaTheme="minorEastAsia"/>
          <w:sz w:val="32"/>
          <w:szCs w:val="32"/>
          <w:highlight w:val="none"/>
        </w:rPr>
        <w:t>%，其中：</w:t>
      </w:r>
    </w:p>
    <w:p>
      <w:pPr>
        <w:pStyle w:val="15"/>
        <w:keepNext w:val="0"/>
        <w:keepLines w:val="0"/>
        <w:pageBreakBefore w:val="0"/>
        <w:numPr>
          <w:ilvl w:val="0"/>
          <w:numId w:val="0"/>
        </w:numPr>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1、一般公共服务支出（201）党委办公厅及相关机构事务（20131）行政运行（2013101）。</w:t>
      </w:r>
    </w:p>
    <w:p>
      <w:pPr>
        <w:pStyle w:val="15"/>
        <w:keepNext w:val="0"/>
        <w:keepLines w:val="0"/>
        <w:pageBreakBefore w:val="0"/>
        <w:numPr>
          <w:ilvl w:val="0"/>
          <w:numId w:val="0"/>
        </w:numPr>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年初预算为0万元，支出决算为1万元，由于预算数为0，无法计算百分比，决算数大于年初预算数的主要原因是：年中追加安排的网信事务经费支出。</w:t>
      </w:r>
    </w:p>
    <w:p>
      <w:pPr>
        <w:pStyle w:val="15"/>
        <w:keepNext w:val="0"/>
        <w:keepLines w:val="0"/>
        <w:pageBreakBefore w:val="0"/>
        <w:numPr>
          <w:ilvl w:val="0"/>
          <w:numId w:val="0"/>
        </w:numPr>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2、一般公共服务支出（201）网信事务（20137）行政运行（2013701）。</w:t>
      </w:r>
    </w:p>
    <w:p>
      <w:pPr>
        <w:pStyle w:val="15"/>
        <w:keepNext w:val="0"/>
        <w:keepLines w:val="0"/>
        <w:pageBreakBefore w:val="0"/>
        <w:numPr>
          <w:ilvl w:val="0"/>
          <w:numId w:val="0"/>
        </w:numPr>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年初预算为79.36万元，支出决算为84.34万元，完成年初预算的106.28%，决算数大于年初预算数的主要原因是：年中追加安排的人员普调工资经费支出。</w:t>
      </w:r>
    </w:p>
    <w:p>
      <w:pPr>
        <w:pStyle w:val="15"/>
        <w:keepNext w:val="0"/>
        <w:keepLines w:val="0"/>
        <w:pageBreakBefore w:val="0"/>
        <w:numPr>
          <w:ilvl w:val="0"/>
          <w:numId w:val="1"/>
        </w:numPr>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一般公共服务支出（201）网信事务（20137） 一般行政管理事务（2013702）。</w:t>
      </w:r>
    </w:p>
    <w:p>
      <w:pPr>
        <w:pStyle w:val="15"/>
        <w:keepNext w:val="0"/>
        <w:keepLines w:val="0"/>
        <w:pageBreakBefore w:val="0"/>
        <w:numPr>
          <w:ilvl w:val="0"/>
          <w:numId w:val="0"/>
        </w:numPr>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cs="黑体" w:asciiTheme="minorEastAsia" w:hAnsiTheme="minorEastAsia" w:eastAsiaTheme="minorEastAsia"/>
          <w:color w:val="000000"/>
          <w:sz w:val="32"/>
          <w:szCs w:val="32"/>
          <w:highlight w:val="none"/>
        </w:rPr>
        <w:t>年初预算为</w:t>
      </w:r>
      <w:r>
        <w:rPr>
          <w:rFonts w:hint="eastAsia" w:cs="黑体" w:asciiTheme="minorEastAsia" w:hAnsiTheme="minorEastAsia" w:eastAsiaTheme="minorEastAsia"/>
          <w:color w:val="000000"/>
          <w:sz w:val="32"/>
          <w:szCs w:val="32"/>
          <w:highlight w:val="none"/>
          <w:u w:val="none"/>
          <w:lang w:val="en-US" w:eastAsia="zh-CN"/>
        </w:rPr>
        <w:t>50</w:t>
      </w:r>
      <w:r>
        <w:rPr>
          <w:rFonts w:hint="eastAsia" w:cs="黑体" w:asciiTheme="minorEastAsia" w:hAnsiTheme="minorEastAsia" w:eastAsiaTheme="minorEastAsia"/>
          <w:color w:val="000000"/>
          <w:sz w:val="32"/>
          <w:szCs w:val="32"/>
          <w:highlight w:val="none"/>
        </w:rPr>
        <w:t>万元，支出决算为</w:t>
      </w:r>
      <w:r>
        <w:rPr>
          <w:rFonts w:hint="eastAsia" w:cs="黑体" w:asciiTheme="minorEastAsia" w:hAnsiTheme="minorEastAsia" w:eastAsiaTheme="minorEastAsia"/>
          <w:color w:val="000000"/>
          <w:sz w:val="32"/>
          <w:szCs w:val="32"/>
          <w:highlight w:val="none"/>
          <w:u w:val="none"/>
          <w:lang w:eastAsia="zh-CN"/>
        </w:rPr>
        <w:t>5</w:t>
      </w:r>
      <w:r>
        <w:rPr>
          <w:rFonts w:hint="eastAsia" w:cs="黑体" w:asciiTheme="minorEastAsia" w:hAnsiTheme="minorEastAsia" w:eastAsiaTheme="minorEastAsia"/>
          <w:color w:val="000000"/>
          <w:sz w:val="32"/>
          <w:szCs w:val="32"/>
          <w:highlight w:val="none"/>
          <w:u w:val="none"/>
          <w:lang w:val="en-US" w:eastAsia="zh-CN"/>
        </w:rPr>
        <w:t>0.3</w:t>
      </w:r>
      <w:r>
        <w:rPr>
          <w:rFonts w:hint="eastAsia" w:cs="黑体" w:asciiTheme="minorEastAsia" w:hAnsiTheme="minorEastAsia" w:eastAsiaTheme="minorEastAsia"/>
          <w:color w:val="000000"/>
          <w:sz w:val="32"/>
          <w:szCs w:val="32"/>
          <w:highlight w:val="none"/>
        </w:rPr>
        <w:t>万元，完成年初预算的</w:t>
      </w:r>
      <w:r>
        <w:rPr>
          <w:rFonts w:hint="eastAsia" w:cs="黑体" w:asciiTheme="minorEastAsia" w:hAnsiTheme="minorEastAsia" w:eastAsiaTheme="minorEastAsia"/>
          <w:color w:val="000000"/>
          <w:sz w:val="32"/>
          <w:szCs w:val="32"/>
          <w:highlight w:val="none"/>
          <w:u w:val="none"/>
          <w:lang w:val="en-US" w:eastAsia="zh-CN"/>
        </w:rPr>
        <w:t>100.6</w:t>
      </w:r>
      <w:r>
        <w:rPr>
          <w:rFonts w:hint="eastAsia" w:cs="黑体" w:asciiTheme="minorEastAsia" w:hAnsiTheme="minorEastAsia" w:eastAsiaTheme="minorEastAsia"/>
          <w:color w:val="000000"/>
          <w:sz w:val="32"/>
          <w:szCs w:val="32"/>
          <w:highlight w:val="none"/>
        </w:rPr>
        <w:t>%，决算数</w:t>
      </w:r>
      <w:r>
        <w:rPr>
          <w:rFonts w:hint="eastAsia" w:cs="黑体" w:asciiTheme="minorEastAsia" w:hAnsiTheme="minorEastAsia" w:eastAsiaTheme="minorEastAsia"/>
          <w:color w:val="000000"/>
          <w:sz w:val="32"/>
          <w:szCs w:val="32"/>
          <w:highlight w:val="none"/>
          <w:lang w:val="en-US" w:eastAsia="zh-CN"/>
        </w:rPr>
        <w:t>大于</w:t>
      </w:r>
      <w:r>
        <w:rPr>
          <w:rFonts w:hint="eastAsia" w:cs="黑体" w:asciiTheme="minorEastAsia" w:hAnsiTheme="minorEastAsia" w:eastAsiaTheme="minorEastAsia"/>
          <w:color w:val="000000"/>
          <w:sz w:val="32"/>
          <w:szCs w:val="32"/>
          <w:highlight w:val="none"/>
        </w:rPr>
        <w:t>年初预算数</w:t>
      </w:r>
      <w:r>
        <w:rPr>
          <w:rFonts w:hint="eastAsia" w:cs="黑体" w:asciiTheme="minorEastAsia" w:hAnsiTheme="minorEastAsia" w:eastAsiaTheme="minorEastAsia"/>
          <w:color w:val="000000"/>
          <w:sz w:val="32"/>
          <w:szCs w:val="32"/>
          <w:highlight w:val="none"/>
          <w:lang w:val="en-US" w:eastAsia="zh-CN"/>
        </w:rPr>
        <w:t>原因：年底追加了公用经费支出</w:t>
      </w:r>
      <w:r>
        <w:rPr>
          <w:rFonts w:hint="eastAsia" w:asciiTheme="minorEastAsia" w:hAnsiTheme="minorEastAsia" w:eastAsiaTheme="minorEastAsia"/>
          <w:sz w:val="32"/>
          <w:szCs w:val="32"/>
          <w:highlight w:val="none"/>
          <w:lang w:val="en-US" w:eastAsia="zh-CN"/>
        </w:rPr>
        <w:t>。</w:t>
      </w:r>
    </w:p>
    <w:p>
      <w:pPr>
        <w:pStyle w:val="15"/>
        <w:keepNext w:val="0"/>
        <w:keepLines w:val="0"/>
        <w:pageBreakBefore w:val="0"/>
        <w:numPr>
          <w:ilvl w:val="0"/>
          <w:numId w:val="1"/>
        </w:numPr>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一般公共服务支出（201）其他一般公共服务支出（20199） 其他一般公共服务支出（2019999）。</w:t>
      </w:r>
    </w:p>
    <w:p>
      <w:pPr>
        <w:pStyle w:val="15"/>
        <w:keepNext w:val="0"/>
        <w:keepLines w:val="0"/>
        <w:pageBreakBefore w:val="0"/>
        <w:numPr>
          <w:ilvl w:val="0"/>
          <w:numId w:val="0"/>
        </w:numPr>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年初预算为60万元，支出决算为19.79万元，完成年初预算的96.33%，决算数小于年初预算数的主要原因是：部分项目支出用于行政运行经费。</w:t>
      </w:r>
    </w:p>
    <w:p>
      <w:pPr>
        <w:pStyle w:val="15"/>
        <w:keepNext w:val="0"/>
        <w:keepLines w:val="0"/>
        <w:pageBreakBefore w:val="0"/>
        <w:numPr>
          <w:ilvl w:val="0"/>
          <w:numId w:val="0"/>
        </w:numPr>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5、社会保障和就业支出（208）行政事业单位养老支出（20805） 机关事业单位基本养老保险缴费支出（2080505）。</w:t>
      </w:r>
    </w:p>
    <w:p>
      <w:pPr>
        <w:pStyle w:val="15"/>
        <w:keepNext w:val="0"/>
        <w:keepLines w:val="0"/>
        <w:pageBreakBefore w:val="0"/>
        <w:numPr>
          <w:ilvl w:val="0"/>
          <w:numId w:val="0"/>
        </w:numPr>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年初预算为11.53万元，支出决算为11.53万元，完成年初预算的100%，决算数等于年初预算数的主要原因是：严格按照年初预算数执行。</w:t>
      </w:r>
    </w:p>
    <w:p>
      <w:pPr>
        <w:pStyle w:val="15"/>
        <w:keepNext w:val="0"/>
        <w:keepLines w:val="0"/>
        <w:pageBreakBefore w:val="0"/>
        <w:numPr>
          <w:ilvl w:val="0"/>
          <w:numId w:val="0"/>
        </w:numPr>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6、社会保障和就业支出（208）抚恤（20808） 其他优抚支出（2080899）。</w:t>
      </w:r>
    </w:p>
    <w:p>
      <w:pPr>
        <w:pStyle w:val="15"/>
        <w:keepNext w:val="0"/>
        <w:keepLines w:val="0"/>
        <w:pageBreakBefore w:val="0"/>
        <w:numPr>
          <w:ilvl w:val="0"/>
          <w:numId w:val="0"/>
        </w:numPr>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年初预算为0万元，支出决算为0.4万元，由于预算数为0，无法计算百分比，决算数大于年初预算数的主要原因是：年中追加安排的抚恤支出。</w:t>
      </w:r>
    </w:p>
    <w:p>
      <w:pPr>
        <w:pStyle w:val="15"/>
        <w:keepNext w:val="0"/>
        <w:keepLines w:val="0"/>
        <w:pageBreakBefore w:val="0"/>
        <w:numPr>
          <w:ilvl w:val="0"/>
          <w:numId w:val="0"/>
        </w:numPr>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7、卫生健康支出（210）行政事业单位医疗（21011）行政单位医疗（2101101）。</w:t>
      </w:r>
    </w:p>
    <w:p>
      <w:pPr>
        <w:pStyle w:val="15"/>
        <w:keepNext w:val="0"/>
        <w:keepLines w:val="0"/>
        <w:pageBreakBefore w:val="0"/>
        <w:numPr>
          <w:ilvl w:val="0"/>
          <w:numId w:val="0"/>
        </w:numPr>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年初预算为5.6万元，支出决算为5.6万元，完成年初预算的100%，决算数等于年初预算数的主要原因是：严格按照年初预算数执行。</w:t>
      </w:r>
    </w:p>
    <w:p>
      <w:pPr>
        <w:pStyle w:val="15"/>
        <w:keepNext w:val="0"/>
        <w:keepLines w:val="0"/>
        <w:pageBreakBefore w:val="0"/>
        <w:numPr>
          <w:ilvl w:val="0"/>
          <w:numId w:val="0"/>
        </w:numPr>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8、住房保障支出（221）住房改革支出（22102）住房公积金（2210201）</w:t>
      </w:r>
    </w:p>
    <w:p>
      <w:pPr>
        <w:pStyle w:val="15"/>
        <w:keepNext w:val="0"/>
        <w:keepLines w:val="0"/>
        <w:pageBreakBefore w:val="0"/>
        <w:numPr>
          <w:ilvl w:val="0"/>
          <w:numId w:val="0"/>
        </w:numPr>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年初预算为0万元，支出决算为8.19元，由于预算数为0，无法计算百分比，决算数大于年初预算数的主要原因是：项目没有纳入单位预算，由公共财政统一支付。</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六、一般公共预算财政拨款基本支出决算情况说明</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i/>
          <w:color w:val="FF0000"/>
          <w:sz w:val="32"/>
          <w:szCs w:val="32"/>
          <w:highlight w:val="none"/>
        </w:rPr>
      </w:pPr>
      <w:r>
        <w:rPr>
          <w:rFonts w:hint="eastAsia" w:asciiTheme="minorEastAsia" w:hAnsiTheme="minorEastAsia" w:eastAsiaTheme="minorEastAsia"/>
          <w:sz w:val="32"/>
          <w:szCs w:val="32"/>
          <w:highlight w:val="none"/>
        </w:rPr>
        <w:t>2021年度财政拨款基本支出</w:t>
      </w:r>
      <w:r>
        <w:rPr>
          <w:rFonts w:hint="eastAsia" w:asciiTheme="minorEastAsia" w:hAnsiTheme="minorEastAsia" w:eastAsiaTheme="minorEastAsia"/>
          <w:sz w:val="32"/>
          <w:szCs w:val="32"/>
          <w:highlight w:val="none"/>
          <w:lang w:val="en-US" w:eastAsia="zh-CN"/>
        </w:rPr>
        <w:t>123.35</w:t>
      </w:r>
      <w:r>
        <w:rPr>
          <w:rFonts w:hint="eastAsia" w:asciiTheme="minorEastAsia" w:hAnsiTheme="minorEastAsia" w:eastAsiaTheme="minorEastAsia"/>
          <w:sz w:val="32"/>
          <w:szCs w:val="32"/>
          <w:highlight w:val="none"/>
        </w:rPr>
        <w:t>万元，其中：人员经费</w:t>
      </w:r>
      <w:r>
        <w:rPr>
          <w:rFonts w:hint="eastAsia" w:asciiTheme="minorEastAsia" w:hAnsiTheme="minorEastAsia" w:eastAsiaTheme="minorEastAsia"/>
          <w:sz w:val="32"/>
          <w:szCs w:val="32"/>
          <w:highlight w:val="none"/>
          <w:lang w:val="en-US" w:eastAsia="zh-CN"/>
        </w:rPr>
        <w:t>118.87</w:t>
      </w:r>
      <w:r>
        <w:rPr>
          <w:rFonts w:hint="eastAsia" w:asciiTheme="minorEastAsia" w:hAnsiTheme="minorEastAsia" w:eastAsiaTheme="minorEastAsia"/>
          <w:sz w:val="32"/>
          <w:szCs w:val="32"/>
          <w:highlight w:val="none"/>
        </w:rPr>
        <w:t>万元，占基本支出的</w:t>
      </w:r>
      <w:r>
        <w:rPr>
          <w:rFonts w:hint="eastAsia" w:asciiTheme="minorEastAsia" w:hAnsiTheme="minorEastAsia" w:eastAsiaTheme="minorEastAsia"/>
          <w:sz w:val="32"/>
          <w:szCs w:val="32"/>
          <w:highlight w:val="none"/>
          <w:lang w:val="en-US" w:eastAsia="zh-CN"/>
        </w:rPr>
        <w:t>96.37</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主要包括基本工资、津贴补贴、奖金、伙食补助费</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机关事业单位基本养老保险缴费、职工基本医疗保险缴费、其他社会保障缴费、住房公积金、医疗费；公用经费</w:t>
      </w:r>
      <w:r>
        <w:rPr>
          <w:rFonts w:hint="eastAsia" w:asciiTheme="minorEastAsia" w:hAnsiTheme="minorEastAsia" w:eastAsiaTheme="minorEastAsia"/>
          <w:sz w:val="32"/>
          <w:szCs w:val="32"/>
          <w:highlight w:val="none"/>
          <w:lang w:val="en-US" w:eastAsia="zh-CN"/>
        </w:rPr>
        <w:t>4.48</w:t>
      </w:r>
      <w:r>
        <w:rPr>
          <w:rFonts w:hint="eastAsia" w:asciiTheme="minorEastAsia" w:hAnsiTheme="minorEastAsia" w:eastAsiaTheme="minorEastAsia"/>
          <w:sz w:val="32"/>
          <w:szCs w:val="32"/>
          <w:highlight w:val="none"/>
        </w:rPr>
        <w:t>万元，占基本支出的</w:t>
      </w:r>
      <w:r>
        <w:rPr>
          <w:rFonts w:hint="eastAsia" w:asciiTheme="minorEastAsia" w:hAnsiTheme="minorEastAsia" w:eastAsiaTheme="minorEastAsia"/>
          <w:sz w:val="32"/>
          <w:szCs w:val="32"/>
          <w:highlight w:val="none"/>
          <w:lang w:val="en-US" w:eastAsia="zh-CN"/>
        </w:rPr>
        <w:t>3.63</w:t>
      </w:r>
      <w:r>
        <w:rPr>
          <w:rFonts w:hint="eastAsia" w:asciiTheme="minorEastAsia" w:hAnsiTheme="minorEastAsia" w:eastAsiaTheme="minorEastAsia"/>
          <w:sz w:val="32"/>
          <w:szCs w:val="32"/>
          <w:highlight w:val="none"/>
        </w:rPr>
        <w:t>%，主要包括办公费、印刷费。</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七、一般公共预算财政拨款“三公”经费支出决算情况说明</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（一）“三公”经费财政拨款支出决算总体情况说明</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2021年度“三公”经费财政拨款支出预算为</w:t>
      </w:r>
      <w:r>
        <w:rPr>
          <w:rFonts w:hint="eastAsia" w:asciiTheme="minorEastAsia" w:hAnsiTheme="minorEastAsia" w:eastAsiaTheme="minorEastAsia"/>
          <w:sz w:val="32"/>
          <w:szCs w:val="32"/>
          <w:highlight w:val="none"/>
          <w:lang w:val="en-US" w:eastAsia="zh-CN"/>
        </w:rPr>
        <w:t>1</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0.88</w:t>
      </w:r>
      <w:r>
        <w:rPr>
          <w:rFonts w:hint="eastAsia" w:asciiTheme="minorEastAsia" w:hAnsiTheme="minorEastAsia" w:eastAsiaTheme="minorEastAsia"/>
          <w:sz w:val="32"/>
          <w:szCs w:val="32"/>
          <w:highlight w:val="none"/>
        </w:rPr>
        <w:t>万元，完成预算的</w:t>
      </w:r>
      <w:r>
        <w:rPr>
          <w:rFonts w:hint="eastAsia" w:asciiTheme="minorEastAsia" w:hAnsiTheme="minorEastAsia" w:eastAsiaTheme="minorEastAsia"/>
          <w:sz w:val="32"/>
          <w:szCs w:val="32"/>
          <w:highlight w:val="none"/>
          <w:lang w:val="en-US" w:eastAsia="zh-CN"/>
        </w:rPr>
        <w:t>88</w:t>
      </w:r>
      <w:r>
        <w:rPr>
          <w:rFonts w:hint="eastAsia" w:asciiTheme="minorEastAsia" w:hAnsiTheme="minorEastAsia" w:eastAsiaTheme="minorEastAsia"/>
          <w:sz w:val="32"/>
          <w:szCs w:val="32"/>
          <w:highlight w:val="none"/>
        </w:rPr>
        <w:t>%，其中：</w:t>
      </w:r>
    </w:p>
    <w:p>
      <w:pPr>
        <w:pStyle w:val="15"/>
        <w:keepNext w:val="0"/>
        <w:keepLines w:val="0"/>
        <w:pageBreakBefore w:val="0"/>
        <w:kinsoku/>
        <w:wordWrap/>
        <w:overflowPunct/>
        <w:topLinePunct w:val="0"/>
        <w:bidi w:val="0"/>
        <w:snapToGrid/>
        <w:ind w:firstLine="640" w:firstLineChars="200"/>
        <w:textAlignment w:val="auto"/>
        <w:rPr>
          <w:rFonts w:hint="default"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因公出国（境）费支出预算为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万元，由于预算数为0，无法计算百分比，本单位是</w:t>
      </w:r>
      <w:r>
        <w:rPr>
          <w:rFonts w:hint="eastAsia" w:asciiTheme="minorEastAsia" w:hAnsiTheme="minorEastAsia" w:eastAsiaTheme="minorEastAsia"/>
          <w:sz w:val="32"/>
          <w:szCs w:val="32"/>
          <w:highlight w:val="none"/>
          <w:lang w:val="en-US" w:eastAsia="zh-CN"/>
        </w:rPr>
        <w:t>2021年</w:t>
      </w:r>
      <w:r>
        <w:rPr>
          <w:rFonts w:hint="eastAsia" w:asciiTheme="minorEastAsia" w:hAnsiTheme="minorEastAsia" w:eastAsiaTheme="minorEastAsia"/>
          <w:sz w:val="32"/>
          <w:szCs w:val="32"/>
          <w:highlight w:val="none"/>
        </w:rPr>
        <w:t>新独立编制决算的单位</w:t>
      </w:r>
      <w:r>
        <w:rPr>
          <w:rFonts w:hint="eastAsia" w:asciiTheme="minorEastAsia" w:hAnsiTheme="minorEastAsia" w:eastAsiaTheme="minorEastAsia"/>
          <w:sz w:val="32"/>
          <w:szCs w:val="32"/>
          <w:highlight w:val="none"/>
          <w:lang w:val="zh-CN"/>
        </w:rPr>
        <w:t>，无202</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lang w:val="zh-CN"/>
        </w:rPr>
        <w:t>年决算数据，无增减变化对比情况。</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公务接待费支出预算为</w:t>
      </w:r>
      <w:r>
        <w:rPr>
          <w:rFonts w:hint="eastAsia" w:asciiTheme="minorEastAsia" w:hAnsiTheme="minorEastAsia" w:eastAsiaTheme="minorEastAsia"/>
          <w:sz w:val="32"/>
          <w:szCs w:val="32"/>
          <w:highlight w:val="none"/>
          <w:lang w:val="en-US" w:eastAsia="zh-CN"/>
        </w:rPr>
        <w:t>1</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0.88</w:t>
      </w:r>
      <w:r>
        <w:rPr>
          <w:rFonts w:hint="eastAsia" w:asciiTheme="minorEastAsia" w:hAnsiTheme="minorEastAsia" w:eastAsiaTheme="minorEastAsia"/>
          <w:sz w:val="32"/>
          <w:szCs w:val="32"/>
          <w:highlight w:val="none"/>
        </w:rPr>
        <w:t>万元，完成预算的</w:t>
      </w:r>
      <w:r>
        <w:rPr>
          <w:rFonts w:hint="eastAsia" w:asciiTheme="minorEastAsia" w:hAnsiTheme="minorEastAsia" w:eastAsiaTheme="minorEastAsia"/>
          <w:sz w:val="32"/>
          <w:szCs w:val="32"/>
          <w:highlight w:val="none"/>
          <w:lang w:val="en-US" w:eastAsia="zh-CN"/>
        </w:rPr>
        <w:t>88</w:t>
      </w:r>
      <w:r>
        <w:rPr>
          <w:rFonts w:hint="eastAsia" w:asciiTheme="minorEastAsia" w:hAnsiTheme="minorEastAsia" w:eastAsiaTheme="minorEastAsia"/>
          <w:sz w:val="32"/>
          <w:szCs w:val="32"/>
          <w:highlight w:val="none"/>
        </w:rPr>
        <w:t>%，决算数小于预算数的主要原因是202</w:t>
      </w:r>
      <w:r>
        <w:rPr>
          <w:rFonts w:hint="eastAsia" w:asciiTheme="minorEastAsia" w:hAnsiTheme="minorEastAsia" w:eastAsiaTheme="minorEastAsia"/>
          <w:sz w:val="32"/>
          <w:szCs w:val="32"/>
          <w:highlight w:val="none"/>
          <w:lang w:val="en-US" w:eastAsia="zh-CN"/>
        </w:rPr>
        <w:t>1</w:t>
      </w:r>
      <w:r>
        <w:rPr>
          <w:rFonts w:hint="eastAsia" w:asciiTheme="minorEastAsia" w:hAnsiTheme="minorEastAsia" w:eastAsiaTheme="minorEastAsia"/>
          <w:sz w:val="32"/>
          <w:szCs w:val="32"/>
          <w:highlight w:val="none"/>
        </w:rPr>
        <w:t>年严格控制</w:t>
      </w:r>
      <w:r>
        <w:rPr>
          <w:rFonts w:hint="eastAsia" w:asciiTheme="minorEastAsia" w:hAnsiTheme="minorEastAsia" w:eastAsiaTheme="minorEastAsia"/>
          <w:sz w:val="32"/>
          <w:szCs w:val="32"/>
          <w:highlight w:val="none"/>
          <w:lang w:val="en-US" w:eastAsia="zh-CN"/>
        </w:rPr>
        <w:t>接待</w:t>
      </w:r>
      <w:r>
        <w:rPr>
          <w:rFonts w:hint="eastAsia" w:asciiTheme="minorEastAsia" w:hAnsiTheme="minorEastAsia" w:eastAsiaTheme="minorEastAsia"/>
          <w:sz w:val="32"/>
          <w:szCs w:val="32"/>
          <w:highlight w:val="none"/>
        </w:rPr>
        <w:t>范围与接待标准，本单位是</w:t>
      </w:r>
      <w:r>
        <w:rPr>
          <w:rFonts w:hint="eastAsia" w:asciiTheme="minorEastAsia" w:hAnsiTheme="minorEastAsia" w:eastAsiaTheme="minorEastAsia"/>
          <w:sz w:val="32"/>
          <w:szCs w:val="32"/>
          <w:highlight w:val="none"/>
          <w:lang w:val="en-US" w:eastAsia="zh-CN"/>
        </w:rPr>
        <w:t>2021年</w:t>
      </w:r>
      <w:r>
        <w:rPr>
          <w:rFonts w:hint="eastAsia" w:asciiTheme="minorEastAsia" w:hAnsiTheme="minorEastAsia" w:eastAsiaTheme="minorEastAsia"/>
          <w:sz w:val="32"/>
          <w:szCs w:val="32"/>
          <w:highlight w:val="none"/>
        </w:rPr>
        <w:t>新独立编制决算的单位</w:t>
      </w:r>
      <w:r>
        <w:rPr>
          <w:rFonts w:hint="eastAsia" w:asciiTheme="minorEastAsia" w:hAnsiTheme="minorEastAsia" w:eastAsiaTheme="minorEastAsia"/>
          <w:sz w:val="32"/>
          <w:szCs w:val="32"/>
          <w:highlight w:val="none"/>
          <w:lang w:val="zh-CN"/>
        </w:rPr>
        <w:t>，无202</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lang w:val="zh-CN"/>
        </w:rPr>
        <w:t>年决算数据，无增减变化对比情况</w:t>
      </w:r>
      <w:r>
        <w:rPr>
          <w:rFonts w:hint="eastAsia" w:asciiTheme="minorEastAsia" w:hAnsiTheme="minorEastAsia" w:eastAsiaTheme="minorEastAsia"/>
          <w:sz w:val="32"/>
          <w:szCs w:val="32"/>
          <w:highlight w:val="none"/>
        </w:rPr>
        <w:t>。</w:t>
      </w:r>
    </w:p>
    <w:p>
      <w:pPr>
        <w:pStyle w:val="15"/>
        <w:keepNext w:val="0"/>
        <w:keepLines w:val="0"/>
        <w:pageBreakBefore w:val="0"/>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公务用车购置费支出预算为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由于预算数为0，无法计算百分比，本单位是</w:t>
      </w:r>
      <w:r>
        <w:rPr>
          <w:rFonts w:hint="eastAsia" w:asciiTheme="minorEastAsia" w:hAnsiTheme="minorEastAsia" w:eastAsiaTheme="minorEastAsia"/>
          <w:sz w:val="32"/>
          <w:szCs w:val="32"/>
          <w:highlight w:val="none"/>
          <w:lang w:val="en-US" w:eastAsia="zh-CN"/>
        </w:rPr>
        <w:t>2021年</w:t>
      </w:r>
      <w:r>
        <w:rPr>
          <w:rFonts w:hint="eastAsia" w:asciiTheme="minorEastAsia" w:hAnsiTheme="minorEastAsia" w:eastAsiaTheme="minorEastAsia"/>
          <w:sz w:val="32"/>
          <w:szCs w:val="32"/>
          <w:highlight w:val="none"/>
        </w:rPr>
        <w:t>新独立编制决算的单位</w:t>
      </w:r>
      <w:r>
        <w:rPr>
          <w:rFonts w:hint="eastAsia" w:asciiTheme="minorEastAsia" w:hAnsiTheme="minorEastAsia" w:eastAsiaTheme="minorEastAsia"/>
          <w:sz w:val="32"/>
          <w:szCs w:val="32"/>
          <w:highlight w:val="none"/>
          <w:lang w:val="zh-CN"/>
        </w:rPr>
        <w:t>，无202</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lang w:val="zh-CN"/>
        </w:rPr>
        <w:t>年决算数据，无增减变化对比情况。</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公务用车运行维护费支出预算为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由于预算数为0，无法计算百分比，本单位是</w:t>
      </w:r>
      <w:r>
        <w:rPr>
          <w:rFonts w:hint="eastAsia" w:asciiTheme="minorEastAsia" w:hAnsiTheme="minorEastAsia" w:eastAsiaTheme="minorEastAsia"/>
          <w:sz w:val="32"/>
          <w:szCs w:val="32"/>
          <w:highlight w:val="none"/>
          <w:lang w:val="en-US" w:eastAsia="zh-CN"/>
        </w:rPr>
        <w:t>2021年</w:t>
      </w:r>
      <w:r>
        <w:rPr>
          <w:rFonts w:hint="eastAsia" w:asciiTheme="minorEastAsia" w:hAnsiTheme="minorEastAsia" w:eastAsiaTheme="minorEastAsia"/>
          <w:sz w:val="32"/>
          <w:szCs w:val="32"/>
          <w:highlight w:val="none"/>
        </w:rPr>
        <w:t>新独立编制决算的单位</w:t>
      </w:r>
      <w:r>
        <w:rPr>
          <w:rFonts w:hint="eastAsia" w:asciiTheme="minorEastAsia" w:hAnsiTheme="minorEastAsia" w:eastAsiaTheme="minorEastAsia"/>
          <w:sz w:val="32"/>
          <w:szCs w:val="32"/>
          <w:highlight w:val="none"/>
          <w:lang w:val="zh-CN"/>
        </w:rPr>
        <w:t>，无202</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lang w:val="zh-CN"/>
        </w:rPr>
        <w:t>年决算数据，无增减变化对比情况。</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（二）“三公”经费财政拨款支出决算具体情况说明</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2021年度“三公”经费财政拨款支出决算中，公务接待费支出决算</w:t>
      </w:r>
      <w:r>
        <w:rPr>
          <w:rFonts w:hint="eastAsia" w:asciiTheme="minorEastAsia" w:hAnsiTheme="minorEastAsia" w:eastAsiaTheme="minorEastAsia"/>
          <w:sz w:val="32"/>
          <w:szCs w:val="32"/>
          <w:highlight w:val="none"/>
          <w:lang w:val="en-US" w:eastAsia="zh-CN"/>
        </w:rPr>
        <w:t>0.88</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因公出国（境）费支出决算</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公务用车购置费及运行维护费支出决算</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%。其中：</w:t>
      </w:r>
    </w:p>
    <w:p>
      <w:pPr>
        <w:pStyle w:val="15"/>
        <w:keepNext w:val="0"/>
        <w:keepLines w:val="0"/>
        <w:pageBreakBefore w:val="0"/>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1、因公出国（境）费支出决算为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万元，全年安排因公出国（境）团组</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个，累计</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人次</w:t>
      </w:r>
      <w:r>
        <w:rPr>
          <w:rFonts w:hint="eastAsia" w:asciiTheme="minorEastAsia" w:hAnsiTheme="minorEastAsia" w:eastAsiaTheme="minorEastAsia"/>
          <w:sz w:val="32"/>
          <w:szCs w:val="32"/>
          <w:highlight w:val="none"/>
          <w:lang w:eastAsia="zh-CN"/>
        </w:rPr>
        <w:t>。</w:t>
      </w:r>
    </w:p>
    <w:p>
      <w:pPr>
        <w:pStyle w:val="15"/>
        <w:keepNext w:val="0"/>
        <w:keepLines w:val="0"/>
        <w:pageBreakBefore w:val="0"/>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2、公务接待费支出决算为</w:t>
      </w:r>
      <w:r>
        <w:rPr>
          <w:rFonts w:hint="eastAsia" w:asciiTheme="minorEastAsia" w:hAnsiTheme="minorEastAsia" w:eastAsiaTheme="minorEastAsia"/>
          <w:sz w:val="32"/>
          <w:szCs w:val="32"/>
          <w:highlight w:val="none"/>
          <w:lang w:val="en-US" w:eastAsia="zh-CN"/>
        </w:rPr>
        <w:t>0.88</w:t>
      </w:r>
      <w:r>
        <w:rPr>
          <w:rFonts w:hint="eastAsia" w:asciiTheme="minorEastAsia" w:hAnsiTheme="minorEastAsia" w:eastAsiaTheme="minorEastAsia"/>
          <w:sz w:val="32"/>
          <w:szCs w:val="32"/>
          <w:highlight w:val="none"/>
        </w:rPr>
        <w:t>万元，全年共接待来访团组</w:t>
      </w:r>
      <w:r>
        <w:rPr>
          <w:rFonts w:hint="eastAsia" w:asciiTheme="minorEastAsia" w:hAnsiTheme="minorEastAsia" w:eastAsiaTheme="minorEastAsia"/>
          <w:sz w:val="32"/>
          <w:szCs w:val="32"/>
          <w:highlight w:val="none"/>
          <w:lang w:val="en-US" w:eastAsia="zh-CN"/>
        </w:rPr>
        <w:t>10</w:t>
      </w:r>
      <w:r>
        <w:rPr>
          <w:rFonts w:hint="eastAsia" w:asciiTheme="minorEastAsia" w:hAnsiTheme="minorEastAsia" w:eastAsiaTheme="minorEastAsia"/>
          <w:sz w:val="32"/>
          <w:szCs w:val="32"/>
          <w:highlight w:val="none"/>
        </w:rPr>
        <w:t>个、来宾</w:t>
      </w:r>
      <w:r>
        <w:rPr>
          <w:rFonts w:hint="eastAsia" w:asciiTheme="minorEastAsia" w:hAnsiTheme="minorEastAsia" w:eastAsiaTheme="minorEastAsia"/>
          <w:sz w:val="32"/>
          <w:szCs w:val="32"/>
          <w:highlight w:val="none"/>
          <w:lang w:val="en-US" w:eastAsia="zh-CN"/>
        </w:rPr>
        <w:t>65</w:t>
      </w:r>
      <w:r>
        <w:rPr>
          <w:rFonts w:hint="eastAsia" w:asciiTheme="minorEastAsia" w:hAnsiTheme="minorEastAsia" w:eastAsiaTheme="minorEastAsia"/>
          <w:sz w:val="32"/>
          <w:szCs w:val="32"/>
          <w:highlight w:val="none"/>
        </w:rPr>
        <w:t>人次，主要是</w:t>
      </w:r>
      <w:r>
        <w:rPr>
          <w:rFonts w:hint="eastAsia" w:asciiTheme="minorEastAsia" w:hAnsiTheme="minorEastAsia" w:eastAsiaTheme="minorEastAsia"/>
          <w:sz w:val="32"/>
          <w:szCs w:val="32"/>
          <w:highlight w:val="none"/>
          <w:lang w:val="en-US" w:eastAsia="zh-CN"/>
        </w:rPr>
        <w:t>上级和同级单位发生</w:t>
      </w:r>
      <w:r>
        <w:rPr>
          <w:rFonts w:hint="eastAsia" w:asciiTheme="minorEastAsia" w:hAnsiTheme="minorEastAsia" w:eastAsiaTheme="minorEastAsia"/>
          <w:sz w:val="32"/>
          <w:szCs w:val="32"/>
          <w:highlight w:val="none"/>
        </w:rPr>
        <w:t>的接待支出。</w:t>
      </w:r>
    </w:p>
    <w:p>
      <w:pPr>
        <w:pStyle w:val="15"/>
        <w:keepNext w:val="0"/>
        <w:keepLines w:val="0"/>
        <w:pageBreakBefore w:val="0"/>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3、公务用车购置费及运行维护费支出决算为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万元，其中：公务用车购置费</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万元，更新公务用车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辆。公务用车运行维护费</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万元，截止2021年12月31日，我单位开支财政拨款的公务用车保有量为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八、政府性基金预算收入支出决算情况</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cstheme="minorBidi"/>
          <w:color w:val="auto"/>
          <w:kern w:val="2"/>
          <w:sz w:val="32"/>
          <w:szCs w:val="32"/>
          <w:highlight w:val="none"/>
          <w:lang w:val="en-US" w:eastAsia="zh-CN" w:bidi="ar-SA"/>
        </w:rPr>
        <w:t>2021年度本单位无政府性基金收入支出。</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九、机关运行经费支出说明</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本部门2021年度机关运行经费支出</w:t>
      </w:r>
      <w:r>
        <w:rPr>
          <w:rFonts w:hint="eastAsia" w:asciiTheme="minorEastAsia" w:hAnsiTheme="minorEastAsia" w:eastAsiaTheme="minorEastAsia"/>
          <w:sz w:val="32"/>
          <w:szCs w:val="32"/>
          <w:highlight w:val="none"/>
          <w:lang w:val="en-US" w:eastAsia="zh-CN"/>
        </w:rPr>
        <w:t>4.48</w:t>
      </w:r>
      <w:r>
        <w:rPr>
          <w:rFonts w:hint="eastAsia" w:asciiTheme="minorEastAsia" w:hAnsiTheme="minorEastAsia" w:eastAsiaTheme="minorEastAsia"/>
          <w:sz w:val="32"/>
          <w:szCs w:val="32"/>
          <w:highlight w:val="none"/>
        </w:rPr>
        <w:t>万元，</w:t>
      </w:r>
      <w:r>
        <w:rPr>
          <w:rFonts w:hint="eastAsia" w:cs="黑体" w:asciiTheme="minorEastAsia" w:hAnsiTheme="minorEastAsia" w:eastAsiaTheme="minorEastAsia"/>
          <w:color w:val="auto"/>
          <w:kern w:val="0"/>
          <w:sz w:val="32"/>
          <w:szCs w:val="32"/>
          <w:highlight w:val="none"/>
          <w:lang w:val="zh-CN" w:eastAsia="zh-CN" w:bidi="ar-SA"/>
        </w:rPr>
        <w:t>比年初预算数增加</w:t>
      </w:r>
      <w:r>
        <w:rPr>
          <w:rFonts w:hint="eastAsia" w:cs="黑体" w:asciiTheme="minorEastAsia" w:hAnsiTheme="minorEastAsia" w:eastAsiaTheme="minorEastAsia"/>
          <w:color w:val="auto"/>
          <w:kern w:val="0"/>
          <w:sz w:val="32"/>
          <w:szCs w:val="32"/>
          <w:highlight w:val="none"/>
          <w:lang w:val="en-US" w:eastAsia="zh-CN" w:bidi="ar-SA"/>
        </w:rPr>
        <w:t>0.58</w:t>
      </w:r>
      <w:r>
        <w:rPr>
          <w:rFonts w:hint="eastAsia" w:cs="黑体" w:asciiTheme="minorEastAsia" w:hAnsiTheme="minorEastAsia" w:eastAsiaTheme="minorEastAsia"/>
          <w:color w:val="auto"/>
          <w:kern w:val="0"/>
          <w:sz w:val="32"/>
          <w:szCs w:val="32"/>
          <w:highlight w:val="none"/>
          <w:lang w:val="zh-CN" w:eastAsia="zh-CN" w:bidi="ar-SA"/>
        </w:rPr>
        <w:t>万元，</w:t>
      </w:r>
      <w:r>
        <w:rPr>
          <w:rFonts w:hint="eastAsia" w:asciiTheme="minorEastAsia" w:hAnsiTheme="minorEastAsia" w:eastAsiaTheme="minorEastAsia"/>
          <w:sz w:val="32"/>
          <w:szCs w:val="32"/>
          <w:highlight w:val="none"/>
        </w:rPr>
        <w:t>增长</w:t>
      </w:r>
      <w:r>
        <w:rPr>
          <w:rFonts w:hint="eastAsia" w:asciiTheme="minorEastAsia" w:hAnsiTheme="minorEastAsia" w:eastAsiaTheme="minorEastAsia"/>
          <w:sz w:val="32"/>
          <w:szCs w:val="32"/>
          <w:highlight w:val="none"/>
          <w:lang w:val="en-US" w:eastAsia="zh-CN"/>
        </w:rPr>
        <w:t>14.87</w:t>
      </w:r>
      <w:r>
        <w:rPr>
          <w:rFonts w:hint="eastAsia" w:asciiTheme="minorEastAsia" w:hAnsiTheme="minorEastAsia" w:eastAsiaTheme="minorEastAsia"/>
          <w:sz w:val="32"/>
          <w:szCs w:val="32"/>
          <w:highlight w:val="none"/>
        </w:rPr>
        <w:t>%。主要原因是：</w:t>
      </w:r>
      <w:r>
        <w:rPr>
          <w:rFonts w:hint="eastAsia" w:asciiTheme="minorEastAsia" w:hAnsiTheme="minorEastAsia" w:eastAsiaTheme="minorEastAsia"/>
          <w:sz w:val="32"/>
          <w:szCs w:val="32"/>
          <w:highlight w:val="none"/>
          <w:lang w:eastAsia="zh-CN"/>
        </w:rPr>
        <w:t>办公费等开支增加。</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十、一般性支出情况说明</w:t>
      </w:r>
    </w:p>
    <w:p>
      <w:pPr>
        <w:pStyle w:val="15"/>
        <w:keepNext w:val="0"/>
        <w:keepLines w:val="0"/>
        <w:pageBreakBefore w:val="0"/>
        <w:kinsoku/>
        <w:wordWrap/>
        <w:overflowPunct/>
        <w:topLinePunct w:val="0"/>
        <w:bidi w:val="0"/>
        <w:snapToGrid/>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Theme="minorEastAsia" w:hAnsiTheme="minorEastAsia" w:eastAsiaTheme="minorEastAsia"/>
          <w:sz w:val="32"/>
          <w:szCs w:val="32"/>
          <w:highlight w:val="none"/>
          <w:lang w:val="en-US" w:eastAsia="zh-CN"/>
        </w:rPr>
        <w:t>2021年本部门开支会议费0万元，未召开会议，人数0人；开支培训费0万元，未开展培训，人数0人；未举办节庆、晚会、论坛、赛事活动，开支0万元。</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十一、政府采购支出说明</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本部门2021年度政府采购支出总额0万元，其中：政府采购货物支出0万元、政府采购工程支出0万元、政府采购服务支出0万元。授予中小企业合同金额0万元，由于政府采购支出为0，无法计算百分比，其中：授予小微企业合同金额0万元，由于授予中小企业合同金额为0，无法计算百分比；货物采购授予中小企业合同金额0万元，工程采购授予中小企业合同金额0万元，服务采购授予中小企业合同金额0万元，由于货物支出、工程支出、服务支出为0，无法计算百分比。</w:t>
      </w:r>
    </w:p>
    <w:p>
      <w:pPr>
        <w:pStyle w:val="15"/>
        <w:keepNext w:val="0"/>
        <w:keepLines w:val="0"/>
        <w:pageBreakBefore w:val="0"/>
        <w:kinsoku/>
        <w:wordWrap/>
        <w:overflowPunct/>
        <w:topLinePunct w:val="0"/>
        <w:bidi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十二、国有资产占用情况说明</w:t>
      </w:r>
    </w:p>
    <w:p>
      <w:pPr>
        <w:pStyle w:val="15"/>
        <w:keepNext w:val="0"/>
        <w:keepLines w:val="0"/>
        <w:pageBreakBefore w:val="0"/>
        <w:kinsoku/>
        <w:wordWrap/>
        <w:overflowPunct/>
        <w:topLinePunct w:val="0"/>
        <w:bidi w:val="0"/>
        <w:snapToGrid/>
        <w:ind w:firstLine="640" w:firstLineChars="200"/>
        <w:textAlignment w:val="auto"/>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截至2021年12月31日，部门共有车辆</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辆，其中，主要领导干部用车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辆，机要通信用车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辆、应急保障用车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辆、执法执勤用车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辆、特种专业技术用车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辆、其他用车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辆；单位价值50万元以上通用设备</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台；单位价值100万元以上专用设备</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台。</w:t>
      </w:r>
    </w:p>
    <w:p>
      <w:pPr>
        <w:pStyle w:val="15"/>
        <w:keepNext w:val="0"/>
        <w:keepLines w:val="0"/>
        <w:pageBreakBefore w:val="0"/>
        <w:numPr>
          <w:ilvl w:val="0"/>
          <w:numId w:val="2"/>
        </w:numPr>
        <w:kinsoku/>
        <w:wordWrap/>
        <w:overflowPunct/>
        <w:topLinePunct w:val="0"/>
        <w:bidi w:val="0"/>
        <w:snapToGrid/>
        <w:spacing w:line="240" w:lineRule="auto"/>
        <w:ind w:firstLine="640" w:firstLineChars="200"/>
        <w:textAlignment w:val="auto"/>
        <w:outlineLvl w:val="9"/>
        <w:rPr>
          <w:rFonts w:hint="eastAsia" w:cs="黑体" w:asciiTheme="minorEastAsia" w:hAnsiTheme="minorEastAsia" w:eastAsiaTheme="minorEastAsia"/>
          <w:b/>
          <w:color w:val="000000"/>
          <w:sz w:val="32"/>
          <w:szCs w:val="32"/>
          <w:highlight w:val="none"/>
        </w:rPr>
      </w:pPr>
      <w:r>
        <w:rPr>
          <w:rFonts w:hint="eastAsia" w:cs="黑体" w:asciiTheme="minorEastAsia" w:hAnsiTheme="minorEastAsia" w:eastAsiaTheme="minorEastAsia"/>
          <w:b/>
          <w:color w:val="000000"/>
          <w:sz w:val="32"/>
          <w:szCs w:val="32"/>
          <w:highlight w:val="none"/>
        </w:rPr>
        <w:t>国有资本经营预算财政拨款支出决算情况</w:t>
      </w:r>
    </w:p>
    <w:p>
      <w:pPr>
        <w:pStyle w:val="15"/>
        <w:keepNext w:val="0"/>
        <w:keepLines w:val="0"/>
        <w:pageBreakBefore w:val="0"/>
        <w:kinsoku/>
        <w:wordWrap/>
        <w:overflowPunct/>
        <w:topLinePunct w:val="0"/>
        <w:bidi w:val="0"/>
        <w:snapToGrid/>
        <w:ind w:firstLine="640" w:firstLineChars="200"/>
        <w:textAlignment w:val="auto"/>
        <w:rPr>
          <w:rFonts w:hint="default" w:asciiTheme="minorEastAsia" w:hAnsiTheme="minorEastAsia" w:eastAsiaTheme="minorEastAsia"/>
          <w:sz w:val="32"/>
          <w:szCs w:val="32"/>
          <w:highlight w:val="none"/>
          <w:lang w:val="en-US" w:eastAsia="zh-CN"/>
        </w:rPr>
      </w:pPr>
      <w:r>
        <w:rPr>
          <w:rFonts w:hint="eastAsia" w:cs="黑体" w:asciiTheme="minorEastAsia" w:hAnsiTheme="minorEastAsia" w:eastAsiaTheme="minorEastAsia"/>
          <w:color w:val="000000"/>
          <w:sz w:val="32"/>
          <w:szCs w:val="32"/>
          <w:highlight w:val="none"/>
          <w:lang w:val="en-US" w:eastAsia="zh-CN"/>
        </w:rPr>
        <w:t>2021</w:t>
      </w:r>
      <w:r>
        <w:rPr>
          <w:rFonts w:hint="eastAsia" w:cs="黑体" w:asciiTheme="minorEastAsia" w:hAnsiTheme="minorEastAsia" w:eastAsiaTheme="minorEastAsia"/>
          <w:color w:val="000000"/>
          <w:sz w:val="32"/>
          <w:szCs w:val="32"/>
          <w:highlight w:val="none"/>
        </w:rPr>
        <w:t>年度</w:t>
      </w:r>
      <w:r>
        <w:rPr>
          <w:rFonts w:hint="eastAsia" w:cs="黑体" w:asciiTheme="minorEastAsia" w:hAnsiTheme="minorEastAsia" w:eastAsiaTheme="minorEastAsia"/>
          <w:color w:val="000000"/>
          <w:sz w:val="32"/>
          <w:szCs w:val="32"/>
          <w:highlight w:val="none"/>
          <w:lang w:eastAsia="zh-CN"/>
        </w:rPr>
        <w:t>国有资本经营</w:t>
      </w:r>
      <w:r>
        <w:rPr>
          <w:rFonts w:hint="eastAsia" w:cs="黑体" w:asciiTheme="minorEastAsia" w:hAnsiTheme="minorEastAsia" w:eastAsiaTheme="minorEastAsia"/>
          <w:color w:val="000000"/>
          <w:sz w:val="32"/>
          <w:szCs w:val="32"/>
          <w:highlight w:val="none"/>
        </w:rPr>
        <w:t>预算财政拨款支出</w:t>
      </w:r>
      <w:r>
        <w:rPr>
          <w:rFonts w:hint="eastAsia" w:cs="黑体" w:asciiTheme="minorEastAsia" w:hAnsiTheme="minorEastAsia" w:eastAsiaTheme="minorEastAsia"/>
          <w:color w:val="000000"/>
          <w:sz w:val="32"/>
          <w:szCs w:val="32"/>
          <w:highlight w:val="none"/>
          <w:u w:val="none"/>
          <w:lang w:val="en-US" w:eastAsia="zh-CN"/>
        </w:rPr>
        <w:t>0</w:t>
      </w:r>
      <w:r>
        <w:rPr>
          <w:rFonts w:hint="eastAsia" w:cs="黑体" w:asciiTheme="minorEastAsia" w:hAnsiTheme="minorEastAsia" w:eastAsiaTheme="minorEastAsia"/>
          <w:color w:val="000000"/>
          <w:sz w:val="32"/>
          <w:szCs w:val="32"/>
          <w:highlight w:val="none"/>
        </w:rPr>
        <w:t>万元，其中基本支出</w:t>
      </w:r>
      <w:r>
        <w:rPr>
          <w:rFonts w:hint="eastAsia" w:cs="黑体" w:asciiTheme="minorEastAsia" w:hAnsiTheme="minorEastAsia" w:eastAsiaTheme="minorEastAsia"/>
          <w:color w:val="000000"/>
          <w:sz w:val="32"/>
          <w:szCs w:val="32"/>
          <w:highlight w:val="none"/>
          <w:u w:val="none"/>
          <w:lang w:val="en-US" w:eastAsia="zh-CN"/>
        </w:rPr>
        <w:t>0</w:t>
      </w:r>
      <w:r>
        <w:rPr>
          <w:rFonts w:hint="eastAsia" w:cs="黑体" w:asciiTheme="minorEastAsia" w:hAnsiTheme="minorEastAsia" w:eastAsiaTheme="minorEastAsia"/>
          <w:color w:val="000000"/>
          <w:sz w:val="32"/>
          <w:szCs w:val="32"/>
          <w:highlight w:val="none"/>
        </w:rPr>
        <w:t>万元，项目支出</w:t>
      </w:r>
      <w:r>
        <w:rPr>
          <w:rFonts w:hint="eastAsia" w:cs="黑体" w:asciiTheme="minorEastAsia" w:hAnsiTheme="minorEastAsia" w:eastAsiaTheme="minorEastAsia"/>
          <w:color w:val="000000"/>
          <w:sz w:val="32"/>
          <w:szCs w:val="32"/>
          <w:highlight w:val="none"/>
          <w:u w:val="none"/>
          <w:lang w:val="en-US" w:eastAsia="zh-CN"/>
        </w:rPr>
        <w:t>0</w:t>
      </w:r>
      <w:r>
        <w:rPr>
          <w:rFonts w:hint="eastAsia" w:cs="黑体" w:asciiTheme="minorEastAsia" w:hAnsiTheme="minorEastAsia" w:eastAsiaTheme="minorEastAsia"/>
          <w:color w:val="000000"/>
          <w:sz w:val="32"/>
          <w:szCs w:val="32"/>
          <w:highlight w:val="none"/>
        </w:rPr>
        <w:t>万元。本单位无</w:t>
      </w:r>
      <w:r>
        <w:rPr>
          <w:rFonts w:hint="eastAsia" w:cs="黑体" w:asciiTheme="minorEastAsia" w:hAnsiTheme="minorEastAsia" w:eastAsiaTheme="minorEastAsia"/>
          <w:color w:val="000000"/>
          <w:sz w:val="32"/>
          <w:szCs w:val="32"/>
          <w:highlight w:val="none"/>
          <w:lang w:eastAsia="zh-CN"/>
        </w:rPr>
        <w:t>国有资本经营预算支出。</w:t>
      </w:r>
    </w:p>
    <w:p>
      <w:pPr>
        <w:pStyle w:val="15"/>
        <w:keepNext w:val="0"/>
        <w:keepLines w:val="0"/>
        <w:pageBreakBefore w:val="0"/>
        <w:kinsoku/>
        <w:wordWrap/>
        <w:overflowPunct/>
        <w:topLinePunct w:val="0"/>
        <w:bidi w:val="0"/>
        <w:snapToGrid/>
        <w:ind w:firstLine="640" w:firstLineChars="200"/>
        <w:textAlignment w:val="auto"/>
        <w:rPr>
          <w:rFonts w:hint="eastAsia"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w:t>
      </w:r>
      <w:r>
        <w:rPr>
          <w:rFonts w:hint="eastAsia" w:asciiTheme="minorEastAsia" w:hAnsiTheme="minorEastAsia" w:eastAsiaTheme="minorEastAsia"/>
          <w:b/>
          <w:sz w:val="32"/>
          <w:szCs w:val="32"/>
          <w:highlight w:val="none"/>
          <w:lang w:val="en-US" w:eastAsia="zh-CN"/>
        </w:rPr>
        <w:t>四</w:t>
      </w:r>
      <w:r>
        <w:rPr>
          <w:rFonts w:hint="eastAsia" w:asciiTheme="minorEastAsia" w:hAnsiTheme="minorEastAsia" w:eastAsiaTheme="minorEastAsia"/>
          <w:b/>
          <w:sz w:val="32"/>
          <w:szCs w:val="32"/>
          <w:highlight w:val="none"/>
        </w:rPr>
        <w:t>、2021年度预算绩效情况说明</w:t>
      </w:r>
    </w:p>
    <w:p>
      <w:pPr>
        <w:pStyle w:val="15"/>
        <w:keepNext w:val="0"/>
        <w:keepLines w:val="0"/>
        <w:pageBreakBefore w:val="0"/>
        <w:kinsoku/>
        <w:wordWrap/>
        <w:overflowPunct/>
        <w:topLinePunct w:val="0"/>
        <w:bidi w:val="0"/>
        <w:snapToGrid/>
        <w:ind w:firstLine="640" w:firstLineChars="200"/>
        <w:textAlignment w:val="auto"/>
        <w:rPr>
          <w:rFonts w:hint="eastAsia" w:asciiTheme="minorEastAsia" w:hAnsiTheme="minorEastAsia" w:eastAsiaTheme="minorEastAsia"/>
          <w:b w:val="0"/>
          <w:sz w:val="32"/>
          <w:szCs w:val="32"/>
          <w:highlight w:val="none"/>
        </w:rPr>
      </w:pPr>
      <w:r>
        <w:rPr>
          <w:rFonts w:hint="eastAsia" w:cs="黑体" w:asciiTheme="minorEastAsia" w:hAnsiTheme="minorEastAsia" w:eastAsiaTheme="minorEastAsia"/>
          <w:color w:val="000000"/>
          <w:sz w:val="32"/>
          <w:szCs w:val="32"/>
          <w:highlight w:val="none"/>
        </w:rPr>
        <w:t>本部门</w:t>
      </w:r>
      <w:r>
        <w:rPr>
          <w:rFonts w:hint="eastAsia" w:cs="黑体" w:asciiTheme="minorEastAsia" w:hAnsiTheme="minorEastAsia" w:eastAsiaTheme="minorEastAsia"/>
          <w:color w:val="000000"/>
          <w:sz w:val="32"/>
          <w:szCs w:val="32"/>
          <w:highlight w:val="none"/>
          <w:lang w:val="en-US" w:eastAsia="zh-CN"/>
        </w:rPr>
        <w:t>2021年整体支出181.15万元，其中项目支出57.8万元，本年度无重点项目支出。</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cs="黑体" w:asciiTheme="minorEastAsia" w:hAnsiTheme="minorEastAsia"/>
          <w:color w:val="000000"/>
          <w:kern w:val="0"/>
          <w:sz w:val="32"/>
          <w:szCs w:val="32"/>
          <w:highlight w:val="none"/>
        </w:rPr>
      </w:pPr>
      <w:r>
        <w:rPr>
          <w:rFonts w:hint="eastAsia" w:cs="黑体" w:asciiTheme="minorEastAsia" w:hAnsiTheme="minorEastAsia"/>
          <w:b/>
          <w:color w:val="000000"/>
          <w:kern w:val="0"/>
          <w:sz w:val="32"/>
          <w:szCs w:val="32"/>
          <w:highlight w:val="none"/>
        </w:rPr>
        <w:t>（1）绩效管理评价工作开展情况</w:t>
      </w:r>
      <w:r>
        <w:rPr>
          <w:rFonts w:hint="eastAsia" w:cs="黑体" w:asciiTheme="minorEastAsia" w:hAnsiTheme="minorEastAsia"/>
          <w:color w:val="000000"/>
          <w:kern w:val="0"/>
          <w:sz w:val="32"/>
          <w:szCs w:val="32"/>
          <w:highlight w:val="none"/>
        </w:rPr>
        <w:t>。</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 w:eastAsia="zh-CN"/>
        </w:rPr>
      </w:pPr>
      <w:r>
        <w:rPr>
          <w:rFonts w:hint="eastAsia" w:cs="黑体" w:asciiTheme="minorEastAsia" w:hAnsiTheme="minorEastAsia"/>
          <w:color w:val="000000"/>
          <w:kern w:val="0"/>
          <w:sz w:val="32"/>
          <w:szCs w:val="32"/>
          <w:highlight w:val="none"/>
        </w:rPr>
        <w:t>根据预算绩效管理要求，我</w:t>
      </w:r>
      <w:r>
        <w:rPr>
          <w:rFonts w:hint="eastAsia" w:cs="黑体" w:asciiTheme="minorEastAsia" w:hAnsiTheme="minorEastAsia"/>
          <w:color w:val="000000"/>
          <w:kern w:val="0"/>
          <w:sz w:val="32"/>
          <w:szCs w:val="32"/>
          <w:highlight w:val="none"/>
          <w:lang w:eastAsia="zh-CN"/>
        </w:rPr>
        <w:t>单位</w:t>
      </w:r>
      <w:r>
        <w:rPr>
          <w:rFonts w:hint="eastAsia" w:cs="黑体" w:asciiTheme="minorEastAsia" w:hAnsiTheme="minorEastAsia"/>
          <w:color w:val="000000"/>
          <w:kern w:val="0"/>
          <w:sz w:val="32"/>
          <w:szCs w:val="32"/>
          <w:highlight w:val="none"/>
        </w:rPr>
        <w:t>组织对2021年度一般公共预算项目支出全面开展绩效自评，其中，一级项目</w:t>
      </w:r>
      <w:r>
        <w:rPr>
          <w:rFonts w:hint="eastAsia" w:cs="黑体" w:asciiTheme="minorEastAsia" w:hAnsiTheme="minorEastAsia"/>
          <w:color w:val="000000"/>
          <w:kern w:val="0"/>
          <w:sz w:val="32"/>
          <w:szCs w:val="32"/>
          <w:highlight w:val="none"/>
          <w:lang w:val="en-US" w:eastAsia="zh-CN"/>
        </w:rPr>
        <w:t>0</w:t>
      </w:r>
      <w:r>
        <w:rPr>
          <w:rFonts w:hint="eastAsia" w:cs="黑体" w:asciiTheme="minorEastAsia" w:hAnsiTheme="minorEastAsia"/>
          <w:color w:val="000000"/>
          <w:kern w:val="0"/>
          <w:sz w:val="32"/>
          <w:szCs w:val="32"/>
          <w:highlight w:val="none"/>
        </w:rPr>
        <w:t>个，二级项目</w:t>
      </w:r>
      <w:r>
        <w:rPr>
          <w:rFonts w:hint="eastAsia" w:cs="黑体" w:asciiTheme="minorEastAsia" w:hAnsiTheme="minorEastAsia"/>
          <w:color w:val="000000"/>
          <w:kern w:val="0"/>
          <w:sz w:val="32"/>
          <w:szCs w:val="32"/>
          <w:highlight w:val="none"/>
          <w:lang w:val="en-US" w:eastAsia="zh-CN"/>
        </w:rPr>
        <w:t>2</w:t>
      </w:r>
      <w:r>
        <w:rPr>
          <w:rFonts w:hint="eastAsia" w:cs="黑体" w:asciiTheme="minorEastAsia" w:hAnsiTheme="minorEastAsia"/>
          <w:color w:val="000000"/>
          <w:kern w:val="0"/>
          <w:sz w:val="32"/>
          <w:szCs w:val="32"/>
          <w:highlight w:val="none"/>
        </w:rPr>
        <w:t>个，共涉及资金</w:t>
      </w:r>
      <w:r>
        <w:rPr>
          <w:rFonts w:hint="eastAsia" w:cs="黑体" w:asciiTheme="minorEastAsia" w:hAnsiTheme="minorEastAsia"/>
          <w:color w:val="000000"/>
          <w:kern w:val="0"/>
          <w:sz w:val="32"/>
          <w:szCs w:val="32"/>
          <w:highlight w:val="none"/>
          <w:lang w:val="en-US" w:eastAsia="zh-CN"/>
        </w:rPr>
        <w:t>57.8</w:t>
      </w:r>
      <w:r>
        <w:rPr>
          <w:rFonts w:hint="eastAsia" w:cs="黑体" w:asciiTheme="minorEastAsia" w:hAnsiTheme="minorEastAsia"/>
          <w:color w:val="000000"/>
          <w:kern w:val="0"/>
          <w:sz w:val="32"/>
          <w:szCs w:val="32"/>
          <w:highlight w:val="none"/>
        </w:rPr>
        <w:t>万元，占一般公共预算项目支出总额的</w:t>
      </w:r>
      <w:r>
        <w:rPr>
          <w:rFonts w:hint="eastAsia" w:cs="黑体" w:asciiTheme="minorEastAsia" w:hAnsiTheme="minorEastAsia"/>
          <w:color w:val="000000"/>
          <w:kern w:val="0"/>
          <w:sz w:val="32"/>
          <w:szCs w:val="32"/>
          <w:highlight w:val="none"/>
          <w:lang w:val="en-US" w:eastAsia="zh-CN"/>
        </w:rPr>
        <w:t>96.33</w:t>
      </w:r>
      <w:r>
        <w:rPr>
          <w:rFonts w:hint="eastAsia"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lang w:eastAsia="zh-CN"/>
        </w:rPr>
        <w:t>我单位无政府性基金预算和国有资本经营预算项目支出，因而未开展政府性基金预算和国有资本经营预算项目支出绩效自评。</w:t>
      </w:r>
      <w:r>
        <w:rPr>
          <w:rFonts w:hint="eastAsia" w:cs="黑体" w:asciiTheme="minorEastAsia" w:hAnsiTheme="minorEastAsia"/>
          <w:color w:val="000000"/>
          <w:kern w:val="0"/>
          <w:sz w:val="32"/>
          <w:szCs w:val="32"/>
          <w:highlight w:val="none"/>
          <w:lang w:val="en" w:eastAsia="zh-CN"/>
        </w:rPr>
        <w:t>本单位无所属二级单位，已开展项目绩效自评，无需开展部门评价。</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rPr>
        <w:t>组织对“</w:t>
      </w:r>
      <w:r>
        <w:rPr>
          <w:rFonts w:hint="eastAsia" w:cs="黑体" w:asciiTheme="minorEastAsia" w:hAnsiTheme="minorEastAsia"/>
          <w:color w:val="000000"/>
          <w:kern w:val="0"/>
          <w:sz w:val="32"/>
          <w:szCs w:val="32"/>
          <w:highlight w:val="none"/>
          <w:lang w:val="en-US" w:eastAsia="zh-CN"/>
        </w:rPr>
        <w:t>中共祁阳市网络安全和信息化委员会办公室</w:t>
      </w:r>
      <w:r>
        <w:rPr>
          <w:rFonts w:hint="eastAsia"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lang w:val="en-US" w:eastAsia="zh-CN"/>
        </w:rPr>
        <w:t>1</w:t>
      </w:r>
      <w:r>
        <w:rPr>
          <w:rFonts w:hint="eastAsia" w:cs="黑体" w:asciiTheme="minorEastAsia" w:hAnsiTheme="minorEastAsia"/>
          <w:color w:val="000000"/>
          <w:kern w:val="0"/>
          <w:sz w:val="32"/>
          <w:szCs w:val="32"/>
          <w:highlight w:val="none"/>
        </w:rPr>
        <w:t xml:space="preserve"> 个单位开展整体支出绩效评价，涉及一般公共预算支出</w:t>
      </w:r>
      <w:r>
        <w:rPr>
          <w:rFonts w:hint="eastAsia" w:cs="黑体" w:asciiTheme="minorEastAsia" w:hAnsiTheme="minorEastAsia"/>
          <w:color w:val="000000"/>
          <w:kern w:val="0"/>
          <w:sz w:val="32"/>
          <w:szCs w:val="32"/>
          <w:highlight w:val="none"/>
          <w:lang w:val="en-US" w:eastAsia="zh-CN"/>
        </w:rPr>
        <w:t>181.15</w:t>
      </w:r>
      <w:r>
        <w:rPr>
          <w:rFonts w:hint="eastAsia" w:cs="黑体" w:asciiTheme="minorEastAsia" w:hAnsiTheme="minorEastAsia"/>
          <w:color w:val="000000"/>
          <w:kern w:val="0"/>
          <w:sz w:val="32"/>
          <w:szCs w:val="32"/>
          <w:highlight w:val="none"/>
        </w:rPr>
        <w:t>万元，政府性基金预算支出</w:t>
      </w:r>
      <w:r>
        <w:rPr>
          <w:rFonts w:hint="eastAsia" w:cs="黑体" w:asciiTheme="minorEastAsia" w:hAnsiTheme="minorEastAsia"/>
          <w:color w:val="000000"/>
          <w:kern w:val="0"/>
          <w:sz w:val="32"/>
          <w:szCs w:val="32"/>
          <w:highlight w:val="none"/>
          <w:lang w:val="en-US" w:eastAsia="zh-CN"/>
        </w:rPr>
        <w:t>0</w:t>
      </w:r>
      <w:r>
        <w:rPr>
          <w:rFonts w:hint="eastAsia" w:cs="黑体" w:asciiTheme="minorEastAsia" w:hAnsiTheme="minorEastAsia"/>
          <w:color w:val="000000"/>
          <w:kern w:val="0"/>
          <w:sz w:val="32"/>
          <w:szCs w:val="32"/>
          <w:highlight w:val="none"/>
        </w:rPr>
        <w:t>万元。从评价情况来看，</w:t>
      </w:r>
      <w:r>
        <w:rPr>
          <w:rFonts w:hint="eastAsia" w:cs="黑体" w:asciiTheme="minorEastAsia" w:hAnsiTheme="minorEastAsia"/>
          <w:color w:val="000000"/>
          <w:kern w:val="0"/>
          <w:sz w:val="32"/>
          <w:szCs w:val="32"/>
          <w:highlight w:val="none"/>
          <w:lang w:val="en-US" w:eastAsia="zh-CN"/>
        </w:rPr>
        <w:t>2021年全市网信战线深入学习贯彻习近平新时代中国特色社会主义思想，围绕中心、服务大局，主动谋划、积极作为，各项工作深入推进，圆满完成了年度工作任务。</w:t>
      </w:r>
    </w:p>
    <w:p>
      <w:pPr>
        <w:keepNext w:val="0"/>
        <w:keepLines w:val="0"/>
        <w:pageBreakBefore w:val="0"/>
        <w:numPr>
          <w:ilvl w:val="0"/>
          <w:numId w:val="3"/>
        </w:numPr>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b/>
          <w:color w:val="000000"/>
          <w:kern w:val="0"/>
          <w:sz w:val="32"/>
          <w:szCs w:val="32"/>
          <w:highlight w:val="none"/>
        </w:rPr>
      </w:pPr>
      <w:r>
        <w:rPr>
          <w:rFonts w:hint="eastAsia" w:cs="黑体" w:asciiTheme="minorEastAsia" w:hAnsiTheme="minorEastAsia"/>
          <w:b/>
          <w:color w:val="000000"/>
          <w:kern w:val="0"/>
          <w:sz w:val="32"/>
          <w:szCs w:val="32"/>
          <w:highlight w:val="none"/>
        </w:rPr>
        <w:t>部门决算中项目绩效自评结果。</w:t>
      </w:r>
    </w:p>
    <w:p>
      <w:pPr>
        <w:keepNext w:val="0"/>
        <w:keepLines w:val="0"/>
        <w:pageBreakBefore w:val="0"/>
        <w:kinsoku/>
        <w:wordWrap/>
        <w:overflowPunct/>
        <w:topLinePunct w:val="0"/>
        <w:autoSpaceDE w:val="0"/>
        <w:autoSpaceDN w:val="0"/>
        <w:bidi w:val="0"/>
        <w:adjustRightInd w:val="0"/>
        <w:snapToGrid/>
        <w:ind w:firstLine="420" w:firstLineChars="200"/>
        <w:jc w:val="left"/>
        <w:textAlignment w:val="auto"/>
        <w:rPr>
          <w:rFonts w:hint="eastAsia" w:ascii="仿宋_GB2312" w:hAnsi="仿宋_GB2312" w:eastAsia="仿宋_GB2312" w:cs="仿宋_GB2312"/>
          <w:color w:val="000000"/>
          <w:kern w:val="0"/>
          <w:sz w:val="32"/>
          <w:szCs w:val="32"/>
          <w:highlight w:val="none"/>
          <w:shd w:val="clear" w:color="auto" w:fill="auto"/>
        </w:rPr>
      </w:pPr>
      <w:r>
        <w:rPr>
          <w:rFonts w:hint="eastAsia"/>
          <w:highlight w:val="none"/>
          <w:lang w:val="en-US" w:eastAsia="zh-CN"/>
        </w:rPr>
        <w:t xml:space="preserve"> </w:t>
      </w:r>
      <w:r>
        <w:rPr>
          <w:rFonts w:hint="eastAsia" w:cs="黑体" w:asciiTheme="minorEastAsia" w:hAnsiTheme="minorEastAsia"/>
          <w:color w:val="000000"/>
          <w:kern w:val="0"/>
          <w:sz w:val="32"/>
          <w:szCs w:val="32"/>
          <w:highlight w:val="none"/>
          <w:shd w:val="clear" w:color="auto" w:fill="auto"/>
          <w:lang w:eastAsia="zh-CN"/>
        </w:rPr>
        <w:t>专项经费</w:t>
      </w:r>
      <w:r>
        <w:rPr>
          <w:rFonts w:hint="eastAsia" w:cs="黑体" w:asciiTheme="minorEastAsia" w:hAnsiTheme="minorEastAsia"/>
          <w:color w:val="000000"/>
          <w:kern w:val="0"/>
          <w:sz w:val="32"/>
          <w:szCs w:val="32"/>
          <w:highlight w:val="none"/>
          <w:shd w:val="clear" w:color="auto" w:fill="auto"/>
        </w:rPr>
        <w:t>项目绩效自评综述：根据年初设定的绩效目标，项目绩效自评得分为</w:t>
      </w:r>
      <w:r>
        <w:rPr>
          <w:rFonts w:hint="eastAsia" w:cs="黑体" w:asciiTheme="minorEastAsia" w:hAnsiTheme="minorEastAsia"/>
          <w:color w:val="000000"/>
          <w:kern w:val="0"/>
          <w:sz w:val="32"/>
          <w:szCs w:val="32"/>
          <w:highlight w:val="none"/>
          <w:shd w:val="clear" w:color="auto" w:fill="auto"/>
          <w:lang w:val="en-US" w:eastAsia="zh-CN"/>
        </w:rPr>
        <w:t>99</w:t>
      </w:r>
      <w:r>
        <w:rPr>
          <w:rFonts w:hint="eastAsia" w:cs="黑体" w:asciiTheme="minorEastAsia" w:hAnsiTheme="minorEastAsia"/>
          <w:color w:val="000000"/>
          <w:kern w:val="0"/>
          <w:sz w:val="32"/>
          <w:szCs w:val="32"/>
          <w:highlight w:val="none"/>
          <w:shd w:val="clear" w:color="auto" w:fill="auto"/>
        </w:rPr>
        <w:t>分。项目全年预算数为</w:t>
      </w:r>
      <w:r>
        <w:rPr>
          <w:rFonts w:hint="eastAsia" w:cs="黑体" w:asciiTheme="minorEastAsia" w:hAnsiTheme="minorEastAsia"/>
          <w:color w:val="000000"/>
          <w:kern w:val="0"/>
          <w:sz w:val="32"/>
          <w:szCs w:val="32"/>
          <w:highlight w:val="none"/>
          <w:shd w:val="clear" w:color="auto" w:fill="auto"/>
          <w:lang w:val="en-US" w:eastAsia="zh-CN"/>
        </w:rPr>
        <w:t>60</w:t>
      </w:r>
      <w:r>
        <w:rPr>
          <w:rFonts w:hint="eastAsia" w:cs="黑体" w:asciiTheme="minorEastAsia" w:hAnsiTheme="minorEastAsia"/>
          <w:color w:val="000000"/>
          <w:kern w:val="0"/>
          <w:sz w:val="32"/>
          <w:szCs w:val="32"/>
          <w:highlight w:val="none"/>
          <w:shd w:val="clear" w:color="auto" w:fill="auto"/>
        </w:rPr>
        <w:t>万元，执行数为</w:t>
      </w:r>
      <w:r>
        <w:rPr>
          <w:rFonts w:hint="eastAsia" w:cs="黑体" w:asciiTheme="minorEastAsia" w:hAnsiTheme="minorEastAsia"/>
          <w:color w:val="000000"/>
          <w:kern w:val="0"/>
          <w:sz w:val="32"/>
          <w:szCs w:val="32"/>
          <w:highlight w:val="none"/>
          <w:shd w:val="clear" w:color="auto" w:fill="auto"/>
          <w:lang w:val="en-US" w:eastAsia="zh-CN"/>
        </w:rPr>
        <w:t>57.8</w:t>
      </w:r>
      <w:r>
        <w:rPr>
          <w:rFonts w:hint="eastAsia" w:cs="黑体" w:asciiTheme="minorEastAsia" w:hAnsiTheme="minorEastAsia"/>
          <w:color w:val="000000"/>
          <w:kern w:val="0"/>
          <w:sz w:val="32"/>
          <w:szCs w:val="32"/>
          <w:highlight w:val="none"/>
          <w:shd w:val="clear" w:color="auto" w:fill="auto"/>
        </w:rPr>
        <w:t>万元，完成预算的</w:t>
      </w:r>
      <w:r>
        <w:rPr>
          <w:rFonts w:hint="eastAsia" w:cs="黑体" w:asciiTheme="minorEastAsia" w:hAnsiTheme="minorEastAsia"/>
          <w:color w:val="000000"/>
          <w:kern w:val="0"/>
          <w:sz w:val="32"/>
          <w:szCs w:val="32"/>
          <w:highlight w:val="none"/>
          <w:shd w:val="clear" w:color="auto" w:fill="auto"/>
          <w:lang w:val="en-US" w:eastAsia="zh-CN"/>
        </w:rPr>
        <w:t>96.33</w:t>
      </w:r>
      <w:r>
        <w:rPr>
          <w:rFonts w:hint="eastAsia" w:cs="黑体" w:asciiTheme="minorEastAsia" w:hAnsiTheme="minorEastAsia"/>
          <w:color w:val="000000"/>
          <w:kern w:val="0"/>
          <w:sz w:val="32"/>
          <w:szCs w:val="32"/>
          <w:highlight w:val="none"/>
          <w:shd w:val="clear" w:color="auto" w:fill="auto"/>
        </w:rPr>
        <w:t>%</w:t>
      </w:r>
      <w:r>
        <w:rPr>
          <w:rFonts w:hint="eastAsia" w:cs="黑体" w:asciiTheme="minorEastAsia" w:hAnsiTheme="minorEastAsia"/>
          <w:color w:val="000000"/>
          <w:kern w:val="0"/>
          <w:sz w:val="32"/>
          <w:szCs w:val="32"/>
          <w:highlight w:val="none"/>
          <w:shd w:val="clear" w:color="auto" w:fill="auto"/>
          <w:lang w:eastAsia="zh-CN"/>
        </w:rPr>
        <w:t>，</w:t>
      </w:r>
      <w:r>
        <w:rPr>
          <w:rFonts w:hint="eastAsia" w:asciiTheme="minorEastAsia" w:hAnsiTheme="minorEastAsia" w:cstheme="minorEastAsia"/>
          <w:sz w:val="32"/>
          <w:szCs w:val="32"/>
          <w:highlight w:val="none"/>
          <w:shd w:val="clear" w:color="auto" w:fill="FFFFFF"/>
        </w:rPr>
        <w:t>项目绩效管理情况较为理想，达到了年初设定的各项绩效目标</w:t>
      </w:r>
      <w:r>
        <w:rPr>
          <w:rFonts w:hint="eastAsia" w:asciiTheme="minorEastAsia" w:hAnsiTheme="minorEastAsia" w:cstheme="minorEastAsia"/>
          <w:sz w:val="32"/>
          <w:szCs w:val="32"/>
          <w:highlight w:val="none"/>
          <w:shd w:val="clear" w:color="auto" w:fill="FFFFFF"/>
          <w:lang w:eastAsia="zh-CN"/>
        </w:rPr>
        <w:t>，</w:t>
      </w:r>
      <w:r>
        <w:rPr>
          <w:rFonts w:hint="eastAsia" w:cs="黑体" w:asciiTheme="minorEastAsia" w:hAnsiTheme="minorEastAsia"/>
          <w:color w:val="000000"/>
          <w:kern w:val="0"/>
          <w:sz w:val="32"/>
          <w:szCs w:val="32"/>
          <w:highlight w:val="none"/>
          <w:shd w:val="clear" w:color="auto" w:fill="auto"/>
        </w:rPr>
        <w:t>有效地保障了网信工作正常推进。发现的主要问题及原因：监看系统需要进一步升级优化。下一步改进措施：进一步优化监看系统，不断完善监控机制。</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cs="黑体" w:asciiTheme="minorEastAsia" w:hAnsiTheme="minorEastAsia"/>
          <w:color w:val="000000"/>
          <w:kern w:val="0"/>
          <w:sz w:val="32"/>
          <w:szCs w:val="32"/>
          <w:highlight w:val="none"/>
        </w:rPr>
      </w:pPr>
      <w:r>
        <w:rPr>
          <w:rFonts w:hint="eastAsia" w:cs="黑体" w:asciiTheme="minorEastAsia" w:hAnsiTheme="minorEastAsia"/>
          <w:b/>
          <w:color w:val="000000"/>
          <w:kern w:val="0"/>
          <w:sz w:val="32"/>
          <w:szCs w:val="32"/>
          <w:highlight w:val="none"/>
        </w:rPr>
        <w:t>（</w:t>
      </w:r>
      <w:r>
        <w:rPr>
          <w:rFonts w:cs="黑体" w:asciiTheme="minorEastAsia" w:hAnsiTheme="minorEastAsia"/>
          <w:b/>
          <w:color w:val="000000"/>
          <w:kern w:val="0"/>
          <w:sz w:val="32"/>
          <w:szCs w:val="32"/>
          <w:highlight w:val="none"/>
        </w:rPr>
        <w:t>3</w:t>
      </w:r>
      <w:r>
        <w:rPr>
          <w:rFonts w:hint="eastAsia" w:cs="黑体" w:asciiTheme="minorEastAsia" w:hAnsiTheme="minorEastAsia"/>
          <w:b/>
          <w:color w:val="000000"/>
          <w:kern w:val="0"/>
          <w:sz w:val="32"/>
          <w:szCs w:val="32"/>
          <w:highlight w:val="none"/>
        </w:rPr>
        <w:t>）部门评价项目绩效评价结果。</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eastAsia="zh-CN"/>
        </w:rPr>
      </w:pPr>
      <w:r>
        <w:rPr>
          <w:rFonts w:hint="eastAsia" w:cs="黑体" w:asciiTheme="minorEastAsia" w:hAnsiTheme="minorEastAsia" w:eastAsiaTheme="minorEastAsia"/>
          <w:color w:val="000000"/>
          <w:kern w:val="0"/>
          <w:sz w:val="32"/>
          <w:szCs w:val="32"/>
          <w:highlight w:val="none"/>
          <w:lang w:val="en-US" w:eastAsia="zh-CN" w:bidi="ar-SA"/>
        </w:rPr>
        <w:t xml:space="preserve">   </w:t>
      </w:r>
      <w:r>
        <w:rPr>
          <w:rFonts w:hint="eastAsia" w:cs="黑体" w:asciiTheme="minorEastAsia" w:hAnsiTheme="minorEastAsia"/>
          <w:color w:val="000000"/>
          <w:kern w:val="0"/>
          <w:sz w:val="32"/>
          <w:szCs w:val="32"/>
          <w:highlight w:val="none"/>
          <w:lang w:eastAsia="zh-CN"/>
        </w:rPr>
        <w:t>我单位从预算配置、预算执行、预算管理等方面开展了</w:t>
      </w:r>
      <w:r>
        <w:rPr>
          <w:rFonts w:hint="eastAsia" w:cs="黑体" w:asciiTheme="minorEastAsia" w:hAnsiTheme="minorEastAsia"/>
          <w:color w:val="000000"/>
          <w:kern w:val="0"/>
          <w:sz w:val="32"/>
          <w:szCs w:val="32"/>
          <w:highlight w:val="none"/>
          <w:lang w:val="en-US" w:eastAsia="zh-CN"/>
        </w:rPr>
        <w:t>2021年部门整体支出绩效评价。</w:t>
      </w:r>
      <w:r>
        <w:rPr>
          <w:rFonts w:hint="eastAsia" w:cs="黑体" w:asciiTheme="minorEastAsia" w:hAnsiTheme="minorEastAsia"/>
          <w:color w:val="000000"/>
          <w:kern w:val="0"/>
          <w:sz w:val="32"/>
          <w:szCs w:val="32"/>
          <w:highlight w:val="none"/>
          <w:lang w:eastAsia="zh-CN"/>
        </w:rPr>
        <w:t>从绩效评价结果看，整体预算执行仍有提升空间，本年度已完成的项目各项产出指标、效益指标和满意度指标取得了较好的成果，下一步我们将继续加强项目的执行、推进与监督工作。</w:t>
      </w:r>
    </w:p>
    <w:p>
      <w:pPr>
        <w:pStyle w:val="15"/>
        <w:keepNext w:val="0"/>
        <w:keepLines w:val="0"/>
        <w:pageBreakBefore w:val="0"/>
        <w:kinsoku/>
        <w:wordWrap/>
        <w:overflowPunct/>
        <w:topLinePunct w:val="0"/>
        <w:bidi w:val="0"/>
        <w:snapToGrid/>
        <w:ind w:firstLine="640" w:firstLineChars="200"/>
        <w:jc w:val="both"/>
        <w:textAlignment w:val="auto"/>
        <w:rPr>
          <w:rFonts w:ascii="宋体" w:hAnsi="宋体" w:eastAsia="宋体" w:cs="宋体"/>
          <w:sz w:val="32"/>
          <w:szCs w:val="32"/>
          <w:highlight w:val="none"/>
        </w:rPr>
      </w:pPr>
      <w:r>
        <w:rPr>
          <w:rFonts w:ascii="宋体" w:hAnsi="宋体" w:eastAsia="宋体" w:cs="宋体"/>
          <w:sz w:val="32"/>
          <w:szCs w:val="32"/>
          <w:highlight w:val="none"/>
        </w:rPr>
        <w:t>部门整体支出绩效自评报告按要求作为部门决算附件公开。</w:t>
      </w:r>
    </w:p>
    <w:p>
      <w:pPr>
        <w:pStyle w:val="15"/>
        <w:keepNext w:val="0"/>
        <w:keepLines w:val="0"/>
        <w:pageBreakBefore w:val="0"/>
        <w:kinsoku/>
        <w:wordWrap/>
        <w:overflowPunct/>
        <w:topLinePunct w:val="0"/>
        <w:bidi w:val="0"/>
        <w:snapToGrid/>
        <w:ind w:firstLine="640" w:firstLineChars="200"/>
        <w:jc w:val="both"/>
        <w:textAlignment w:val="auto"/>
        <w:rPr>
          <w:rFonts w:ascii="宋体" w:hAnsi="宋体" w:eastAsia="宋体" w:cs="宋体"/>
          <w:sz w:val="32"/>
          <w:szCs w:val="32"/>
          <w:highlight w:val="none"/>
        </w:rPr>
      </w:pPr>
    </w:p>
    <w:p>
      <w:pPr>
        <w:pStyle w:val="15"/>
        <w:keepNext w:val="0"/>
        <w:keepLines w:val="0"/>
        <w:pageBreakBefore w:val="0"/>
        <w:kinsoku/>
        <w:wordWrap/>
        <w:overflowPunct/>
        <w:topLinePunct w:val="0"/>
        <w:bidi w:val="0"/>
        <w:snapToGrid/>
        <w:ind w:firstLine="640" w:firstLineChars="200"/>
        <w:jc w:val="both"/>
        <w:textAlignment w:val="auto"/>
        <w:rPr>
          <w:rFonts w:hint="default" w:cs="黑体" w:asciiTheme="minorEastAsia" w:hAnsiTheme="minorEastAsia" w:eastAsiaTheme="minorEastAsia"/>
          <w:color w:val="000000"/>
          <w:kern w:val="0"/>
          <w:sz w:val="32"/>
          <w:szCs w:val="32"/>
          <w:highlight w:val="none"/>
          <w:lang w:val="en-US" w:eastAsia="zh-CN" w:bidi="ar-SA"/>
        </w:rPr>
      </w:pPr>
    </w:p>
    <w:p>
      <w:pPr>
        <w:keepNext w:val="0"/>
        <w:keepLines w:val="0"/>
        <w:pageBreakBefore w:val="0"/>
        <w:kinsoku/>
        <w:wordWrap/>
        <w:overflowPunct/>
        <w:topLinePunct w:val="0"/>
        <w:bidi w:val="0"/>
        <w:snapToGrid/>
        <w:ind w:firstLine="1440" w:firstLineChars="200"/>
        <w:textAlignment w:val="auto"/>
        <w:rPr>
          <w:rFonts w:hint="eastAsia" w:asciiTheme="minorEastAsia" w:hAnsiTheme="minorEastAsia" w:eastAsiaTheme="minorEastAsia"/>
          <w:sz w:val="72"/>
          <w:szCs w:val="72"/>
          <w:highlight w:val="none"/>
        </w:rPr>
      </w:pPr>
    </w:p>
    <w:p>
      <w:pPr>
        <w:pStyle w:val="6"/>
        <w:keepNext w:val="0"/>
        <w:keepLines w:val="0"/>
        <w:pageBreakBefore w:val="0"/>
        <w:kinsoku/>
        <w:wordWrap/>
        <w:overflowPunct/>
        <w:topLinePunct w:val="0"/>
        <w:bidi w:val="0"/>
        <w:snapToGrid/>
        <w:jc w:val="both"/>
        <w:textAlignment w:val="auto"/>
        <w:rPr>
          <w:rFonts w:asciiTheme="minorEastAsia" w:hAnsiTheme="minorEastAsia"/>
          <w:sz w:val="72"/>
          <w:szCs w:val="72"/>
          <w:highlight w:val="none"/>
        </w:rPr>
      </w:pPr>
    </w:p>
    <w:p>
      <w:pPr>
        <w:pStyle w:val="7"/>
        <w:keepNext w:val="0"/>
        <w:keepLines w:val="0"/>
        <w:pageBreakBefore w:val="0"/>
        <w:kinsoku/>
        <w:wordWrap/>
        <w:overflowPunct/>
        <w:topLinePunct w:val="0"/>
        <w:bidi w:val="0"/>
        <w:snapToGrid/>
        <w:ind w:firstLine="420" w:firstLineChars="200"/>
        <w:jc w:val="center"/>
        <w:textAlignment w:val="auto"/>
        <w:rPr>
          <w:highlight w:val="none"/>
        </w:rPr>
      </w:pPr>
    </w:p>
    <w:p>
      <w:pPr>
        <w:keepNext w:val="0"/>
        <w:keepLines w:val="0"/>
        <w:pageBreakBefore w:val="0"/>
        <w:kinsoku/>
        <w:wordWrap/>
        <w:overflowPunct/>
        <w:topLinePunct w:val="0"/>
        <w:bidi w:val="0"/>
        <w:snapToGrid/>
        <w:ind w:firstLine="1440" w:firstLineChars="200"/>
        <w:jc w:val="center"/>
        <w:textAlignment w:val="auto"/>
        <w:rPr>
          <w:rFonts w:asciiTheme="minorEastAsia" w:hAnsiTheme="minorEastAsia"/>
          <w:sz w:val="72"/>
          <w:szCs w:val="72"/>
          <w:highlight w:val="none"/>
        </w:rPr>
      </w:pPr>
    </w:p>
    <w:p>
      <w:pPr>
        <w:keepNext w:val="0"/>
        <w:keepLines w:val="0"/>
        <w:pageBreakBefore w:val="0"/>
        <w:kinsoku/>
        <w:wordWrap/>
        <w:overflowPunct/>
        <w:topLinePunct w:val="0"/>
        <w:bidi w:val="0"/>
        <w:snapToGrid/>
        <w:ind w:firstLine="1440" w:firstLineChars="200"/>
        <w:jc w:val="center"/>
        <w:textAlignment w:val="auto"/>
        <w:rPr>
          <w:rFonts w:asciiTheme="minorEastAsia" w:hAnsiTheme="minorEastAsia"/>
          <w:sz w:val="72"/>
          <w:szCs w:val="72"/>
          <w:highlight w:val="none"/>
        </w:rPr>
      </w:pPr>
    </w:p>
    <w:p>
      <w:pPr>
        <w:pStyle w:val="15"/>
        <w:keepNext w:val="0"/>
        <w:keepLines w:val="0"/>
        <w:pageBreakBefore w:val="0"/>
        <w:kinsoku/>
        <w:wordWrap/>
        <w:overflowPunct/>
        <w:topLinePunct w:val="0"/>
        <w:bidi w:val="0"/>
        <w:snapToGrid/>
        <w:jc w:val="center"/>
        <w:textAlignment w:val="auto"/>
        <w:rPr>
          <w:rFonts w:asciiTheme="minorEastAsia" w:hAnsiTheme="minorEastAsia" w:eastAsiaTheme="minorEastAsia"/>
          <w:b w:val="0"/>
          <w:bCs w:val="0"/>
          <w:sz w:val="72"/>
          <w:szCs w:val="72"/>
          <w:highlight w:val="none"/>
        </w:rPr>
      </w:pPr>
      <w:r>
        <w:rPr>
          <w:rFonts w:hint="eastAsia" w:asciiTheme="minorEastAsia" w:hAnsiTheme="minorEastAsia" w:eastAsiaTheme="minorEastAsia"/>
          <w:b w:val="0"/>
          <w:bCs w:val="0"/>
          <w:sz w:val="72"/>
          <w:szCs w:val="72"/>
          <w:highlight w:val="none"/>
        </w:rPr>
        <w:t>第四部分</w:t>
      </w:r>
    </w:p>
    <w:p>
      <w:pPr>
        <w:keepNext w:val="0"/>
        <w:keepLines w:val="0"/>
        <w:pageBreakBefore w:val="0"/>
        <w:kinsoku/>
        <w:wordWrap/>
        <w:overflowPunct/>
        <w:topLinePunct w:val="0"/>
        <w:bidi w:val="0"/>
        <w:snapToGrid/>
        <w:ind w:firstLine="1440" w:firstLineChars="200"/>
        <w:jc w:val="center"/>
        <w:textAlignment w:val="auto"/>
        <w:rPr>
          <w:rFonts w:cs="黑体" w:asciiTheme="minorEastAsia" w:hAnsiTheme="minorEastAsia"/>
          <w:b w:val="0"/>
          <w:bCs w:val="0"/>
          <w:color w:val="000000"/>
          <w:kern w:val="0"/>
          <w:sz w:val="72"/>
          <w:szCs w:val="72"/>
          <w:highlight w:val="none"/>
        </w:rPr>
      </w:pPr>
    </w:p>
    <w:p>
      <w:pPr>
        <w:keepNext w:val="0"/>
        <w:keepLines w:val="0"/>
        <w:pageBreakBefore w:val="0"/>
        <w:kinsoku/>
        <w:wordWrap/>
        <w:overflowPunct/>
        <w:topLinePunct w:val="0"/>
        <w:bidi w:val="0"/>
        <w:snapToGrid/>
        <w:jc w:val="center"/>
        <w:textAlignment w:val="auto"/>
        <w:rPr>
          <w:rFonts w:cs="黑体" w:asciiTheme="minorEastAsia" w:hAnsiTheme="minorEastAsia"/>
          <w:b w:val="0"/>
          <w:bCs w:val="0"/>
          <w:color w:val="000000"/>
          <w:kern w:val="0"/>
          <w:sz w:val="72"/>
          <w:szCs w:val="72"/>
          <w:highlight w:val="none"/>
        </w:rPr>
      </w:pPr>
      <w:r>
        <w:rPr>
          <w:rFonts w:hint="eastAsia" w:cs="黑体" w:asciiTheme="minorEastAsia" w:hAnsiTheme="minorEastAsia"/>
          <w:b w:val="0"/>
          <w:bCs w:val="0"/>
          <w:color w:val="000000"/>
          <w:kern w:val="0"/>
          <w:sz w:val="72"/>
          <w:szCs w:val="72"/>
          <w:highlight w:val="none"/>
        </w:rPr>
        <w:t>名词解释</w:t>
      </w:r>
    </w:p>
    <w:p>
      <w:pPr>
        <w:keepNext w:val="0"/>
        <w:keepLines w:val="0"/>
        <w:pageBreakBefore w:val="0"/>
        <w:widowControl/>
        <w:kinsoku/>
        <w:wordWrap/>
        <w:overflowPunct/>
        <w:topLinePunct w:val="0"/>
        <w:bidi w:val="0"/>
        <w:snapToGrid/>
        <w:ind w:firstLine="1400" w:firstLineChars="200"/>
        <w:jc w:val="left"/>
        <w:textAlignment w:val="auto"/>
        <w:rPr>
          <w:rFonts w:cs="黑体" w:asciiTheme="minorEastAsia" w:hAnsiTheme="minorEastAsia"/>
          <w:color w:val="000000"/>
          <w:kern w:val="0"/>
          <w:sz w:val="32"/>
          <w:szCs w:val="32"/>
          <w:highlight w:val="none"/>
        </w:rPr>
      </w:pPr>
      <w:r>
        <w:rPr>
          <w:rFonts w:cs="黑体" w:asciiTheme="minorEastAsia" w:hAnsiTheme="minorEastAsia"/>
          <w:color w:val="000000"/>
          <w:kern w:val="0"/>
          <w:sz w:val="70"/>
          <w:szCs w:val="70"/>
          <w:highlight w:val="none"/>
        </w:rPr>
        <w:br w:type="page"/>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一、财政拨款收入：指财政当年拨付的资金，主要包括一般公共预算财政拨款，政府性基金预算财政拨款，国有资本经营预算财政拨款。</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 xml:space="preserve">二、上级补助收入：指事业单位从主管部门和上级单位取得的非财政补助收入。 </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 xml:space="preserve">三、事业收入：指事业单位开展专业业务活动及辅助活动所取得的收入。 </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 xml:space="preserve">四、经营收入：指事业单位在专业业务活动及其辅助活动之外开展非独立核算经营活动取得的收入。 </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 xml:space="preserve">五、附属单位上缴收入：指事业单位附属独立核算单位按照有关规定上缴的收入。 </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 xml:space="preserve">六、其他收入：指除上述“财政拨款收入”、“事业收入”、“经营收入”等以外的收入。 </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七、基本支出：指为保障机构正常运转、完成日常工作任务而发生的各项支出，包括人员支出和公用支出。  </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八、项目支出：指在基本支出以外为完成相关行政任务和事业发展目标所发生的各项支出。  </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九、“三公”经费：指通过财政拨款资金安排的因公出国（境）费、公务用车购置及运行费和公务接待费支出。  </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highlight w:val="none"/>
        </w:rPr>
      </w:pPr>
    </w:p>
    <w:p>
      <w:pPr>
        <w:pStyle w:val="15"/>
        <w:keepNext w:val="0"/>
        <w:keepLines w:val="0"/>
        <w:pageBreakBefore w:val="0"/>
        <w:kinsoku/>
        <w:wordWrap/>
        <w:overflowPunct/>
        <w:topLinePunct w:val="0"/>
        <w:bidi w:val="0"/>
        <w:snapToGrid/>
        <w:ind w:firstLine="1440" w:firstLineChars="200"/>
        <w:jc w:val="both"/>
        <w:textAlignment w:val="auto"/>
        <w:rPr>
          <w:rFonts w:asciiTheme="minorEastAsia" w:hAnsiTheme="minorEastAsia" w:eastAsiaTheme="minorEastAsia"/>
          <w:sz w:val="72"/>
          <w:szCs w:val="72"/>
          <w:highlight w:val="none"/>
        </w:rPr>
      </w:pPr>
    </w:p>
    <w:p>
      <w:pPr>
        <w:pStyle w:val="15"/>
        <w:keepNext w:val="0"/>
        <w:keepLines w:val="0"/>
        <w:pageBreakBefore w:val="0"/>
        <w:kinsoku/>
        <w:wordWrap/>
        <w:overflowPunct/>
        <w:topLinePunct w:val="0"/>
        <w:bidi w:val="0"/>
        <w:snapToGrid/>
        <w:ind w:firstLine="1440" w:firstLineChars="200"/>
        <w:jc w:val="center"/>
        <w:textAlignment w:val="auto"/>
        <w:rPr>
          <w:rFonts w:asciiTheme="minorEastAsia" w:hAnsiTheme="minorEastAsia" w:eastAsiaTheme="minorEastAsia"/>
          <w:sz w:val="72"/>
          <w:szCs w:val="72"/>
          <w:highlight w:val="none"/>
        </w:rPr>
      </w:pPr>
    </w:p>
    <w:p>
      <w:pPr>
        <w:pStyle w:val="15"/>
        <w:keepNext w:val="0"/>
        <w:keepLines w:val="0"/>
        <w:pageBreakBefore w:val="0"/>
        <w:kinsoku/>
        <w:wordWrap/>
        <w:overflowPunct/>
        <w:topLinePunct w:val="0"/>
        <w:bidi w:val="0"/>
        <w:snapToGrid/>
        <w:ind w:firstLine="1440" w:firstLineChars="200"/>
        <w:jc w:val="center"/>
        <w:textAlignment w:val="auto"/>
        <w:rPr>
          <w:rFonts w:asciiTheme="minorEastAsia" w:hAnsiTheme="minorEastAsia" w:eastAsiaTheme="minorEastAsia"/>
          <w:sz w:val="72"/>
          <w:szCs w:val="72"/>
          <w:highlight w:val="none"/>
        </w:rPr>
      </w:pPr>
    </w:p>
    <w:p>
      <w:pPr>
        <w:pStyle w:val="15"/>
        <w:keepNext w:val="0"/>
        <w:keepLines w:val="0"/>
        <w:pageBreakBefore w:val="0"/>
        <w:kinsoku/>
        <w:wordWrap/>
        <w:overflowPunct/>
        <w:topLinePunct w:val="0"/>
        <w:bidi w:val="0"/>
        <w:snapToGrid/>
        <w:ind w:firstLine="1440" w:firstLineChars="200"/>
        <w:jc w:val="center"/>
        <w:textAlignment w:val="auto"/>
        <w:rPr>
          <w:rFonts w:asciiTheme="minorEastAsia" w:hAnsiTheme="minorEastAsia" w:eastAsiaTheme="minorEastAsia"/>
          <w:sz w:val="72"/>
          <w:szCs w:val="72"/>
          <w:highlight w:val="none"/>
        </w:rPr>
      </w:pPr>
    </w:p>
    <w:p>
      <w:pPr>
        <w:pStyle w:val="15"/>
        <w:keepNext w:val="0"/>
        <w:keepLines w:val="0"/>
        <w:pageBreakBefore w:val="0"/>
        <w:kinsoku/>
        <w:wordWrap/>
        <w:overflowPunct/>
        <w:topLinePunct w:val="0"/>
        <w:bidi w:val="0"/>
        <w:snapToGrid/>
        <w:ind w:firstLine="1440" w:firstLineChars="200"/>
        <w:jc w:val="center"/>
        <w:textAlignment w:val="auto"/>
        <w:rPr>
          <w:rFonts w:asciiTheme="minorEastAsia" w:hAnsiTheme="minorEastAsia" w:eastAsiaTheme="minorEastAsia"/>
          <w:sz w:val="72"/>
          <w:szCs w:val="72"/>
          <w:highlight w:val="none"/>
        </w:rPr>
      </w:pPr>
    </w:p>
    <w:p>
      <w:pPr>
        <w:pStyle w:val="15"/>
        <w:keepNext w:val="0"/>
        <w:keepLines w:val="0"/>
        <w:pageBreakBefore w:val="0"/>
        <w:kinsoku/>
        <w:wordWrap/>
        <w:overflowPunct/>
        <w:topLinePunct w:val="0"/>
        <w:bidi w:val="0"/>
        <w:snapToGrid/>
        <w:ind w:firstLine="1440" w:firstLineChars="200"/>
        <w:jc w:val="center"/>
        <w:textAlignment w:val="auto"/>
        <w:rPr>
          <w:rFonts w:asciiTheme="minorEastAsia" w:hAnsiTheme="minorEastAsia" w:eastAsiaTheme="minorEastAsia"/>
          <w:sz w:val="72"/>
          <w:szCs w:val="72"/>
          <w:highlight w:val="none"/>
        </w:rPr>
      </w:pPr>
    </w:p>
    <w:p>
      <w:pPr>
        <w:pStyle w:val="15"/>
        <w:keepNext w:val="0"/>
        <w:keepLines w:val="0"/>
        <w:pageBreakBefore w:val="0"/>
        <w:kinsoku/>
        <w:wordWrap/>
        <w:overflowPunct/>
        <w:topLinePunct w:val="0"/>
        <w:bidi w:val="0"/>
        <w:snapToGrid/>
        <w:jc w:val="center"/>
        <w:textAlignment w:val="auto"/>
        <w:rPr>
          <w:rFonts w:asciiTheme="minorEastAsia" w:hAnsiTheme="minorEastAsia" w:eastAsiaTheme="minorEastAsia"/>
          <w:b w:val="0"/>
          <w:bCs w:val="0"/>
          <w:sz w:val="72"/>
          <w:szCs w:val="72"/>
          <w:highlight w:val="none"/>
        </w:rPr>
      </w:pPr>
      <w:r>
        <w:rPr>
          <w:rFonts w:hint="eastAsia" w:asciiTheme="minorEastAsia" w:hAnsiTheme="minorEastAsia" w:eastAsiaTheme="minorEastAsia"/>
          <w:b w:val="0"/>
          <w:bCs w:val="0"/>
          <w:sz w:val="72"/>
          <w:szCs w:val="72"/>
          <w:highlight w:val="none"/>
        </w:rPr>
        <w:t>第五部分</w:t>
      </w:r>
    </w:p>
    <w:p>
      <w:pPr>
        <w:keepNext w:val="0"/>
        <w:keepLines w:val="0"/>
        <w:pageBreakBefore w:val="0"/>
        <w:kinsoku/>
        <w:wordWrap/>
        <w:overflowPunct/>
        <w:topLinePunct w:val="0"/>
        <w:bidi w:val="0"/>
        <w:snapToGrid/>
        <w:ind w:firstLine="1440" w:firstLineChars="200"/>
        <w:jc w:val="center"/>
        <w:textAlignment w:val="auto"/>
        <w:rPr>
          <w:rFonts w:cs="黑体" w:asciiTheme="minorEastAsia" w:hAnsiTheme="minorEastAsia"/>
          <w:b w:val="0"/>
          <w:bCs w:val="0"/>
          <w:color w:val="000000"/>
          <w:kern w:val="0"/>
          <w:sz w:val="72"/>
          <w:szCs w:val="72"/>
          <w:highlight w:val="none"/>
        </w:rPr>
      </w:pPr>
    </w:p>
    <w:p>
      <w:pPr>
        <w:keepNext w:val="0"/>
        <w:keepLines w:val="0"/>
        <w:pageBreakBefore w:val="0"/>
        <w:kinsoku/>
        <w:wordWrap/>
        <w:overflowPunct/>
        <w:topLinePunct w:val="0"/>
        <w:bidi w:val="0"/>
        <w:snapToGrid/>
        <w:jc w:val="center"/>
        <w:textAlignment w:val="auto"/>
        <w:rPr>
          <w:rFonts w:cs="黑体" w:asciiTheme="minorEastAsia" w:hAnsiTheme="minorEastAsia"/>
          <w:b w:val="0"/>
          <w:bCs w:val="0"/>
          <w:color w:val="000000"/>
          <w:kern w:val="0"/>
          <w:sz w:val="72"/>
          <w:szCs w:val="72"/>
          <w:highlight w:val="none"/>
        </w:rPr>
      </w:pPr>
      <w:r>
        <w:rPr>
          <w:rFonts w:hint="eastAsia" w:cs="黑体" w:asciiTheme="minorEastAsia" w:hAnsiTheme="minorEastAsia"/>
          <w:b w:val="0"/>
          <w:bCs w:val="0"/>
          <w:color w:val="000000"/>
          <w:kern w:val="0"/>
          <w:sz w:val="72"/>
          <w:szCs w:val="72"/>
          <w:highlight w:val="none"/>
        </w:rPr>
        <w:t>附件</w:t>
      </w:r>
    </w:p>
    <w:p>
      <w:pPr>
        <w:keepNext w:val="0"/>
        <w:keepLines w:val="0"/>
        <w:pageBreakBefore w:val="0"/>
        <w:widowControl/>
        <w:kinsoku/>
        <w:wordWrap/>
        <w:overflowPunct/>
        <w:topLinePunct w:val="0"/>
        <w:bidi w:val="0"/>
        <w:snapToGrid/>
        <w:ind w:firstLine="1400" w:firstLineChars="200"/>
        <w:jc w:val="left"/>
        <w:textAlignment w:val="auto"/>
        <w:rPr>
          <w:rFonts w:cs="黑体" w:asciiTheme="minorEastAsia" w:hAnsiTheme="minorEastAsia"/>
          <w:b/>
          <w:bCs/>
          <w:color w:val="000000"/>
          <w:kern w:val="0"/>
          <w:sz w:val="70"/>
          <w:szCs w:val="70"/>
          <w:highlight w:val="none"/>
        </w:rPr>
      </w:pPr>
      <w:r>
        <w:rPr>
          <w:rFonts w:cs="黑体" w:asciiTheme="minorEastAsia" w:hAnsiTheme="minorEastAsia"/>
          <w:b/>
          <w:bCs/>
          <w:color w:val="000000"/>
          <w:kern w:val="0"/>
          <w:sz w:val="70"/>
          <w:szCs w:val="70"/>
          <w:highlight w:val="none"/>
        </w:rPr>
        <w:br w:type="page"/>
      </w:r>
    </w:p>
    <w:p>
      <w:pPr>
        <w:keepNext w:val="0"/>
        <w:keepLines w:val="0"/>
        <w:pageBreakBefore w:val="0"/>
        <w:kinsoku/>
        <w:wordWrap/>
        <w:overflowPunct/>
        <w:topLinePunct w:val="0"/>
        <w:bidi w:val="0"/>
        <w:snapToGrid/>
        <w:ind w:firstLine="640" w:firstLineChars="200"/>
        <w:jc w:val="center"/>
        <w:textAlignment w:val="auto"/>
        <w:rPr>
          <w:rFonts w:hint="eastAsia" w:asciiTheme="minorEastAsia" w:hAnsiTheme="minorEastAsia" w:eastAsiaTheme="minorEastAsia" w:cstheme="minorEastAsia"/>
          <w:b/>
          <w:bCs/>
          <w:sz w:val="32"/>
          <w:szCs w:val="32"/>
          <w:highlight w:val="none"/>
        </w:rPr>
      </w:pPr>
    </w:p>
    <w:p>
      <w:pPr>
        <w:keepNext w:val="0"/>
        <w:keepLines w:val="0"/>
        <w:pageBreakBefore w:val="0"/>
        <w:kinsoku/>
        <w:wordWrap/>
        <w:overflowPunct/>
        <w:topLinePunct w:val="0"/>
        <w:bidi w:val="0"/>
        <w:snapToGrid/>
        <w:ind w:firstLine="640" w:firstLineChars="200"/>
        <w:jc w:val="center"/>
        <w:textAlignment w:val="auto"/>
        <w:rPr>
          <w:rFonts w:cs="黑体" w:asciiTheme="minorEastAsia" w:hAnsiTheme="minorEastAsia"/>
          <w:b/>
          <w:color w:val="000000"/>
          <w:kern w:val="0"/>
          <w:sz w:val="32"/>
          <w:szCs w:val="32"/>
          <w:highlight w:val="none"/>
        </w:rPr>
      </w:pPr>
      <w:r>
        <w:rPr>
          <w:rFonts w:hint="eastAsia" w:cs="黑体" w:asciiTheme="minorEastAsia" w:hAnsiTheme="minorEastAsia"/>
          <w:b/>
          <w:color w:val="000000"/>
          <w:kern w:val="0"/>
          <w:sz w:val="32"/>
          <w:szCs w:val="32"/>
          <w:highlight w:val="none"/>
        </w:rPr>
        <w:t>2021年度部门整体支出绩效评价报告</w:t>
      </w:r>
    </w:p>
    <w:p>
      <w:pPr>
        <w:pStyle w:val="2"/>
        <w:keepNext w:val="0"/>
        <w:keepLines w:val="0"/>
        <w:pageBreakBefore w:val="0"/>
        <w:kinsoku/>
        <w:wordWrap/>
        <w:overflowPunct/>
        <w:topLinePunct w:val="0"/>
        <w:bidi w:val="0"/>
        <w:snapToGrid/>
        <w:ind w:firstLine="420" w:firstLineChars="200"/>
        <w:textAlignment w:val="auto"/>
        <w:rPr>
          <w:rFonts w:hint="eastAsia"/>
          <w:highlight w:val="none"/>
        </w:rPr>
      </w:pPr>
    </w:p>
    <w:p>
      <w:pPr>
        <w:keepNext w:val="0"/>
        <w:keepLines w:val="0"/>
        <w:pageBreakBefore w:val="0"/>
        <w:kinsoku/>
        <w:wordWrap/>
        <w:overflowPunct/>
        <w:topLinePunct w:val="0"/>
        <w:bidi w:val="0"/>
        <w:snapToGrid/>
        <w:ind w:firstLine="640" w:firstLineChars="200"/>
        <w:textAlignment w:val="auto"/>
        <w:outlineLvl w:val="0"/>
        <w:rPr>
          <w:rFonts w:hint="eastAsia" w:asciiTheme="minorEastAsia" w:hAnsiTheme="minorEastAsia"/>
          <w:b/>
          <w:bCs w:val="0"/>
          <w:kern w:val="0"/>
          <w:sz w:val="32"/>
          <w:szCs w:val="32"/>
          <w:highlight w:val="none"/>
          <w:lang w:val="en-US" w:eastAsia="zh-CN"/>
        </w:rPr>
      </w:pPr>
      <w:r>
        <w:rPr>
          <w:rFonts w:hint="eastAsia" w:asciiTheme="minorEastAsia" w:hAnsiTheme="minorEastAsia"/>
          <w:b/>
          <w:bCs w:val="0"/>
          <w:kern w:val="0"/>
          <w:sz w:val="32"/>
          <w:szCs w:val="32"/>
          <w:highlight w:val="none"/>
          <w:lang w:val="en-US" w:eastAsia="zh-CN"/>
        </w:rPr>
        <w:t>一、基本情况</w:t>
      </w:r>
    </w:p>
    <w:p>
      <w:pPr>
        <w:keepNext w:val="0"/>
        <w:keepLines w:val="0"/>
        <w:pageBreakBefore w:val="0"/>
        <w:kinsoku/>
        <w:wordWrap/>
        <w:overflowPunct/>
        <w:topLinePunct w:val="0"/>
        <w:bidi w:val="0"/>
        <w:snapToGrid/>
        <w:ind w:firstLine="640" w:firstLineChars="200"/>
        <w:textAlignment w:val="auto"/>
        <w:outlineLvl w:val="0"/>
        <w:rPr>
          <w:rFonts w:hint="eastAsia" w:asciiTheme="minorEastAsia" w:hAnsiTheme="minorEastAsia"/>
          <w:bCs/>
          <w:kern w:val="0"/>
          <w:sz w:val="32"/>
          <w:szCs w:val="32"/>
          <w:highlight w:val="none"/>
          <w:lang w:val="en-US" w:eastAsia="zh-CN"/>
        </w:rPr>
      </w:pPr>
      <w:r>
        <w:rPr>
          <w:rFonts w:hint="eastAsia" w:asciiTheme="minorEastAsia" w:hAnsiTheme="minorEastAsia"/>
          <w:bCs/>
          <w:kern w:val="0"/>
          <w:sz w:val="32"/>
          <w:szCs w:val="32"/>
          <w:highlight w:val="none"/>
          <w:lang w:val="en-US" w:eastAsia="zh-CN"/>
        </w:rPr>
        <w:t>全市网络安全和信息化工作（此项内容涉密，依法不予公开）</w:t>
      </w:r>
    </w:p>
    <w:p>
      <w:pPr>
        <w:keepNext w:val="0"/>
        <w:keepLines w:val="0"/>
        <w:pageBreakBefore w:val="0"/>
        <w:kinsoku/>
        <w:wordWrap/>
        <w:overflowPunct/>
        <w:topLinePunct w:val="0"/>
        <w:bidi w:val="0"/>
        <w:snapToGrid/>
        <w:ind w:firstLine="640" w:firstLineChars="200"/>
        <w:textAlignment w:val="auto"/>
        <w:outlineLvl w:val="0"/>
        <w:rPr>
          <w:rFonts w:hint="eastAsia" w:asciiTheme="minorEastAsia" w:hAnsiTheme="minorEastAsia"/>
          <w:b/>
          <w:bCs w:val="0"/>
          <w:kern w:val="0"/>
          <w:sz w:val="32"/>
          <w:szCs w:val="32"/>
          <w:highlight w:val="none"/>
          <w:lang w:val="en-US" w:eastAsia="zh-CN"/>
        </w:rPr>
      </w:pPr>
      <w:r>
        <w:rPr>
          <w:rFonts w:hint="eastAsia" w:asciiTheme="minorEastAsia" w:hAnsiTheme="minorEastAsia"/>
          <w:b/>
          <w:bCs w:val="0"/>
          <w:kern w:val="0"/>
          <w:sz w:val="32"/>
          <w:szCs w:val="32"/>
          <w:highlight w:val="none"/>
          <w:lang w:val="en-US" w:eastAsia="zh-CN"/>
        </w:rPr>
        <w:t>二、一般公共预算支出情况</w:t>
      </w:r>
    </w:p>
    <w:p>
      <w:pPr>
        <w:keepNext w:val="0"/>
        <w:keepLines w:val="0"/>
        <w:pageBreakBefore w:val="0"/>
        <w:kinsoku/>
        <w:wordWrap/>
        <w:overflowPunct/>
        <w:topLinePunct w:val="0"/>
        <w:bidi w:val="0"/>
        <w:snapToGrid/>
        <w:ind w:firstLine="640" w:firstLineChars="200"/>
        <w:textAlignment w:val="auto"/>
        <w:outlineLvl w:val="0"/>
        <w:rPr>
          <w:rFonts w:hint="eastAsia" w:asciiTheme="minorEastAsia" w:hAnsiTheme="minorEastAsia"/>
          <w:bCs/>
          <w:kern w:val="0"/>
          <w:sz w:val="32"/>
          <w:szCs w:val="32"/>
          <w:highlight w:val="none"/>
          <w:lang w:val="en-US" w:eastAsia="zh-CN"/>
        </w:rPr>
      </w:pPr>
      <w:r>
        <w:rPr>
          <w:rFonts w:hint="eastAsia" w:asciiTheme="minorEastAsia" w:hAnsiTheme="minorEastAsia"/>
          <w:bCs/>
          <w:kern w:val="0"/>
          <w:sz w:val="32"/>
          <w:szCs w:val="32"/>
          <w:highlight w:val="none"/>
          <w:lang w:val="en-US" w:eastAsia="zh-CN"/>
        </w:rPr>
        <w:t>（一）基本支出情况</w:t>
      </w:r>
    </w:p>
    <w:p>
      <w:pPr>
        <w:keepNext w:val="0"/>
        <w:keepLines w:val="0"/>
        <w:pageBreakBefore w:val="0"/>
        <w:kinsoku/>
        <w:wordWrap/>
        <w:overflowPunct/>
        <w:topLinePunct w:val="0"/>
        <w:bidi w:val="0"/>
        <w:snapToGrid/>
        <w:ind w:firstLine="640" w:firstLineChars="200"/>
        <w:textAlignment w:val="auto"/>
        <w:outlineLvl w:val="0"/>
        <w:rPr>
          <w:rFonts w:hint="default" w:asciiTheme="minorEastAsia" w:hAnsiTheme="minorEastAsia"/>
          <w:bCs/>
          <w:kern w:val="0"/>
          <w:sz w:val="32"/>
          <w:szCs w:val="32"/>
          <w:highlight w:val="none"/>
          <w:lang w:val="en-US" w:eastAsia="zh-CN"/>
        </w:rPr>
      </w:pPr>
      <w:r>
        <w:rPr>
          <w:rFonts w:hint="eastAsia" w:asciiTheme="minorEastAsia" w:hAnsiTheme="minorEastAsia"/>
          <w:bCs/>
          <w:kern w:val="0"/>
          <w:sz w:val="32"/>
          <w:szCs w:val="32"/>
          <w:highlight w:val="none"/>
          <w:lang w:val="en-US" w:eastAsia="zh-CN"/>
        </w:rPr>
        <w:t>2021年度基本支出123.35万元，其中工资福利支出118.87万元，占96.37%，公用支出4.48万元，占3.63%。</w:t>
      </w:r>
    </w:p>
    <w:p>
      <w:pPr>
        <w:keepNext w:val="0"/>
        <w:keepLines w:val="0"/>
        <w:pageBreakBefore w:val="0"/>
        <w:kinsoku/>
        <w:wordWrap/>
        <w:overflowPunct/>
        <w:topLinePunct w:val="0"/>
        <w:bidi w:val="0"/>
        <w:snapToGrid/>
        <w:ind w:firstLine="640" w:firstLineChars="200"/>
        <w:textAlignment w:val="auto"/>
        <w:outlineLvl w:val="0"/>
        <w:rPr>
          <w:rFonts w:hint="eastAsia" w:asciiTheme="minorEastAsia" w:hAnsiTheme="minorEastAsia"/>
          <w:bCs/>
          <w:kern w:val="0"/>
          <w:sz w:val="32"/>
          <w:szCs w:val="32"/>
          <w:highlight w:val="none"/>
          <w:lang w:val="en-US" w:eastAsia="zh-CN"/>
        </w:rPr>
      </w:pPr>
      <w:r>
        <w:rPr>
          <w:rFonts w:hint="eastAsia" w:asciiTheme="minorEastAsia" w:hAnsiTheme="minorEastAsia"/>
          <w:bCs/>
          <w:kern w:val="0"/>
          <w:sz w:val="32"/>
          <w:szCs w:val="32"/>
          <w:highlight w:val="none"/>
          <w:lang w:val="en-US" w:eastAsia="zh-CN"/>
        </w:rPr>
        <w:t>（二）项目支出情况</w:t>
      </w:r>
    </w:p>
    <w:p>
      <w:pPr>
        <w:keepNext w:val="0"/>
        <w:keepLines w:val="0"/>
        <w:pageBreakBefore w:val="0"/>
        <w:kinsoku/>
        <w:wordWrap/>
        <w:overflowPunct/>
        <w:topLinePunct w:val="0"/>
        <w:bidi w:val="0"/>
        <w:snapToGrid/>
        <w:ind w:firstLine="640" w:firstLineChars="200"/>
        <w:textAlignment w:val="auto"/>
        <w:outlineLvl w:val="0"/>
        <w:rPr>
          <w:rFonts w:hint="eastAsia" w:asciiTheme="minorEastAsia" w:hAnsiTheme="minorEastAsia"/>
          <w:bCs/>
          <w:kern w:val="0"/>
          <w:sz w:val="32"/>
          <w:szCs w:val="32"/>
          <w:highlight w:val="none"/>
          <w:lang w:val="en-US" w:eastAsia="zh-CN"/>
        </w:rPr>
      </w:pPr>
      <w:r>
        <w:rPr>
          <w:rFonts w:hint="eastAsia" w:asciiTheme="minorEastAsia" w:hAnsiTheme="minorEastAsia"/>
          <w:bCs/>
          <w:kern w:val="0"/>
          <w:sz w:val="32"/>
          <w:szCs w:val="32"/>
          <w:highlight w:val="none"/>
          <w:lang w:val="en-US" w:eastAsia="zh-CN"/>
        </w:rPr>
        <w:t>1.专项资金安排落实、总投入等情况分析</w:t>
      </w:r>
    </w:p>
    <w:p>
      <w:pPr>
        <w:keepNext w:val="0"/>
        <w:keepLines w:val="0"/>
        <w:pageBreakBefore w:val="0"/>
        <w:kinsoku/>
        <w:wordWrap/>
        <w:overflowPunct/>
        <w:topLinePunct w:val="0"/>
        <w:bidi w:val="0"/>
        <w:snapToGrid/>
        <w:ind w:firstLine="640" w:firstLineChars="200"/>
        <w:textAlignment w:val="auto"/>
        <w:outlineLvl w:val="0"/>
        <w:rPr>
          <w:rFonts w:hint="default" w:asciiTheme="minorEastAsia" w:hAnsiTheme="minorEastAsia"/>
          <w:bCs/>
          <w:kern w:val="0"/>
          <w:sz w:val="32"/>
          <w:szCs w:val="32"/>
          <w:highlight w:val="none"/>
          <w:lang w:val="en-US" w:eastAsia="zh-CN"/>
        </w:rPr>
      </w:pPr>
      <w:r>
        <w:rPr>
          <w:rFonts w:hint="eastAsia" w:asciiTheme="minorEastAsia" w:hAnsiTheme="minorEastAsia"/>
          <w:bCs/>
          <w:kern w:val="0"/>
          <w:sz w:val="32"/>
          <w:szCs w:val="32"/>
          <w:highlight w:val="none"/>
          <w:lang w:val="en-US" w:eastAsia="zh-CN"/>
        </w:rPr>
        <w:t>2021年度专项资金年初预算安排60万元，实际到位57.8万元，其中网络安全监测、维护等57.8万元。</w:t>
      </w:r>
    </w:p>
    <w:p>
      <w:pPr>
        <w:keepNext w:val="0"/>
        <w:keepLines w:val="0"/>
        <w:pageBreakBefore w:val="0"/>
        <w:kinsoku/>
        <w:wordWrap/>
        <w:overflowPunct/>
        <w:topLinePunct w:val="0"/>
        <w:bidi w:val="0"/>
        <w:snapToGrid/>
        <w:ind w:firstLine="640" w:firstLineChars="200"/>
        <w:textAlignment w:val="auto"/>
        <w:outlineLvl w:val="0"/>
        <w:rPr>
          <w:rFonts w:hint="eastAsia" w:asciiTheme="minorEastAsia" w:hAnsiTheme="minorEastAsia"/>
          <w:bCs/>
          <w:kern w:val="0"/>
          <w:sz w:val="32"/>
          <w:szCs w:val="32"/>
          <w:highlight w:val="none"/>
          <w:lang w:val="en-US" w:eastAsia="zh-CN"/>
        </w:rPr>
      </w:pPr>
      <w:r>
        <w:rPr>
          <w:rFonts w:hint="eastAsia" w:asciiTheme="minorEastAsia" w:hAnsiTheme="minorEastAsia"/>
          <w:bCs/>
          <w:kern w:val="0"/>
          <w:sz w:val="32"/>
          <w:szCs w:val="32"/>
          <w:highlight w:val="none"/>
          <w:lang w:val="en-US" w:eastAsia="zh-CN"/>
        </w:rPr>
        <w:t>2.专项资金实际使用情况分析</w:t>
      </w:r>
    </w:p>
    <w:p>
      <w:pPr>
        <w:keepNext w:val="0"/>
        <w:keepLines w:val="0"/>
        <w:pageBreakBefore w:val="0"/>
        <w:kinsoku/>
        <w:wordWrap/>
        <w:overflowPunct/>
        <w:topLinePunct w:val="0"/>
        <w:bidi w:val="0"/>
        <w:snapToGrid/>
        <w:ind w:firstLine="640" w:firstLineChars="200"/>
        <w:textAlignment w:val="auto"/>
        <w:outlineLvl w:val="0"/>
        <w:rPr>
          <w:rFonts w:hint="default" w:asciiTheme="minorEastAsia" w:hAnsiTheme="minorEastAsia"/>
          <w:bCs/>
          <w:kern w:val="0"/>
          <w:sz w:val="32"/>
          <w:szCs w:val="32"/>
          <w:highlight w:val="none"/>
          <w:lang w:val="en-US" w:eastAsia="zh-CN"/>
        </w:rPr>
      </w:pPr>
      <w:r>
        <w:rPr>
          <w:rFonts w:hint="eastAsia" w:asciiTheme="minorEastAsia" w:hAnsiTheme="minorEastAsia"/>
          <w:bCs/>
          <w:kern w:val="0"/>
          <w:sz w:val="32"/>
          <w:szCs w:val="32"/>
          <w:highlight w:val="none"/>
          <w:lang w:val="en-US" w:eastAsia="zh-CN"/>
        </w:rPr>
        <w:t>2021年度专项资金实际使用57.8万元，其中网络安全监测、维护支出57.8万元。</w:t>
      </w:r>
    </w:p>
    <w:p>
      <w:pPr>
        <w:keepNext w:val="0"/>
        <w:keepLines w:val="0"/>
        <w:pageBreakBefore w:val="0"/>
        <w:kinsoku/>
        <w:wordWrap/>
        <w:overflowPunct/>
        <w:topLinePunct w:val="0"/>
        <w:bidi w:val="0"/>
        <w:snapToGrid/>
        <w:ind w:firstLine="640" w:firstLineChars="200"/>
        <w:textAlignment w:val="auto"/>
        <w:outlineLvl w:val="0"/>
        <w:rPr>
          <w:rFonts w:hint="eastAsia" w:asciiTheme="minorEastAsia" w:hAnsiTheme="minorEastAsia"/>
          <w:bCs/>
          <w:kern w:val="0"/>
          <w:sz w:val="32"/>
          <w:szCs w:val="32"/>
          <w:highlight w:val="none"/>
          <w:lang w:val="en-US" w:eastAsia="zh-CN"/>
        </w:rPr>
      </w:pPr>
      <w:r>
        <w:rPr>
          <w:rFonts w:hint="eastAsia" w:asciiTheme="minorEastAsia" w:hAnsiTheme="minorEastAsia"/>
          <w:bCs/>
          <w:kern w:val="0"/>
          <w:sz w:val="32"/>
          <w:szCs w:val="32"/>
          <w:highlight w:val="none"/>
          <w:lang w:val="en-US" w:eastAsia="zh-CN"/>
        </w:rPr>
        <w:t>3.专项资金管理情况分析</w:t>
      </w:r>
    </w:p>
    <w:p>
      <w:pPr>
        <w:keepNext w:val="0"/>
        <w:keepLines w:val="0"/>
        <w:pageBreakBefore w:val="0"/>
        <w:kinsoku/>
        <w:wordWrap/>
        <w:overflowPunct/>
        <w:topLinePunct w:val="0"/>
        <w:bidi w:val="0"/>
        <w:snapToGrid/>
        <w:ind w:firstLine="640" w:firstLineChars="200"/>
        <w:textAlignment w:val="auto"/>
        <w:outlineLvl w:val="0"/>
        <w:rPr>
          <w:rFonts w:hint="default" w:asciiTheme="minorEastAsia" w:hAnsiTheme="minorEastAsia"/>
          <w:bCs/>
          <w:kern w:val="0"/>
          <w:sz w:val="32"/>
          <w:szCs w:val="32"/>
          <w:highlight w:val="none"/>
          <w:lang w:val="en-US" w:eastAsia="zh-CN"/>
        </w:rPr>
      </w:pPr>
      <w:r>
        <w:rPr>
          <w:rFonts w:hint="eastAsia" w:asciiTheme="minorEastAsia" w:hAnsiTheme="minorEastAsia"/>
          <w:bCs/>
          <w:kern w:val="0"/>
          <w:sz w:val="32"/>
          <w:szCs w:val="32"/>
          <w:highlight w:val="none"/>
          <w:lang w:val="en-US" w:eastAsia="zh-CN"/>
        </w:rPr>
        <w:t>2021年本单位的专项资金严格按照专项资金管理办法管理。</w:t>
      </w:r>
    </w:p>
    <w:p>
      <w:pPr>
        <w:keepNext w:val="0"/>
        <w:keepLines w:val="0"/>
        <w:pageBreakBefore w:val="0"/>
        <w:kinsoku/>
        <w:wordWrap/>
        <w:overflowPunct/>
        <w:topLinePunct w:val="0"/>
        <w:bidi w:val="0"/>
        <w:snapToGrid/>
        <w:ind w:firstLine="640" w:firstLineChars="200"/>
        <w:textAlignment w:val="auto"/>
        <w:outlineLvl w:val="0"/>
        <w:rPr>
          <w:rFonts w:hint="eastAsia" w:asciiTheme="minorEastAsia" w:hAnsiTheme="minorEastAsia"/>
          <w:b/>
          <w:bCs w:val="0"/>
          <w:kern w:val="0"/>
          <w:sz w:val="32"/>
          <w:szCs w:val="32"/>
          <w:highlight w:val="none"/>
          <w:lang w:val="en-US" w:eastAsia="zh-CN"/>
        </w:rPr>
      </w:pPr>
      <w:r>
        <w:rPr>
          <w:rFonts w:hint="eastAsia" w:asciiTheme="minorEastAsia" w:hAnsiTheme="minorEastAsia"/>
          <w:b/>
          <w:bCs w:val="0"/>
          <w:kern w:val="0"/>
          <w:sz w:val="32"/>
          <w:szCs w:val="32"/>
          <w:highlight w:val="none"/>
          <w:lang w:val="en-US" w:eastAsia="zh-CN"/>
        </w:rPr>
        <w:t>三、政府性基金预算支出情况</w:t>
      </w:r>
    </w:p>
    <w:p>
      <w:pPr>
        <w:keepNext w:val="0"/>
        <w:keepLines w:val="0"/>
        <w:pageBreakBefore w:val="0"/>
        <w:kinsoku/>
        <w:wordWrap/>
        <w:overflowPunct/>
        <w:topLinePunct w:val="0"/>
        <w:bidi w:val="0"/>
        <w:snapToGrid/>
        <w:ind w:firstLine="640" w:firstLineChars="200"/>
        <w:textAlignment w:val="auto"/>
        <w:outlineLvl w:val="0"/>
        <w:rPr>
          <w:rFonts w:hint="eastAsia" w:asciiTheme="minorEastAsia" w:hAnsiTheme="minorEastAsia"/>
          <w:bCs/>
          <w:kern w:val="0"/>
          <w:sz w:val="32"/>
          <w:szCs w:val="32"/>
          <w:highlight w:val="none"/>
          <w:lang w:val="en-US" w:eastAsia="zh-CN"/>
        </w:rPr>
      </w:pPr>
      <w:r>
        <w:rPr>
          <w:rFonts w:hint="eastAsia" w:asciiTheme="minorEastAsia" w:hAnsiTheme="minorEastAsia"/>
          <w:bCs/>
          <w:kern w:val="0"/>
          <w:sz w:val="32"/>
          <w:szCs w:val="32"/>
          <w:highlight w:val="none"/>
          <w:lang w:val="en-US" w:eastAsia="zh-CN"/>
        </w:rPr>
        <w:t>2021年度本单位无政府性基金预算安排的支出。</w:t>
      </w:r>
    </w:p>
    <w:p>
      <w:pPr>
        <w:keepNext w:val="0"/>
        <w:keepLines w:val="0"/>
        <w:pageBreakBefore w:val="0"/>
        <w:kinsoku/>
        <w:wordWrap/>
        <w:overflowPunct/>
        <w:topLinePunct w:val="0"/>
        <w:bidi w:val="0"/>
        <w:snapToGrid/>
        <w:ind w:firstLine="640" w:firstLineChars="200"/>
        <w:textAlignment w:val="auto"/>
        <w:outlineLvl w:val="0"/>
        <w:rPr>
          <w:rFonts w:hint="eastAsia" w:asciiTheme="minorEastAsia" w:hAnsiTheme="minorEastAsia"/>
          <w:b/>
          <w:bCs w:val="0"/>
          <w:kern w:val="0"/>
          <w:sz w:val="32"/>
          <w:szCs w:val="32"/>
          <w:highlight w:val="none"/>
          <w:lang w:val="en-US" w:eastAsia="zh-CN"/>
        </w:rPr>
      </w:pPr>
      <w:r>
        <w:rPr>
          <w:rFonts w:hint="eastAsia" w:asciiTheme="minorEastAsia" w:hAnsiTheme="minorEastAsia"/>
          <w:b/>
          <w:bCs w:val="0"/>
          <w:kern w:val="0"/>
          <w:sz w:val="32"/>
          <w:szCs w:val="32"/>
          <w:highlight w:val="none"/>
          <w:lang w:val="en-US" w:eastAsia="zh-CN"/>
        </w:rPr>
        <w:t>四、国有资本经营预算支出情况</w:t>
      </w:r>
    </w:p>
    <w:p>
      <w:pPr>
        <w:keepNext w:val="0"/>
        <w:keepLines w:val="0"/>
        <w:pageBreakBefore w:val="0"/>
        <w:kinsoku/>
        <w:wordWrap/>
        <w:overflowPunct/>
        <w:topLinePunct w:val="0"/>
        <w:bidi w:val="0"/>
        <w:snapToGrid/>
        <w:ind w:firstLine="640" w:firstLineChars="200"/>
        <w:textAlignment w:val="auto"/>
        <w:outlineLvl w:val="0"/>
        <w:rPr>
          <w:rFonts w:hint="eastAsia" w:asciiTheme="minorEastAsia" w:hAnsiTheme="minorEastAsia"/>
          <w:bCs/>
          <w:kern w:val="0"/>
          <w:sz w:val="32"/>
          <w:szCs w:val="32"/>
          <w:highlight w:val="none"/>
          <w:lang w:val="en-US" w:eastAsia="zh-CN"/>
        </w:rPr>
      </w:pPr>
      <w:r>
        <w:rPr>
          <w:rFonts w:hint="eastAsia" w:asciiTheme="minorEastAsia" w:hAnsiTheme="minorEastAsia"/>
          <w:bCs/>
          <w:kern w:val="0"/>
          <w:sz w:val="32"/>
          <w:szCs w:val="32"/>
          <w:highlight w:val="none"/>
          <w:lang w:val="en-US" w:eastAsia="zh-CN"/>
        </w:rPr>
        <w:t>2021年度本单位无国有资本经营预算安排的支出。</w:t>
      </w:r>
    </w:p>
    <w:p>
      <w:pPr>
        <w:keepNext w:val="0"/>
        <w:keepLines w:val="0"/>
        <w:pageBreakBefore w:val="0"/>
        <w:kinsoku/>
        <w:wordWrap/>
        <w:overflowPunct/>
        <w:topLinePunct w:val="0"/>
        <w:bidi w:val="0"/>
        <w:snapToGrid/>
        <w:ind w:firstLine="640" w:firstLineChars="200"/>
        <w:textAlignment w:val="auto"/>
        <w:outlineLvl w:val="0"/>
        <w:rPr>
          <w:rFonts w:hint="eastAsia" w:asciiTheme="minorEastAsia" w:hAnsiTheme="minorEastAsia"/>
          <w:b/>
          <w:bCs w:val="0"/>
          <w:kern w:val="0"/>
          <w:sz w:val="32"/>
          <w:szCs w:val="32"/>
          <w:highlight w:val="none"/>
          <w:lang w:val="en-US" w:eastAsia="zh-CN"/>
        </w:rPr>
      </w:pPr>
      <w:r>
        <w:rPr>
          <w:rFonts w:hint="eastAsia" w:asciiTheme="minorEastAsia" w:hAnsiTheme="minorEastAsia"/>
          <w:b/>
          <w:bCs w:val="0"/>
          <w:kern w:val="0"/>
          <w:sz w:val="32"/>
          <w:szCs w:val="32"/>
          <w:highlight w:val="none"/>
          <w:lang w:val="en-US" w:eastAsia="zh-CN"/>
        </w:rPr>
        <w:t>五、社会保险基金预算支出情况</w:t>
      </w:r>
    </w:p>
    <w:p>
      <w:pPr>
        <w:keepNext w:val="0"/>
        <w:keepLines w:val="0"/>
        <w:pageBreakBefore w:val="0"/>
        <w:kinsoku/>
        <w:wordWrap/>
        <w:overflowPunct/>
        <w:topLinePunct w:val="0"/>
        <w:bidi w:val="0"/>
        <w:snapToGrid/>
        <w:ind w:firstLine="640" w:firstLineChars="200"/>
        <w:textAlignment w:val="auto"/>
        <w:outlineLvl w:val="0"/>
        <w:rPr>
          <w:rFonts w:hint="eastAsia" w:asciiTheme="minorEastAsia" w:hAnsiTheme="minorEastAsia"/>
          <w:bCs/>
          <w:kern w:val="0"/>
          <w:sz w:val="32"/>
          <w:szCs w:val="32"/>
          <w:highlight w:val="none"/>
          <w:lang w:val="en-US" w:eastAsia="zh-CN"/>
        </w:rPr>
      </w:pPr>
      <w:r>
        <w:rPr>
          <w:rFonts w:hint="eastAsia" w:asciiTheme="minorEastAsia" w:hAnsiTheme="minorEastAsia"/>
          <w:bCs/>
          <w:kern w:val="0"/>
          <w:sz w:val="32"/>
          <w:szCs w:val="32"/>
          <w:highlight w:val="none"/>
          <w:lang w:val="en-US" w:eastAsia="zh-CN"/>
        </w:rPr>
        <w:t>2021年度本单位无社会保险基金预算安排的支出。</w:t>
      </w:r>
    </w:p>
    <w:p>
      <w:pPr>
        <w:keepNext w:val="0"/>
        <w:keepLines w:val="0"/>
        <w:pageBreakBefore w:val="0"/>
        <w:numPr>
          <w:ilvl w:val="0"/>
          <w:numId w:val="4"/>
        </w:numPr>
        <w:kinsoku/>
        <w:wordWrap/>
        <w:overflowPunct/>
        <w:topLinePunct w:val="0"/>
        <w:bidi w:val="0"/>
        <w:snapToGrid/>
        <w:ind w:firstLine="640" w:firstLineChars="200"/>
        <w:textAlignment w:val="auto"/>
        <w:outlineLvl w:val="0"/>
        <w:rPr>
          <w:rFonts w:hint="eastAsia" w:asciiTheme="minorEastAsia" w:hAnsiTheme="minorEastAsia"/>
          <w:b/>
          <w:bCs w:val="0"/>
          <w:kern w:val="0"/>
          <w:sz w:val="32"/>
          <w:szCs w:val="32"/>
          <w:highlight w:val="none"/>
          <w:lang w:val="en-US" w:eastAsia="zh-CN"/>
        </w:rPr>
      </w:pPr>
      <w:r>
        <w:rPr>
          <w:rFonts w:hint="eastAsia" w:asciiTheme="minorEastAsia" w:hAnsiTheme="minorEastAsia"/>
          <w:b/>
          <w:bCs w:val="0"/>
          <w:kern w:val="0"/>
          <w:sz w:val="32"/>
          <w:szCs w:val="32"/>
          <w:highlight w:val="none"/>
          <w:lang w:val="en-US" w:eastAsia="zh-CN"/>
        </w:rPr>
        <w:t>部门整体支出绩效情况</w:t>
      </w:r>
    </w:p>
    <w:p>
      <w:pPr>
        <w:keepNext w:val="0"/>
        <w:keepLines w:val="0"/>
        <w:pageBreakBefore w:val="0"/>
        <w:numPr>
          <w:ilvl w:val="0"/>
          <w:numId w:val="0"/>
        </w:numPr>
        <w:kinsoku/>
        <w:wordWrap/>
        <w:overflowPunct/>
        <w:topLinePunct w:val="0"/>
        <w:bidi w:val="0"/>
        <w:snapToGrid/>
        <w:ind w:firstLine="640" w:firstLineChars="200"/>
        <w:textAlignment w:val="auto"/>
        <w:outlineLvl w:val="0"/>
        <w:rPr>
          <w:rFonts w:hint="eastAsia" w:asciiTheme="minorEastAsia" w:hAnsiTheme="minorEastAsia"/>
          <w:bCs/>
          <w:kern w:val="0"/>
          <w:sz w:val="32"/>
          <w:szCs w:val="32"/>
          <w:highlight w:val="none"/>
          <w:lang w:val="en-US" w:eastAsia="zh-CN"/>
        </w:rPr>
      </w:pPr>
      <w:r>
        <w:rPr>
          <w:rFonts w:hint="eastAsia" w:asciiTheme="minorEastAsia" w:hAnsiTheme="minorEastAsia"/>
          <w:bCs/>
          <w:kern w:val="0"/>
          <w:sz w:val="32"/>
          <w:szCs w:val="32"/>
          <w:highlight w:val="none"/>
          <w:lang w:val="en-US" w:eastAsia="zh-CN"/>
        </w:rPr>
        <w:t>2021年，是中国共产党成立100周年，是“十四五”开局之年，也是网信事业快速发展的一年。面对百年变局和世纪疫情交织，全市网信战线深入学习贯彻习近平新时代中国特色社会主义思想，围绕中心、服务大局，主动谋划、积极作为，各项工作深入推进，圆满完成了年度工作任务。</w:t>
      </w:r>
    </w:p>
    <w:p>
      <w:pPr>
        <w:keepNext w:val="0"/>
        <w:keepLines w:val="0"/>
        <w:pageBreakBefore w:val="0"/>
        <w:kinsoku/>
        <w:wordWrap/>
        <w:overflowPunct/>
        <w:topLinePunct w:val="0"/>
        <w:bidi w:val="0"/>
        <w:snapToGrid/>
        <w:ind w:firstLine="640" w:firstLineChars="200"/>
        <w:textAlignment w:val="auto"/>
        <w:outlineLvl w:val="0"/>
        <w:rPr>
          <w:rFonts w:hint="eastAsia" w:asciiTheme="minorEastAsia" w:hAnsiTheme="minorEastAsia"/>
          <w:b/>
          <w:bCs w:val="0"/>
          <w:kern w:val="0"/>
          <w:sz w:val="32"/>
          <w:szCs w:val="32"/>
          <w:highlight w:val="none"/>
          <w:lang w:val="en-US" w:eastAsia="zh-CN"/>
        </w:rPr>
      </w:pPr>
      <w:r>
        <w:rPr>
          <w:rFonts w:hint="eastAsia" w:asciiTheme="minorEastAsia" w:hAnsiTheme="minorEastAsia"/>
          <w:b/>
          <w:bCs w:val="0"/>
          <w:kern w:val="0"/>
          <w:sz w:val="32"/>
          <w:szCs w:val="32"/>
          <w:highlight w:val="none"/>
          <w:lang w:val="en-US" w:eastAsia="zh-CN"/>
        </w:rPr>
        <w:t>七、存在的问题及原因分析</w:t>
      </w:r>
    </w:p>
    <w:p>
      <w:pPr>
        <w:keepNext w:val="0"/>
        <w:keepLines w:val="0"/>
        <w:pageBreakBefore w:val="0"/>
        <w:kinsoku/>
        <w:wordWrap/>
        <w:overflowPunct/>
        <w:topLinePunct w:val="0"/>
        <w:bidi w:val="0"/>
        <w:snapToGrid/>
        <w:ind w:firstLine="640" w:firstLineChars="200"/>
        <w:textAlignment w:val="auto"/>
        <w:outlineLvl w:val="0"/>
        <w:rPr>
          <w:rFonts w:hint="eastAsia" w:asciiTheme="minorEastAsia" w:hAnsiTheme="minorEastAsia"/>
          <w:bCs/>
          <w:kern w:val="0"/>
          <w:sz w:val="32"/>
          <w:szCs w:val="32"/>
          <w:highlight w:val="none"/>
          <w:lang w:val="en-US" w:eastAsia="zh-CN"/>
        </w:rPr>
      </w:pPr>
      <w:r>
        <w:rPr>
          <w:rFonts w:hint="eastAsia" w:asciiTheme="minorEastAsia" w:hAnsiTheme="minorEastAsia"/>
          <w:bCs/>
          <w:kern w:val="0"/>
          <w:sz w:val="32"/>
          <w:szCs w:val="32"/>
          <w:highlight w:val="none"/>
          <w:lang w:val="en-US" w:eastAsia="zh-CN"/>
        </w:rPr>
        <w:t>1、预算编制不够细化。</w:t>
      </w:r>
    </w:p>
    <w:p>
      <w:pPr>
        <w:keepNext w:val="0"/>
        <w:keepLines w:val="0"/>
        <w:pageBreakBefore w:val="0"/>
        <w:kinsoku/>
        <w:wordWrap/>
        <w:overflowPunct/>
        <w:topLinePunct w:val="0"/>
        <w:bidi w:val="0"/>
        <w:snapToGrid/>
        <w:ind w:firstLine="640" w:firstLineChars="200"/>
        <w:textAlignment w:val="auto"/>
        <w:outlineLvl w:val="0"/>
        <w:rPr>
          <w:rFonts w:hint="eastAsia" w:asciiTheme="minorEastAsia" w:hAnsiTheme="minorEastAsia"/>
          <w:bCs/>
          <w:kern w:val="0"/>
          <w:sz w:val="32"/>
          <w:szCs w:val="32"/>
          <w:highlight w:val="none"/>
          <w:lang w:val="en-US" w:eastAsia="zh-CN"/>
        </w:rPr>
      </w:pPr>
      <w:r>
        <w:rPr>
          <w:rFonts w:hint="eastAsia" w:asciiTheme="minorEastAsia" w:hAnsiTheme="minorEastAsia"/>
          <w:bCs/>
          <w:kern w:val="0"/>
          <w:sz w:val="32"/>
          <w:szCs w:val="32"/>
          <w:highlight w:val="none"/>
          <w:lang w:val="en-US" w:eastAsia="zh-CN"/>
        </w:rPr>
        <w:t>2、因财政紧张，经费不足。</w:t>
      </w:r>
    </w:p>
    <w:p>
      <w:pPr>
        <w:keepNext w:val="0"/>
        <w:keepLines w:val="0"/>
        <w:pageBreakBefore w:val="0"/>
        <w:kinsoku/>
        <w:wordWrap/>
        <w:overflowPunct/>
        <w:topLinePunct w:val="0"/>
        <w:bidi w:val="0"/>
        <w:snapToGrid/>
        <w:ind w:firstLine="640" w:firstLineChars="200"/>
        <w:textAlignment w:val="auto"/>
        <w:outlineLvl w:val="0"/>
        <w:rPr>
          <w:rFonts w:hint="eastAsia" w:asciiTheme="minorEastAsia" w:hAnsiTheme="minorEastAsia"/>
          <w:b/>
          <w:bCs w:val="0"/>
          <w:kern w:val="0"/>
          <w:sz w:val="32"/>
          <w:szCs w:val="32"/>
          <w:highlight w:val="none"/>
          <w:lang w:val="en-US" w:eastAsia="zh-CN"/>
        </w:rPr>
      </w:pPr>
      <w:r>
        <w:rPr>
          <w:rFonts w:hint="eastAsia" w:asciiTheme="minorEastAsia" w:hAnsiTheme="minorEastAsia"/>
          <w:b/>
          <w:bCs w:val="0"/>
          <w:kern w:val="0"/>
          <w:sz w:val="32"/>
          <w:szCs w:val="32"/>
          <w:highlight w:val="none"/>
          <w:lang w:val="en-US" w:eastAsia="zh-CN"/>
        </w:rPr>
        <w:t>八、下一步改进措施</w:t>
      </w:r>
    </w:p>
    <w:p>
      <w:pPr>
        <w:keepNext w:val="0"/>
        <w:keepLines w:val="0"/>
        <w:pageBreakBefore w:val="0"/>
        <w:kinsoku/>
        <w:wordWrap/>
        <w:overflowPunct/>
        <w:topLinePunct w:val="0"/>
        <w:bidi w:val="0"/>
        <w:snapToGrid/>
        <w:ind w:firstLine="640" w:firstLineChars="200"/>
        <w:textAlignment w:val="auto"/>
        <w:outlineLvl w:val="0"/>
        <w:rPr>
          <w:rFonts w:hint="eastAsia" w:asciiTheme="minorEastAsia" w:hAnsiTheme="minorEastAsia"/>
          <w:bCs/>
          <w:kern w:val="0"/>
          <w:sz w:val="32"/>
          <w:szCs w:val="32"/>
          <w:highlight w:val="none"/>
          <w:lang w:val="en-US" w:eastAsia="zh-CN"/>
        </w:rPr>
      </w:pPr>
      <w:r>
        <w:rPr>
          <w:rFonts w:hint="eastAsia" w:asciiTheme="minorEastAsia" w:hAnsiTheme="minorEastAsia"/>
          <w:bCs/>
          <w:kern w:val="0"/>
          <w:sz w:val="32"/>
          <w:szCs w:val="32"/>
          <w:highlight w:val="none"/>
          <w:lang w:val="en-US" w:eastAsia="zh-CN"/>
        </w:rPr>
        <w:t>1.细化预算编制工作，认真做好预算的编制。严格按照预算编制的相关制度和要求，公用经费根据单位的年度工作重点和项目专项工作规划，本着“勤俭节约、保障运转”的原则进行预算的编制；编制范围尽可能的全面，不漏项；进一步提高预算编制的科学性、合理性、严谨性和可控性。</w:t>
      </w:r>
    </w:p>
    <w:p>
      <w:pPr>
        <w:keepNext w:val="0"/>
        <w:keepLines w:val="0"/>
        <w:pageBreakBefore w:val="0"/>
        <w:kinsoku/>
        <w:wordWrap/>
        <w:overflowPunct/>
        <w:topLinePunct w:val="0"/>
        <w:bidi w:val="0"/>
        <w:snapToGrid/>
        <w:ind w:firstLine="640" w:firstLineChars="200"/>
        <w:textAlignment w:val="auto"/>
        <w:outlineLvl w:val="0"/>
        <w:rPr>
          <w:rFonts w:hint="eastAsia" w:asciiTheme="minorEastAsia" w:hAnsiTheme="minorEastAsia"/>
          <w:bCs/>
          <w:kern w:val="0"/>
          <w:sz w:val="32"/>
          <w:szCs w:val="32"/>
          <w:highlight w:val="none"/>
          <w:lang w:val="en-US" w:eastAsia="zh-CN"/>
        </w:rPr>
      </w:pPr>
      <w:r>
        <w:rPr>
          <w:rFonts w:hint="eastAsia" w:asciiTheme="minorEastAsia" w:hAnsiTheme="minorEastAsia"/>
          <w:bCs/>
          <w:kern w:val="0"/>
          <w:sz w:val="32"/>
          <w:szCs w:val="32"/>
          <w:highlight w:val="none"/>
          <w:lang w:val="en-US" w:eastAsia="zh-CN"/>
        </w:rPr>
        <w:t>2.努力向上级外取资金。</w:t>
      </w:r>
    </w:p>
    <w:p>
      <w:pPr>
        <w:keepNext w:val="0"/>
        <w:keepLines w:val="0"/>
        <w:pageBreakBefore w:val="0"/>
        <w:kinsoku/>
        <w:wordWrap/>
        <w:overflowPunct/>
        <w:topLinePunct w:val="0"/>
        <w:bidi w:val="0"/>
        <w:snapToGrid/>
        <w:ind w:firstLine="640" w:firstLineChars="200"/>
        <w:jc w:val="left"/>
        <w:textAlignment w:val="auto"/>
        <w:rPr>
          <w:rFonts w:cs="黑体" w:asciiTheme="minorEastAsia" w:hAnsiTheme="minorEastAsia"/>
          <w:color w:val="000000"/>
          <w:kern w:val="0"/>
          <w:sz w:val="32"/>
          <w:szCs w:val="32"/>
          <w:highlight w:val="none"/>
        </w:rPr>
      </w:pPr>
    </w:p>
    <w:p>
      <w:pPr>
        <w:pStyle w:val="6"/>
        <w:rPr>
          <w:rFonts w:cs="黑体" w:asciiTheme="minorEastAsia" w:hAnsiTheme="minorEastAsia"/>
          <w:color w:val="000000"/>
          <w:kern w:val="0"/>
          <w:sz w:val="32"/>
          <w:szCs w:val="32"/>
          <w:highlight w:val="none"/>
        </w:rPr>
      </w:pPr>
    </w:p>
    <w:p>
      <w:pPr>
        <w:pStyle w:val="7"/>
        <w:rPr>
          <w:rFonts w:cs="黑体" w:asciiTheme="minorEastAsia" w:hAnsiTheme="minorEastAsia"/>
          <w:color w:val="000000"/>
          <w:kern w:val="0"/>
          <w:sz w:val="32"/>
          <w:szCs w:val="32"/>
          <w:highlight w:val="none"/>
        </w:rPr>
      </w:pPr>
    </w:p>
    <w:p>
      <w:pPr>
        <w:ind w:firstLine="640" w:firstLineChars="200"/>
        <w:rPr>
          <w:rFonts w:hint="eastAsia" w:asciiTheme="minorEastAsia" w:hAnsiTheme="minorEastAsia" w:eastAsiaTheme="minorEastAsia" w:cstheme="minorEastAsia"/>
          <w:sz w:val="32"/>
          <w:szCs w:val="32"/>
          <w:highlight w:val="none"/>
          <w:lang w:val="en-US" w:eastAsia="zh-CN"/>
        </w:rPr>
      </w:pPr>
    </w:p>
    <w:bookmarkEnd w:id="3"/>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38045"/>
    <w:multiLevelType w:val="singleLevel"/>
    <w:tmpl w:val="A1D38045"/>
    <w:lvl w:ilvl="0" w:tentative="0">
      <w:start w:val="2"/>
      <w:numFmt w:val="decimal"/>
      <w:suff w:val="nothing"/>
      <w:lvlText w:val="（%1）"/>
      <w:lvlJc w:val="left"/>
    </w:lvl>
  </w:abstractNum>
  <w:abstractNum w:abstractNumId="1">
    <w:nsid w:val="16C8B7E5"/>
    <w:multiLevelType w:val="singleLevel"/>
    <w:tmpl w:val="16C8B7E5"/>
    <w:lvl w:ilvl="0" w:tentative="0">
      <w:start w:val="6"/>
      <w:numFmt w:val="chineseCounting"/>
      <w:suff w:val="nothing"/>
      <w:lvlText w:val="%1、"/>
      <w:lvlJc w:val="left"/>
      <w:rPr>
        <w:rFonts w:hint="eastAsia"/>
      </w:rPr>
    </w:lvl>
  </w:abstractNum>
  <w:abstractNum w:abstractNumId="2">
    <w:nsid w:val="2A8A0DC3"/>
    <w:multiLevelType w:val="singleLevel"/>
    <w:tmpl w:val="2A8A0DC3"/>
    <w:lvl w:ilvl="0" w:tentative="0">
      <w:start w:val="3"/>
      <w:numFmt w:val="decimal"/>
      <w:suff w:val="nothing"/>
      <w:lvlText w:val="%1、"/>
      <w:lvlJc w:val="left"/>
    </w:lvl>
  </w:abstractNum>
  <w:abstractNum w:abstractNumId="3">
    <w:nsid w:val="6B1EA1AD"/>
    <w:multiLevelType w:val="singleLevel"/>
    <w:tmpl w:val="6B1EA1AD"/>
    <w:lvl w:ilvl="0" w:tentative="0">
      <w:start w:val="13"/>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ZWQ5YWEyOWZkZDYzYWYzNjliMzQ5M2Q2YzQzOG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1F5145"/>
    <w:rsid w:val="00202C14"/>
    <w:rsid w:val="00202C82"/>
    <w:rsid w:val="00214427"/>
    <w:rsid w:val="00226CB7"/>
    <w:rsid w:val="00264552"/>
    <w:rsid w:val="00264EF9"/>
    <w:rsid w:val="00265724"/>
    <w:rsid w:val="0027426B"/>
    <w:rsid w:val="002D6582"/>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4D19"/>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C4EDA"/>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D3CBD"/>
    <w:rsid w:val="00AF4A9E"/>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AE326B"/>
    <w:rsid w:val="036C3046"/>
    <w:rsid w:val="042858BF"/>
    <w:rsid w:val="0520214C"/>
    <w:rsid w:val="05AB2D7A"/>
    <w:rsid w:val="06403EC7"/>
    <w:rsid w:val="0A0C71A7"/>
    <w:rsid w:val="0BDC033E"/>
    <w:rsid w:val="0D354DA4"/>
    <w:rsid w:val="0D7111BC"/>
    <w:rsid w:val="0F14570A"/>
    <w:rsid w:val="12011292"/>
    <w:rsid w:val="13EF30C2"/>
    <w:rsid w:val="152064EC"/>
    <w:rsid w:val="15A46B04"/>
    <w:rsid w:val="164354EF"/>
    <w:rsid w:val="181A629A"/>
    <w:rsid w:val="1A4B59CE"/>
    <w:rsid w:val="1AB00C49"/>
    <w:rsid w:val="1B33785E"/>
    <w:rsid w:val="1D2D5631"/>
    <w:rsid w:val="1DC04DBC"/>
    <w:rsid w:val="1DEF77E3"/>
    <w:rsid w:val="21920400"/>
    <w:rsid w:val="23D05FCA"/>
    <w:rsid w:val="2436731B"/>
    <w:rsid w:val="24D2652C"/>
    <w:rsid w:val="287E31E4"/>
    <w:rsid w:val="28814192"/>
    <w:rsid w:val="2A4320AF"/>
    <w:rsid w:val="2A840A75"/>
    <w:rsid w:val="2C4969EC"/>
    <w:rsid w:val="2DEC370A"/>
    <w:rsid w:val="2FE7539E"/>
    <w:rsid w:val="34E374EC"/>
    <w:rsid w:val="350C5A51"/>
    <w:rsid w:val="3513157E"/>
    <w:rsid w:val="3601278A"/>
    <w:rsid w:val="36EB2C9D"/>
    <w:rsid w:val="3796672C"/>
    <w:rsid w:val="38167642"/>
    <w:rsid w:val="382E0A5C"/>
    <w:rsid w:val="3A03229B"/>
    <w:rsid w:val="3B40257B"/>
    <w:rsid w:val="3C0637C5"/>
    <w:rsid w:val="3D3872DF"/>
    <w:rsid w:val="3ECC729E"/>
    <w:rsid w:val="3F456695"/>
    <w:rsid w:val="40070708"/>
    <w:rsid w:val="42004560"/>
    <w:rsid w:val="424F7CB9"/>
    <w:rsid w:val="436E048A"/>
    <w:rsid w:val="43F71D59"/>
    <w:rsid w:val="442F6DEA"/>
    <w:rsid w:val="4698623F"/>
    <w:rsid w:val="46BD686B"/>
    <w:rsid w:val="46FE585B"/>
    <w:rsid w:val="4792463B"/>
    <w:rsid w:val="4B3612A5"/>
    <w:rsid w:val="514415AE"/>
    <w:rsid w:val="566A3CE9"/>
    <w:rsid w:val="56CB383E"/>
    <w:rsid w:val="56F05044"/>
    <w:rsid w:val="570C035E"/>
    <w:rsid w:val="57405985"/>
    <w:rsid w:val="575064EA"/>
    <w:rsid w:val="576858CD"/>
    <w:rsid w:val="57AE108B"/>
    <w:rsid w:val="595E6596"/>
    <w:rsid w:val="596926C2"/>
    <w:rsid w:val="59CF7D09"/>
    <w:rsid w:val="59D37D71"/>
    <w:rsid w:val="5ADE2E07"/>
    <w:rsid w:val="5B212FEB"/>
    <w:rsid w:val="5BE01668"/>
    <w:rsid w:val="5BFC022D"/>
    <w:rsid w:val="5C2238AB"/>
    <w:rsid w:val="5C2634BB"/>
    <w:rsid w:val="5ED71199"/>
    <w:rsid w:val="617B314A"/>
    <w:rsid w:val="621233AE"/>
    <w:rsid w:val="652F008A"/>
    <w:rsid w:val="656B5DFB"/>
    <w:rsid w:val="6C116020"/>
    <w:rsid w:val="6F3A4760"/>
    <w:rsid w:val="720F624E"/>
    <w:rsid w:val="724B2C40"/>
    <w:rsid w:val="72B94E61"/>
    <w:rsid w:val="73775FE8"/>
    <w:rsid w:val="75950C25"/>
    <w:rsid w:val="791D513B"/>
    <w:rsid w:val="7A3F5F14"/>
    <w:rsid w:val="7A81558C"/>
    <w:rsid w:val="7AB054DC"/>
    <w:rsid w:val="7B1F5CA4"/>
    <w:rsid w:val="7B273FF1"/>
    <w:rsid w:val="7B2C4744"/>
    <w:rsid w:val="7C825E88"/>
    <w:rsid w:val="7E652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afterLines="0" w:afterAutospacing="0"/>
      <w:ind w:left="420" w:leftChars="200"/>
    </w:pPr>
  </w:style>
  <w:style w:type="paragraph" w:styleId="5">
    <w:name w:val="annotation text"/>
    <w:basedOn w:val="1"/>
    <w:semiHidden/>
    <w:unhideWhenUsed/>
    <w:qFormat/>
    <w:uiPriority w:val="99"/>
    <w:pPr>
      <w:jc w:val="left"/>
    </w:pPr>
  </w:style>
  <w:style w:type="paragraph" w:styleId="6">
    <w:name w:val="Body Text"/>
    <w:basedOn w:val="1"/>
    <w:next w:val="7"/>
    <w:qFormat/>
    <w:uiPriority w:val="99"/>
    <w:pPr>
      <w:spacing w:after="120"/>
    </w:pPr>
  </w:style>
  <w:style w:type="paragraph" w:styleId="7">
    <w:name w:val="toc 5"/>
    <w:basedOn w:val="1"/>
    <w:next w:val="1"/>
    <w:qFormat/>
    <w:uiPriority w:val="0"/>
    <w:pPr>
      <w:ind w:left="1680" w:leftChars="800"/>
    </w:pPr>
  </w:style>
  <w:style w:type="paragraph" w:styleId="8">
    <w:name w:val="Balloon Text"/>
    <w:basedOn w:val="1"/>
    <w:link w:val="17"/>
    <w:semiHidden/>
    <w:unhideWhenUsed/>
    <w:qFormat/>
    <w:uiPriority w:val="99"/>
    <w:rPr>
      <w:sz w:val="18"/>
      <w:szCs w:val="18"/>
    </w:rPr>
  </w:style>
  <w:style w:type="paragraph" w:styleId="9">
    <w:name w:val="footer"/>
    <w:basedOn w:val="1"/>
    <w:link w:val="14"/>
    <w:unhideWhenUsed/>
    <w:qFormat/>
    <w:uiPriority w:val="99"/>
    <w:pPr>
      <w:tabs>
        <w:tab w:val="center" w:pos="4153"/>
        <w:tab w:val="right" w:pos="8306"/>
      </w:tabs>
      <w:snapToGrid w:val="0"/>
      <w:jc w:val="left"/>
    </w:pPr>
    <w:rPr>
      <w:sz w:val="18"/>
      <w:szCs w:val="18"/>
    </w:rPr>
  </w:style>
  <w:style w:type="paragraph" w:styleId="10">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3">
    <w:name w:val="页眉 Char"/>
    <w:basedOn w:val="12"/>
    <w:link w:val="10"/>
    <w:qFormat/>
    <w:uiPriority w:val="99"/>
    <w:rPr>
      <w:sz w:val="18"/>
      <w:szCs w:val="18"/>
    </w:rPr>
  </w:style>
  <w:style w:type="character" w:customStyle="1" w:styleId="14">
    <w:name w:val="页脚 Char"/>
    <w:basedOn w:val="12"/>
    <w:link w:val="9"/>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8"/>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F310-44A4-41A8-A093-92C3262573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8614</Words>
  <Characters>10508</Characters>
  <Lines>69</Lines>
  <Paragraphs>19</Paragraphs>
  <TotalTime>39</TotalTime>
  <ScaleCrop>false</ScaleCrop>
  <LinksUpToDate>false</LinksUpToDate>
  <CharactersWithSpaces>11561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2022-07-27T12:55:00Z</cp:lastPrinted>
  <dcterms:modified xsi:type="dcterms:W3CDTF">2023-09-26T07:45:12Z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759E2B0A42B4483EBCB37321DBDF2073_13</vt:lpwstr>
  </property>
</Properties>
</file>