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asciiTheme="minorEastAsia" w:hAnsiTheme="minorEastAsia" w:eastAsiaTheme="minorEastAsia"/>
          <w:sz w:val="56"/>
          <w:szCs w:val="56"/>
          <w:highlight w:val="none"/>
        </w:rPr>
      </w:pPr>
      <w:bookmarkStart w:id="3" w:name="_GoBack"/>
      <w:bookmarkEnd w:id="3"/>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84"/>
          <w:szCs w:val="84"/>
          <w:highlight w:val="none"/>
        </w:rPr>
      </w:pPr>
    </w:p>
    <w:p>
      <w:pPr>
        <w:pStyle w:val="13"/>
        <w:jc w:val="center"/>
        <w:rPr>
          <w:rFonts w:asciiTheme="minorEastAsia" w:hAnsiTheme="minorEastAsia" w:eastAsiaTheme="minorEastAsia"/>
          <w:sz w:val="84"/>
          <w:szCs w:val="84"/>
          <w:highlight w:val="none"/>
        </w:rPr>
      </w:pPr>
    </w:p>
    <w:p>
      <w:pPr>
        <w:pStyle w:val="13"/>
        <w:jc w:val="center"/>
        <w:rPr>
          <w:rFonts w:hint="eastAsia" w:ascii="仿宋_GB2312" w:hAnsi="仿宋_GB2312" w:eastAsia="仿宋_GB2312" w:cs="仿宋_GB2312"/>
          <w:b w:val="0"/>
          <w:bCs w:val="0"/>
          <w:sz w:val="84"/>
          <w:szCs w:val="84"/>
          <w:highlight w:val="none"/>
        </w:rPr>
      </w:pPr>
      <w:r>
        <w:rPr>
          <w:rFonts w:hint="eastAsia" w:ascii="仿宋_GB2312" w:hAnsi="仿宋_GB2312" w:eastAsia="仿宋_GB2312" w:cs="仿宋_GB2312"/>
          <w:b w:val="0"/>
          <w:bCs w:val="0"/>
          <w:sz w:val="84"/>
          <w:szCs w:val="84"/>
          <w:highlight w:val="none"/>
        </w:rPr>
        <w:t>20</w:t>
      </w:r>
      <w:r>
        <w:rPr>
          <w:rFonts w:hint="eastAsia" w:ascii="仿宋_GB2312" w:hAnsi="仿宋_GB2312" w:eastAsia="仿宋_GB2312" w:cs="仿宋_GB2312"/>
          <w:b w:val="0"/>
          <w:bCs w:val="0"/>
          <w:sz w:val="84"/>
          <w:szCs w:val="84"/>
          <w:highlight w:val="none"/>
          <w:lang w:val="en-US" w:eastAsia="zh-CN"/>
        </w:rPr>
        <w:t>21</w:t>
      </w:r>
      <w:r>
        <w:rPr>
          <w:rFonts w:hint="eastAsia" w:ascii="仿宋_GB2312" w:hAnsi="仿宋_GB2312" w:eastAsia="仿宋_GB2312" w:cs="仿宋_GB2312"/>
          <w:b w:val="0"/>
          <w:bCs w:val="0"/>
          <w:sz w:val="84"/>
          <w:szCs w:val="84"/>
          <w:highlight w:val="none"/>
        </w:rPr>
        <w:t>年度</w:t>
      </w:r>
    </w:p>
    <w:p>
      <w:pPr>
        <w:pStyle w:val="13"/>
        <w:jc w:val="center"/>
        <w:rPr>
          <w:rFonts w:hint="eastAsia" w:ascii="仿宋_GB2312" w:hAnsi="仿宋_GB2312" w:eastAsia="仿宋_GB2312" w:cs="仿宋_GB2312"/>
          <w:b w:val="0"/>
          <w:bCs w:val="0"/>
          <w:sz w:val="84"/>
          <w:szCs w:val="84"/>
          <w:highlight w:val="none"/>
          <w:lang w:eastAsia="zh-CN"/>
        </w:rPr>
      </w:pPr>
      <w:r>
        <w:rPr>
          <w:rFonts w:hint="eastAsia" w:ascii="仿宋_GB2312" w:hAnsi="仿宋_GB2312" w:eastAsia="仿宋_GB2312" w:cs="仿宋_GB2312"/>
          <w:b w:val="0"/>
          <w:bCs w:val="0"/>
          <w:sz w:val="84"/>
          <w:szCs w:val="84"/>
          <w:highlight w:val="none"/>
          <w:lang w:eastAsia="zh-CN"/>
        </w:rPr>
        <w:t>祁阳市人民政府办公室</w:t>
      </w:r>
    </w:p>
    <w:p>
      <w:pPr>
        <w:pStyle w:val="13"/>
        <w:jc w:val="center"/>
        <w:rPr>
          <w:rFonts w:hint="eastAsia" w:ascii="仿宋_GB2312" w:hAnsi="仿宋_GB2312" w:eastAsia="仿宋_GB2312" w:cs="仿宋_GB2312"/>
          <w:b w:val="0"/>
          <w:bCs w:val="0"/>
          <w:sz w:val="84"/>
          <w:szCs w:val="84"/>
          <w:highlight w:val="none"/>
        </w:rPr>
      </w:pPr>
      <w:r>
        <w:rPr>
          <w:rFonts w:hint="eastAsia" w:ascii="仿宋_GB2312" w:hAnsi="仿宋_GB2312" w:eastAsia="仿宋_GB2312" w:cs="仿宋_GB2312"/>
          <w:b w:val="0"/>
          <w:bCs w:val="0"/>
          <w:sz w:val="84"/>
          <w:szCs w:val="84"/>
          <w:highlight w:val="none"/>
        </w:rPr>
        <w:t>部门决算</w:t>
      </w: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w:t>
      </w:r>
      <w:r>
        <w:rPr>
          <w:rFonts w:hint="eastAsia" w:asciiTheme="minorEastAsia" w:hAnsiTheme="minorEastAsia" w:eastAsiaTheme="minorEastAsia"/>
          <w:b/>
          <w:sz w:val="36"/>
          <w:szCs w:val="28"/>
          <w:highlight w:val="none"/>
          <w:lang w:val="en-US" w:eastAsia="zh-CN"/>
        </w:rPr>
        <w:t xml:space="preserve"> </w:t>
      </w:r>
      <w:r>
        <w:rPr>
          <w:rFonts w:hint="eastAsia" w:asciiTheme="minorEastAsia" w:hAnsiTheme="minorEastAsia" w:eastAsiaTheme="minorEastAsia"/>
          <w:b/>
          <w:sz w:val="36"/>
          <w:szCs w:val="28"/>
          <w:highlight w:val="none"/>
        </w:rPr>
        <w:t>录</w:t>
      </w:r>
    </w:p>
    <w:p>
      <w:pPr>
        <w:pStyle w:val="13"/>
        <w:keepNext w:val="0"/>
        <w:keepLines w:val="0"/>
        <w:pageBreakBefore w:val="0"/>
        <w:widowControl w:val="0"/>
        <w:kinsoku/>
        <w:wordWrap/>
        <w:overflowPunct/>
        <w:topLinePunct w:val="0"/>
        <w:bidi w:val="0"/>
        <w:snapToGrid/>
        <w:spacing w:line="490" w:lineRule="exact"/>
        <w:ind w:firstLine="281" w:firstLineChars="100"/>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 xml:space="preserve"> 祁阳市人民政府办公室单位</w:t>
      </w:r>
      <w:r>
        <w:rPr>
          <w:rFonts w:hint="eastAsia" w:asciiTheme="minorEastAsia" w:hAnsiTheme="minorEastAsia" w:eastAsiaTheme="minorEastAsia"/>
          <w:b/>
          <w:sz w:val="28"/>
          <w:szCs w:val="28"/>
          <w:highlight w:val="none"/>
        </w:rPr>
        <w:t>概况</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3"/>
        <w:keepNext w:val="0"/>
        <w:keepLines w:val="0"/>
        <w:pageBreakBefore w:val="0"/>
        <w:widowControl w:val="0"/>
        <w:kinsoku/>
        <w:wordWrap/>
        <w:overflowPunct/>
        <w:topLinePunct w:val="0"/>
        <w:bidi w:val="0"/>
        <w:snapToGrid/>
        <w:spacing w:line="490" w:lineRule="exact"/>
        <w:ind w:firstLine="281" w:firstLineChars="100"/>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3"/>
        <w:keepNext w:val="0"/>
        <w:keepLines w:val="0"/>
        <w:pageBreakBefore w:val="0"/>
        <w:widowControl w:val="0"/>
        <w:kinsoku/>
        <w:wordWrap/>
        <w:overflowPunct/>
        <w:topLinePunct w:val="0"/>
        <w:bidi w:val="0"/>
        <w:snapToGrid/>
        <w:spacing w:line="490" w:lineRule="exact"/>
        <w:ind w:firstLine="562" w:firstLineChars="200"/>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十三、2021年度预算绩效情况说明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lang w:val="en-US" w:eastAsia="zh-CN"/>
        </w:rPr>
      </w:pPr>
      <w:r>
        <w:rPr>
          <w:rFonts w:hint="eastAsia" w:cs="仿宋_GB2312" w:asciiTheme="minorEastAsia" w:hAnsiTheme="minorEastAsia" w:eastAsiaTheme="minorEastAsia"/>
          <w:sz w:val="28"/>
          <w:szCs w:val="28"/>
          <w:highlight w:val="none"/>
          <w:lang w:val="en-US" w:eastAsia="zh-CN"/>
        </w:rPr>
        <w:t>十四、国有资本经营预算财政拨款支出决算情况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562" w:firstLineChars="200"/>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w:t>
      </w:r>
      <w:r>
        <w:rPr>
          <w:rFonts w:hint="eastAsia" w:cs="黑体" w:asciiTheme="minorEastAsia" w:hAnsiTheme="minorEastAsia"/>
          <w:b/>
          <w:color w:val="000000"/>
          <w:kern w:val="0"/>
          <w:sz w:val="28"/>
          <w:szCs w:val="28"/>
          <w:highlight w:val="none"/>
          <w:lang w:val="en-US" w:eastAsia="zh-CN"/>
        </w:rPr>
        <w:t xml:space="preserve">  </w:t>
      </w:r>
      <w:r>
        <w:rPr>
          <w:rFonts w:cs="黑体" w:asciiTheme="minorEastAsia" w:hAnsiTheme="minorEastAsia"/>
          <w:b/>
          <w:color w:val="000000"/>
          <w:kern w:val="0"/>
          <w:sz w:val="28"/>
          <w:szCs w:val="28"/>
          <w:highlight w:val="none"/>
        </w:rPr>
        <w:t>名词解释</w:t>
      </w:r>
    </w:p>
    <w:p>
      <w:pPr>
        <w:keepNext w:val="0"/>
        <w:keepLines w:val="0"/>
        <w:pageBreakBefore w:val="0"/>
        <w:widowControl w:val="0"/>
        <w:kinsoku/>
        <w:wordWrap/>
        <w:overflowPunct/>
        <w:topLinePunct w:val="0"/>
        <w:autoSpaceDE w:val="0"/>
        <w:autoSpaceDN w:val="0"/>
        <w:bidi w:val="0"/>
        <w:adjustRightInd w:val="0"/>
        <w:snapToGrid/>
        <w:spacing w:line="490" w:lineRule="exact"/>
        <w:ind w:firstLine="562" w:firstLineChars="200"/>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w:t>
      </w:r>
      <w:r>
        <w:rPr>
          <w:rFonts w:hint="eastAsia" w:cs="黑体" w:asciiTheme="minorEastAsia" w:hAnsiTheme="minorEastAsia"/>
          <w:b/>
          <w:color w:val="000000"/>
          <w:kern w:val="0"/>
          <w:sz w:val="28"/>
          <w:szCs w:val="28"/>
          <w:highlight w:val="none"/>
          <w:lang w:val="en-US" w:eastAsia="zh-CN"/>
        </w:rPr>
        <w:t xml:space="preserve">  </w:t>
      </w:r>
      <w:r>
        <w:rPr>
          <w:rFonts w:hint="eastAsia" w:cs="黑体" w:asciiTheme="minorEastAsia" w:hAnsiTheme="minorEastAsia"/>
          <w:b/>
          <w:color w:val="000000"/>
          <w:kern w:val="0"/>
          <w:sz w:val="28"/>
          <w:szCs w:val="28"/>
          <w:highlight w:val="none"/>
        </w:rPr>
        <w:t>附件</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3"/>
        <w:jc w:val="center"/>
        <w:rPr>
          <w:rFonts w:hint="eastAsia" w:ascii="仿宋_GB2312" w:hAnsi="仿宋_GB2312" w:eastAsia="仿宋_GB2312" w:cs="仿宋_GB2312"/>
          <w:sz w:val="84"/>
          <w:szCs w:val="84"/>
          <w:highlight w:val="none"/>
        </w:rPr>
      </w:pPr>
      <w:r>
        <w:rPr>
          <w:rFonts w:hint="eastAsia" w:ascii="仿宋_GB2312" w:hAnsi="仿宋_GB2312" w:eastAsia="仿宋_GB2312" w:cs="仿宋_GB2312"/>
          <w:sz w:val="84"/>
          <w:szCs w:val="84"/>
          <w:highlight w:val="none"/>
        </w:rPr>
        <w:t xml:space="preserve">第一部分 </w:t>
      </w:r>
    </w:p>
    <w:p>
      <w:pPr>
        <w:pStyle w:val="13"/>
        <w:jc w:val="center"/>
        <w:rPr>
          <w:rFonts w:hint="eastAsia" w:ascii="仿宋_GB2312" w:hAnsi="仿宋_GB2312" w:eastAsia="仿宋_GB2312" w:cs="仿宋_GB2312"/>
          <w:sz w:val="84"/>
          <w:szCs w:val="84"/>
          <w:highlight w:val="none"/>
        </w:rPr>
      </w:pPr>
    </w:p>
    <w:p>
      <w:pPr>
        <w:pStyle w:val="13"/>
        <w:jc w:val="center"/>
        <w:rPr>
          <w:rFonts w:hint="eastAsia" w:ascii="仿宋_GB2312" w:hAnsi="仿宋_GB2312" w:eastAsia="仿宋_GB2312" w:cs="仿宋_GB2312"/>
          <w:sz w:val="84"/>
          <w:szCs w:val="84"/>
          <w:highlight w:val="none"/>
        </w:rPr>
      </w:pPr>
      <w:r>
        <w:rPr>
          <w:rFonts w:hint="eastAsia" w:ascii="仿宋_GB2312" w:hAnsi="仿宋_GB2312" w:eastAsia="仿宋_GB2312" w:cs="仿宋_GB2312"/>
          <w:sz w:val="84"/>
          <w:szCs w:val="84"/>
          <w:highlight w:val="none"/>
          <w:lang w:eastAsia="zh-CN"/>
        </w:rPr>
        <w:t>祁阳市人民政府办公室单位</w:t>
      </w:r>
      <w:r>
        <w:rPr>
          <w:rFonts w:hint="eastAsia" w:ascii="仿宋_GB2312" w:hAnsi="仿宋_GB2312" w:eastAsia="仿宋_GB2312" w:cs="仿宋_GB2312"/>
          <w:sz w:val="84"/>
          <w:szCs w:val="84"/>
          <w:highlight w:val="none"/>
        </w:rPr>
        <w:t>概况</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hint="eastAsia" w:ascii="黑体" w:hAnsi="黑体" w:eastAsia="黑体"/>
          <w:sz w:val="32"/>
          <w:szCs w:val="32"/>
          <w:highlight w:val="none"/>
          <w:lang w:eastAsia="zh-CN"/>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一、部门职责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1、协助市政府领导同志审核或组织起草以市政府办公室名义发布的公文。</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2、研究市政府各部门、直属单位和各镇人民政府请示市政府的问题，提出审核意见，报市政府领导审批。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3、起草《政府工作报告》和市级领导同志的重要讲话。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4、负责市政府会议的准备工作，协助市政府领导同志组织会议决定事项的实施。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5、根据市政府领导同志的指示或办理公文的需要，对市政府各部门、直属单位之间出现的争议问题提出处理意见，报市政府领导同志决定。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6、负责国务院、省、市政府重要决定、决策贯彻落实的督促检查；负责督促检查市政府各部门、直属单位和各镇人民政府执行市政府决定及市政府领导同志有关指示情况，并及时向市政府领导同志报告。负责市政府有关工作目标管理责任制的拟制、督查和考核。</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7、协助市政府领导同志组织处理须由市政府直接处理的突发事件和重大事故。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8、根据市政府领导同志的批示和市政府的工作部署，对涉及全市经济建设、社会发展和改革开放等全局性工作的重大课题进行调查研究，负责全市经济形势分析，及时反映情况，提出建议；协调全市政府系统的调研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9、收集、整理、传递政务信息，为市政府领导决策和指导工作提供信息服务。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10、负责市政府值班工作，及时向市政府领导同志报告重要情况，并协助处理市政府各部门、直属单位和各镇人民政府向市政府反映的重要问题。处理群众来信来访。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11、协助市政府领导管理</w:t>
      </w:r>
      <w:r>
        <w:rPr>
          <w:rFonts w:hint="eastAsia" w:asciiTheme="minorEastAsia" w:hAnsiTheme="minorEastAsia" w:cstheme="minorEastAsia"/>
          <w:kern w:val="2"/>
          <w:sz w:val="32"/>
          <w:szCs w:val="32"/>
          <w:highlight w:val="none"/>
          <w:lang w:val="en-US" w:eastAsia="zh-CN" w:bidi="ar-SA"/>
        </w:rPr>
        <w:t>市</w:t>
      </w:r>
      <w:r>
        <w:rPr>
          <w:rFonts w:hint="eastAsia" w:asciiTheme="minorEastAsia" w:hAnsiTheme="minorEastAsia" w:eastAsiaTheme="minorEastAsia" w:cstheme="minorEastAsia"/>
          <w:kern w:val="2"/>
          <w:sz w:val="32"/>
          <w:szCs w:val="32"/>
          <w:highlight w:val="none"/>
          <w:lang w:val="en-US" w:eastAsia="zh-CN" w:bidi="ar-SA"/>
        </w:rPr>
        <w:t>政府工作部门、事业单位。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12、贯彻执行国家和省、市有关金融、证券工作的方针、政策和法律法规，组织拟定金融领域有关规范性文件；指导和协调全市金融工作。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13、负责市政府依法行政工作及组织办理人大代表建议、政协委员提案。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14、负责全市禁毒工作。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15、负责全市政府系统办公自动化建设工作。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16、负责市政府机关日常事务。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17、负责市政府办公室和下属事业单位干部职工的思想政治教育、培训、人事、劳资、考核、奖惩等工作，以及纪检监察工作和本办的离退休干部工作。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18、按机构改革的总体要求，负责对下属机构设置、职能配置和人员编制配备等提出调整完善意见，报机构编制部门确定。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19、办理市委、市人民政府和市政府领导同志交办的其他事项。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二、机构设置及决算单位构成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（一）内设机构设置。祁阳市人民政府办公室内设机构包括：文电室、综调室、人事室、督查室、行政事务室、信息室、总值班室、金融室、社会事务发展室等9个职能股室。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（二）决算单位构成。祁阳市人民政府办公室2021年部门决算汇总公开单位构成包括：祁阳市人民政府办公室本级以及祁阳市人民政府发展研究中心单位决算支出。</w:t>
      </w:r>
    </w:p>
    <w:p>
      <w:pPr>
        <w:jc w:val="left"/>
        <w:rPr>
          <w:rFonts w:asciiTheme="minorEastAsia" w:hAnsiTheme="minorEastAsia"/>
          <w:sz w:val="28"/>
          <w:szCs w:val="32"/>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rPr>
        <w:t>第二部分</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lang w:val="en-US" w:eastAsia="zh-CN"/>
        </w:rPr>
        <w:t>2021年度</w:t>
      </w:r>
      <w:r>
        <w:rPr>
          <w:rFonts w:hint="eastAsia" w:asciiTheme="minorEastAsia" w:hAnsiTheme="minorEastAsia"/>
          <w:sz w:val="72"/>
          <w:szCs w:val="72"/>
          <w:highlight w:val="none"/>
        </w:rPr>
        <w:t>部门决算表</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0" w:type="pct"/>
        <w:tblInd w:w="118" w:type="dxa"/>
        <w:tblLayout w:type="autofit"/>
        <w:tblCellMar>
          <w:top w:w="0" w:type="dxa"/>
          <w:left w:w="108" w:type="dxa"/>
          <w:bottom w:w="0" w:type="dxa"/>
          <w:right w:w="108" w:type="dxa"/>
        </w:tblCellMar>
      </w:tblPr>
      <w:tblGrid>
        <w:gridCol w:w="4514"/>
        <w:gridCol w:w="733"/>
        <w:gridCol w:w="2539"/>
        <w:gridCol w:w="4171"/>
        <w:gridCol w:w="883"/>
        <w:gridCol w:w="2493"/>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3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0"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1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 xml:space="preserve">部门： </w:t>
            </w:r>
            <w:r>
              <w:rPr>
                <w:rFonts w:hint="eastAsia" w:ascii="宋体" w:hAnsi="宋体" w:eastAsia="宋体" w:cs="宋体"/>
                <w:color w:val="000000"/>
                <w:kern w:val="0"/>
                <w:sz w:val="20"/>
                <w:szCs w:val="20"/>
                <w:highlight w:val="none"/>
                <w:lang w:eastAsia="zh-CN"/>
              </w:rPr>
              <w:t>祁阳市人民政府办公室</w:t>
            </w:r>
          </w:p>
        </w:tc>
        <w:tc>
          <w:tcPr>
            <w:tcW w:w="23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0"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1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1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81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rPr>
              <w:t>1062.81</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二、外交支出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三、国防支出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四、上级补助收入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四、公共安全支出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五、事业收入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五、教育支出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六、经营收入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六、科学技术支出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37</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七、附属单位上缴收入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七、文化旅游体育与传媒支出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八、其他收入</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八、社会保障和就业支出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rPr>
              <w:t>50.79</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九、卫生健康支出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28.28</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十、节能环保支出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十一、城乡社区支出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十二、农林水支出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267.83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十三、交通运输支出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十四、资源勘探工业信息等支出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十五、商业服务业等支出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十六、金融支出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十七、援助其他地区支出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48</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十八、自然资源海洋气象等支出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49</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十九、住房保障支出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46.33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二十、粮油物资储备支出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二十一、国有资本经营预算支出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二十二、灾害防治及应急管理支出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二十三、其他支出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54</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二十四、债务还本支出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55</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二十五、债务付息支出</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56</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3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二十六、抗疫特别国债安排的支出</w:t>
            </w:r>
          </w:p>
        </w:tc>
        <w:tc>
          <w:tcPr>
            <w:tcW w:w="28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57</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23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1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本年支出合计</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58</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1456.04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使用非财政拨款结余</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结余分配</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59</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年初结转和结余</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年末结转和结余</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61</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136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62</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1456.04</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注：1.本表反映部门本年度的总收支和年末结转结余情况。</w:t>
            </w:r>
          </w:p>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2.本套报表金额单位转换时可能存在尾数误差。</w:t>
            </w:r>
          </w:p>
        </w:tc>
      </w:tr>
    </w:tbl>
    <w:p>
      <w:pPr>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highlight w:val="none"/>
              </w:rPr>
            </w:pPr>
            <w:r>
              <w:rPr>
                <w:rFonts w:hint="eastAsia" w:asciiTheme="minorEastAsia" w:hAnsiTheme="minorEastAsia"/>
                <w:b/>
                <w:bCs/>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公开02表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部门：</w:t>
            </w:r>
            <w:r>
              <w:rPr>
                <w:rFonts w:hint="eastAsia" w:ascii="宋体" w:hAnsi="宋体" w:eastAsia="宋体" w:cs="宋体"/>
                <w:sz w:val="20"/>
                <w:szCs w:val="20"/>
                <w:highlight w:val="none"/>
              </w:rPr>
              <w:t>　</w:t>
            </w:r>
            <w:r>
              <w:rPr>
                <w:rFonts w:hint="eastAsia" w:ascii="宋体" w:hAnsi="宋体" w:eastAsia="宋体" w:cs="宋体"/>
                <w:color w:val="000000"/>
                <w:kern w:val="0"/>
                <w:sz w:val="20"/>
                <w:szCs w:val="20"/>
                <w:highlight w:val="none"/>
                <w:lang w:eastAsia="zh-CN"/>
              </w:rPr>
              <w:t>祁阳市人民政府办公室</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单位：万元</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功能分类</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1456.04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1456.04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1062.81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1062.81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20103</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政府办公厅（室）及相关机构事务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1062.81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1062.81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2010301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958.69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958.69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2010302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104.12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104.12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208</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20805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行政事业单位养老支出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2080505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机关事业单位基本养老保险缴费支出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210</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卫生健康支出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行政事业单位医疗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2101101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行政单位医疗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农林水支出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267.83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267.83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农业农村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2130199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其他农业农村支出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林业和草原</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265.83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265.83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2130202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119.00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119.00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2130299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其他林业和草原支出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146.83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146.83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住房保障支出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22102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住房改革支出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2210201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住房公积金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204"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注：本表反映部门本年度取得的各项收入情况。</w:t>
            </w:r>
          </w:p>
        </w:tc>
      </w:tr>
    </w:tbl>
    <w:p>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7" w:type="pct"/>
        <w:tblInd w:w="93" w:type="dxa"/>
        <w:tblLayout w:type="fixed"/>
        <w:tblCellMar>
          <w:top w:w="0" w:type="dxa"/>
          <w:left w:w="108" w:type="dxa"/>
          <w:bottom w:w="0" w:type="dxa"/>
          <w:right w:w="108" w:type="dxa"/>
        </w:tblCellMar>
      </w:tblPr>
      <w:tblGrid>
        <w:gridCol w:w="1134"/>
        <w:gridCol w:w="4614"/>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5"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kern w:val="0"/>
                <w:sz w:val="20"/>
                <w:szCs w:val="20"/>
                <w:highlight w:val="none"/>
              </w:rPr>
              <w:t>　</w:t>
            </w:r>
            <w:r>
              <w:rPr>
                <w:rFonts w:hint="eastAsia" w:ascii="宋体" w:hAnsi="宋体" w:eastAsia="宋体" w:cs="宋体"/>
                <w:color w:val="000000"/>
                <w:kern w:val="0"/>
                <w:sz w:val="20"/>
                <w:szCs w:val="20"/>
                <w:highlight w:val="none"/>
                <w:lang w:eastAsia="zh-CN"/>
              </w:rPr>
              <w:t>祁阳市人民政府办公室</w:t>
            </w: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5" w:type="pct"/>
            <w:tcBorders>
              <w:top w:val="nil"/>
              <w:left w:val="nil"/>
              <w:bottom w:val="nil"/>
              <w:right w:val="nil"/>
            </w:tcBorders>
            <w:shd w:val="clear" w:color="000000" w:fill="FFFFFF"/>
            <w:noWrap/>
            <w:vAlign w:val="center"/>
          </w:tcPr>
          <w:p>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对附属单位补助支出</w:t>
            </w:r>
          </w:p>
        </w:tc>
      </w:tr>
      <w:tr>
        <w:tblPrEx>
          <w:tblCellMar>
            <w:top w:w="0" w:type="dxa"/>
            <w:left w:w="108" w:type="dxa"/>
            <w:bottom w:w="0" w:type="dxa"/>
            <w:right w:w="108" w:type="dxa"/>
          </w:tblCellMar>
        </w:tblPrEx>
        <w:trPr>
          <w:trHeight w:val="450" w:hRule="atLeast"/>
        </w:trPr>
        <w:tc>
          <w:tcPr>
            <w:tcW w:w="36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149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49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CellMar>
            <w:top w:w="0" w:type="dxa"/>
            <w:left w:w="108" w:type="dxa"/>
            <w:bottom w:w="0" w:type="dxa"/>
            <w:right w:w="108" w:type="dxa"/>
          </w:tblCellMar>
        </w:tblPrEx>
        <w:trPr>
          <w:trHeight w:val="34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1456.04</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1367.81</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88.23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一般公共服务支出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1062.81</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974.58</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88.23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20103</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政府办公厅（室）及相关机构事务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1062.81</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974.58</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88.23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2010301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  行政运行</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958.69</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958.69</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2010302</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  一般行政管理事务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104.12</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15.89</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88.23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208</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社会保障和就业支出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20805</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行政事业单位养老支出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2080505</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  机关事业单位基本养老保险缴费支出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210</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卫生健康支出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21011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行政事业单位医疗</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2101101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 xml:space="preserve">  行政单位医疗</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213</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农林水支出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267.83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267.83</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21301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农业农村</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2.00</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2130199</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  其他农业农村支出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21302</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林业和草原</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265.83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265.83</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2130202</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 xml:space="preserve">  一般行政管理事务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119.00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119.00</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2130299</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 xml:space="preserve">  其他林业和草原支出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146.83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146.83</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221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住房保障支出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46.33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46.33</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22102</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住房改革支出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46.33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46.33</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2210201</w:t>
            </w:r>
          </w:p>
        </w:tc>
        <w:tc>
          <w:tcPr>
            <w:tcW w:w="46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 xml:space="preserve">  住房公积金</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46.33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46.33</w:t>
            </w:r>
          </w:p>
        </w:tc>
        <w:tc>
          <w:tcPr>
            <w:tcW w:w="155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0" w:hRule="atLeast"/>
        </w:trPr>
        <w:tc>
          <w:tcPr>
            <w:tcW w:w="5000" w:type="pct"/>
            <w:gridSpan w:val="8"/>
            <w:tcBorders>
              <w:top w:val="nil"/>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注：本表反映部门本年度各项支出情况。</w:t>
            </w:r>
          </w:p>
        </w:tc>
      </w:tr>
    </w:tbl>
    <w:p>
      <w:pPr>
        <w:widowControl/>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4959"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1085"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4"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公开04表</w:t>
            </w:r>
          </w:p>
        </w:tc>
      </w:tr>
      <w:tr>
        <w:tblPrEx>
          <w:tblCellMar>
            <w:top w:w="0" w:type="dxa"/>
            <w:left w:w="108" w:type="dxa"/>
            <w:bottom w:w="0" w:type="dxa"/>
            <w:right w:w="108" w:type="dxa"/>
          </w:tblCellMar>
        </w:tblPrEx>
        <w:trPr>
          <w:trHeight w:val="300" w:hRule="atLeast"/>
        </w:trPr>
        <w:tc>
          <w:tcPr>
            <w:tcW w:w="1658" w:type="pct"/>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kern w:val="0"/>
                <w:sz w:val="20"/>
                <w:szCs w:val="20"/>
                <w:highlight w:val="none"/>
              </w:rPr>
              <w:t>　</w:t>
            </w:r>
            <w:r>
              <w:rPr>
                <w:rFonts w:hint="eastAsia" w:ascii="宋体" w:hAnsi="宋体" w:eastAsia="宋体" w:cs="宋体"/>
                <w:color w:val="000000"/>
                <w:kern w:val="0"/>
                <w:sz w:val="20"/>
                <w:szCs w:val="20"/>
                <w:highlight w:val="none"/>
                <w:lang w:eastAsia="zh-CN"/>
              </w:rPr>
              <w:t>祁阳市人民政府办公室</w:t>
            </w:r>
          </w:p>
        </w:tc>
        <w:tc>
          <w:tcPr>
            <w:tcW w:w="116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4"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trHeight w:val="630"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国有资本经营预算财政拨款</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4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1062.81</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1062.81</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37</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50.79</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50.79</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28.28</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28.28</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267.83</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267.83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48</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49</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46.33</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46.33</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54</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55</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56</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二十五、债务付息支出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57</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二十六、抗疫特别国债安排的支出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58</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本年支出合计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59</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61</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62</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63</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0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116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64</w:t>
            </w:r>
          </w:p>
        </w:tc>
        <w:tc>
          <w:tcPr>
            <w:tcW w:w="37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48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1456.04</w:t>
            </w:r>
          </w:p>
        </w:tc>
        <w:tc>
          <w:tcPr>
            <w:tcW w:w="5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highlight w:val="none"/>
        </w:rPr>
      </w:pPr>
    </w:p>
    <w:p>
      <w:pPr>
        <w:widowControl/>
        <w:jc w:val="center"/>
        <w:rPr>
          <w:rFonts w:cs="Times New Roman" w:asciiTheme="minorEastAsia" w:hAnsiTheme="minorEastAsia"/>
          <w:kern w:val="0"/>
          <w:sz w:val="36"/>
          <w:szCs w:val="36"/>
          <w:highlight w:val="none"/>
        </w:rPr>
      </w:pPr>
    </w:p>
    <w:p>
      <w:pPr>
        <w:rPr>
          <w:rFonts w:cs="Times New Roman" w:asciiTheme="minorEastAsia" w:hAnsiTheme="minorEastAsia"/>
          <w:kern w:val="0"/>
          <w:sz w:val="32"/>
          <w:szCs w:val="32"/>
          <w:highlight w:val="none"/>
        </w:rPr>
      </w:pPr>
      <w:r>
        <w:rPr>
          <w:rFonts w:cs="Times New Roman" w:asciiTheme="minorEastAsia" w:hAnsiTheme="minorEastAsia"/>
          <w:kern w:val="0"/>
          <w:sz w:val="32"/>
          <w:szCs w:val="32"/>
          <w:highlight w:val="none"/>
        </w:rPr>
        <w:br w:type="page"/>
      </w:r>
    </w:p>
    <w:p>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b/>
          <w:bCs/>
          <w:kern w:val="0"/>
          <w:sz w:val="32"/>
          <w:szCs w:val="32"/>
          <w:highlight w:val="none"/>
        </w:rPr>
        <w:t>一般公共预算财政拨款支出决算表</w:t>
      </w:r>
      <w:bookmarkEnd w:id="1"/>
      <w:r>
        <w:rPr>
          <w:rFonts w:cs="Times New Roman" w:asciiTheme="minorEastAsia" w:hAnsiTheme="minorEastAsia"/>
          <w:b/>
          <w:bCs/>
          <w:color w:val="000000"/>
          <w:kern w:val="0"/>
          <w:sz w:val="32"/>
          <w:szCs w:val="32"/>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9"/>
        <w:tblW w:w="5000" w:type="pct"/>
        <w:jc w:val="center"/>
        <w:tblLayout w:type="fixed"/>
        <w:tblCellMar>
          <w:top w:w="0" w:type="dxa"/>
          <w:left w:w="108" w:type="dxa"/>
          <w:bottom w:w="0" w:type="dxa"/>
          <w:right w:w="108" w:type="dxa"/>
        </w:tblCellMar>
      </w:tblPr>
      <w:tblGrid>
        <w:gridCol w:w="37"/>
        <w:gridCol w:w="1090"/>
        <w:gridCol w:w="40"/>
        <w:gridCol w:w="3185"/>
        <w:gridCol w:w="969"/>
        <w:gridCol w:w="187"/>
        <w:gridCol w:w="981"/>
        <w:gridCol w:w="1886"/>
        <w:gridCol w:w="153"/>
        <w:gridCol w:w="961"/>
        <w:gridCol w:w="1150"/>
        <w:gridCol w:w="1249"/>
        <w:gridCol w:w="2801"/>
        <w:gridCol w:w="750"/>
        <w:gridCol w:w="175"/>
      </w:tblGrid>
      <w:tr>
        <w:tblPrEx>
          <w:tblCellMar>
            <w:top w:w="0" w:type="dxa"/>
            <w:left w:w="108" w:type="dxa"/>
            <w:bottom w:w="0" w:type="dxa"/>
            <w:right w:w="108" w:type="dxa"/>
          </w:tblCellMar>
        </w:tblPrEx>
        <w:trPr>
          <w:gridBefore w:val="1"/>
          <w:gridAfter w:val="1"/>
          <w:wBefore w:w="11" w:type="pct"/>
          <w:wAfter w:w="56" w:type="pct"/>
          <w:trHeight w:val="143" w:hRule="atLeast"/>
          <w:jc w:val="center"/>
        </w:trPr>
        <w:tc>
          <w:tcPr>
            <w:tcW w:w="1751" w:type="pct"/>
            <w:gridSpan w:val="5"/>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 w:val="20"/>
                <w:szCs w:val="20"/>
                <w:highlight w:val="none"/>
              </w:rPr>
            </w:pPr>
          </w:p>
        </w:tc>
        <w:tc>
          <w:tcPr>
            <w:tcW w:w="3180" w:type="pct"/>
            <w:gridSpan w:val="8"/>
            <w:tcBorders>
              <w:top w:val="nil"/>
              <w:left w:val="nil"/>
              <w:bottom w:val="nil"/>
              <w:right w:val="nil"/>
            </w:tcBorders>
            <w:shd w:val="clear" w:color="auto" w:fill="auto"/>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公开05表</w:t>
            </w:r>
          </w:p>
        </w:tc>
      </w:tr>
      <w:tr>
        <w:tblPrEx>
          <w:tblCellMar>
            <w:top w:w="0" w:type="dxa"/>
            <w:left w:w="108" w:type="dxa"/>
            <w:bottom w:w="0" w:type="dxa"/>
            <w:right w:w="108" w:type="dxa"/>
          </w:tblCellMar>
        </w:tblPrEx>
        <w:trPr>
          <w:gridBefore w:val="1"/>
          <w:gridAfter w:val="1"/>
          <w:wBefore w:w="11" w:type="pct"/>
          <w:wAfter w:w="56" w:type="pct"/>
          <w:trHeight w:val="90" w:hRule="atLeast"/>
          <w:jc w:val="center"/>
        </w:trPr>
        <w:tc>
          <w:tcPr>
            <w:tcW w:w="1751" w:type="pct"/>
            <w:gridSpan w:val="5"/>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kern w:val="0"/>
                <w:sz w:val="20"/>
                <w:szCs w:val="20"/>
                <w:highlight w:val="none"/>
                <w:lang w:eastAsia="zh-CN"/>
              </w:rPr>
              <w:t>祁阳市人民政府办公室</w:t>
            </w:r>
          </w:p>
        </w:tc>
        <w:tc>
          <w:tcPr>
            <w:tcW w:w="3180" w:type="pct"/>
            <w:gridSpan w:val="8"/>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gridBefore w:val="1"/>
          <w:gridAfter w:val="1"/>
          <w:wBefore w:w="11" w:type="pct"/>
          <w:wAfter w:w="56" w:type="pct"/>
          <w:trHeight w:val="270" w:hRule="atLeast"/>
          <w:jc w:val="center"/>
        </w:trPr>
        <w:tc>
          <w:tcPr>
            <w:tcW w:w="175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 xml:space="preserve">项 </w:t>
            </w:r>
            <w:r>
              <w:rPr>
                <w:rFonts w:hint="eastAsia" w:ascii="宋体" w:hAnsi="宋体" w:eastAsia="宋体" w:cs="宋体"/>
                <w:b w:val="0"/>
                <w:bCs/>
                <w:color w:val="000000"/>
                <w:kern w:val="0"/>
                <w:sz w:val="21"/>
                <w:szCs w:val="21"/>
                <w:highlight w:val="none"/>
              </w:rPr>
              <w:t xml:space="preserve">   </w:t>
            </w:r>
            <w:r>
              <w:rPr>
                <w:rFonts w:hint="eastAsia" w:ascii="宋体" w:hAnsi="宋体" w:eastAsia="宋体" w:cs="宋体"/>
                <w:b w:val="0"/>
                <w:bCs/>
                <w:kern w:val="0"/>
                <w:sz w:val="21"/>
                <w:szCs w:val="21"/>
                <w:highlight w:val="none"/>
              </w:rPr>
              <w:t>目</w:t>
            </w:r>
          </w:p>
        </w:tc>
        <w:tc>
          <w:tcPr>
            <w:tcW w:w="318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本年支出</w:t>
            </w:r>
          </w:p>
        </w:tc>
      </w:tr>
      <w:tr>
        <w:tblPrEx>
          <w:tblCellMar>
            <w:top w:w="0" w:type="dxa"/>
            <w:left w:w="108" w:type="dxa"/>
            <w:bottom w:w="0" w:type="dxa"/>
            <w:right w:w="108" w:type="dxa"/>
          </w:tblCellMar>
        </w:tblPrEx>
        <w:trPr>
          <w:gridBefore w:val="1"/>
          <w:gridAfter w:val="1"/>
          <w:wBefore w:w="11" w:type="pct"/>
          <w:wAfter w:w="56" w:type="pct"/>
          <w:trHeight w:val="495" w:hRule="atLeast"/>
          <w:jc w:val="center"/>
        </w:trPr>
        <w:tc>
          <w:tcPr>
            <w:tcW w:w="361"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功能分类科目编码</w:t>
            </w:r>
          </w:p>
        </w:tc>
        <w:tc>
          <w:tcPr>
            <w:tcW w:w="139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科目名称</w:t>
            </w:r>
          </w:p>
        </w:tc>
        <w:tc>
          <w:tcPr>
            <w:tcW w:w="96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小计</w:t>
            </w:r>
          </w:p>
        </w:tc>
        <w:tc>
          <w:tcPr>
            <w:tcW w:w="107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基本支出</w:t>
            </w:r>
          </w:p>
        </w:tc>
        <w:tc>
          <w:tcPr>
            <w:tcW w:w="1137" w:type="pct"/>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项目支出</w:t>
            </w:r>
          </w:p>
        </w:tc>
      </w:tr>
      <w:tr>
        <w:tblPrEx>
          <w:tblCellMar>
            <w:top w:w="0" w:type="dxa"/>
            <w:left w:w="108" w:type="dxa"/>
            <w:bottom w:w="0" w:type="dxa"/>
            <w:right w:w="108" w:type="dxa"/>
          </w:tblCellMar>
        </w:tblPrEx>
        <w:trPr>
          <w:gridBefore w:val="1"/>
          <w:gridAfter w:val="1"/>
          <w:wBefore w:w="11" w:type="pct"/>
          <w:wAfter w:w="56" w:type="pct"/>
          <w:trHeight w:val="360" w:hRule="atLeast"/>
          <w:jc w:val="center"/>
        </w:trPr>
        <w:tc>
          <w:tcPr>
            <w:tcW w:w="361"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390"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967"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7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137"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390"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967"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7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137"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1751"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96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0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137" w:type="pct"/>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1751"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967"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1456.04</w:t>
            </w:r>
          </w:p>
        </w:tc>
        <w:tc>
          <w:tcPr>
            <w:tcW w:w="107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1367.81</w:t>
            </w:r>
          </w:p>
        </w:tc>
        <w:tc>
          <w:tcPr>
            <w:tcW w:w="11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88.23</w:t>
            </w: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w:t>
            </w:r>
          </w:p>
        </w:tc>
        <w:tc>
          <w:tcPr>
            <w:tcW w:w="139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一般公共服务支出</w:t>
            </w:r>
          </w:p>
        </w:tc>
        <w:tc>
          <w:tcPr>
            <w:tcW w:w="967"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1062.81</w:t>
            </w:r>
          </w:p>
        </w:tc>
        <w:tc>
          <w:tcPr>
            <w:tcW w:w="107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974.58</w:t>
            </w:r>
          </w:p>
        </w:tc>
        <w:tc>
          <w:tcPr>
            <w:tcW w:w="11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88.23</w:t>
            </w: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20103</w:t>
            </w:r>
          </w:p>
        </w:tc>
        <w:tc>
          <w:tcPr>
            <w:tcW w:w="139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政府办公厅（室）及相关机构事务</w:t>
            </w:r>
          </w:p>
        </w:tc>
        <w:tc>
          <w:tcPr>
            <w:tcW w:w="967"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1062.81</w:t>
            </w:r>
          </w:p>
        </w:tc>
        <w:tc>
          <w:tcPr>
            <w:tcW w:w="107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974.58</w:t>
            </w:r>
          </w:p>
        </w:tc>
        <w:tc>
          <w:tcPr>
            <w:tcW w:w="11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88.23</w:t>
            </w: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2010301</w:t>
            </w:r>
          </w:p>
        </w:tc>
        <w:tc>
          <w:tcPr>
            <w:tcW w:w="139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行政运行</w:t>
            </w:r>
          </w:p>
        </w:tc>
        <w:tc>
          <w:tcPr>
            <w:tcW w:w="967"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958.69</w:t>
            </w:r>
          </w:p>
        </w:tc>
        <w:tc>
          <w:tcPr>
            <w:tcW w:w="107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958.69</w:t>
            </w:r>
          </w:p>
        </w:tc>
        <w:tc>
          <w:tcPr>
            <w:tcW w:w="1137" w:type="pct"/>
            <w:gridSpan w:val="2"/>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2010302</w:t>
            </w:r>
          </w:p>
        </w:tc>
        <w:tc>
          <w:tcPr>
            <w:tcW w:w="139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一般行政管理事务</w:t>
            </w:r>
          </w:p>
        </w:tc>
        <w:tc>
          <w:tcPr>
            <w:tcW w:w="967"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104.12</w:t>
            </w:r>
          </w:p>
        </w:tc>
        <w:tc>
          <w:tcPr>
            <w:tcW w:w="107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15.89</w:t>
            </w:r>
          </w:p>
        </w:tc>
        <w:tc>
          <w:tcPr>
            <w:tcW w:w="11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88.23</w:t>
            </w: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208</w:t>
            </w:r>
          </w:p>
        </w:tc>
        <w:tc>
          <w:tcPr>
            <w:tcW w:w="139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社会保障和就业支出</w:t>
            </w:r>
          </w:p>
        </w:tc>
        <w:tc>
          <w:tcPr>
            <w:tcW w:w="967"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07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137" w:type="pct"/>
            <w:gridSpan w:val="2"/>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20805</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行政事业单位养老支出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2080505</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机关事业单位基本养老保险缴费支出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50.79</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210</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卫生健康支出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21011</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行政事业单位医疗</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2101101</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行政单位医疗</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28.28</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农林水支出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267.83</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267.83</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21301</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农业农村</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2130199</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其他农业农村支出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21302</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林业和草原</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265.83</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265.83</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2130202</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一般行政管理事务</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119.00</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119.00</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2130299</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其他林业和草原支出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146.83</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146.83</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221</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住房保障支出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22102</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住房改革支出</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2210201</w:t>
            </w:r>
          </w:p>
        </w:tc>
        <w:tc>
          <w:tcPr>
            <w:tcW w:w="1390"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住房公积金</w:t>
            </w:r>
          </w:p>
        </w:tc>
        <w:tc>
          <w:tcPr>
            <w:tcW w:w="967"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07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46.33</w:t>
            </w:r>
          </w:p>
        </w:tc>
        <w:tc>
          <w:tcPr>
            <w:tcW w:w="1137" w:type="pct"/>
            <w:gridSpan w:val="2"/>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kern w:val="0"/>
                <w:sz w:val="21"/>
                <w:szCs w:val="21"/>
                <w:highlight w:val="none"/>
                <w:lang w:val="en-US" w:eastAsia="zh-CN" w:bidi="ar-SA"/>
              </w:rPr>
            </w:pPr>
          </w:p>
        </w:tc>
      </w:tr>
      <w:tr>
        <w:tblPrEx>
          <w:tblCellMar>
            <w:top w:w="0" w:type="dxa"/>
            <w:left w:w="108" w:type="dxa"/>
            <w:bottom w:w="0" w:type="dxa"/>
            <w:right w:w="108" w:type="dxa"/>
          </w:tblCellMar>
        </w:tblPrEx>
        <w:trPr>
          <w:gridBefore w:val="1"/>
          <w:gridAfter w:val="1"/>
          <w:wBefore w:w="11" w:type="pct"/>
          <w:wAfter w:w="56" w:type="pct"/>
          <w:trHeight w:val="312" w:hRule="atLeast"/>
          <w:jc w:val="center"/>
        </w:trPr>
        <w:tc>
          <w:tcPr>
            <w:tcW w:w="4932" w:type="pct"/>
            <w:gridSpan w:val="13"/>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highlight w:val="none"/>
              </w:rPr>
            </w:pPr>
            <w:r>
              <w:rPr>
                <w:rFonts w:cs="Times New Roman" w:asciiTheme="minorEastAsia" w:hAnsiTheme="minorEastAsia"/>
                <w:b/>
                <w:bCs/>
                <w:kern w:val="0"/>
                <w:sz w:val="32"/>
                <w:szCs w:val="32"/>
                <w:highlight w:val="none"/>
              </w:rPr>
              <w:br w:type="page"/>
            </w:r>
            <w:bookmarkStart w:id="2" w:name="RANGE!A1:I34"/>
            <w:r>
              <w:rPr>
                <w:rFonts w:hint="eastAsia" w:cs="宋体" w:asciiTheme="minorEastAsia" w:hAnsiTheme="minorEastAsia"/>
                <w:b/>
                <w:bCs/>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公开06表</w:t>
            </w:r>
          </w:p>
        </w:tc>
      </w:tr>
      <w:tr>
        <w:tblPrEx>
          <w:tblCellMar>
            <w:top w:w="0" w:type="dxa"/>
            <w:left w:w="108" w:type="dxa"/>
            <w:bottom w:w="0" w:type="dxa"/>
            <w:right w:w="108" w:type="dxa"/>
          </w:tblCellMar>
        </w:tblPrEx>
        <w:trPr>
          <w:trHeight w:val="113" w:hRule="atLeast"/>
          <w:jc w:val="center"/>
        </w:trPr>
        <w:tc>
          <w:tcPr>
            <w:tcW w:w="1703" w:type="pct"/>
            <w:gridSpan w:val="5"/>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kern w:val="0"/>
                <w:sz w:val="20"/>
                <w:szCs w:val="20"/>
                <w:highlight w:val="none"/>
                <w:lang w:eastAsia="zh-CN"/>
              </w:rPr>
              <w:t>祁阳市人民政府办公室</w:t>
            </w:r>
          </w:p>
        </w:tc>
        <w:tc>
          <w:tcPr>
            <w:tcW w:w="374" w:type="pct"/>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603"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356" w:type="pct"/>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368"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1593" w:type="pct"/>
            <w:gridSpan w:val="4"/>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113" w:hRule="atLeast"/>
          <w:jc w:val="center"/>
        </w:trPr>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10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12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2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3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w:t>
            </w:r>
          </w:p>
        </w:tc>
        <w:tc>
          <w:tcPr>
            <w:tcW w:w="103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工资福利支出</w:t>
            </w:r>
          </w:p>
        </w:tc>
        <w:tc>
          <w:tcPr>
            <w:tcW w:w="31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867.60</w:t>
            </w:r>
          </w:p>
        </w:tc>
        <w:tc>
          <w:tcPr>
            <w:tcW w:w="37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w:t>
            </w:r>
          </w:p>
        </w:tc>
        <w:tc>
          <w:tcPr>
            <w:tcW w:w="603"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商品和服务支出</w:t>
            </w:r>
          </w:p>
        </w:tc>
        <w:tc>
          <w:tcPr>
            <w:tcW w:w="356"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474.65</w:t>
            </w:r>
          </w:p>
        </w:tc>
        <w:tc>
          <w:tcPr>
            <w:tcW w:w="36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w:t>
            </w:r>
          </w:p>
        </w:tc>
        <w:tc>
          <w:tcPr>
            <w:tcW w:w="12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债务利息及费用支出</w:t>
            </w:r>
          </w:p>
        </w:tc>
        <w:tc>
          <w:tcPr>
            <w:tcW w:w="29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30101</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基本工资</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298.85</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30201</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办公费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44.05</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30701</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国内债务付息</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30102</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津贴补贴</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173.34</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30202</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印刷费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47.14</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30702</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国外债务付息</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30103</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奖金</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243.52</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30203</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咨询费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42.00</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资本性支出</w:t>
            </w:r>
          </w:p>
        </w:tc>
        <w:tc>
          <w:tcPr>
            <w:tcW w:w="29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8.57</w:t>
            </w: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30106</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伙食补助费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30204</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手续费</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31001</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房屋建筑物购建</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30107</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绩效工资</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30205</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水费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1.59</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31002</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办公设备购置</w:t>
            </w:r>
          </w:p>
        </w:tc>
        <w:tc>
          <w:tcPr>
            <w:tcW w:w="29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8.57</w:t>
            </w: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30108</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机关事业单位基本养老保险缴费</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50.79</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30206</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电费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5.33</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31003</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专用设备购置</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30109</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职业年金缴费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30207</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邮电费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9.63</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31005</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基础设施建设</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30110</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职工基本医疗保险缴费</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28.28</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30208</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取暖费</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31006</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大型修缮</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30111</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公务员医疗补助缴费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30209</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物业管理费</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31007</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信息网络及软件购置更新</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30112</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其他社会保障缴费</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14.70</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30211</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差旅费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54.16</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31008</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物资储备</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30113</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住房公积金</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46.33</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30212</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因公出国（境）费用</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31009</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土地补偿</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30114</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医疗费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30213</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维修（护）费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30.80</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31010</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安置补助</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30199</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其他工资福利支出</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11.79</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30214</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租赁费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6.65</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31011</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地上附着物和青苗补偿</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对个人和家庭的补助</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16.99</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30215</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会议费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9.51</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31012</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拆迁补偿</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30301</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离休费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30216</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培训费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3.53</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31013</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公务用车购置</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30302</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退休费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30217</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公务接待费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9.71</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31019</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其他交通工具购置</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30303</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退职（役）费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30218</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专用材料费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40.00</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31021</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文物和陈列品购置</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30304</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抚恤金</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10.61</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30224</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被装购置费</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31022</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无形资产购置</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30305</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生活补助</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2.46</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30225</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专用燃料费</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31099</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其他资本性支出</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30306</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救济费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30226</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劳务费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1.91</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其他支出</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30307</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医疗费补助</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30227</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委托业务费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23.26</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39906</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赠与</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30308</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助学金</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30228</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工会经费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33.61</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39907</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国家赔偿费用支出</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30309</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奖励金</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1.09</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30229</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福利费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4.95</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39908</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对民间非营利组织和群众性自治组织补贴</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30310</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个人农业生产补贴</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30231</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公务用车运行维护费</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7.38</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39999</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其他支出</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30311</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代缴社会保险费</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30239</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其他交通费用</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46.80</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30399</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其他对个人和家庭的补助</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2.83</w:t>
            </w: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30240</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税金及附加费用</w:t>
            </w:r>
          </w:p>
        </w:tc>
        <w:tc>
          <w:tcPr>
            <w:tcW w:w="35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6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0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c>
          <w:tcPr>
            <w:tcW w:w="37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30299</w:t>
            </w:r>
          </w:p>
        </w:tc>
        <w:tc>
          <w:tcPr>
            <w:tcW w:w="60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其他商品和服务支出</w:t>
            </w:r>
          </w:p>
        </w:tc>
        <w:tc>
          <w:tcPr>
            <w:tcW w:w="35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52.64</w:t>
            </w:r>
          </w:p>
        </w:tc>
        <w:tc>
          <w:tcPr>
            <w:tcW w:w="36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2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296"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139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人员经费合计</w:t>
            </w:r>
          </w:p>
        </w:tc>
        <w:tc>
          <w:tcPr>
            <w:tcW w:w="3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884.59</w:t>
            </w:r>
          </w:p>
        </w:tc>
        <w:tc>
          <w:tcPr>
            <w:tcW w:w="2999" w:type="pct"/>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公用经费合计</w:t>
            </w:r>
          </w:p>
        </w:tc>
        <w:tc>
          <w:tcPr>
            <w:tcW w:w="296"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483.22</w:t>
            </w:r>
          </w:p>
        </w:tc>
      </w:tr>
      <w:tr>
        <w:tblPrEx>
          <w:tblCellMar>
            <w:top w:w="0" w:type="dxa"/>
            <w:left w:w="108" w:type="dxa"/>
            <w:bottom w:w="0" w:type="dxa"/>
            <w:right w:w="108" w:type="dxa"/>
          </w:tblCellMar>
        </w:tblPrEx>
        <w:trPr>
          <w:trHeight w:val="284" w:hRule="exact"/>
          <w:jc w:val="center"/>
        </w:trPr>
        <w:tc>
          <w:tcPr>
            <w:tcW w:w="5000" w:type="pct"/>
            <w:gridSpan w:val="15"/>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注：本表反映部门本年度一般公共预算财政拨款基本支出明细情况。</w:t>
            </w:r>
          </w:p>
        </w:tc>
      </w:tr>
    </w:tbl>
    <w:p>
      <w:pPr>
        <w:widowControl/>
        <w:jc w:val="center"/>
        <w:rPr>
          <w:rFonts w:hint="eastAsia" w:cs="Times New Roman" w:asciiTheme="minorEastAsia" w:hAnsiTheme="minorEastAsia"/>
          <w:color w:val="000000"/>
          <w:kern w:val="0"/>
          <w:sz w:val="21"/>
          <w:szCs w:val="21"/>
          <w:highlight w:val="none"/>
        </w:rPr>
      </w:pPr>
    </w:p>
    <w:p>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b/>
          <w:bCs/>
          <w:color w:val="000000"/>
          <w:kern w:val="0"/>
          <w:sz w:val="32"/>
          <w:szCs w:val="32"/>
          <w:highlight w:val="none"/>
        </w:rPr>
        <w:t>一般公共预算财政拨款“三公”经费支出决算表</w:t>
      </w:r>
      <w:r>
        <w:rPr>
          <w:rFonts w:cs="Times New Roman" w:asciiTheme="minorEastAsia" w:hAnsiTheme="minorEastAsia"/>
          <w:b/>
          <w:bCs/>
          <w:color w:val="000000"/>
          <w:kern w:val="0"/>
          <w:sz w:val="32"/>
          <w:szCs w:val="32"/>
          <w:highlight w:val="none"/>
        </w:rPr>
        <w:t xml:space="preserve">   </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pPr>
              <w:widowControl/>
              <w:jc w:val="center"/>
              <w:rPr>
                <w:rFonts w:hint="eastAsia" w:ascii="宋体" w:hAnsi="宋体" w:eastAsia="宋体" w:cs="宋体"/>
                <w:kern w:val="0"/>
                <w:sz w:val="20"/>
                <w:szCs w:val="20"/>
                <w:highlight w:val="none"/>
              </w:rPr>
            </w:pPr>
          </w:p>
        </w:tc>
        <w:tc>
          <w:tcPr>
            <w:tcW w:w="2506" w:type="pct"/>
            <w:gridSpan w:val="6"/>
            <w:tcBorders>
              <w:top w:val="nil"/>
              <w:left w:val="nil"/>
              <w:bottom w:val="nil"/>
              <w:right w:val="nil"/>
            </w:tcBorders>
            <w:shd w:val="clear" w:color="auto" w:fill="auto"/>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公开07表</w:t>
            </w:r>
          </w:p>
        </w:tc>
      </w:tr>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kern w:val="0"/>
                <w:sz w:val="20"/>
                <w:szCs w:val="20"/>
                <w:highlight w:val="none"/>
                <w:lang w:eastAsia="zh-CN"/>
              </w:rPr>
              <w:t>祁阳市人民政府办公室</w:t>
            </w:r>
          </w:p>
        </w:tc>
        <w:tc>
          <w:tcPr>
            <w:tcW w:w="2506" w:type="pct"/>
            <w:gridSpan w:val="6"/>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公务用车</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401"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28.00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13.00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highlight w:val="none"/>
              </w:rPr>
            </w:pP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13.00</w:t>
            </w:r>
          </w:p>
        </w:tc>
        <w:tc>
          <w:tcPr>
            <w:tcW w:w="132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15.00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17.09</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7.38</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highlight w:val="none"/>
              </w:rPr>
            </w:pPr>
          </w:p>
        </w:tc>
        <w:tc>
          <w:tcPr>
            <w:tcW w:w="1305"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7.38</w:t>
            </w:r>
          </w:p>
        </w:tc>
        <w:tc>
          <w:tcPr>
            <w:tcW w:w="1242"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9.71</w:t>
            </w:r>
          </w:p>
        </w:tc>
      </w:tr>
    </w:tbl>
    <w:p>
      <w:pPr>
        <w:widowControl/>
        <w:jc w:val="left"/>
        <w:rPr>
          <w:rFonts w:hint="default" w:ascii="Times New Roman" w:hAnsi="Times New Roman" w:cs="Times New Roman"/>
          <w:kern w:val="0"/>
          <w:sz w:val="21"/>
          <w:szCs w:val="21"/>
          <w:highlight w:val="none"/>
        </w:rPr>
      </w:pPr>
      <w:r>
        <w:rPr>
          <w:rFonts w:hint="eastAsia" w:ascii="宋体" w:hAnsi="宋体" w:eastAsia="宋体" w:cs="宋体"/>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kern w:val="0"/>
          <w:sz w:val="21"/>
          <w:szCs w:val="21"/>
          <w:highlight w:val="none"/>
        </w:rPr>
        <w:br w:type="page"/>
      </w:r>
    </w:p>
    <w:p>
      <w:pPr>
        <w:autoSpaceDE w:val="0"/>
        <w:autoSpaceDN w:val="0"/>
        <w:adjustRightInd w:val="0"/>
        <w:ind w:left="315" w:leftChars="150"/>
        <w:jc w:val="left"/>
        <w:rPr>
          <w:rFonts w:cs="宋体" w:asciiTheme="minorEastAsia" w:hAnsiTheme="minorEastAsia"/>
          <w:kern w:val="0"/>
          <w:sz w:val="24"/>
          <w:szCs w:val="24"/>
          <w:highlight w:val="none"/>
        </w:rPr>
      </w:pPr>
    </w:p>
    <w:p>
      <w:pPr>
        <w:widowControl/>
        <w:jc w:val="center"/>
        <w:rPr>
          <w:rFonts w:cs="Times New Roman" w:asciiTheme="minorEastAsia" w:hAnsiTheme="minorEastAsia"/>
          <w:color w:val="000000"/>
          <w:kern w:val="0"/>
          <w:szCs w:val="21"/>
          <w:highlight w:val="none"/>
        </w:rPr>
      </w:pPr>
      <w:r>
        <w:rPr>
          <w:rFonts w:cs="Times New Roman" w:asciiTheme="minorEastAsia" w:hAnsiTheme="minorEastAsia"/>
          <w:b/>
          <w:bCs/>
          <w:kern w:val="0"/>
          <w:sz w:val="32"/>
          <w:szCs w:val="32"/>
          <w:highlight w:val="none"/>
        </w:rPr>
        <w:t>政府性基金预算财政拨款收入支出决算表</w:t>
      </w:r>
      <w:r>
        <w:rPr>
          <w:rFonts w:cs="Times New Roman" w:asciiTheme="minorEastAsia" w:hAnsiTheme="minorEastAsia"/>
          <w:b/>
          <w:bCs/>
          <w:color w:val="000000"/>
          <w:kern w:val="0"/>
          <w:sz w:val="32"/>
          <w:szCs w:val="32"/>
          <w:highlight w:val="none"/>
        </w:rPr>
        <w:t xml:space="preserve">        </w:t>
      </w:r>
      <w:r>
        <w:rPr>
          <w:rFonts w:cs="Times New Roman" w:asciiTheme="minorEastAsia" w:hAnsiTheme="minorEastAsia"/>
          <w:color w:val="000000"/>
          <w:kern w:val="0"/>
          <w:szCs w:val="21"/>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557" w:type="pct"/>
            <w:tcBorders>
              <w:top w:val="nil"/>
              <w:left w:val="nil"/>
              <w:bottom w:val="nil"/>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557" w:type="pct"/>
            <w:tcBorders>
              <w:top w:val="nil"/>
              <w:left w:val="nil"/>
              <w:bottom w:val="nil"/>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1673" w:type="pct"/>
            <w:gridSpan w:val="3"/>
            <w:tcBorders>
              <w:top w:val="nil"/>
              <w:left w:val="nil"/>
              <w:bottom w:val="nil"/>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561" w:type="pct"/>
            <w:tcBorders>
              <w:top w:val="nil"/>
              <w:left w:val="nil"/>
              <w:bottom w:val="nil"/>
              <w:right w:val="nil"/>
            </w:tcBorders>
            <w:shd w:val="clear" w:color="auto" w:fill="auto"/>
            <w:vAlign w:val="center"/>
          </w:tcPr>
          <w:p>
            <w:pPr>
              <w:widowControl/>
              <w:jc w:val="right"/>
              <w:rPr>
                <w:rFonts w:cs="Times New Roman" w:asciiTheme="minorEastAsia" w:hAnsiTheme="minorEastAsia"/>
                <w:b/>
                <w:kern w:val="0"/>
                <w:sz w:val="20"/>
                <w:szCs w:val="20"/>
                <w:highlight w:val="none"/>
              </w:rPr>
            </w:pPr>
            <w:r>
              <w:rPr>
                <w:rFonts w:cs="Times New Roman" w:asciiTheme="minorEastAsia" w:hAnsiTheme="minorEastAsia"/>
                <w:color w:val="000000"/>
                <w:kern w:val="0"/>
                <w:sz w:val="20"/>
                <w:szCs w:val="20"/>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cs="Times New Roman" w:asciiTheme="minorEastAsia" w:hAnsiTheme="minorEastAsia"/>
                <w:b/>
                <w:kern w:val="0"/>
                <w:sz w:val="20"/>
                <w:szCs w:val="20"/>
                <w:highlight w:val="none"/>
              </w:rPr>
            </w:pPr>
            <w:r>
              <w:rPr>
                <w:rFonts w:cs="Times New Roman" w:asciiTheme="minorEastAsia" w:hAnsiTheme="minorEastAsia"/>
                <w:color w:val="000000"/>
                <w:kern w:val="0"/>
                <w:sz w:val="20"/>
                <w:szCs w:val="20"/>
                <w:highlight w:val="none"/>
              </w:rPr>
              <w:t>部门：</w:t>
            </w:r>
            <w:r>
              <w:rPr>
                <w:rFonts w:hint="default" w:ascii="Times New Roman" w:hAnsi="Times New Roman" w:cs="Times New Roman"/>
                <w:color w:val="000000"/>
                <w:kern w:val="0"/>
                <w:sz w:val="20"/>
                <w:szCs w:val="20"/>
                <w:highlight w:val="none"/>
                <w:lang w:eastAsia="zh-CN"/>
              </w:rPr>
              <w:t>祁阳市人民政府办公室</w:t>
            </w:r>
          </w:p>
        </w:tc>
        <w:tc>
          <w:tcPr>
            <w:tcW w:w="557" w:type="pct"/>
            <w:tcBorders>
              <w:top w:val="nil"/>
              <w:left w:val="nil"/>
              <w:bottom w:val="single" w:color="auto" w:sz="4" w:space="0"/>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557" w:type="pct"/>
            <w:tcBorders>
              <w:top w:val="nil"/>
              <w:left w:val="nil"/>
              <w:bottom w:val="single" w:color="auto" w:sz="4" w:space="0"/>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cs="Times New Roman" w:asciiTheme="minorEastAsia" w:hAnsiTheme="minorEastAsia"/>
                <w:b/>
                <w:kern w:val="0"/>
                <w:sz w:val="20"/>
                <w:szCs w:val="20"/>
                <w:highlight w:val="none"/>
              </w:rPr>
            </w:pPr>
          </w:p>
        </w:tc>
        <w:tc>
          <w:tcPr>
            <w:tcW w:w="561" w:type="pct"/>
            <w:tcBorders>
              <w:top w:val="nil"/>
              <w:left w:val="nil"/>
              <w:bottom w:val="single" w:color="auto" w:sz="4" w:space="0"/>
              <w:right w:val="nil"/>
            </w:tcBorders>
            <w:shd w:val="clear" w:color="auto" w:fill="auto"/>
            <w:vAlign w:val="center"/>
          </w:tcPr>
          <w:p>
            <w:pPr>
              <w:widowControl/>
              <w:jc w:val="right"/>
              <w:rPr>
                <w:rFonts w:cs="Times New Roman" w:asciiTheme="minorEastAsia" w:hAnsiTheme="minorEastAsia"/>
                <w:b/>
                <w:kern w:val="0"/>
                <w:sz w:val="20"/>
                <w:szCs w:val="20"/>
                <w:highlight w:val="none"/>
              </w:rPr>
            </w:pPr>
            <w:r>
              <w:rPr>
                <w:rFonts w:cs="Times New Roman" w:asciiTheme="minorEastAsia" w:hAnsiTheme="minorEastAsia"/>
                <w:color w:val="000000"/>
                <w:kern w:val="0"/>
                <w:sz w:val="20"/>
                <w:szCs w:val="20"/>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项 </w:t>
            </w:r>
            <w:r>
              <w:rPr>
                <w:rFonts w:hint="eastAsia" w:ascii="宋体" w:hAnsi="宋体" w:eastAsia="宋体" w:cs="宋体"/>
                <w:b/>
                <w:color w:val="000000"/>
                <w:kern w:val="0"/>
                <w:sz w:val="21"/>
                <w:szCs w:val="21"/>
                <w:highlight w:val="none"/>
              </w:rPr>
              <w:t xml:space="preserve">   </w:t>
            </w:r>
            <w:r>
              <w:rPr>
                <w:rFonts w:hint="eastAsia" w:ascii="宋体" w:hAnsi="宋体" w:eastAsia="宋体" w:cs="宋体"/>
                <w:b/>
                <w:kern w:val="0"/>
                <w:sz w:val="21"/>
                <w:szCs w:val="21"/>
                <w:highlight w:val="none"/>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科目名称</w:t>
            </w: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b/>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b/>
                <w:kern w:val="0"/>
                <w:sz w:val="21"/>
                <w:szCs w:val="21"/>
                <w:highlight w:val="none"/>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b/>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57"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57"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55"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7"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60"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61"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3348" w:type="pct"/>
            <w:gridSpan w:val="6"/>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单位没有政府性基金收入，也没有使用政府性基金安排的支出，故本表无数据</w:t>
            </w:r>
            <w:r>
              <w:rPr>
                <w:rFonts w:hint="eastAsia" w:ascii="宋体" w:hAnsi="宋体" w:eastAsia="宋体" w:cs="宋体"/>
                <w:color w:val="auto"/>
                <w:kern w:val="0"/>
                <w:sz w:val="21"/>
                <w:szCs w:val="21"/>
                <w:highlight w:val="none"/>
                <w:lang w:eastAsia="zh-CN"/>
              </w:rPr>
              <w:t>。</w:t>
            </w: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0"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bl>
    <w:p>
      <w:pPr>
        <w:widowControl/>
        <w:jc w:val="left"/>
        <w:rPr>
          <w:rFonts w:hint="eastAsia" w:cs="Times New Roman" w:asciiTheme="minorEastAsia" w:hAnsiTheme="minorEastAsia" w:eastAsiaTheme="minorEastAsia"/>
          <w:kern w:val="0"/>
          <w:szCs w:val="21"/>
          <w:highlight w:val="none"/>
          <w:lang w:eastAsia="zh-CN"/>
        </w:rPr>
      </w:pPr>
      <w:r>
        <w:rPr>
          <w:rFonts w:hint="eastAsia" w:ascii="宋体" w:hAnsi="宋体" w:eastAsia="宋体" w:cs="宋体"/>
          <w:kern w:val="0"/>
          <w:sz w:val="21"/>
          <w:szCs w:val="21"/>
          <w:highlight w:val="none"/>
        </w:rPr>
        <w:t>注：本表反映部门本年度政府性基金预算财政拨款收入、支出及结转和结余情况</w:t>
      </w:r>
      <w:r>
        <w:rPr>
          <w:rFonts w:hint="eastAsia" w:ascii="宋体" w:hAnsi="宋体" w:eastAsia="宋体" w:cs="宋体"/>
          <w:kern w:val="0"/>
          <w:sz w:val="21"/>
          <w:szCs w:val="21"/>
          <w:highlight w:val="none"/>
          <w:lang w:eastAsia="zh-CN"/>
        </w:rPr>
        <w:t>。</w:t>
      </w:r>
    </w:p>
    <w:p>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highlight w:val="none"/>
              </w:rPr>
            </w:pPr>
            <w:r>
              <w:rPr>
                <w:rFonts w:hint="eastAsia" w:cs="宋体" w:asciiTheme="minorEastAsia" w:hAnsiTheme="minorEastAsia"/>
                <w:b/>
                <w:bCs/>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46"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pPr>
              <w:widowControl/>
              <w:jc w:val="left"/>
              <w:rPr>
                <w:rFonts w:cs="宋体" w:asciiTheme="minorEastAsia" w:hAnsiTheme="minorEastAsia"/>
                <w:kern w:val="0"/>
                <w:sz w:val="20"/>
                <w:szCs w:val="20"/>
                <w:highlight w:val="none"/>
              </w:rPr>
            </w:pPr>
            <w:r>
              <w:rPr>
                <w:rFonts w:hint="eastAsia" w:cs="宋体" w:asciiTheme="minorEastAsia" w:hAnsiTheme="minorEastAsia"/>
                <w:color w:val="000000"/>
                <w:kern w:val="0"/>
                <w:sz w:val="20"/>
                <w:szCs w:val="20"/>
                <w:highlight w:val="none"/>
              </w:rPr>
              <w:t>部门：</w:t>
            </w:r>
            <w:r>
              <w:rPr>
                <w:rFonts w:hint="default" w:ascii="Times New Roman" w:hAnsi="Times New Roman" w:cs="Times New Roman"/>
                <w:color w:val="000000"/>
                <w:kern w:val="0"/>
                <w:sz w:val="20"/>
                <w:szCs w:val="20"/>
                <w:highlight w:val="none"/>
                <w:lang w:eastAsia="zh-CN"/>
              </w:rPr>
              <w:t>祁阳市人民政府办公室</w:t>
            </w:r>
          </w:p>
        </w:tc>
        <w:tc>
          <w:tcPr>
            <w:tcW w:w="1081" w:type="pct"/>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46"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xml:space="preserve">项 </w:t>
            </w:r>
            <w:r>
              <w:rPr>
                <w:rFonts w:hint="eastAsia" w:cs="宋体" w:asciiTheme="minorEastAsia" w:hAnsiTheme="minorEastAsia"/>
                <w:color w:val="000000"/>
                <w:kern w:val="0"/>
                <w:sz w:val="21"/>
                <w:szCs w:val="21"/>
                <w:highlight w:val="none"/>
              </w:rPr>
              <w:t xml:space="preserve">   </w:t>
            </w:r>
            <w:r>
              <w:rPr>
                <w:rFonts w:hint="eastAsia" w:cs="宋体" w:asciiTheme="minorEastAsia" w:hAnsiTheme="minorEastAsia"/>
                <w:kern w:val="0"/>
                <w:sz w:val="21"/>
                <w:szCs w:val="21"/>
                <w:highlight w:val="none"/>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highlight w:val="none"/>
              </w:rPr>
            </w:pP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1"/>
                <w:szCs w:val="21"/>
                <w:highlight w:val="none"/>
              </w:rPr>
            </w:pPr>
          </w:p>
        </w:tc>
      </w:tr>
      <w:tr>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3</w:t>
            </w:r>
          </w:p>
        </w:tc>
      </w:tr>
      <w:tr>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本单位无国有资本经营预算财政拨款支出，故本表无数据</w:t>
            </w:r>
            <w:r>
              <w:rPr>
                <w:rFonts w:hint="eastAsia" w:cs="宋体" w:asciiTheme="minorEastAsia" w:hAnsiTheme="minorEastAsia"/>
                <w:kern w:val="0"/>
                <w:sz w:val="21"/>
                <w:szCs w:val="21"/>
                <w:highlight w:val="none"/>
                <w:lang w:eastAsia="zh-CN"/>
              </w:rPr>
              <w:t>。</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注：本表反映部门本年度国有资本经营预算财政拨款支出情况。</w:t>
            </w:r>
          </w:p>
          <w:p>
            <w:pPr>
              <w:widowControl/>
              <w:ind w:firstLine="420" w:firstLineChars="200"/>
              <w:jc w:val="left"/>
              <w:rPr>
                <w:rFonts w:hint="eastAsia" w:cs="宋体" w:asciiTheme="minorEastAsia" w:hAnsiTheme="minorEastAsia" w:eastAsiaTheme="minorEastAsia"/>
                <w:kern w:val="0"/>
                <w:sz w:val="21"/>
                <w:szCs w:val="21"/>
                <w:highlight w:val="none"/>
                <w:lang w:eastAsia="zh-CN"/>
              </w:rPr>
            </w:pPr>
            <w:r>
              <w:rPr>
                <w:rFonts w:hint="eastAsia" w:cs="宋体" w:asciiTheme="minorEastAsia" w:hAnsiTheme="minorEastAsia"/>
                <w:kern w:val="0"/>
                <w:sz w:val="21"/>
                <w:szCs w:val="21"/>
                <w:highlight w:val="none"/>
              </w:rPr>
              <w:t>本单位无国有资本经营预算财政拨款支出，故本表无数据</w:t>
            </w:r>
            <w:r>
              <w:rPr>
                <w:rFonts w:hint="eastAsia" w:cs="宋体" w:asciiTheme="minorEastAsia" w:hAnsiTheme="minorEastAsia"/>
                <w:kern w:val="0"/>
                <w:sz w:val="21"/>
                <w:szCs w:val="21"/>
                <w:highlight w:val="none"/>
                <w:lang w:eastAsia="zh-CN"/>
              </w:rPr>
              <w:t>。</w:t>
            </w:r>
          </w:p>
        </w:tc>
      </w:tr>
    </w:tbl>
    <w:p>
      <w:pPr>
        <w:pStyle w:val="13"/>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第三部分</w:t>
      </w:r>
    </w:p>
    <w:p>
      <w:pPr>
        <w:pStyle w:val="13"/>
        <w:jc w:val="center"/>
        <w:rPr>
          <w:rFonts w:asciiTheme="minorEastAsia" w:hAnsiTheme="minorEastAsia" w:eastAsiaTheme="minorEastAsia"/>
          <w:sz w:val="70"/>
          <w:szCs w:val="70"/>
          <w:highlight w:val="none"/>
        </w:rPr>
      </w:pPr>
    </w:p>
    <w:p>
      <w:pPr>
        <w:pStyle w:val="13"/>
        <w:jc w:val="center"/>
        <w:rPr>
          <w:rFonts w:asciiTheme="minorEastAsia" w:hAnsiTheme="minorEastAsia" w:eastAsiaTheme="minorEastAsia"/>
          <w:sz w:val="70"/>
          <w:szCs w:val="70"/>
          <w:highlight w:val="none"/>
        </w:rPr>
      </w:pPr>
      <w:r>
        <w:rPr>
          <w:rFonts w:asciiTheme="minorEastAsia" w:hAnsiTheme="minorEastAsia" w:eastAsiaTheme="minorEastAsia"/>
          <w:sz w:val="70"/>
          <w:szCs w:val="70"/>
          <w:highlight w:val="none"/>
        </w:rPr>
        <w:t>20</w:t>
      </w:r>
      <w:r>
        <w:rPr>
          <w:rFonts w:hint="eastAsia" w:asciiTheme="minorEastAsia" w:hAnsiTheme="minorEastAsia" w:eastAsiaTheme="minorEastAsia"/>
          <w:sz w:val="70"/>
          <w:szCs w:val="70"/>
          <w:highlight w:val="none"/>
        </w:rPr>
        <w:t>21年度部门决算情况说明</w:t>
      </w:r>
    </w:p>
    <w:p>
      <w:pPr>
        <w:widowControl/>
        <w:jc w:val="left"/>
        <w:rPr>
          <w:rFonts w:cs="黑体" w:asciiTheme="minorEastAsia" w:hAnsiTheme="minorEastAsia"/>
          <w:color w:val="000000"/>
          <w:kern w:val="0"/>
          <w:sz w:val="70"/>
          <w:szCs w:val="70"/>
          <w:highlight w:val="none"/>
        </w:rPr>
      </w:pPr>
      <w:r>
        <w:rPr>
          <w:rFonts w:asciiTheme="minorEastAsia" w:hAnsiTheme="minorEastAsia"/>
          <w:sz w:val="70"/>
          <w:szCs w:val="70"/>
          <w:highlight w:val="none"/>
        </w:rPr>
        <w:br w:type="page"/>
      </w:r>
    </w:p>
    <w:p>
      <w:pPr>
        <w:pStyle w:val="13"/>
        <w:rPr>
          <w:rFonts w:asciiTheme="minorEastAsia" w:hAnsiTheme="minorEastAsia" w:eastAsiaTheme="minorEastAsia"/>
          <w:sz w:val="32"/>
          <w:szCs w:val="32"/>
          <w:highlight w:val="none"/>
        </w:rPr>
      </w:pP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21</w:t>
      </w:r>
      <w:r>
        <w:rPr>
          <w:rFonts w:hint="eastAsia" w:asciiTheme="minorEastAsia" w:hAnsiTheme="minorEastAsia" w:eastAsiaTheme="minorEastAsia"/>
          <w:sz w:val="32"/>
          <w:szCs w:val="32"/>
          <w:highlight w:val="none"/>
        </w:rPr>
        <w:t>年度收、支总计</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万元。与上年相比，</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989.51</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40.46</w:t>
      </w:r>
      <w:r>
        <w:rPr>
          <w:rFonts w:hint="eastAsia" w:asciiTheme="minorEastAsia" w:hAnsiTheme="minorEastAsia" w:eastAsiaTheme="minorEastAsia"/>
          <w:sz w:val="32"/>
          <w:szCs w:val="32"/>
          <w:highlight w:val="none"/>
        </w:rPr>
        <w:t>%，主要是因</w:t>
      </w:r>
      <w:r>
        <w:rPr>
          <w:rFonts w:hint="eastAsia" w:asciiTheme="minorEastAsia" w:hAnsiTheme="minorEastAsia" w:eastAsiaTheme="minorEastAsia"/>
          <w:sz w:val="32"/>
          <w:szCs w:val="32"/>
          <w:highlight w:val="none"/>
          <w:lang w:eastAsia="zh-CN"/>
        </w:rPr>
        <w:t>为</w:t>
      </w:r>
      <w:r>
        <w:rPr>
          <w:rFonts w:hint="eastAsia" w:asciiTheme="minorEastAsia" w:hAnsiTheme="minorEastAsia" w:eastAsiaTheme="minorEastAsia"/>
          <w:sz w:val="32"/>
          <w:szCs w:val="32"/>
          <w:highlight w:val="none"/>
          <w:lang w:val="en-US" w:eastAsia="zh-CN"/>
        </w:rPr>
        <w:t>2021年节能环保支出，公共安全支出和项目支出等开支减少。</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本年收入合计</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本年支出合计</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1367.81</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93.9</w:t>
      </w:r>
      <w:r>
        <w:rPr>
          <w:rFonts w:hint="eastAsia" w:asciiTheme="minorEastAsia" w:hAnsiTheme="minorEastAsia" w:eastAsiaTheme="minorEastAsia"/>
          <w:sz w:val="32"/>
          <w:szCs w:val="32"/>
          <w:highlight w:val="none"/>
        </w:rPr>
        <w:t>%；项目支出</w:t>
      </w:r>
      <w:r>
        <w:rPr>
          <w:rFonts w:hint="eastAsia" w:asciiTheme="minorEastAsia" w:hAnsiTheme="minorEastAsia" w:eastAsiaTheme="minorEastAsia"/>
          <w:sz w:val="32"/>
          <w:szCs w:val="32"/>
          <w:highlight w:val="none"/>
          <w:lang w:val="en-US" w:eastAsia="zh-CN"/>
        </w:rPr>
        <w:t>88.23</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6.1</w:t>
      </w:r>
      <w:r>
        <w:rPr>
          <w:rFonts w:hint="eastAsia" w:asciiTheme="minorEastAsia" w:hAnsiTheme="minorEastAsia" w:eastAsiaTheme="minorEastAsia"/>
          <w:sz w:val="32"/>
          <w:szCs w:val="32"/>
          <w:highlight w:val="none"/>
        </w:rPr>
        <w:t>%；上缴上级支出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%；对附属单位补助支出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21</w:t>
      </w:r>
      <w:r>
        <w:rPr>
          <w:rFonts w:hint="eastAsia" w:asciiTheme="minorEastAsia" w:hAnsiTheme="minorEastAsia" w:eastAsiaTheme="minorEastAsia"/>
          <w:sz w:val="32"/>
          <w:szCs w:val="32"/>
          <w:highlight w:val="none"/>
        </w:rPr>
        <w:t>年度财政拨款收、支总计</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万元，与上年相比，</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989.51</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40.46</w:t>
      </w:r>
      <w:r>
        <w:rPr>
          <w:rFonts w:hint="eastAsia" w:asciiTheme="minorEastAsia" w:hAnsiTheme="minorEastAsia" w:eastAsiaTheme="minorEastAsia"/>
          <w:sz w:val="32"/>
          <w:szCs w:val="32"/>
          <w:highlight w:val="none"/>
        </w:rPr>
        <w:t>%，主要是因</w:t>
      </w:r>
      <w:r>
        <w:rPr>
          <w:rFonts w:hint="eastAsia" w:asciiTheme="minorEastAsia" w:hAnsiTheme="minorEastAsia" w:eastAsiaTheme="minorEastAsia"/>
          <w:sz w:val="32"/>
          <w:szCs w:val="32"/>
          <w:highlight w:val="none"/>
          <w:lang w:eastAsia="zh-CN"/>
        </w:rPr>
        <w:t>为</w:t>
      </w:r>
      <w:r>
        <w:rPr>
          <w:rFonts w:hint="eastAsia" w:asciiTheme="minorEastAsia" w:hAnsiTheme="minorEastAsia" w:eastAsiaTheme="minorEastAsia"/>
          <w:sz w:val="32"/>
          <w:szCs w:val="32"/>
          <w:highlight w:val="none"/>
          <w:lang w:val="en-US" w:eastAsia="zh-CN"/>
        </w:rPr>
        <w:t>2021年节能环保支出，公共安全支出和项目支出等开支减少。</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21</w:t>
      </w:r>
      <w:r>
        <w:rPr>
          <w:rFonts w:hint="eastAsia" w:asciiTheme="minorEastAsia" w:hAnsiTheme="minorEastAsia" w:eastAsiaTheme="minorEastAsia"/>
          <w:sz w:val="32"/>
          <w:szCs w:val="32"/>
          <w:highlight w:val="none"/>
        </w:rPr>
        <w:t>年度财政拨款支出</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%，与上年相比，</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989.51</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40.46</w:t>
      </w:r>
      <w:r>
        <w:rPr>
          <w:rFonts w:hint="eastAsia" w:asciiTheme="minorEastAsia" w:hAnsiTheme="minorEastAsia" w:eastAsiaTheme="minorEastAsia"/>
          <w:sz w:val="32"/>
          <w:szCs w:val="32"/>
          <w:highlight w:val="none"/>
        </w:rPr>
        <w:t>%，主要是因</w:t>
      </w:r>
      <w:r>
        <w:rPr>
          <w:rFonts w:hint="eastAsia" w:asciiTheme="minorEastAsia" w:hAnsiTheme="minorEastAsia" w:eastAsiaTheme="minorEastAsia"/>
          <w:sz w:val="32"/>
          <w:szCs w:val="32"/>
          <w:highlight w:val="none"/>
          <w:lang w:eastAsia="zh-CN"/>
        </w:rPr>
        <w:t>为</w:t>
      </w:r>
      <w:r>
        <w:rPr>
          <w:rFonts w:hint="eastAsia" w:asciiTheme="minorEastAsia" w:hAnsiTheme="minorEastAsia" w:eastAsiaTheme="minorEastAsia"/>
          <w:sz w:val="32"/>
          <w:szCs w:val="32"/>
          <w:highlight w:val="none"/>
          <w:lang w:val="en-US" w:eastAsia="zh-CN"/>
        </w:rPr>
        <w:t>2021年节能环保支出，公共安全支出和项目支出等开支减少。</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21</w:t>
      </w:r>
      <w:r>
        <w:rPr>
          <w:rFonts w:hint="eastAsia" w:asciiTheme="minorEastAsia" w:hAnsiTheme="minorEastAsia" w:eastAsiaTheme="minorEastAsia"/>
          <w:sz w:val="32"/>
          <w:szCs w:val="32"/>
          <w:highlight w:val="none"/>
        </w:rPr>
        <w:t>年度财政拨款支出</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万元，主要用于以下方面：一般公共服务（</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）支出</w:t>
      </w:r>
      <w:r>
        <w:rPr>
          <w:rFonts w:hint="eastAsia" w:asciiTheme="minorEastAsia" w:hAnsiTheme="minorEastAsia" w:eastAsiaTheme="minorEastAsia"/>
          <w:sz w:val="32"/>
          <w:szCs w:val="32"/>
          <w:highlight w:val="none"/>
          <w:lang w:val="en-US" w:eastAsia="zh-CN"/>
        </w:rPr>
        <w:t>1062.81</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73</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社会保障和就业支出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rPr>
        <w:t>）支出</w:t>
      </w:r>
      <w:r>
        <w:rPr>
          <w:rFonts w:hint="eastAsia" w:asciiTheme="minorEastAsia" w:hAnsiTheme="minorEastAsia" w:eastAsiaTheme="minorEastAsia"/>
          <w:sz w:val="32"/>
          <w:szCs w:val="32"/>
          <w:highlight w:val="none"/>
          <w:lang w:val="en-US" w:eastAsia="zh-CN"/>
        </w:rPr>
        <w:t>50.79</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3.5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；卫生健康（</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28.28万元，占比1.9%，农林水（213）支出267.83万元，占比18.4%；住房保障（221）支出46.33万元，占比3.2%。</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sz w:val="32"/>
          <w:szCs w:val="32"/>
          <w:highlight w:val="none"/>
          <w:lang w:val="en-US" w:eastAsia="zh-CN"/>
        </w:rPr>
        <w:t>783.22</w:t>
      </w:r>
      <w:r>
        <w:rPr>
          <w:rFonts w:hint="eastAsia" w:asciiTheme="minorEastAsia" w:hAnsiTheme="minorEastAsia" w:eastAsiaTheme="minorEastAsia"/>
          <w:sz w:val="32"/>
          <w:szCs w:val="32"/>
          <w:highlight w:val="none"/>
        </w:rPr>
        <w:t>万元，支出决算数</w:t>
      </w:r>
      <w:r>
        <w:rPr>
          <w:rFonts w:hint="eastAsia" w:asciiTheme="minorEastAsia" w:hAnsiTheme="minorEastAsia" w:eastAsiaTheme="minorEastAsia"/>
          <w:sz w:val="32"/>
          <w:szCs w:val="32"/>
          <w:highlight w:val="none"/>
          <w:lang w:eastAsia="zh-CN"/>
        </w:rPr>
        <w:t>为</w:t>
      </w:r>
      <w:r>
        <w:rPr>
          <w:rFonts w:hint="eastAsia" w:asciiTheme="minorEastAsia" w:hAnsiTheme="minorEastAsia" w:eastAsiaTheme="minorEastAsia"/>
          <w:sz w:val="32"/>
          <w:szCs w:val="32"/>
          <w:highlight w:val="none"/>
          <w:lang w:val="en-US" w:eastAsia="zh-CN"/>
        </w:rPr>
        <w:t>1456.04</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185.9</w:t>
      </w:r>
      <w:r>
        <w:rPr>
          <w:rFonts w:hint="eastAsia" w:asciiTheme="minorEastAsia" w:hAnsiTheme="minorEastAsia" w:eastAsiaTheme="minorEastAsia"/>
          <w:sz w:val="32"/>
          <w:szCs w:val="32"/>
          <w:highlight w:val="none"/>
        </w:rPr>
        <w:t>%，其中：</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1、一般公共服务支出（</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政府办公厅及相关机构事务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20103</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行政运行</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2010301</w:t>
      </w:r>
      <w:r>
        <w:rPr>
          <w:rFonts w:hint="eastAsia" w:asciiTheme="minorEastAsia" w:hAnsiTheme="minorEastAsia" w:eastAsiaTheme="minorEastAsia"/>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619.87</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958.69</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154.66</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，决算数大于年初预算数的主要原因是：部分行政运行经费未纳入年初预算，为本年财政追加。</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2、一般公共服务支出（</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政府办公厅及相关机构事务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20103</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一般行政管理事务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2010302</w:t>
      </w:r>
      <w:r>
        <w:rPr>
          <w:rFonts w:hint="eastAsia" w:asciiTheme="minorEastAsia" w:hAnsiTheme="minorEastAsia" w:eastAsiaTheme="minorEastAsia"/>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84.28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104.12</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123.54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，决算数大于年初预算数的主要原因是：部分项目资金未纳入年初预算，为本年财政追加。</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val="en-US" w:eastAsia="zh-CN"/>
        </w:rPr>
        <w:t>3、社会保障和就业支出（208）</w:t>
      </w:r>
      <w:r>
        <w:rPr>
          <w:rFonts w:hint="eastAsia" w:asciiTheme="minorEastAsia" w:hAnsiTheme="minorEastAsia" w:eastAsiaTheme="minorEastAsia"/>
          <w:sz w:val="32"/>
          <w:szCs w:val="32"/>
          <w:highlight w:val="none"/>
          <w:lang w:eastAsia="zh-CN"/>
        </w:rPr>
        <w:t>行政事业单位养老支出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20805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机关事业单位基本养老保险缴费支出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2080505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50.79</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50.79</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，决算数等于年初预算的主要原因是：严格按照年初预算数执行。</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4、卫生健康支出（210）行政事业单位医疗</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21011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行政单位医疗</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2101101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28.28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28.28</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，决算数等于年初预算的主要原因是：严格按照年初预算数执行。</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5、农林水支出（213）农业农村</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21301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其他农业农村</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2130199</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eastAsia="zh-CN"/>
        </w:rPr>
        <w:t>决算数大于年初预算数的主要原因是：财政追加预算。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6、农林水支出（213）林业和草原</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一般行政管理事务</w:t>
      </w:r>
      <w:r>
        <w:rPr>
          <w:rFonts w:hint="eastAsia" w:asciiTheme="minorEastAsia" w:hAnsiTheme="minorEastAsia" w:eastAsiaTheme="minorEastAsia"/>
          <w:sz w:val="32"/>
          <w:szCs w:val="32"/>
          <w:highlight w:val="none"/>
        </w:rPr>
        <w:t>（项）</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119</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eastAsia="zh-CN"/>
        </w:rPr>
        <w:t>决算数大于年初预算数的主要原因是：财政追加预算。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7、农林水支出（213）林业和草原</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其他林业和草原</w:t>
      </w:r>
      <w:r>
        <w:rPr>
          <w:rFonts w:hint="eastAsia" w:asciiTheme="minorEastAsia" w:hAnsiTheme="minorEastAsia" w:eastAsiaTheme="minorEastAsia"/>
          <w:sz w:val="32"/>
          <w:szCs w:val="32"/>
          <w:highlight w:val="none"/>
        </w:rPr>
        <w:t>（项）</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146.83</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eastAsia="zh-CN"/>
        </w:rPr>
        <w:t>决算数大于年初预算数的主要原因是：财政追加预算。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val="en-US" w:eastAsia="zh-CN"/>
        </w:rPr>
        <w:t>8、住房保障支出（221）住房改革支出</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住房公积金</w:t>
      </w:r>
      <w:r>
        <w:rPr>
          <w:rFonts w:hint="eastAsia" w:asciiTheme="minorEastAsia" w:hAnsiTheme="minorEastAsia" w:eastAsiaTheme="minorEastAsia"/>
          <w:sz w:val="32"/>
          <w:szCs w:val="32"/>
          <w:highlight w:val="none"/>
        </w:rPr>
        <w:t>（项）</w:t>
      </w:r>
      <w:r>
        <w:rPr>
          <w:rFonts w:hint="eastAsia" w:asciiTheme="minorEastAsia" w:hAnsiTheme="minorEastAsia" w:eastAsiaTheme="minorEastAsia"/>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46.33</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eastAsia="zh-CN"/>
        </w:rPr>
        <w:t>决算数大于年初预算数的主要原因是：财政追加预算。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2021年度财政拨款基本支出1367.81万元，其中：人员经费884.59万元，占基本支出的64.67%，主要包括基本工资、津贴补贴、奖金、各类社保缴费等；公用经费483.22万元，占基本支出的35.33%，主要包括办公费、印刷费、咨询费、培训费等。</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“三公”经费财政拨款支出预算为28万元，支出决算为17.09万元，完成预算的61.03%，其中：</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因公出国（境）费支出预算为0万元，支出决算为0万元，由于预算数为0，无法计算百分比，决算数与预算数持平的原因是无因公出国人员，与上年相比持平，无增减变化的原因是无因公出国费支出。</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公务接待费支出预算为15万元，支出决算为9.71万元，完成预算的64.73%，决算数小于年初预算数的主要原因是全国上下深入贯彻落实党中央八项规定，牢固树立过紧日子的思想，大力压缩三公经费的开支。与上年相比减少1.53万元，减少13.61%，减少的主要原因是全国各地全面贯彻习近平总书记提出的全面从严治党规定，外地来我市参观学习的批次及人数大大减少且接待标准从严控制，因此大大降低了公务接待开支。</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决算数与预算数持平的原因是无</w:t>
      </w:r>
      <w:r>
        <w:rPr>
          <w:rFonts w:hint="eastAsia" w:asciiTheme="minorEastAsia" w:hAnsiTheme="minorEastAsia" w:eastAsiaTheme="minorEastAsia"/>
          <w:sz w:val="32"/>
          <w:szCs w:val="32"/>
          <w:highlight w:val="none"/>
        </w:rPr>
        <w:t>公务用车购置费支出</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与上年相比持平，无增减变化的原因是无</w:t>
      </w:r>
      <w:r>
        <w:rPr>
          <w:rFonts w:hint="eastAsia" w:asciiTheme="minorEastAsia" w:hAnsiTheme="minorEastAsia" w:eastAsiaTheme="minorEastAsia"/>
          <w:sz w:val="32"/>
          <w:szCs w:val="32"/>
          <w:highlight w:val="none"/>
        </w:rPr>
        <w:t>公务用车购置费支出。</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公务用车运行维护费支出预算为13万元，支出决算为7.38万元，完成预算的56.77%，决算数小于年初预算数的主要原因是牢固树立过紧日子的思想，进一步加强公车管理，实行公车派车登记制度，加强油耗分析与维修管理，与上年相比减少2.27万元，减少23.52%，减少的主要原因是实行了严格的公车管理制度，大大降低了公车使用频率，节约了燃油费及修理费。</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2021年度“三公”经费财政拨款支出决算中，公务接待费支出决算9.71万元，占56.8%，因公出国（境）费支出决算0万元，公务用车购置费及运行维护费支出决算7.38万元，占43.2%。其中：</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1、因公出国（境）费支出决算为0万元，全年安排因公出国（境）团组0个，累计0人次。</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2、公务接待费支出决算为9.71万元，全年共接待来访团组37个、来宾286人次，主要是兄弟县市来我市学习各项工作经验，各地客商来祁考察投资项目发生的接待支出。</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3、公务用车购置费及运行维护费支出决算为7.38万元，其中：公务用车购置费0万元，更新公务用车0辆。公务用车运行维护费7.38万元，主要是燃油费、修理费、保险费等支出，截止2021年12月31日，我单位开支财政拨款的公务用车保有量为1辆。</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w:t>
      </w:r>
      <w:r>
        <w:rPr>
          <w:rFonts w:hint="eastAsia" w:asciiTheme="minorEastAsia" w:hAnsiTheme="minorEastAsia" w:eastAsiaTheme="minorEastAsia"/>
          <w:i w:val="0"/>
          <w:iCs/>
          <w:color w:val="auto"/>
          <w:sz w:val="32"/>
          <w:szCs w:val="32"/>
          <w:highlight w:val="none"/>
        </w:rPr>
        <w:t>本单位无政府性基金收支</w:t>
      </w:r>
      <w:r>
        <w:rPr>
          <w:rFonts w:hint="eastAsia" w:asciiTheme="minorEastAsia" w:hAnsiTheme="minorEastAsia" w:eastAsiaTheme="minorEastAsia"/>
          <w:i w:val="0"/>
          <w:iCs/>
          <w:color w:val="auto"/>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本部门2021年度机关运行经费支出483.22万元，比上年决算数减少477.01万元，降低49.68%。主要原因是：深入贯彻落实党中央八项规定，牢固树立过紧日子的思想，大力压缩三公经费的开支，大力压缩不必要的会议和培训支出，尽量使用电视电话会议系统。对办公用电脑、打印机等资产加大合理调配力度，减少了大额办公设备采购开支。比年初预算数减少76.5万元，降低 26.3%。主要原因是减少了大额办公设备采购开支。</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2021年本部门开支会议费9.51万元，用于召开第十八届市政府全会会议，人数154人，内容为讨论研究2021年政府工作报告；人大、政协会组织代表参观全市重点项目建设情况，参观4批次，人数合计642人。开支培训费3.53万元，用于参加市委组织部统一组织的干部执行力培训，培训1批次人数1人，省金融办组织的防范基层金融风险培训2批次，参加人员4人；为贯彻落实中央八项规定，全年我办未举办任何节庆、晚会 、论坛、赛事活动，开支0万元。</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截至2021年12月31日，部门共有车辆</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辆，其他用车主要是单位办公室按编制和规定保留的一台公务用车；单位价值50万元以上通用设备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十三、2021年度预算绩效情况说明</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b w:val="0"/>
          <w:bCs/>
          <w:color w:val="000000"/>
          <w:kern w:val="0"/>
          <w:sz w:val="32"/>
          <w:szCs w:val="32"/>
          <w:highlight w:val="none"/>
        </w:rPr>
      </w:pPr>
      <w:r>
        <w:rPr>
          <w:rFonts w:hint="eastAsia" w:cs="黑体" w:asciiTheme="minorEastAsia" w:hAnsiTheme="minorEastAsia"/>
          <w:b w:val="0"/>
          <w:bCs/>
          <w:color w:val="000000"/>
          <w:kern w:val="0"/>
          <w:sz w:val="32"/>
          <w:szCs w:val="32"/>
          <w:highlight w:val="none"/>
        </w:rPr>
        <w:t>本部门2021年整体支出1456.04万元，其中项目支出88.23万元，本年度无重点项目支出。</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 xml:space="preserve">2021 </w:t>
      </w:r>
      <w:r>
        <w:rPr>
          <w:rFonts w:hint="eastAsia" w:cs="黑体" w:asciiTheme="minorEastAsia" w:hAnsiTheme="minorEastAsia"/>
          <w:color w:val="000000"/>
          <w:kern w:val="0"/>
          <w:sz w:val="32"/>
          <w:szCs w:val="32"/>
          <w:highlight w:val="none"/>
        </w:rPr>
        <w:t>年度一般公共预算项目支出全面开展绩效自评，其中，一级项目</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个，</w:t>
      </w:r>
      <w:r>
        <w:rPr>
          <w:rFonts w:hint="eastAsia" w:cs="黑体" w:asciiTheme="minorEastAsia" w:hAnsiTheme="minorEastAsia"/>
          <w:color w:val="000000"/>
          <w:kern w:val="0"/>
          <w:sz w:val="32"/>
          <w:szCs w:val="32"/>
          <w:highlight w:val="none"/>
          <w:lang w:eastAsia="zh-CN"/>
        </w:rPr>
        <w:t>二级项目</w:t>
      </w:r>
      <w:r>
        <w:rPr>
          <w:rFonts w:hint="eastAsia" w:cs="黑体" w:asciiTheme="minorEastAsia" w:hAnsiTheme="minorEastAsia"/>
          <w:color w:val="000000"/>
          <w:kern w:val="0"/>
          <w:sz w:val="32"/>
          <w:szCs w:val="32"/>
          <w:highlight w:val="none"/>
          <w:lang w:val="en-US" w:eastAsia="zh-CN"/>
        </w:rPr>
        <w:t>1个，</w:t>
      </w:r>
      <w:r>
        <w:rPr>
          <w:rFonts w:hint="eastAsia" w:cs="黑体" w:asciiTheme="minorEastAsia" w:hAnsiTheme="minorEastAsia"/>
          <w:color w:val="000000"/>
          <w:kern w:val="0"/>
          <w:sz w:val="32"/>
          <w:szCs w:val="32"/>
          <w:highlight w:val="none"/>
        </w:rPr>
        <w:t>共涉及资金</w:t>
      </w:r>
      <w:r>
        <w:rPr>
          <w:rFonts w:hint="eastAsia" w:cs="黑体" w:asciiTheme="minorEastAsia" w:hAnsiTheme="minorEastAsia"/>
          <w:color w:val="000000"/>
          <w:kern w:val="0"/>
          <w:sz w:val="32"/>
          <w:szCs w:val="32"/>
          <w:highlight w:val="none"/>
          <w:lang w:val="en-US" w:eastAsia="zh-CN"/>
        </w:rPr>
        <w:t>88.23</w:t>
      </w:r>
      <w:r>
        <w:rPr>
          <w:rFonts w:hint="eastAsia" w:cs="黑体" w:asciiTheme="minorEastAsia" w:hAnsiTheme="minorEastAsia"/>
          <w:color w:val="000000"/>
          <w:kern w:val="0"/>
          <w:sz w:val="32"/>
          <w:szCs w:val="32"/>
          <w:highlight w:val="none"/>
        </w:rPr>
        <w:t>万元，占一般公共预算项目支出总额的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eastAsia="zh-CN"/>
        </w:rPr>
        <w:t>政府专项业务经费</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个项目开展了部门评价，涉及一般公共预算支出</w:t>
      </w:r>
      <w:r>
        <w:rPr>
          <w:rFonts w:hint="eastAsia" w:cs="黑体" w:asciiTheme="minorEastAsia" w:hAnsiTheme="minorEastAsia"/>
          <w:color w:val="000000"/>
          <w:kern w:val="0"/>
          <w:sz w:val="32"/>
          <w:szCs w:val="32"/>
          <w:highlight w:val="none"/>
          <w:lang w:val="en-US" w:eastAsia="zh-CN"/>
        </w:rPr>
        <w:t>88.23</w:t>
      </w:r>
      <w:r>
        <w:rPr>
          <w:rFonts w:hint="eastAsia" w:cs="黑体" w:asciiTheme="minorEastAsia" w:hAnsiTheme="minorEastAsia"/>
          <w:color w:val="000000"/>
          <w:kern w:val="0"/>
          <w:sz w:val="32"/>
          <w:szCs w:val="32"/>
          <w:highlight w:val="none"/>
        </w:rPr>
        <w:t>万元。从评价情况来看，</w:t>
      </w:r>
      <w:r>
        <w:rPr>
          <w:rFonts w:hint="eastAsia" w:cs="黑体" w:asciiTheme="minorEastAsia" w:hAnsiTheme="minorEastAsia"/>
          <w:color w:val="000000"/>
          <w:kern w:val="0"/>
          <w:sz w:val="32"/>
          <w:szCs w:val="32"/>
          <w:highlight w:val="none"/>
          <w:lang w:val="en-US" w:eastAsia="zh-CN"/>
        </w:rPr>
        <w:t>项目绩效目标设置科学合理，资金分配规范及时，</w:t>
      </w:r>
      <w:r>
        <w:rPr>
          <w:rFonts w:hint="eastAsia" w:cs="黑体" w:asciiTheme="minorEastAsia" w:hAnsiTheme="minorEastAsia"/>
          <w:color w:val="000000"/>
          <w:kern w:val="0"/>
          <w:sz w:val="32"/>
          <w:szCs w:val="32"/>
          <w:highlight w:val="none"/>
          <w:lang w:eastAsia="zh-CN"/>
        </w:rPr>
        <w:t>项目产出指标、效益指标、绩效指标均以达标</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eastAsia="zh-CN"/>
        </w:rPr>
        <w:t>祁阳市人民政府办公室、祁阳市人民政府发展研究中心</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val="en-US" w:eastAsia="zh-CN"/>
        </w:rPr>
        <w:t>2</w:t>
      </w:r>
      <w:r>
        <w:rPr>
          <w:rFonts w:hint="eastAsia" w:cs="黑体" w:asciiTheme="minorEastAsia" w:hAnsiTheme="minorEastAsia"/>
          <w:color w:val="000000"/>
          <w:kern w:val="0"/>
          <w:sz w:val="32"/>
          <w:szCs w:val="32"/>
          <w:highlight w:val="none"/>
        </w:rPr>
        <w:t>个单位开展整体支出绩效评价，涉及一般公共预算支出</w:t>
      </w:r>
      <w:r>
        <w:rPr>
          <w:rFonts w:hint="eastAsia" w:asciiTheme="minorEastAsia" w:hAnsiTheme="minorEastAsia" w:eastAsiaTheme="minorEastAsia"/>
          <w:color w:val="auto"/>
          <w:sz w:val="32"/>
          <w:szCs w:val="32"/>
          <w:highlight w:val="none"/>
          <w:lang w:val="en-US" w:eastAsia="zh-CN"/>
        </w:rPr>
        <w:t>1456.04</w:t>
      </w:r>
      <w:r>
        <w:rPr>
          <w:rFonts w:hint="eastAsia" w:cs="黑体" w:asciiTheme="minorEastAsia" w:hAnsiTheme="minorEastAsia"/>
          <w:color w:val="000000"/>
          <w:kern w:val="0"/>
          <w:sz w:val="32"/>
          <w:szCs w:val="32"/>
          <w:highlight w:val="none"/>
        </w:rPr>
        <w:t>万元，政府性基金预算支出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万元。从评价情况来看，</w:t>
      </w:r>
      <w:r>
        <w:rPr>
          <w:rFonts w:hint="eastAsia" w:cs="黑体" w:asciiTheme="minorEastAsia" w:hAnsiTheme="minorEastAsia"/>
          <w:color w:val="000000"/>
          <w:kern w:val="0"/>
          <w:sz w:val="32"/>
          <w:szCs w:val="32"/>
          <w:highlight w:val="none"/>
          <w:lang w:val="en-US" w:eastAsia="zh-CN"/>
        </w:rPr>
        <w:t>2021年度我单位围绕年初预算确定的绩效目标，积极稳妥地推动各项工作任务的落实，凝心聚力，务实创新，圆满完成了年度绩效目标</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lang w:eastAsia="zh-CN"/>
        </w:rPr>
        <w:t>祁阳市人民政府办公室</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98</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84.28</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88.23</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104.69</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。项目绩效目标完成情况：一是</w:t>
      </w:r>
      <w:r>
        <w:rPr>
          <w:rFonts w:hint="eastAsia" w:cs="黑体" w:asciiTheme="minorEastAsia" w:hAnsiTheme="minorEastAsia"/>
          <w:color w:val="000000"/>
          <w:kern w:val="0"/>
          <w:sz w:val="32"/>
          <w:szCs w:val="32"/>
          <w:highlight w:val="none"/>
          <w:lang w:eastAsia="zh-CN"/>
        </w:rPr>
        <w:t>全面及时完成了政府重点工作督查、防范非法集资、确保了全市经济社会安全稳中有进，实现了平稳增长</w:t>
      </w:r>
      <w:r>
        <w:rPr>
          <w:rFonts w:hint="eastAsia" w:cs="黑体" w:asciiTheme="minorEastAsia" w:hAnsiTheme="minorEastAsia"/>
          <w:color w:val="000000"/>
          <w:kern w:val="0"/>
          <w:sz w:val="32"/>
          <w:szCs w:val="32"/>
          <w:highlight w:val="none"/>
        </w:rPr>
        <w:t>；二是</w:t>
      </w:r>
      <w:r>
        <w:rPr>
          <w:rFonts w:hint="eastAsia" w:cs="黑体" w:asciiTheme="minorEastAsia" w:hAnsiTheme="minorEastAsia"/>
          <w:color w:val="000000"/>
          <w:kern w:val="0"/>
          <w:sz w:val="32"/>
          <w:szCs w:val="32"/>
          <w:highlight w:val="none"/>
          <w:lang w:eastAsia="zh-CN"/>
        </w:rPr>
        <w:t>高质量印发了《政府公报》和《经济参阅》两份内部刊物，在宣传党中央政策和提供领导决策参考意见发挥了积极作用</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三是全面高效发挥了远程会议系统功效，精简了会议时间和会议成本。</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发现的主要问题及原因：一是</w:t>
      </w:r>
      <w:r>
        <w:rPr>
          <w:rFonts w:hint="eastAsia" w:cs="黑体" w:asciiTheme="minorEastAsia" w:hAnsiTheme="minorEastAsia"/>
          <w:color w:val="000000"/>
          <w:kern w:val="0"/>
          <w:sz w:val="32"/>
          <w:szCs w:val="32"/>
          <w:highlight w:val="none"/>
          <w:lang w:eastAsia="zh-CN"/>
        </w:rPr>
        <w:t>部分指标设计时与实际工作存在一定程度的脱节，未能很好的反映各项工作的特殊性，特别是在执行量化指标时，有些指标的科学性还有待于进一步改进</w:t>
      </w:r>
      <w:r>
        <w:rPr>
          <w:rFonts w:hint="eastAsia" w:cs="黑体" w:asciiTheme="minorEastAsia" w:hAnsiTheme="minorEastAsia"/>
          <w:color w:val="000000"/>
          <w:kern w:val="0"/>
          <w:sz w:val="32"/>
          <w:szCs w:val="32"/>
          <w:highlight w:val="none"/>
        </w:rPr>
        <w:t>；二是</w:t>
      </w:r>
      <w:r>
        <w:rPr>
          <w:rFonts w:hint="eastAsia" w:cs="黑体" w:asciiTheme="minorEastAsia" w:hAnsiTheme="minorEastAsia"/>
          <w:color w:val="000000"/>
          <w:kern w:val="0"/>
          <w:sz w:val="32"/>
          <w:szCs w:val="32"/>
          <w:highlight w:val="none"/>
          <w:lang w:eastAsia="zh-CN"/>
        </w:rPr>
        <w:t>在控制成本支出时，没有指定配套的内部管理制度，导致成本开支存在一定的刚性，难以下降</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下一步改进措施：一是</w:t>
      </w:r>
      <w:r>
        <w:rPr>
          <w:rFonts w:hint="eastAsia" w:cs="黑体" w:asciiTheme="minorEastAsia" w:hAnsiTheme="minorEastAsia"/>
          <w:color w:val="000000"/>
          <w:kern w:val="0"/>
          <w:sz w:val="32"/>
          <w:szCs w:val="32"/>
          <w:highlight w:val="none"/>
          <w:lang w:eastAsia="zh-CN"/>
        </w:rPr>
        <w:t>继续优化各项绩效目标，使绩效指标更贴近实际工作，便于实际执行</w:t>
      </w:r>
      <w:r>
        <w:rPr>
          <w:rFonts w:hint="eastAsia" w:cs="黑体" w:asciiTheme="minorEastAsia" w:hAnsiTheme="minorEastAsia"/>
          <w:color w:val="000000"/>
          <w:kern w:val="0"/>
          <w:sz w:val="32"/>
          <w:szCs w:val="32"/>
          <w:highlight w:val="none"/>
        </w:rPr>
        <w:t>；二是</w:t>
      </w:r>
      <w:r>
        <w:rPr>
          <w:rFonts w:hint="eastAsia" w:cs="黑体" w:asciiTheme="minorEastAsia" w:hAnsiTheme="minorEastAsia"/>
          <w:color w:val="000000"/>
          <w:kern w:val="0"/>
          <w:sz w:val="32"/>
          <w:szCs w:val="32"/>
          <w:highlight w:val="none"/>
          <w:lang w:eastAsia="zh-CN"/>
        </w:rPr>
        <w:t>强化内部管理，出台配套的一系列内部管理制度，提高绩效考核指标的约束性</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祁阳市人民政府办公室</w:t>
      </w:r>
      <w:r>
        <w:rPr>
          <w:rFonts w:hint="eastAsia" w:cs="黑体" w:asciiTheme="minorEastAsia" w:hAnsiTheme="minorEastAsia"/>
          <w:color w:val="000000"/>
          <w:kern w:val="0"/>
          <w:sz w:val="32"/>
          <w:szCs w:val="32"/>
          <w:highlight w:val="none"/>
        </w:rPr>
        <w:t>项目绩效自评综述：</w:t>
      </w:r>
      <w:r>
        <w:rPr>
          <w:rFonts w:hint="eastAsia" w:cs="黑体" w:asciiTheme="minorEastAsia" w:hAnsiTheme="minorEastAsia" w:eastAsiaTheme="minorEastAsia"/>
          <w:color w:val="000000"/>
          <w:kern w:val="0"/>
          <w:sz w:val="32"/>
          <w:szCs w:val="32"/>
          <w:highlight w:val="none"/>
          <w:lang w:val="en-US" w:eastAsia="zh-CN" w:bidi="ar-SA"/>
        </w:rPr>
        <w:t>本单位严格规范专项经费管理，在预算执行中贯彻绩效管理理念，注重资金使用绩效，年初预算安排的专项经费有效保障了部门专项业务开展，达到了年初预期绩效目标</w:t>
      </w:r>
      <w:r>
        <w:rPr>
          <w:rFonts w:hint="eastAsia" w:cs="黑体" w:asciiTheme="minorEastAsia" w:hAnsiTheme="minorEastAsia"/>
          <w:color w:val="000000"/>
          <w:kern w:val="0"/>
          <w:sz w:val="32"/>
          <w:szCs w:val="32"/>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部门评价项目绩效评价结果。</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highlight w:val="none"/>
        </w:rPr>
      </w:pPr>
      <w:r>
        <w:rPr>
          <w:rFonts w:hint="eastAsia" w:ascii="宋体" w:hAnsi="宋体" w:eastAsia="宋体"/>
          <w:sz w:val="32"/>
          <w:szCs w:val="32"/>
          <w:highlight w:val="none"/>
        </w:rPr>
        <w:t>本单位将绩效理念融入预算管理全过程，加强内部控制，全面规范预算编制、预算执行、预算监督，强化预算工作基础，整体提升预算管理水平，提高财政资源配置效率，部门整体绩效评价报告已作为附件进行公开。</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1"/>
        <w:rPr>
          <w:rFonts w:hAnsi="黑体" w:cs="Times New Roman"/>
          <w:b/>
          <w:bCs/>
          <w:color w:val="auto"/>
          <w:sz w:val="32"/>
          <w:szCs w:val="32"/>
          <w:highlight w:val="none"/>
        </w:rPr>
      </w:pPr>
      <w:r>
        <w:rPr>
          <w:rFonts w:hint="eastAsia" w:hAnsi="黑体" w:cs="Times New Roman"/>
          <w:b/>
          <w:bCs/>
          <w:color w:val="auto"/>
          <w:sz w:val="32"/>
          <w:szCs w:val="32"/>
          <w:highlight w:val="none"/>
          <w:lang w:val="en-US" w:eastAsia="zh-CN"/>
        </w:rPr>
        <w:t>十四</w:t>
      </w:r>
      <w:r>
        <w:rPr>
          <w:rFonts w:hAnsi="黑体" w:cs="Times New Roman"/>
          <w:b/>
          <w:bCs/>
          <w:color w:val="auto"/>
          <w:sz w:val="32"/>
          <w:szCs w:val="32"/>
          <w:highlight w:val="none"/>
        </w:rPr>
        <w:t>、</w:t>
      </w:r>
      <w:r>
        <w:rPr>
          <w:rFonts w:hint="eastAsia" w:hAnsi="黑体" w:cs="Times New Roman"/>
          <w:b/>
          <w:bCs/>
          <w:color w:val="auto"/>
          <w:sz w:val="32"/>
          <w:szCs w:val="32"/>
          <w:highlight w:val="none"/>
        </w:rPr>
        <w:t>国有资本经营预算财政拨款支出决算情况</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sz w:val="32"/>
          <w:szCs w:val="32"/>
          <w:highlight w:val="none"/>
        </w:rPr>
      </w:pPr>
      <w:r>
        <w:rPr>
          <w:rFonts w:hint="eastAsia" w:ascii="宋体" w:hAnsi="宋体" w:eastAsia="宋体"/>
          <w:sz w:val="32"/>
          <w:szCs w:val="32"/>
          <w:highlight w:val="none"/>
          <w:lang w:val="en-US" w:eastAsia="zh-CN"/>
        </w:rPr>
        <w:t>2021</w:t>
      </w:r>
      <w:r>
        <w:rPr>
          <w:rFonts w:hint="eastAsia" w:ascii="宋体" w:hAnsi="宋体" w:eastAsia="宋体"/>
          <w:sz w:val="32"/>
          <w:szCs w:val="32"/>
          <w:highlight w:val="none"/>
        </w:rPr>
        <w:t>年度</w:t>
      </w:r>
      <w:r>
        <w:rPr>
          <w:rFonts w:hint="eastAsia" w:ascii="宋体" w:hAnsi="宋体" w:eastAsia="宋体"/>
          <w:sz w:val="32"/>
          <w:szCs w:val="32"/>
          <w:highlight w:val="none"/>
          <w:lang w:eastAsia="zh-CN"/>
        </w:rPr>
        <w:t>国有资本经营</w:t>
      </w:r>
      <w:r>
        <w:rPr>
          <w:rFonts w:hint="eastAsia" w:ascii="宋体" w:hAnsi="宋体" w:eastAsia="宋体"/>
          <w:sz w:val="32"/>
          <w:szCs w:val="32"/>
          <w:highlight w:val="none"/>
        </w:rPr>
        <w:t>预算财政拨款支出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万元，其中基本支出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万元，项目支出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万元。本单位无</w:t>
      </w:r>
      <w:r>
        <w:rPr>
          <w:rFonts w:hint="eastAsia" w:ascii="宋体" w:hAnsi="宋体" w:eastAsia="宋体"/>
          <w:sz w:val="32"/>
          <w:szCs w:val="32"/>
          <w:highlight w:val="none"/>
          <w:lang w:eastAsia="zh-CN"/>
        </w:rPr>
        <w:t>国有资本经营预算支出。</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第四部分</w:t>
      </w:r>
    </w:p>
    <w:p>
      <w:pPr>
        <w:jc w:val="center"/>
        <w:rPr>
          <w:rFonts w:cs="黑体" w:asciiTheme="minorEastAsia" w:hAnsiTheme="minorEastAsia"/>
          <w:color w:val="000000"/>
          <w:kern w:val="0"/>
          <w:sz w:val="70"/>
          <w:szCs w:val="70"/>
          <w:highlight w:val="none"/>
        </w:rPr>
      </w:pPr>
    </w:p>
    <w:p>
      <w:pPr>
        <w:jc w:val="center"/>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名词解释</w:t>
      </w:r>
    </w:p>
    <w:p>
      <w:pPr>
        <w:widowControl/>
        <w:jc w:val="left"/>
        <w:rPr>
          <w:rFonts w:hint="eastAsia" w:cs="黑体" w:asciiTheme="minorEastAsia" w:hAnsiTheme="minorEastAsia"/>
          <w:color w:val="000000"/>
          <w:kern w:val="0"/>
          <w:sz w:val="32"/>
          <w:szCs w:val="32"/>
          <w:highlight w:val="none"/>
        </w:rPr>
      </w:pPr>
    </w:p>
    <w:p>
      <w:pPr>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br w:type="page"/>
      </w:r>
    </w:p>
    <w:p>
      <w:pPr>
        <w:widowControl/>
        <w:ind w:firstLine="640" w:firstLineChars="200"/>
        <w:jc w:val="left"/>
        <w:rPr>
          <w:rFonts w:hint="eastAsia" w:cs="黑体" w:asciiTheme="minorEastAsia" w:hAnsiTheme="minorEastAsia"/>
          <w:color w:val="000000"/>
          <w:kern w:val="0"/>
          <w:sz w:val="32"/>
          <w:szCs w:val="32"/>
          <w:highlight w:val="none"/>
        </w:rPr>
      </w:pP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一、收入科目</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1、财政拨款收入：指财政当年拨付的资金。</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2、事业收入：指事业单位开展专业业务活动及辅助活动取得的收入。</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3、经营收入：指事业单位在专业业务活动及其辅助活动之外开展非独立核算经营活动取得的收入。</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4、其他收入：指除上述“财政拨款收入”、“事业收入”、“经营收入”等以外的收入。</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6、上年结转：指以前年尚未完成、结转到本年按有关规定继续使用的资金。</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二、支出科目</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1、基本支出：是为保障其机构正常运转、完成日常工作任务而发生人员支出和公用支出。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2、项目支出：是指在基本支出之外完成特定行政任务和事业发展目标所发生的支出。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3、工资福利支出：反映单位开支的在职职工和编制外长期聘用人员的各类劳动报酬，以及为上述人员缴纳的各项社会保险费等。</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4、商品和服务支出：反映单位购买商品和服务的支出。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5、对个人和家庭的补助：反映单位用于对个人和家庭的补助支出。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三、“三公”经费科目</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1、因公出国（境）费用：反映单位公务出国（境）的国际旅费、国内城市间交通费、住宿费、伙食费、培训费、公杂费等支出。</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2、公务接待费：反映单位按规定开支的各类公务接待（含外宾接待）费用。</w:t>
      </w:r>
    </w:p>
    <w:p>
      <w:pPr>
        <w:widowControl/>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3、公务用车运行维护费：反映单位公务用车租用费、燃料费、维修费、过路过桥费、保险费、安全奖励费用等支出。</w:t>
      </w:r>
    </w:p>
    <w:p>
      <w:pPr>
        <w:ind w:firstLine="640" w:firstLineChars="200"/>
        <w:jc w:val="left"/>
        <w:rPr>
          <w:rFonts w:cs="黑体" w:asciiTheme="minorEastAsia" w:hAnsiTheme="minorEastAsia"/>
          <w:color w:val="000000"/>
          <w:kern w:val="0"/>
          <w:sz w:val="28"/>
          <w:szCs w:val="32"/>
          <w:highlight w:val="none"/>
        </w:rPr>
      </w:pPr>
      <w:r>
        <w:rPr>
          <w:rFonts w:hint="eastAsia" w:cs="黑体" w:asciiTheme="minorEastAsia" w:hAnsiTheme="minorEastAsia"/>
          <w:color w:val="000000"/>
          <w:kern w:val="0"/>
          <w:sz w:val="32"/>
          <w:szCs w:val="32"/>
          <w:highlight w:val="none"/>
          <w:lang w:eastAsia="zh-CN"/>
        </w:rPr>
        <w:t>四、机关运行经费：是指本单位按照经济分类科目发生的保证单位正常运转所产生的各项开支加上购建办公设备和大型修缮等资本性支出总和。</w:t>
      </w: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3"/>
        <w:ind w:firstLine="3600" w:firstLineChars="500"/>
        <w:jc w:val="both"/>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第五部分</w:t>
      </w:r>
    </w:p>
    <w:p>
      <w:pPr>
        <w:jc w:val="center"/>
        <w:rPr>
          <w:rFonts w:cs="黑体" w:asciiTheme="minorEastAsia" w:hAnsiTheme="minorEastAsia"/>
          <w:color w:val="000000"/>
          <w:kern w:val="0"/>
          <w:sz w:val="70"/>
          <w:szCs w:val="70"/>
          <w:highlight w:val="none"/>
        </w:rPr>
      </w:pPr>
    </w:p>
    <w:p>
      <w:pPr>
        <w:jc w:val="center"/>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附件</w:t>
      </w:r>
    </w:p>
    <w:p>
      <w:pPr>
        <w:widowControl/>
        <w:jc w:val="left"/>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pPr>
        <w:jc w:val="both"/>
        <w:rPr>
          <w:rFonts w:cs="黑体" w:asciiTheme="minorEastAsia" w:hAnsiTheme="minorEastAsia"/>
          <w:color w:val="000000"/>
          <w:kern w:val="0"/>
          <w:sz w:val="32"/>
          <w:szCs w:val="32"/>
          <w:highlight w:val="none"/>
        </w:rPr>
      </w:pPr>
    </w:p>
    <w:p>
      <w:pPr>
        <w:ind w:firstLine="640" w:firstLineChars="200"/>
        <w:jc w:val="center"/>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2021年度部门整体支出绩效评价报告</w:t>
      </w:r>
    </w:p>
    <w:p>
      <w:pPr>
        <w:pStyle w:val="2"/>
        <w:rPr>
          <w:highlight w:val="none"/>
        </w:rPr>
      </w:pP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2021年度祁阳市人民政府办公室本级根据部门整体支出绩效评价指标开展自评，部门整体支出绩效得分为98分，具体情况如下：</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（一）投入(指标设置10分，自评得分10分，未扣分)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预算配置(自评得分10分，未扣分)。根据2021年决算，我办人员编制总数为58，在职人员数为57人，在职人员控制率为98%，计5分。“三公”经费2021年初预算数28万元，2020年初预算数30万元，“三公”经费变动率-6.67%，计5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（二）过程(指标设置60分，自评得分58分，扣2分)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1．预算执行(自评得分20分)。全年财政拨款支出1456.04万元，预算完成率100%，计10分。2021年无新建楼堂馆所，新建楼堂馆所控制率、新建楼堂馆所投资概算控制率不适用，不扣分，计10分。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预算管理(自评得分38分，扣2分)。预算安排公用经费总额483.23万元，实际支出公用经费总额483.23万元，预算完成率100%，计8分。“三公”经费年初预算安排数28万元，“三公”经费实际支出数17.09万元，“三公”经费控制率为61.04%，计7分。全年未编制政府采购预算，扣2分。财务管理制度健全，现有《祁阳市人民政府办公室财务管理制度》、《祁阳市人民政府办公室会议费暂行管理办法》、《祁阳市人民政府办公室大额资金使用管理办法》、《祁阳市人民政府办公室固定资产管理办法》、《祁阳市人民政府办公室培训费暂行管理办法》等财务管理制度，计8分。资金使用规范，符合国家财经法规和财务管理制度规定，资金的拨付履行了完整的审批程序和手续，资金使用基本符合部门预算批复的用途，无截留、挤占、虚列支出等情况，计10分。根据省统一部署，按规定的时限和内容公开了部门预决算信息，基础数据信息和会计信息资料真实、完整、准确，计5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（三）产出及效率(指标设置30分，自评得分30分，未扣分)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1．职责履行(自评得分8分，未扣分)。一是抓脱贫攻坚。二是抓基层党建作风建设。三是做好人大代表建议、政协提案办理工作。四是抓好重大决策部署的督查督办。均取得了预期的效果，达到了预期的目的。</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2．履职效益(自评得分22分，未扣分)。</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政策带动效益(自评得分5分)。一是狠抓招商引资培植财源，二是深入贯彻实施六大战役，三是积极服务项目强市战略，均取得突出实绩。</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公共服务(自评得分5分)。一是推进全市政务公开政务服务工作，大力推进“只能跑一次”工作。二是成功创建省级园林市城。三是实行市政府总值班室24小时应急值守，四是全面要求党员干部下到联系村、社区协助搞好疫情防控，均得到全社会充分肯定。</w:t>
      </w:r>
    </w:p>
    <w:p>
      <w:pPr>
        <w:widowControl/>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行政效能(自评得分6分)。一是公文办理严格规范，二是会议活动精简高效，三是网上办事持续推进，四是继续开展单位内部控制规范体系建设，五是推进节约型机关建设，均取得明显成效。</w:t>
      </w:r>
    </w:p>
    <w:p>
      <w:pPr>
        <w:widowControl/>
        <w:ind w:firstLine="640" w:firstLineChars="200"/>
        <w:jc w:val="left"/>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color w:val="000000"/>
          <w:kern w:val="0"/>
          <w:sz w:val="32"/>
          <w:szCs w:val="32"/>
          <w:highlight w:val="none"/>
          <w:lang w:val="en-US" w:eastAsia="zh-CN"/>
        </w:rPr>
        <w:t>社会公众满意度(自评得分6分)。根据市绩效办2021年绩效评估中的公众评估方面的调查，社会公众对我单位工作满意。</w:t>
      </w:r>
    </w:p>
    <w:p>
      <w:pPr>
        <w:jc w:val="left"/>
        <w:rPr>
          <w:rFonts w:cs="黑体" w:asciiTheme="minorEastAsia" w:hAnsiTheme="minorEastAsia"/>
          <w:kern w:val="0"/>
          <w:sz w:val="32"/>
          <w:szCs w:val="32"/>
          <w:highlight w:val="none"/>
        </w:rPr>
      </w:pPr>
    </w:p>
    <w:p>
      <w:pPr>
        <w:ind w:firstLine="640" w:firstLineChars="200"/>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C44B4"/>
    <w:multiLevelType w:val="singleLevel"/>
    <w:tmpl w:val="131C44B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NkYjUzMmQ2ZmM2NzUwZDgyZjAxMjY3OWYyYmFiYW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2FB7"/>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E6F87"/>
    <w:rsid w:val="00FF5CD6"/>
    <w:rsid w:val="0104780D"/>
    <w:rsid w:val="01893391"/>
    <w:rsid w:val="020A3A28"/>
    <w:rsid w:val="03A776F9"/>
    <w:rsid w:val="0520214C"/>
    <w:rsid w:val="05AB2D7A"/>
    <w:rsid w:val="06757BA9"/>
    <w:rsid w:val="07D17DB0"/>
    <w:rsid w:val="09211071"/>
    <w:rsid w:val="09C82A7E"/>
    <w:rsid w:val="0B304DED"/>
    <w:rsid w:val="0BDC5E5E"/>
    <w:rsid w:val="0C977C7A"/>
    <w:rsid w:val="0CFD57E0"/>
    <w:rsid w:val="0D6A3B25"/>
    <w:rsid w:val="0D7111BC"/>
    <w:rsid w:val="0DBC076D"/>
    <w:rsid w:val="0E5A7453"/>
    <w:rsid w:val="0E8011BA"/>
    <w:rsid w:val="12AE102E"/>
    <w:rsid w:val="13B92A1C"/>
    <w:rsid w:val="13E96481"/>
    <w:rsid w:val="148701AF"/>
    <w:rsid w:val="158226E9"/>
    <w:rsid w:val="15A4739F"/>
    <w:rsid w:val="15DD673B"/>
    <w:rsid w:val="181A629A"/>
    <w:rsid w:val="18E86D07"/>
    <w:rsid w:val="1A4B59CE"/>
    <w:rsid w:val="1A5625DF"/>
    <w:rsid w:val="1A7E7CDF"/>
    <w:rsid w:val="1BF81957"/>
    <w:rsid w:val="1D2D5631"/>
    <w:rsid w:val="1D8435E5"/>
    <w:rsid w:val="1DEF77E3"/>
    <w:rsid w:val="224E2C62"/>
    <w:rsid w:val="2315342B"/>
    <w:rsid w:val="2436731B"/>
    <w:rsid w:val="248A69AE"/>
    <w:rsid w:val="2737296A"/>
    <w:rsid w:val="294026F9"/>
    <w:rsid w:val="2979112F"/>
    <w:rsid w:val="29E31F74"/>
    <w:rsid w:val="2BC42770"/>
    <w:rsid w:val="2BF9180D"/>
    <w:rsid w:val="2C2B1EAB"/>
    <w:rsid w:val="2CAF6975"/>
    <w:rsid w:val="2D393B7E"/>
    <w:rsid w:val="2EB05197"/>
    <w:rsid w:val="2EB41C54"/>
    <w:rsid w:val="2F1E585C"/>
    <w:rsid w:val="2FB14830"/>
    <w:rsid w:val="300B7369"/>
    <w:rsid w:val="30CA06AC"/>
    <w:rsid w:val="316F46C9"/>
    <w:rsid w:val="318D58F0"/>
    <w:rsid w:val="31906880"/>
    <w:rsid w:val="31F631D8"/>
    <w:rsid w:val="338C634F"/>
    <w:rsid w:val="33DC3EED"/>
    <w:rsid w:val="34C71763"/>
    <w:rsid w:val="350C5A51"/>
    <w:rsid w:val="3513157E"/>
    <w:rsid w:val="358050E6"/>
    <w:rsid w:val="3601278A"/>
    <w:rsid w:val="366F0610"/>
    <w:rsid w:val="36EB2C9D"/>
    <w:rsid w:val="37352B38"/>
    <w:rsid w:val="38167642"/>
    <w:rsid w:val="382E0A5C"/>
    <w:rsid w:val="3AE96BE3"/>
    <w:rsid w:val="3B40257B"/>
    <w:rsid w:val="3BAE6C95"/>
    <w:rsid w:val="3BEA60D6"/>
    <w:rsid w:val="3C0637C5"/>
    <w:rsid w:val="3E7D0BFC"/>
    <w:rsid w:val="3ECC729E"/>
    <w:rsid w:val="3F456695"/>
    <w:rsid w:val="3F87381E"/>
    <w:rsid w:val="3F8A4EE5"/>
    <w:rsid w:val="3F9F673F"/>
    <w:rsid w:val="3FE670EB"/>
    <w:rsid w:val="41273362"/>
    <w:rsid w:val="436E048A"/>
    <w:rsid w:val="43993BFD"/>
    <w:rsid w:val="43F71D59"/>
    <w:rsid w:val="451769E3"/>
    <w:rsid w:val="45924563"/>
    <w:rsid w:val="468D4B61"/>
    <w:rsid w:val="46960814"/>
    <w:rsid w:val="48EC3E5F"/>
    <w:rsid w:val="493127F7"/>
    <w:rsid w:val="49951FBF"/>
    <w:rsid w:val="49BE123B"/>
    <w:rsid w:val="4AB237C4"/>
    <w:rsid w:val="4B3612A5"/>
    <w:rsid w:val="4B7D6D13"/>
    <w:rsid w:val="4E390435"/>
    <w:rsid w:val="4FBA79D1"/>
    <w:rsid w:val="517174DB"/>
    <w:rsid w:val="52246DE3"/>
    <w:rsid w:val="54FE7AA5"/>
    <w:rsid w:val="55A16F9A"/>
    <w:rsid w:val="566A3CE9"/>
    <w:rsid w:val="56FF2E93"/>
    <w:rsid w:val="57405985"/>
    <w:rsid w:val="575064EA"/>
    <w:rsid w:val="57532F8E"/>
    <w:rsid w:val="57AE108B"/>
    <w:rsid w:val="57BE68AA"/>
    <w:rsid w:val="58745868"/>
    <w:rsid w:val="58777616"/>
    <w:rsid w:val="595E6596"/>
    <w:rsid w:val="596926C2"/>
    <w:rsid w:val="5BBB6526"/>
    <w:rsid w:val="5BE25396"/>
    <w:rsid w:val="5C2634BB"/>
    <w:rsid w:val="5EFB46F7"/>
    <w:rsid w:val="617B314A"/>
    <w:rsid w:val="6525705F"/>
    <w:rsid w:val="65C14BBC"/>
    <w:rsid w:val="66B5531C"/>
    <w:rsid w:val="683A7F42"/>
    <w:rsid w:val="683E7CBF"/>
    <w:rsid w:val="69186982"/>
    <w:rsid w:val="6AFF300A"/>
    <w:rsid w:val="6B0A78D2"/>
    <w:rsid w:val="6B534A22"/>
    <w:rsid w:val="6C116020"/>
    <w:rsid w:val="6C1E6B08"/>
    <w:rsid w:val="6CA94389"/>
    <w:rsid w:val="6CB65B3C"/>
    <w:rsid w:val="6E0A419F"/>
    <w:rsid w:val="6E326115"/>
    <w:rsid w:val="6E603820"/>
    <w:rsid w:val="6F3A4760"/>
    <w:rsid w:val="6F5969F6"/>
    <w:rsid w:val="70910BA8"/>
    <w:rsid w:val="710D6C9C"/>
    <w:rsid w:val="71A92552"/>
    <w:rsid w:val="72B94E61"/>
    <w:rsid w:val="73775FE8"/>
    <w:rsid w:val="75950C25"/>
    <w:rsid w:val="76656D8E"/>
    <w:rsid w:val="797D5D43"/>
    <w:rsid w:val="7A770E0E"/>
    <w:rsid w:val="7AEC5358"/>
    <w:rsid w:val="7B5E3C4E"/>
    <w:rsid w:val="7B882000"/>
    <w:rsid w:val="7D292894"/>
    <w:rsid w:val="7F8D6FFB"/>
    <w:rsid w:val="7FB36445"/>
    <w:rsid w:val="7FB93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10962</Words>
  <Characters>13179</Characters>
  <Lines>69</Lines>
  <Paragraphs>19</Paragraphs>
  <TotalTime>114</TotalTime>
  <ScaleCrop>false</ScaleCrop>
  <LinksUpToDate>false</LinksUpToDate>
  <CharactersWithSpaces>14220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忻菇媒位徒</cp:lastModifiedBy>
  <cp:lastPrinted>2022-07-27T12:55:00Z</cp:lastPrinted>
  <dcterms:modified xsi:type="dcterms:W3CDTF">2024-03-11T01:17:56Z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46E1AFDB8FF24CF3B9D148C400F461B7_13</vt:lpwstr>
  </property>
</Properties>
</file>