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footer1.xml" ContentType="application/vnd.openxmlformats-officedocument.wordprocessingml.footer+xml"/>
  <Override PartName="/customXml/itemProps1.xml" ContentType="application/vnd.openxmlformats-officedocument.customXmlProperties+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body>
    <w:p>
      <w:pPr>
        <w:pStyle w:val="style0"/>
        <w:spacing w:lineRule="exact" w:line="900"/>
        <w:jc w:val="center"/>
        <w:rPr>
          <w:rFonts w:cs="宋体" w:hint="default"/>
          <w:bCs/>
          <w:color w:val="auto"/>
          <w:sz w:val="21"/>
          <w:szCs w:val="21"/>
        </w:rPr>
      </w:pPr>
      <w:r>
        <w:rPr>
          <w:rFonts w:cs="宋体"/>
          <w:bCs/>
          <w:color w:val="auto"/>
          <w:sz w:val="21"/>
          <w:szCs w:val="21"/>
        </w:rPr>
        <w:t xml:space="preserve"> </w:t>
      </w:r>
    </w:p>
    <w:p>
      <w:pPr>
        <w:pStyle w:val="style0"/>
        <w:tabs>
          <w:tab w:val="left" w:leader="none" w:pos="8130"/>
        </w:tabs>
        <w:jc w:val="center"/>
        <w:outlineLvl w:val="0"/>
        <w:rPr>
          <w:rFonts w:hint="eastAsia"/>
          <w:bCs/>
          <w:color w:val="auto"/>
          <w:sz w:val="48"/>
          <w:szCs w:val="48"/>
          <w:lang w:eastAsia="zh-CN"/>
        </w:rPr>
      </w:pPr>
      <w:r>
        <w:rPr>
          <w:rFonts w:hint="eastAsia"/>
          <w:bCs/>
          <w:color w:val="auto"/>
          <w:sz w:val="48"/>
          <w:szCs w:val="48"/>
          <w:lang w:eastAsia="zh-CN"/>
        </w:rPr>
        <w:t>宁远县城市供水能力提升建设项目</w:t>
      </w:r>
    </w:p>
    <w:p>
      <w:pPr>
        <w:pStyle w:val="style0"/>
        <w:tabs>
          <w:tab w:val="left" w:leader="none" w:pos="8130"/>
        </w:tabs>
        <w:jc w:val="center"/>
        <w:outlineLvl w:val="0"/>
        <w:rPr>
          <w:rFonts w:hint="default"/>
          <w:color w:val="auto"/>
          <w:sz w:val="72"/>
        </w:rPr>
      </w:pPr>
      <w:r>
        <w:rPr>
          <w:rFonts w:hint="eastAsia"/>
          <w:bCs/>
          <w:color w:val="auto"/>
          <w:sz w:val="48"/>
          <w:szCs w:val="48"/>
          <w:lang w:eastAsia="zh-CN"/>
        </w:rPr>
        <w:t>（一期工程-源水输水管道建设工程）监理</w:t>
      </w:r>
    </w:p>
    <w:p>
      <w:pPr>
        <w:pStyle w:val="style0"/>
        <w:tabs>
          <w:tab w:val="left" w:leader="none" w:pos="7530"/>
        </w:tabs>
        <w:spacing w:lineRule="exact" w:line="1200"/>
        <w:jc w:val="left"/>
        <w:outlineLvl w:val="0"/>
        <w:rPr>
          <w:rFonts w:hint="default"/>
          <w:color w:val="auto"/>
          <w:sz w:val="82"/>
        </w:rPr>
      </w:pPr>
      <w:r>
        <w:rPr>
          <w:color w:val="auto"/>
          <w:sz w:val="82"/>
        </w:rPr>
        <w:tab/>
      </w:r>
    </w:p>
    <w:p>
      <w:pPr>
        <w:pStyle w:val="style0"/>
        <w:spacing w:lineRule="exact" w:line="1200"/>
        <w:jc w:val="center"/>
        <w:outlineLvl w:val="0"/>
        <w:rPr>
          <w:rFonts w:hint="default"/>
          <w:color w:val="auto"/>
          <w:sz w:val="82"/>
        </w:rPr>
      </w:pPr>
      <w:r>
        <w:rPr>
          <w:color w:val="auto"/>
          <w:sz w:val="82"/>
        </w:rPr>
        <w:t>交  易  文  件</w:t>
      </w:r>
    </w:p>
    <w:p>
      <w:pPr>
        <w:pStyle w:val="style0"/>
        <w:tabs>
          <w:tab w:val="left" w:leader="none" w:pos="7073"/>
        </w:tabs>
        <w:jc w:val="left"/>
        <w:outlineLvl w:val="0"/>
        <w:rPr>
          <w:rFonts w:hint="default"/>
          <w:bCs/>
          <w:color w:val="auto"/>
          <w:sz w:val="33"/>
        </w:rPr>
      </w:pPr>
      <w:r>
        <w:rPr>
          <w:bCs/>
          <w:color w:val="auto"/>
          <w:sz w:val="33"/>
        </w:rPr>
        <w:tab/>
      </w:r>
    </w:p>
    <w:p>
      <w:pPr>
        <w:pStyle w:val="style0"/>
        <w:spacing w:lineRule="exact" w:line="600"/>
        <w:jc w:val="center"/>
        <w:rPr>
          <w:rFonts w:hint="default"/>
          <w:b/>
          <w:bCs/>
          <w:color w:val="auto"/>
          <w:sz w:val="30"/>
          <w:szCs w:val="30"/>
        </w:rPr>
      </w:pPr>
      <w:r>
        <w:rPr>
          <w:b/>
          <w:bCs/>
          <w:color w:val="auto"/>
          <w:sz w:val="30"/>
          <w:szCs w:val="30"/>
        </w:rPr>
        <w:t>（交易编号：</w:t>
      </w:r>
      <w:r>
        <w:rPr>
          <w:rFonts w:cs="宋体" w:hint="eastAsia"/>
          <w:color w:val="auto"/>
          <w:sz w:val="32"/>
          <w:szCs w:val="32"/>
          <w:lang w:eastAsia="zh-CN"/>
        </w:rPr>
        <w:t xml:space="preserve">HNBH2020-YZ022 </w:t>
      </w:r>
      <w:r>
        <w:rPr>
          <w:rFonts w:hint="default"/>
          <w:b/>
          <w:bCs/>
          <w:color w:val="auto"/>
          <w:sz w:val="30"/>
          <w:szCs w:val="30"/>
        </w:rPr>
        <w:t>）</w:t>
      </w:r>
    </w:p>
    <w:p>
      <w:pPr>
        <w:pStyle w:val="style0"/>
        <w:rPr>
          <w:rFonts w:hint="default"/>
          <w:color w:val="auto"/>
          <w:sz w:val="30"/>
          <w:szCs w:val="30"/>
        </w:rPr>
      </w:pPr>
    </w:p>
    <w:p>
      <w:pPr>
        <w:pStyle w:val="style0"/>
        <w:rPr>
          <w:rFonts w:hint="default"/>
          <w:color w:val="auto"/>
          <w:sz w:val="30"/>
          <w:szCs w:val="30"/>
        </w:rPr>
      </w:pPr>
    </w:p>
    <w:p>
      <w:pPr>
        <w:pStyle w:val="style0"/>
        <w:rPr>
          <w:rFonts w:hint="default"/>
          <w:color w:val="auto"/>
          <w:sz w:val="30"/>
          <w:szCs w:val="30"/>
        </w:rPr>
      </w:pPr>
    </w:p>
    <w:p>
      <w:pPr>
        <w:pStyle w:val="style0"/>
        <w:rPr>
          <w:rFonts w:hint="default"/>
          <w:color w:val="auto"/>
          <w:sz w:val="30"/>
          <w:szCs w:val="30"/>
        </w:rPr>
      </w:pPr>
    </w:p>
    <w:p>
      <w:pPr>
        <w:pStyle w:val="style0"/>
        <w:rPr>
          <w:rFonts w:hint="default"/>
          <w:color w:val="auto"/>
          <w:sz w:val="30"/>
          <w:szCs w:val="30"/>
        </w:rPr>
      </w:pPr>
    </w:p>
    <w:p>
      <w:pPr>
        <w:pStyle w:val="style0"/>
        <w:rPr>
          <w:rFonts w:hint="default"/>
          <w:color w:val="auto"/>
          <w:sz w:val="30"/>
          <w:szCs w:val="30"/>
        </w:rPr>
      </w:pPr>
    </w:p>
    <w:bookmarkStart w:id="0" w:name="_Hlt4814387"/>
    <w:bookmarkStart w:id="1" w:name="_Hlt230491282"/>
    <w:bookmarkStart w:id="2" w:name="_Hlt233558752"/>
    <w:bookmarkStart w:id="3" w:name="_Hlt226602876"/>
    <w:bookmarkStart w:id="4" w:name="_Hlt233558546"/>
    <w:bookmarkStart w:id="5" w:name="_Hlt226984934"/>
    <w:bookmarkStart w:id="6" w:name="_Hlt4640962"/>
    <w:bookmarkStart w:id="7" w:name="_Hlt4640966"/>
    <w:bookmarkStart w:id="8" w:name="_Hlt226604078"/>
    <w:bookmarkStart w:id="9" w:name="_Hlt4641066"/>
    <w:bookmarkStart w:id="10" w:name="_Hlt233535923"/>
    <w:bookmarkStart w:id="11" w:name="_Hlt233558750"/>
    <w:bookmarkStart w:id="12" w:name="_Hlt230494329"/>
    <w:bookmarkStart w:id="13" w:name="_Hlt226598978"/>
    <w:bookmarkStart w:id="14" w:name="_Hlt4641073"/>
    <w:bookmarkStart w:id="15" w:name="_Hlt4641069"/>
    <w:bookmarkStart w:id="16" w:name="_Hlt226551709"/>
    <w:bookmarkStart w:id="17" w:name="_Hlt193622722"/>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Pr>
        <w:pStyle w:val="style0"/>
        <w:spacing w:lineRule="auto" w:line="360"/>
        <w:ind w:firstLine="1039" w:firstLineChars="345"/>
        <w:rPr>
          <w:rFonts w:hint="eastAsia"/>
          <w:b/>
          <w:color w:val="auto"/>
          <w:spacing w:val="18"/>
          <w:sz w:val="30"/>
          <w:szCs w:val="30"/>
          <w:u w:val="single"/>
          <w:lang w:eastAsia="zh-CN"/>
        </w:rPr>
      </w:pPr>
      <w:r>
        <w:rPr>
          <w:b/>
          <w:color w:val="auto"/>
          <w:sz w:val="30"/>
          <w:szCs w:val="30"/>
        </w:rPr>
        <w:t>交易单位：</w:t>
      </w:r>
      <w:r>
        <w:rPr>
          <w:rFonts w:hint="eastAsia"/>
          <w:b/>
          <w:color w:val="auto"/>
          <w:spacing w:val="18"/>
          <w:sz w:val="30"/>
          <w:szCs w:val="30"/>
          <w:u w:val="single"/>
          <w:lang w:eastAsia="zh-CN"/>
        </w:rPr>
        <w:t>宁远县自来水公司</w:t>
      </w:r>
    </w:p>
    <w:p>
      <w:pPr>
        <w:pStyle w:val="style0"/>
        <w:spacing w:lineRule="auto" w:line="360"/>
        <w:ind w:firstLine="1039" w:firstLineChars="345"/>
        <w:rPr>
          <w:rFonts w:eastAsia="宋体" w:hint="eastAsia"/>
          <w:b/>
          <w:color w:val="auto"/>
          <w:sz w:val="30"/>
          <w:szCs w:val="30"/>
          <w:lang w:eastAsia="zh-CN"/>
        </w:rPr>
      </w:pPr>
      <w:r>
        <w:rPr>
          <w:b/>
          <w:color w:val="auto"/>
          <w:sz w:val="30"/>
          <w:szCs w:val="30"/>
        </w:rPr>
        <w:t>代理机构：</w:t>
      </w:r>
      <w:r>
        <w:rPr>
          <w:rFonts w:hint="eastAsia"/>
          <w:b/>
          <w:color w:val="auto"/>
          <w:spacing w:val="18"/>
          <w:sz w:val="30"/>
          <w:szCs w:val="30"/>
          <w:u w:val="single"/>
          <w:lang w:eastAsia="zh-CN"/>
        </w:rPr>
        <w:t>湖南博皓项目管理有限公司</w:t>
      </w:r>
    </w:p>
    <w:p>
      <w:pPr>
        <w:pStyle w:val="style0"/>
        <w:spacing w:lineRule="auto" w:line="360"/>
        <w:ind w:firstLine="970" w:firstLineChars="345"/>
        <w:rPr>
          <w:rFonts w:hint="default"/>
          <w:b/>
          <w:color w:val="auto"/>
          <w:sz w:val="28"/>
          <w:szCs w:val="28"/>
        </w:rPr>
      </w:pPr>
      <w:r>
        <w:rPr>
          <w:b/>
          <w:color w:val="auto"/>
          <w:sz w:val="28"/>
          <w:szCs w:val="28"/>
        </w:rPr>
        <w:t xml:space="preserve">            </w:t>
      </w:r>
    </w:p>
    <w:p>
      <w:pPr>
        <w:pStyle w:val="style0"/>
        <w:spacing w:lineRule="auto" w:line="360"/>
        <w:ind w:firstLine="148" w:firstLineChars="49"/>
        <w:jc w:val="center"/>
        <w:rPr>
          <w:rFonts w:hint="default"/>
          <w:b/>
          <w:color w:val="auto"/>
          <w:sz w:val="30"/>
          <w:szCs w:val="30"/>
        </w:rPr>
      </w:pPr>
    </w:p>
    <w:p>
      <w:pPr>
        <w:pStyle w:val="style4098"/>
        <w:spacing w:after="0" w:lineRule="auto" w:line="480"/>
        <w:ind w:firstLine="2891" w:firstLineChars="900"/>
        <w:rPr>
          <w:rFonts w:ascii="黑体" w:eastAsia="黑体"/>
          <w:color w:val="auto"/>
          <w:sz w:val="32"/>
        </w:rPr>
      </w:pPr>
      <w:r>
        <w:rPr>
          <w:rFonts w:hAnsi="宋体" w:hint="eastAsia"/>
          <w:b/>
          <w:color w:val="auto"/>
          <w:sz w:val="32"/>
        </w:rPr>
        <w:t>二○二○年</w:t>
      </w:r>
      <w:r>
        <w:rPr>
          <w:rFonts w:hAnsi="宋体" w:hint="eastAsia"/>
          <w:b/>
          <w:color w:val="auto"/>
          <w:sz w:val="32"/>
          <w:lang w:eastAsia="zh-CN"/>
        </w:rPr>
        <w:t>十二</w:t>
      </w:r>
      <w:r>
        <w:rPr>
          <w:rFonts w:hAnsi="宋体" w:hint="eastAsia"/>
          <w:b/>
          <w:color w:val="auto"/>
          <w:sz w:val="32"/>
        </w:rPr>
        <w:t>月</w:t>
      </w:r>
    </w:p>
    <w:p>
      <w:pPr>
        <w:pStyle w:val="style4099"/>
        <w:rPr>
          <w:rFonts w:cs="宋体" w:hAnsi="宋体"/>
          <w:b/>
          <w:color w:val="auto"/>
          <w:sz w:val="21"/>
          <w:szCs w:val="21"/>
        </w:rPr>
      </w:pPr>
    </w:p>
    <w:p>
      <w:pPr>
        <w:pStyle w:val="style4099"/>
        <w:rPr>
          <w:rFonts w:cs="宋体" w:hAnsi="宋体"/>
          <w:b/>
          <w:color w:val="auto"/>
          <w:sz w:val="36"/>
          <w:szCs w:val="36"/>
        </w:rPr>
      </w:pPr>
    </w:p>
    <w:p>
      <w:pPr>
        <w:pStyle w:val="style0"/>
        <w:spacing w:lineRule="exact" w:line="540"/>
        <w:ind w:firstLine="437"/>
        <w:jc w:val="center"/>
        <w:rPr>
          <w:rFonts w:eastAsia="黑体"/>
          <w:color w:val="000000"/>
          <w:sz w:val="32"/>
          <w:szCs w:val="32"/>
        </w:rPr>
      </w:pPr>
      <w:r>
        <w:rPr>
          <w:rFonts w:eastAsia="黑体"/>
          <w:bCs/>
          <w:color w:val="000000"/>
          <w:sz w:val="36"/>
          <w:szCs w:val="36"/>
        </w:rPr>
        <w:t>目  录</w:t>
      </w:r>
    </w:p>
    <w:p>
      <w:pPr>
        <w:pStyle w:val="style19"/>
        <w:tabs>
          <w:tab w:val="right" w:leader="dot" w:pos="9403"/>
        </w:tabs>
        <w:rPr>
          <w:rFonts w:eastAsia="仿宋_GB2312"/>
          <w:color w:val="000000"/>
          <w:szCs w:val="22"/>
        </w:rPr>
      </w:pPr>
      <w:r>
        <w:rPr>
          <w:color w:val="000000"/>
          <w:sz w:val="24"/>
        </w:rPr>
        <w:fldChar w:fldCharType="begin"/>
      </w:r>
      <w:r>
        <w:rPr>
          <w:color w:val="000000"/>
          <w:sz w:val="24"/>
        </w:rPr>
        <w:instrText xml:space="preserve"> TOC \o "1-3" \h \z \u </w:instrText>
      </w:r>
      <w:r>
        <w:rPr>
          <w:color w:val="000000"/>
          <w:sz w:val="24"/>
        </w:rPr>
        <w:fldChar w:fldCharType="separate"/>
      </w:r>
      <w:r>
        <w:rPr>
          <w:rFonts w:eastAsia="仿宋_GB2312"/>
          <w:color w:val="000000"/>
        </w:rPr>
        <w:fldChar w:fldCharType="begin"/>
      </w:r>
      <w:r>
        <w:rPr>
          <w:rFonts w:eastAsia="仿宋_GB2312"/>
          <w:color w:val="000000"/>
        </w:rPr>
        <w:instrText xml:space="preserve"> HYPERLINK \l "_Toc27550582" </w:instrText>
      </w:r>
      <w:r>
        <w:rPr>
          <w:rFonts w:eastAsia="仿宋_GB2312"/>
          <w:color w:val="000000"/>
        </w:rPr>
        <w:fldChar w:fldCharType="separate"/>
      </w:r>
      <w:r>
        <w:rPr>
          <w:rFonts w:eastAsia="黑体" w:hint="eastAsia"/>
          <w:color w:val="000000"/>
        </w:rPr>
        <w:t>第一章</w:t>
      </w:r>
      <w:r>
        <w:rPr>
          <w:rFonts w:eastAsia="黑体"/>
          <w:color w:val="000000"/>
        </w:rPr>
        <w:t xml:space="preserve">  </w:t>
      </w:r>
      <w:r>
        <w:rPr>
          <w:rFonts w:eastAsia="黑体" w:hint="eastAsia"/>
          <w:color w:val="000000"/>
          <w:lang w:val="en-US" w:eastAsia="zh-CN"/>
        </w:rPr>
        <w:t>交易</w:t>
      </w:r>
      <w:r>
        <w:rPr>
          <w:rFonts w:eastAsia="黑体" w:hint="eastAsia"/>
          <w:color w:val="000000"/>
        </w:rPr>
        <w:t>公告</w:t>
      </w:r>
      <w:r>
        <w:rPr>
          <w:rFonts w:eastAsia="仿宋_GB2312"/>
          <w:color w:val="000000"/>
        </w:rPr>
        <w:tab/>
      </w:r>
      <w:r>
        <w:rPr>
          <w:rFonts w:eastAsia="仿宋_GB2312"/>
          <w:color w:val="000000"/>
        </w:rPr>
        <w:fldChar w:fldCharType="begin"/>
      </w:r>
      <w:r>
        <w:rPr>
          <w:rFonts w:eastAsia="仿宋_GB2312"/>
          <w:color w:val="000000"/>
        </w:rPr>
        <w:instrText xml:space="preserve"> PAGEREF _Toc27550582 \h </w:instrText>
      </w:r>
      <w:r>
        <w:rPr>
          <w:rFonts w:eastAsia="仿宋_GB2312"/>
          <w:color w:val="000000"/>
        </w:rPr>
        <w:fldChar w:fldCharType="separate"/>
      </w:r>
      <w:r>
        <w:rPr>
          <w:rFonts w:eastAsia="仿宋_GB2312"/>
          <w:color w:val="000000"/>
        </w:rPr>
        <w:t>2</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"_Toc27550583" </w:instrText>
      </w:r>
      <w:r>
        <w:rPr>
          <w:rFonts w:eastAsia="仿宋_GB2312"/>
          <w:color w:val="000000"/>
        </w:rPr>
        <w:fldChar w:fldCharType="separate"/>
      </w:r>
      <w:r>
        <w:rPr>
          <w:rFonts w:eastAsia="黑体"/>
          <w:color w:val="000000"/>
        </w:rPr>
        <w:t>1.</w:t>
      </w:r>
      <w:r>
        <w:rPr>
          <w:rFonts w:eastAsia="黑体" w:hint="eastAsia"/>
          <w:color w:val="000000"/>
        </w:rPr>
        <w:t>项目概况</w:t>
      </w:r>
      <w:r>
        <w:rPr>
          <w:rFonts w:eastAsia="仿宋_GB2312"/>
          <w:color w:val="000000"/>
        </w:rPr>
        <w:tab/>
      </w:r>
      <w:r>
        <w:rPr>
          <w:rFonts w:eastAsia="仿宋_GB2312"/>
          <w:color w:val="000000"/>
        </w:rPr>
        <w:fldChar w:fldCharType="begin"/>
      </w:r>
      <w:r>
        <w:rPr>
          <w:rFonts w:eastAsia="仿宋_GB2312"/>
          <w:color w:val="000000"/>
        </w:rPr>
        <w:instrText xml:space="preserve"> PAGEREF _Toc27550583 \h </w:instrText>
      </w:r>
      <w:r>
        <w:rPr>
          <w:rFonts w:eastAsia="仿宋_GB2312"/>
          <w:color w:val="000000"/>
        </w:rPr>
        <w:fldChar w:fldCharType="separate"/>
      </w:r>
      <w:r>
        <w:rPr>
          <w:rFonts w:eastAsia="仿宋_GB2312"/>
          <w:color w:val="000000"/>
        </w:rPr>
        <w:t>2</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"_Toc27550584" </w:instrText>
      </w:r>
      <w:r>
        <w:rPr>
          <w:rFonts w:eastAsia="仿宋_GB2312"/>
          <w:color w:val="000000"/>
        </w:rPr>
        <w:fldChar w:fldCharType="separate"/>
      </w:r>
      <w:r>
        <w:rPr>
          <w:rFonts w:eastAsia="黑体"/>
          <w:color w:val="000000"/>
        </w:rPr>
        <w:t>2.</w:t>
      </w:r>
      <w:r>
        <w:rPr>
          <w:rFonts w:eastAsia="黑体" w:hint="eastAsia"/>
          <w:color w:val="000000"/>
        </w:rPr>
        <w:t>资格要求</w:t>
      </w:r>
      <w:r>
        <w:rPr>
          <w:rFonts w:eastAsia="仿宋_GB2312"/>
          <w:color w:val="000000"/>
        </w:rPr>
        <w:tab/>
      </w:r>
      <w:r>
        <w:rPr>
          <w:rFonts w:eastAsia="仿宋_GB2312"/>
          <w:color w:val="000000"/>
        </w:rPr>
        <w:fldChar w:fldCharType="begin"/>
      </w:r>
      <w:r>
        <w:rPr>
          <w:rFonts w:eastAsia="仿宋_GB2312"/>
          <w:color w:val="000000"/>
        </w:rPr>
        <w:instrText xml:space="preserve"> PAGEREF _Toc27550584 \h </w:instrText>
      </w:r>
      <w:r>
        <w:rPr>
          <w:rFonts w:eastAsia="仿宋_GB2312"/>
          <w:color w:val="000000"/>
        </w:rPr>
        <w:fldChar w:fldCharType="separate"/>
      </w:r>
      <w:r>
        <w:rPr>
          <w:rFonts w:eastAsia="仿宋_GB2312"/>
          <w:color w:val="000000"/>
        </w:rPr>
        <w:t>2</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"_Toc27550585" </w:instrText>
      </w:r>
      <w:r>
        <w:rPr>
          <w:rFonts w:eastAsia="仿宋_GB2312"/>
          <w:color w:val="000000"/>
        </w:rPr>
        <w:fldChar w:fldCharType="separate"/>
      </w:r>
      <w:r>
        <w:rPr>
          <w:rFonts w:eastAsia="黑体"/>
          <w:color w:val="000000"/>
        </w:rPr>
        <w:t>3.</w:t>
      </w:r>
      <w:r>
        <w:rPr>
          <w:rFonts w:eastAsia="黑体" w:hint="eastAsia"/>
          <w:color w:val="000000"/>
        </w:rPr>
        <w:t>资格审查</w:t>
      </w:r>
      <w:r>
        <w:rPr>
          <w:rFonts w:eastAsia="仿宋_GB2312"/>
          <w:color w:val="000000"/>
        </w:rPr>
        <w:tab/>
      </w:r>
      <w:r>
        <w:rPr>
          <w:rFonts w:eastAsia="仿宋_GB2312"/>
          <w:color w:val="000000"/>
        </w:rPr>
        <w:fldChar w:fldCharType="begin"/>
      </w:r>
      <w:r>
        <w:rPr>
          <w:rFonts w:eastAsia="仿宋_GB2312"/>
          <w:color w:val="000000"/>
        </w:rPr>
        <w:instrText xml:space="preserve"> PAGEREF _Toc27550585 \h </w:instrText>
      </w:r>
      <w:r>
        <w:rPr>
          <w:rFonts w:eastAsia="仿宋_GB2312"/>
          <w:color w:val="000000"/>
        </w:rPr>
        <w:fldChar w:fldCharType="separate"/>
      </w:r>
      <w:r>
        <w:rPr>
          <w:rFonts w:eastAsia="仿宋_GB2312"/>
          <w:color w:val="000000"/>
        </w:rPr>
        <w:t>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"_Toc27550586" </w:instrText>
      </w:r>
      <w:r>
        <w:rPr>
          <w:rFonts w:eastAsia="仿宋_GB2312"/>
          <w:color w:val="000000"/>
        </w:rPr>
        <w:fldChar w:fldCharType="separate"/>
      </w:r>
      <w:r>
        <w:rPr>
          <w:rFonts w:eastAsia="黑体"/>
          <w:color w:val="000000"/>
        </w:rPr>
        <w:t>4.</w:t>
      </w:r>
      <w:r>
        <w:rPr>
          <w:rFonts w:eastAsia="黑体" w:hint="eastAsia"/>
          <w:color w:val="000000"/>
        </w:rPr>
        <w:t>评标办法</w:t>
      </w:r>
      <w:r>
        <w:rPr>
          <w:rFonts w:eastAsia="仿宋_GB2312"/>
          <w:color w:val="000000"/>
        </w:rPr>
        <w:tab/>
      </w:r>
      <w:r>
        <w:rPr>
          <w:rFonts w:eastAsia="仿宋_GB2312"/>
          <w:color w:val="000000"/>
        </w:rPr>
        <w:fldChar w:fldCharType="begin"/>
      </w:r>
      <w:r>
        <w:rPr>
          <w:rFonts w:eastAsia="仿宋_GB2312"/>
          <w:color w:val="000000"/>
        </w:rPr>
        <w:instrText xml:space="preserve"> PAGEREF _Toc27550586 \h </w:instrText>
      </w:r>
      <w:r>
        <w:rPr>
          <w:rFonts w:eastAsia="仿宋_GB2312"/>
          <w:color w:val="000000"/>
        </w:rPr>
        <w:fldChar w:fldCharType="separate"/>
      </w:r>
      <w:r>
        <w:rPr>
          <w:rFonts w:eastAsia="仿宋_GB2312"/>
          <w:color w:val="000000"/>
        </w:rPr>
        <w:t>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"_Toc27550587" </w:instrText>
      </w:r>
      <w:r>
        <w:rPr>
          <w:rFonts w:eastAsia="仿宋_GB2312"/>
          <w:color w:val="000000"/>
        </w:rPr>
        <w:fldChar w:fldCharType="separate"/>
      </w:r>
      <w:r>
        <w:rPr>
          <w:rFonts w:eastAsia="黑体"/>
          <w:color w:val="000000"/>
        </w:rPr>
        <w:t>5.</w:t>
      </w:r>
      <w:r>
        <w:rPr>
          <w:rFonts w:eastAsia="黑体" w:hint="eastAsia"/>
          <w:color w:val="000000"/>
          <w:lang w:eastAsia="zh-CN"/>
        </w:rPr>
        <w:t>交易</w:t>
      </w:r>
      <w:r>
        <w:rPr>
          <w:rFonts w:eastAsia="黑体" w:hint="eastAsia"/>
          <w:color w:val="000000"/>
        </w:rPr>
        <w:t>文件的获取</w:t>
      </w:r>
      <w:r>
        <w:rPr>
          <w:rFonts w:eastAsia="仿宋_GB2312"/>
          <w:color w:val="000000"/>
        </w:rPr>
        <w:tab/>
      </w:r>
      <w:r>
        <w:rPr>
          <w:rFonts w:eastAsia="仿宋_GB2312"/>
          <w:color w:val="000000"/>
        </w:rPr>
        <w:fldChar w:fldCharType="begin"/>
      </w:r>
      <w:r>
        <w:rPr>
          <w:rFonts w:eastAsia="仿宋_GB2312"/>
          <w:color w:val="000000"/>
        </w:rPr>
        <w:instrText xml:space="preserve"> PAGEREF _Toc27550587 \h </w:instrText>
      </w:r>
      <w:r>
        <w:rPr>
          <w:rFonts w:eastAsia="仿宋_GB2312"/>
          <w:color w:val="000000"/>
        </w:rPr>
        <w:fldChar w:fldCharType="separate"/>
      </w:r>
      <w:r>
        <w:rPr>
          <w:rFonts w:eastAsia="仿宋_GB2312"/>
          <w:color w:val="000000"/>
        </w:rPr>
        <w:t>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"_Toc27550588" </w:instrText>
      </w:r>
      <w:r>
        <w:rPr>
          <w:rFonts w:eastAsia="仿宋_GB2312"/>
          <w:color w:val="000000"/>
        </w:rPr>
        <w:fldChar w:fldCharType="separate"/>
      </w:r>
      <w:r>
        <w:rPr>
          <w:rFonts w:eastAsia="黑体"/>
          <w:color w:val="000000"/>
        </w:rPr>
        <w:t>6.</w:t>
      </w:r>
      <w:r>
        <w:rPr>
          <w:rFonts w:eastAsia="黑体" w:hint="eastAsia"/>
          <w:color w:val="000000"/>
        </w:rPr>
        <w:t>投标文件的递交</w:t>
      </w:r>
      <w:r>
        <w:rPr>
          <w:rFonts w:eastAsia="仿宋_GB2312"/>
          <w:color w:val="000000"/>
        </w:rPr>
        <w:tab/>
      </w:r>
      <w:r>
        <w:rPr>
          <w:rFonts w:eastAsia="仿宋_GB2312"/>
          <w:color w:val="000000"/>
        </w:rPr>
        <w:fldChar w:fldCharType="begin"/>
      </w:r>
      <w:r>
        <w:rPr>
          <w:rFonts w:eastAsia="仿宋_GB2312"/>
          <w:color w:val="000000"/>
        </w:rPr>
        <w:instrText xml:space="preserve"> PAGEREF _Toc27550588 \h </w:instrText>
      </w:r>
      <w:r>
        <w:rPr>
          <w:rFonts w:eastAsia="仿宋_GB2312"/>
          <w:color w:val="000000"/>
        </w:rPr>
        <w:fldChar w:fldCharType="separate"/>
      </w:r>
      <w:r>
        <w:rPr>
          <w:rFonts w:eastAsia="仿宋_GB2312"/>
          <w:color w:val="000000"/>
        </w:rPr>
        <w:t>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"_Toc27550589" </w:instrText>
      </w:r>
      <w:r>
        <w:rPr>
          <w:rFonts w:eastAsia="仿宋_GB2312"/>
          <w:color w:val="000000"/>
        </w:rPr>
        <w:fldChar w:fldCharType="separate"/>
      </w:r>
      <w:r>
        <w:rPr>
          <w:rFonts w:eastAsia="黑体"/>
          <w:color w:val="000000"/>
        </w:rPr>
        <w:t>7.</w:t>
      </w:r>
      <w:r>
        <w:rPr>
          <w:rFonts w:eastAsia="黑体" w:hint="eastAsia"/>
          <w:color w:val="000000"/>
        </w:rPr>
        <w:t>发布公告的媒介</w:t>
      </w:r>
      <w:r>
        <w:rPr>
          <w:rFonts w:eastAsia="仿宋_GB2312"/>
          <w:color w:val="000000"/>
        </w:rPr>
        <w:tab/>
      </w:r>
      <w:r>
        <w:rPr>
          <w:rFonts w:eastAsia="仿宋_GB2312"/>
          <w:color w:val="000000"/>
        </w:rPr>
        <w:fldChar w:fldCharType="begin"/>
      </w:r>
      <w:r>
        <w:rPr>
          <w:rFonts w:eastAsia="仿宋_GB2312"/>
          <w:color w:val="000000"/>
        </w:rPr>
        <w:instrText xml:space="preserve"> PAGEREF _Toc27550589 \h </w:instrText>
      </w:r>
      <w:r>
        <w:rPr>
          <w:rFonts w:eastAsia="仿宋_GB2312"/>
          <w:color w:val="000000"/>
        </w:rPr>
        <w:fldChar w:fldCharType="separate"/>
      </w:r>
      <w:r>
        <w:rPr>
          <w:rFonts w:eastAsia="仿宋_GB2312"/>
          <w:color w:val="000000"/>
        </w:rPr>
        <w:t>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"_Toc27550590" </w:instrText>
      </w:r>
      <w:r>
        <w:rPr>
          <w:rFonts w:eastAsia="仿宋_GB2312"/>
          <w:color w:val="000000"/>
        </w:rPr>
        <w:fldChar w:fldCharType="separate"/>
      </w:r>
      <w:r>
        <w:rPr>
          <w:rFonts w:eastAsia="黑体"/>
          <w:color w:val="000000"/>
        </w:rPr>
        <w:t>8.</w:t>
      </w:r>
      <w:r>
        <w:rPr>
          <w:rFonts w:eastAsia="黑体" w:hint="eastAsia"/>
          <w:color w:val="000000"/>
        </w:rPr>
        <w:t>行政监督</w:t>
      </w:r>
      <w:r>
        <w:rPr>
          <w:rFonts w:eastAsia="仿宋_GB2312"/>
          <w:color w:val="000000"/>
        </w:rPr>
        <w:tab/>
      </w:r>
      <w:r>
        <w:rPr>
          <w:rFonts w:eastAsia="仿宋_GB2312"/>
          <w:color w:val="000000"/>
        </w:rPr>
        <w:fldChar w:fldCharType="begin"/>
      </w:r>
      <w:r>
        <w:rPr>
          <w:rFonts w:eastAsia="仿宋_GB2312"/>
          <w:color w:val="000000"/>
        </w:rPr>
        <w:instrText xml:space="preserve"> PAGEREF _Toc27550590 \h </w:instrText>
      </w:r>
      <w:r>
        <w:rPr>
          <w:rFonts w:eastAsia="仿宋_GB2312"/>
          <w:color w:val="000000"/>
        </w:rPr>
        <w:fldChar w:fldCharType="separate"/>
      </w:r>
      <w:r>
        <w:rPr>
          <w:rFonts w:eastAsia="仿宋_GB2312"/>
          <w:color w:val="000000"/>
        </w:rPr>
        <w:t>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"_Toc27550591" </w:instrText>
      </w:r>
      <w:r>
        <w:rPr>
          <w:rFonts w:eastAsia="仿宋_GB2312"/>
          <w:color w:val="000000"/>
        </w:rPr>
        <w:fldChar w:fldCharType="separate"/>
      </w:r>
      <w:r>
        <w:rPr>
          <w:rFonts w:eastAsia="黑体"/>
          <w:color w:val="000000"/>
        </w:rPr>
        <w:t>9.</w:t>
      </w:r>
      <w:r>
        <w:rPr>
          <w:rFonts w:eastAsia="黑体" w:hint="eastAsia"/>
          <w:color w:val="000000"/>
        </w:rPr>
        <w:t>其它</w:t>
      </w:r>
      <w:r>
        <w:rPr>
          <w:rFonts w:eastAsia="仿宋_GB2312"/>
          <w:color w:val="000000"/>
        </w:rPr>
        <w:tab/>
      </w:r>
      <w:r>
        <w:rPr>
          <w:rFonts w:eastAsia="仿宋_GB2312"/>
          <w:color w:val="000000"/>
        </w:rPr>
        <w:fldChar w:fldCharType="begin"/>
      </w:r>
      <w:r>
        <w:rPr>
          <w:rFonts w:eastAsia="仿宋_GB2312"/>
          <w:color w:val="000000"/>
        </w:rPr>
        <w:instrText xml:space="preserve"> PAGEREF _Toc27550591 \h </w:instrText>
      </w:r>
      <w:r>
        <w:rPr>
          <w:rFonts w:eastAsia="仿宋_GB2312"/>
          <w:color w:val="000000"/>
        </w:rPr>
        <w:fldChar w:fldCharType="separate"/>
      </w:r>
      <w:r>
        <w:rPr>
          <w:rFonts w:eastAsia="仿宋_GB2312"/>
          <w:color w:val="000000"/>
        </w:rPr>
        <w:t>4</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"_Toc27550592" </w:instrText>
      </w:r>
      <w:r>
        <w:rPr>
          <w:rFonts w:eastAsia="仿宋_GB2312"/>
          <w:color w:val="000000"/>
        </w:rPr>
        <w:fldChar w:fldCharType="separate"/>
      </w:r>
      <w:r>
        <w:rPr>
          <w:rFonts w:eastAsia="黑体"/>
          <w:color w:val="000000"/>
        </w:rPr>
        <w:t>10.</w:t>
      </w:r>
      <w:r>
        <w:rPr>
          <w:rFonts w:eastAsia="黑体" w:hint="eastAsia"/>
          <w:color w:val="000000"/>
        </w:rPr>
        <w:t>联系方式</w:t>
      </w:r>
      <w:r>
        <w:rPr>
          <w:rFonts w:eastAsia="仿宋_GB2312"/>
          <w:color w:val="000000"/>
        </w:rPr>
        <w:tab/>
      </w:r>
      <w:r>
        <w:rPr>
          <w:rFonts w:eastAsia="仿宋_GB2312"/>
          <w:color w:val="000000"/>
        </w:rPr>
        <w:fldChar w:fldCharType="begin"/>
      </w:r>
      <w:r>
        <w:rPr>
          <w:rFonts w:eastAsia="仿宋_GB2312"/>
          <w:color w:val="000000"/>
        </w:rPr>
        <w:instrText xml:space="preserve"> PAGEREF _Toc27550592 \h </w:instrText>
      </w:r>
      <w:r>
        <w:rPr>
          <w:rFonts w:eastAsia="仿宋_GB2312"/>
          <w:color w:val="000000"/>
        </w:rPr>
        <w:fldChar w:fldCharType="separate"/>
      </w:r>
      <w:r>
        <w:rPr>
          <w:rFonts w:eastAsia="仿宋_GB2312"/>
          <w:color w:val="000000"/>
        </w:rPr>
        <w:t>4</w:t>
      </w:r>
      <w:r>
        <w:rPr>
          <w:rFonts w:eastAsia="仿宋_GB2312"/>
          <w:color w:val="000000"/>
        </w:rPr>
        <w:fldChar w:fldCharType="end"/>
      </w:r>
      <w:r>
        <w:rPr>
          <w:rFonts w:eastAsia="仿宋_GB2312"/>
          <w:color w:val="000000"/>
        </w:rPr>
        <w:fldChar w:fldCharType="end"/>
      </w:r>
    </w:p>
    <w:p>
      <w:pPr>
        <w:pStyle w:val="style19"/>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"_Toc27550593" </w:instrText>
      </w:r>
      <w:r>
        <w:rPr>
          <w:rFonts w:eastAsia="仿宋_GB2312"/>
          <w:color w:val="000000"/>
        </w:rPr>
        <w:fldChar w:fldCharType="separate"/>
      </w:r>
      <w:r>
        <w:rPr>
          <w:rFonts w:eastAsia="黑体" w:hint="eastAsia"/>
          <w:color w:val="000000"/>
        </w:rPr>
        <w:t>第二章</w:t>
      </w:r>
      <w:r>
        <w:rPr>
          <w:rFonts w:eastAsia="黑体"/>
          <w:color w:val="000000"/>
        </w:rPr>
        <w:t xml:space="preserve">  </w:t>
      </w:r>
      <w:r>
        <w:rPr>
          <w:rFonts w:eastAsia="黑体" w:hint="eastAsia"/>
          <w:color w:val="000000"/>
        </w:rPr>
        <w:t>投标人须知</w:t>
      </w:r>
      <w:r>
        <w:rPr>
          <w:rFonts w:eastAsia="仿宋_GB2312"/>
          <w:color w:val="000000"/>
        </w:rPr>
        <w:tab/>
      </w:r>
      <w:r>
        <w:rPr>
          <w:rFonts w:eastAsia="仿宋_GB2312"/>
          <w:color w:val="000000"/>
        </w:rPr>
        <w:fldChar w:fldCharType="begin"/>
      </w:r>
      <w:r>
        <w:rPr>
          <w:rFonts w:eastAsia="仿宋_GB2312"/>
          <w:color w:val="000000"/>
        </w:rPr>
        <w:instrText xml:space="preserve"> PAGEREF _Toc27550593 \h </w:instrText>
      </w:r>
      <w:r>
        <w:rPr>
          <w:rFonts w:eastAsia="仿宋_GB2312"/>
          <w:color w:val="000000"/>
        </w:rPr>
        <w:fldChar w:fldCharType="separate"/>
      </w:r>
      <w:r>
        <w:rPr>
          <w:rFonts w:eastAsia="仿宋_GB2312"/>
          <w:color w:val="000000"/>
        </w:rPr>
        <w:t>5</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"_Toc27550594" </w:instrText>
      </w:r>
      <w:r>
        <w:rPr>
          <w:rFonts w:eastAsia="仿宋_GB2312"/>
          <w:color w:val="000000"/>
        </w:rPr>
        <w:fldChar w:fldCharType="separate"/>
      </w:r>
      <w:r>
        <w:rPr>
          <w:rFonts w:eastAsia="黑体"/>
          <w:color w:val="000000"/>
        </w:rPr>
        <w:t>1.</w:t>
      </w:r>
      <w:r>
        <w:rPr>
          <w:rFonts w:eastAsia="黑体" w:hint="eastAsia"/>
          <w:color w:val="000000"/>
        </w:rPr>
        <w:t>总则</w:t>
      </w:r>
      <w:r>
        <w:rPr>
          <w:rFonts w:eastAsia="仿宋_GB2312"/>
          <w:color w:val="000000"/>
        </w:rPr>
        <w:tab/>
      </w:r>
      <w:r>
        <w:rPr>
          <w:rFonts w:eastAsia="仿宋_GB2312"/>
          <w:color w:val="000000"/>
        </w:rPr>
        <w:fldChar w:fldCharType="begin"/>
      </w:r>
      <w:r>
        <w:rPr>
          <w:rFonts w:eastAsia="仿宋_GB2312"/>
          <w:color w:val="000000"/>
        </w:rPr>
        <w:instrText xml:space="preserve"> PAGEREF _Toc27550594 \h </w:instrText>
      </w:r>
      <w:r>
        <w:rPr>
          <w:rFonts w:eastAsia="仿宋_GB2312"/>
          <w:color w:val="000000"/>
        </w:rPr>
        <w:fldChar w:fldCharType="separate"/>
      </w:r>
      <w:r>
        <w:rPr>
          <w:rFonts w:eastAsia="仿宋_GB2312"/>
          <w:color w:val="000000"/>
        </w:rPr>
        <w:t>12</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"_Toc27550595" </w:instrText>
      </w:r>
      <w:r>
        <w:rPr>
          <w:rFonts w:eastAsia="仿宋_GB2312"/>
          <w:color w:val="000000"/>
        </w:rPr>
        <w:fldChar w:fldCharType="separate"/>
      </w:r>
      <w:r>
        <w:rPr>
          <w:rFonts w:eastAsia="黑体"/>
          <w:color w:val="000000"/>
        </w:rPr>
        <w:t>2.</w:t>
      </w:r>
      <w:r>
        <w:rPr>
          <w:rFonts w:eastAsia="黑体" w:hint="eastAsia"/>
          <w:color w:val="000000"/>
          <w:lang w:eastAsia="zh-CN"/>
        </w:rPr>
        <w:t>交易</w:t>
      </w:r>
      <w:r>
        <w:rPr>
          <w:rFonts w:eastAsia="黑体" w:hint="eastAsia"/>
          <w:color w:val="000000"/>
        </w:rPr>
        <w:t>文件</w:t>
      </w:r>
      <w:r>
        <w:rPr>
          <w:rFonts w:eastAsia="仿宋_GB2312"/>
          <w:color w:val="000000"/>
        </w:rPr>
        <w:tab/>
      </w:r>
      <w:r>
        <w:rPr>
          <w:rFonts w:eastAsia="仿宋_GB2312"/>
          <w:color w:val="000000"/>
        </w:rPr>
        <w:fldChar w:fldCharType="begin"/>
      </w:r>
      <w:r>
        <w:rPr>
          <w:rFonts w:eastAsia="仿宋_GB2312"/>
          <w:color w:val="000000"/>
        </w:rPr>
        <w:instrText xml:space="preserve"> PAGEREF _Toc27550595 \h </w:instrText>
      </w:r>
      <w:r>
        <w:rPr>
          <w:rFonts w:eastAsia="仿宋_GB2312"/>
          <w:color w:val="000000"/>
        </w:rPr>
        <w:fldChar w:fldCharType="separate"/>
      </w:r>
      <w:r>
        <w:rPr>
          <w:rFonts w:eastAsia="仿宋_GB2312"/>
          <w:color w:val="000000"/>
        </w:rPr>
        <w:t>13</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"_Toc27550596" </w:instrText>
      </w:r>
      <w:r>
        <w:rPr>
          <w:rFonts w:eastAsia="仿宋_GB2312"/>
          <w:color w:val="000000"/>
        </w:rPr>
        <w:fldChar w:fldCharType="separate"/>
      </w:r>
      <w:r>
        <w:rPr>
          <w:rFonts w:eastAsia="黑体"/>
          <w:color w:val="000000"/>
        </w:rPr>
        <w:t>3.</w:t>
      </w:r>
      <w:r>
        <w:rPr>
          <w:rFonts w:eastAsia="黑体" w:hint="eastAsia"/>
          <w:color w:val="000000"/>
        </w:rPr>
        <w:t>投标文件</w:t>
      </w:r>
      <w:r>
        <w:rPr>
          <w:rFonts w:eastAsia="仿宋_GB2312"/>
          <w:color w:val="000000"/>
        </w:rPr>
        <w:tab/>
      </w:r>
      <w:r>
        <w:rPr>
          <w:rFonts w:eastAsia="仿宋_GB2312"/>
          <w:color w:val="000000"/>
        </w:rPr>
        <w:fldChar w:fldCharType="begin"/>
      </w:r>
      <w:r>
        <w:rPr>
          <w:rFonts w:eastAsia="仿宋_GB2312"/>
          <w:color w:val="000000"/>
        </w:rPr>
        <w:instrText xml:space="preserve"> PAGEREF _Toc27550596 \h </w:instrText>
      </w:r>
      <w:r>
        <w:rPr>
          <w:rFonts w:eastAsia="仿宋_GB2312"/>
          <w:color w:val="000000"/>
        </w:rPr>
        <w:fldChar w:fldCharType="separate"/>
      </w:r>
      <w:r>
        <w:rPr>
          <w:rFonts w:eastAsia="仿宋_GB2312"/>
          <w:color w:val="000000"/>
        </w:rPr>
        <w:t>14</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"_Toc27550597" </w:instrText>
      </w:r>
      <w:r>
        <w:rPr>
          <w:rFonts w:eastAsia="仿宋_GB2312"/>
          <w:color w:val="000000"/>
        </w:rPr>
        <w:fldChar w:fldCharType="separate"/>
      </w:r>
      <w:r>
        <w:rPr>
          <w:rFonts w:eastAsia="黑体"/>
          <w:color w:val="000000"/>
        </w:rPr>
        <w:t>4.</w:t>
      </w:r>
      <w:r>
        <w:rPr>
          <w:rFonts w:eastAsia="黑体" w:hint="eastAsia"/>
          <w:color w:val="000000"/>
        </w:rPr>
        <w:t>投标</w:t>
      </w:r>
      <w:r>
        <w:rPr>
          <w:rFonts w:eastAsia="仿宋_GB2312"/>
          <w:color w:val="000000"/>
        </w:rPr>
        <w:tab/>
      </w:r>
      <w:r>
        <w:rPr>
          <w:rFonts w:eastAsia="仿宋_GB2312"/>
          <w:color w:val="000000"/>
        </w:rPr>
        <w:fldChar w:fldCharType="begin"/>
      </w:r>
      <w:r>
        <w:rPr>
          <w:rFonts w:eastAsia="仿宋_GB2312"/>
          <w:color w:val="000000"/>
        </w:rPr>
        <w:instrText xml:space="preserve"> PAGEREF _Toc27550597 \h </w:instrText>
      </w:r>
      <w:r>
        <w:rPr>
          <w:rFonts w:eastAsia="仿宋_GB2312"/>
          <w:color w:val="000000"/>
        </w:rPr>
        <w:fldChar w:fldCharType="separate"/>
      </w:r>
      <w:r>
        <w:rPr>
          <w:rFonts w:eastAsia="仿宋_GB2312"/>
          <w:color w:val="000000"/>
        </w:rPr>
        <w:t>15</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"_Toc27550598" </w:instrText>
      </w:r>
      <w:r>
        <w:rPr>
          <w:rFonts w:eastAsia="仿宋_GB2312"/>
          <w:color w:val="000000"/>
        </w:rPr>
        <w:fldChar w:fldCharType="separate"/>
      </w:r>
      <w:r>
        <w:rPr>
          <w:rFonts w:ascii="黑体" w:eastAsia="黑体" w:hAnsi="黑体"/>
          <w:color w:val="000000"/>
        </w:rPr>
        <w:t>5.</w:t>
      </w:r>
      <w:r>
        <w:rPr>
          <w:rFonts w:ascii="黑体" w:eastAsia="黑体" w:hAnsi="黑体" w:hint="eastAsia"/>
          <w:color w:val="000000"/>
        </w:rPr>
        <w:t>开标</w:t>
      </w:r>
      <w:r>
        <w:rPr>
          <w:rFonts w:eastAsia="仿宋_GB2312"/>
          <w:color w:val="000000"/>
        </w:rPr>
        <w:tab/>
      </w:r>
      <w:r>
        <w:rPr>
          <w:rFonts w:eastAsia="仿宋_GB2312"/>
          <w:color w:val="000000"/>
        </w:rPr>
        <w:fldChar w:fldCharType="begin"/>
      </w:r>
      <w:r>
        <w:rPr>
          <w:rFonts w:eastAsia="仿宋_GB2312"/>
          <w:color w:val="000000"/>
        </w:rPr>
        <w:instrText xml:space="preserve"> PAGEREF _Toc27550598 \h </w:instrText>
      </w:r>
      <w:r>
        <w:rPr>
          <w:rFonts w:eastAsia="仿宋_GB2312"/>
          <w:color w:val="000000"/>
        </w:rPr>
        <w:fldChar w:fldCharType="separate"/>
      </w:r>
      <w:r>
        <w:rPr>
          <w:rFonts w:eastAsia="仿宋_GB2312"/>
          <w:color w:val="000000"/>
        </w:rPr>
        <w:t>16</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"_Toc27550599" </w:instrText>
      </w:r>
      <w:r>
        <w:rPr>
          <w:rFonts w:eastAsia="仿宋_GB2312"/>
          <w:color w:val="000000"/>
        </w:rPr>
        <w:fldChar w:fldCharType="separate"/>
      </w:r>
      <w:r>
        <w:rPr>
          <w:rFonts w:eastAsia="黑体"/>
          <w:color w:val="000000"/>
        </w:rPr>
        <w:t>6.</w:t>
      </w:r>
      <w:r>
        <w:rPr>
          <w:rFonts w:eastAsia="黑体" w:hint="eastAsia"/>
          <w:color w:val="000000"/>
        </w:rPr>
        <w:t>评标</w:t>
      </w:r>
      <w:r>
        <w:rPr>
          <w:rFonts w:eastAsia="仿宋_GB2312"/>
          <w:color w:val="000000"/>
        </w:rPr>
        <w:tab/>
      </w:r>
      <w:r>
        <w:rPr>
          <w:rFonts w:eastAsia="仿宋_GB2312"/>
          <w:color w:val="000000"/>
        </w:rPr>
        <w:fldChar w:fldCharType="begin"/>
      </w:r>
      <w:r>
        <w:rPr>
          <w:rFonts w:eastAsia="仿宋_GB2312"/>
          <w:color w:val="000000"/>
        </w:rPr>
        <w:instrText xml:space="preserve"> PAGEREF _Toc27550599 \h </w:instrText>
      </w:r>
      <w:r>
        <w:rPr>
          <w:rFonts w:eastAsia="仿宋_GB2312"/>
          <w:color w:val="000000"/>
        </w:rPr>
        <w:fldChar w:fldCharType="separate"/>
      </w:r>
      <w:r>
        <w:rPr>
          <w:rFonts w:eastAsia="仿宋_GB2312"/>
          <w:color w:val="000000"/>
        </w:rPr>
        <w:t>16</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"_Toc27550600" </w:instrText>
      </w:r>
      <w:r>
        <w:rPr>
          <w:rFonts w:eastAsia="仿宋_GB2312"/>
          <w:color w:val="000000"/>
        </w:rPr>
        <w:fldChar w:fldCharType="separate"/>
      </w:r>
      <w:r>
        <w:rPr>
          <w:rFonts w:eastAsia="黑体"/>
          <w:color w:val="000000"/>
        </w:rPr>
        <w:t>7.</w:t>
      </w:r>
      <w:r>
        <w:rPr>
          <w:rFonts w:eastAsia="黑体" w:hint="eastAsia"/>
          <w:color w:val="000000"/>
        </w:rPr>
        <w:t>合同授予</w:t>
      </w:r>
      <w:r>
        <w:rPr>
          <w:rFonts w:eastAsia="仿宋_GB2312"/>
          <w:color w:val="000000"/>
        </w:rPr>
        <w:tab/>
      </w:r>
      <w:r>
        <w:rPr>
          <w:rFonts w:eastAsia="仿宋_GB2312"/>
          <w:color w:val="000000"/>
        </w:rPr>
        <w:fldChar w:fldCharType="begin"/>
      </w:r>
      <w:r>
        <w:rPr>
          <w:rFonts w:eastAsia="仿宋_GB2312"/>
          <w:color w:val="000000"/>
        </w:rPr>
        <w:instrText xml:space="preserve"> PAGEREF _Toc27550600 \h </w:instrText>
      </w:r>
      <w:r>
        <w:rPr>
          <w:rFonts w:eastAsia="仿宋_GB2312"/>
          <w:color w:val="000000"/>
        </w:rPr>
        <w:fldChar w:fldCharType="separate"/>
      </w:r>
      <w:r>
        <w:rPr>
          <w:rFonts w:eastAsia="仿宋_GB2312"/>
          <w:color w:val="000000"/>
        </w:rPr>
        <w:t>17</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"_Toc27550601" </w:instrText>
      </w:r>
      <w:r>
        <w:rPr>
          <w:rFonts w:eastAsia="仿宋_GB2312"/>
          <w:color w:val="000000"/>
        </w:rPr>
        <w:fldChar w:fldCharType="separate"/>
      </w:r>
      <w:r>
        <w:rPr>
          <w:rFonts w:eastAsia="黑体"/>
          <w:color w:val="000000"/>
        </w:rPr>
        <w:t>8.</w:t>
      </w:r>
      <w:r>
        <w:rPr>
          <w:rFonts w:eastAsia="黑体" w:hint="eastAsia"/>
          <w:color w:val="000000"/>
        </w:rPr>
        <w:t>重新</w:t>
      </w:r>
      <w:r>
        <w:rPr>
          <w:rFonts w:eastAsia="黑体" w:hint="eastAsia"/>
          <w:color w:val="000000"/>
          <w:lang w:eastAsia="zh-CN"/>
        </w:rPr>
        <w:t>交易</w:t>
      </w:r>
      <w:r>
        <w:rPr>
          <w:rFonts w:eastAsia="黑体" w:hint="eastAsia"/>
          <w:color w:val="000000"/>
        </w:rPr>
        <w:t>和不再</w:t>
      </w:r>
      <w:r>
        <w:rPr>
          <w:rFonts w:eastAsia="黑体" w:hint="eastAsia"/>
          <w:color w:val="000000"/>
          <w:lang w:eastAsia="zh-CN"/>
        </w:rPr>
        <w:t>交易</w:t>
      </w:r>
      <w:r>
        <w:rPr>
          <w:rFonts w:eastAsia="仿宋_GB2312"/>
          <w:color w:val="000000"/>
        </w:rPr>
        <w:tab/>
      </w:r>
      <w:r>
        <w:rPr>
          <w:rFonts w:eastAsia="仿宋_GB2312"/>
          <w:color w:val="000000"/>
        </w:rPr>
        <w:fldChar w:fldCharType="begin"/>
      </w:r>
      <w:r>
        <w:rPr>
          <w:rFonts w:eastAsia="仿宋_GB2312"/>
          <w:color w:val="000000"/>
        </w:rPr>
        <w:instrText xml:space="preserve"> PAGEREF _Toc27550601 \h </w:instrText>
      </w:r>
      <w:r>
        <w:rPr>
          <w:rFonts w:eastAsia="仿宋_GB2312"/>
          <w:color w:val="000000"/>
        </w:rPr>
        <w:fldChar w:fldCharType="separate"/>
      </w:r>
      <w:r>
        <w:rPr>
          <w:rFonts w:eastAsia="仿宋_GB2312"/>
          <w:color w:val="000000"/>
        </w:rPr>
        <w:t>17</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"_Toc27550602" </w:instrText>
      </w:r>
      <w:r>
        <w:rPr>
          <w:rFonts w:eastAsia="仿宋_GB2312"/>
          <w:color w:val="000000"/>
        </w:rPr>
        <w:fldChar w:fldCharType="separate"/>
      </w:r>
      <w:r>
        <w:rPr>
          <w:rFonts w:eastAsia="黑体"/>
          <w:color w:val="000000"/>
        </w:rPr>
        <w:t>9.</w:t>
      </w:r>
      <w:r>
        <w:rPr>
          <w:rFonts w:eastAsia="黑体" w:hint="eastAsia"/>
          <w:color w:val="000000"/>
        </w:rPr>
        <w:t>纪律和监督</w:t>
      </w:r>
      <w:r>
        <w:rPr>
          <w:rFonts w:eastAsia="仿宋_GB2312"/>
          <w:color w:val="000000"/>
        </w:rPr>
        <w:tab/>
      </w:r>
      <w:r>
        <w:rPr>
          <w:rFonts w:eastAsia="仿宋_GB2312"/>
          <w:color w:val="000000"/>
        </w:rPr>
        <w:fldChar w:fldCharType="begin"/>
      </w:r>
      <w:r>
        <w:rPr>
          <w:rFonts w:eastAsia="仿宋_GB2312"/>
          <w:color w:val="000000"/>
        </w:rPr>
        <w:instrText xml:space="preserve"> PAGEREF _Toc27550602 \h </w:instrText>
      </w:r>
      <w:r>
        <w:rPr>
          <w:rFonts w:eastAsia="仿宋_GB2312"/>
          <w:color w:val="000000"/>
        </w:rPr>
        <w:fldChar w:fldCharType="separate"/>
      </w:r>
      <w:r>
        <w:rPr>
          <w:rFonts w:eastAsia="仿宋_GB2312"/>
          <w:color w:val="000000"/>
        </w:rPr>
        <w:t>18</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"_Toc27550603" </w:instrText>
      </w:r>
      <w:r>
        <w:rPr>
          <w:rFonts w:eastAsia="仿宋_GB2312"/>
          <w:color w:val="000000"/>
        </w:rPr>
        <w:fldChar w:fldCharType="separate"/>
      </w:r>
      <w:r>
        <w:rPr>
          <w:rFonts w:eastAsia="黑体"/>
          <w:color w:val="000000"/>
        </w:rPr>
        <w:t>10.</w:t>
      </w:r>
      <w:r>
        <w:rPr>
          <w:rFonts w:eastAsia="黑体" w:hint="eastAsia"/>
          <w:color w:val="000000"/>
        </w:rPr>
        <w:t>需要补充的其他内容</w:t>
      </w:r>
      <w:r>
        <w:rPr>
          <w:rFonts w:eastAsia="仿宋_GB2312"/>
          <w:color w:val="000000"/>
        </w:rPr>
        <w:tab/>
      </w:r>
      <w:r>
        <w:rPr>
          <w:rFonts w:eastAsia="仿宋_GB2312"/>
          <w:color w:val="000000"/>
        </w:rPr>
        <w:fldChar w:fldCharType="begin"/>
      </w:r>
      <w:r>
        <w:rPr>
          <w:rFonts w:eastAsia="仿宋_GB2312"/>
          <w:color w:val="000000"/>
        </w:rPr>
        <w:instrText xml:space="preserve"> PAGEREF _Toc27550603 \h </w:instrText>
      </w:r>
      <w:r>
        <w:rPr>
          <w:rFonts w:eastAsia="仿宋_GB2312"/>
          <w:color w:val="000000"/>
        </w:rPr>
        <w:fldChar w:fldCharType="separate"/>
      </w:r>
      <w:r>
        <w:rPr>
          <w:rFonts w:eastAsia="仿宋_GB2312"/>
          <w:color w:val="000000"/>
        </w:rPr>
        <w:t>18</w:t>
      </w:r>
      <w:r>
        <w:rPr>
          <w:rFonts w:eastAsia="仿宋_GB2312"/>
          <w:color w:val="000000"/>
        </w:rPr>
        <w:fldChar w:fldCharType="end"/>
      </w:r>
      <w:r>
        <w:rPr>
          <w:rFonts w:eastAsia="仿宋_GB2312"/>
          <w:color w:val="000000"/>
        </w:rPr>
        <w:fldChar w:fldCharType="end"/>
      </w:r>
    </w:p>
    <w:p>
      <w:pPr>
        <w:pStyle w:val="style19"/>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"_Toc27550604" </w:instrText>
      </w:r>
      <w:r>
        <w:rPr>
          <w:rFonts w:eastAsia="仿宋_GB2312"/>
          <w:color w:val="000000"/>
        </w:rPr>
        <w:fldChar w:fldCharType="separate"/>
      </w:r>
      <w:r>
        <w:rPr>
          <w:rFonts w:eastAsia="黑体" w:hint="eastAsia"/>
          <w:color w:val="000000"/>
        </w:rPr>
        <w:t>第三章</w:t>
      </w:r>
      <w:r>
        <w:rPr>
          <w:rFonts w:eastAsia="黑体"/>
          <w:color w:val="000000"/>
        </w:rPr>
        <w:t xml:space="preserve">  </w:t>
      </w:r>
      <w:r>
        <w:rPr>
          <w:rFonts w:eastAsia="黑体" w:hint="eastAsia"/>
          <w:color w:val="000000"/>
        </w:rPr>
        <w:t>评标办法（综合评估法</w:t>
      </w:r>
      <w:r>
        <w:rPr>
          <w:rFonts w:eastAsia="黑体"/>
          <w:color w:val="000000"/>
        </w:rPr>
        <w:t>I</w:t>
      </w:r>
      <w:r>
        <w:rPr>
          <w:rFonts w:eastAsia="黑体" w:hint="eastAsia"/>
          <w:color w:val="000000"/>
        </w:rPr>
        <w:t>）</w:t>
      </w:r>
      <w:r>
        <w:rPr>
          <w:rFonts w:eastAsia="仿宋_GB2312"/>
          <w:color w:val="000000"/>
        </w:rPr>
        <w:tab/>
      </w:r>
      <w:r>
        <w:rPr>
          <w:rFonts w:eastAsia="仿宋_GB2312"/>
          <w:color w:val="000000"/>
        </w:rPr>
        <w:fldChar w:fldCharType="begin"/>
      </w:r>
      <w:r>
        <w:rPr>
          <w:rFonts w:eastAsia="仿宋_GB2312"/>
          <w:color w:val="000000"/>
        </w:rPr>
        <w:instrText xml:space="preserve"> PAGEREF _Toc27550604 \h </w:instrText>
      </w:r>
      <w:r>
        <w:rPr>
          <w:rFonts w:eastAsia="仿宋_GB2312"/>
          <w:color w:val="000000"/>
        </w:rPr>
        <w:fldChar w:fldCharType="separate"/>
      </w:r>
      <w:r>
        <w:rPr>
          <w:rFonts w:eastAsia="仿宋_GB2312"/>
          <w:color w:val="000000"/>
        </w:rPr>
        <w:t>22</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"_Toc27550605" </w:instrText>
      </w:r>
      <w:r>
        <w:rPr>
          <w:rFonts w:eastAsia="仿宋_GB2312"/>
          <w:color w:val="000000"/>
        </w:rPr>
        <w:fldChar w:fldCharType="separate"/>
      </w:r>
      <w:r>
        <w:rPr>
          <w:rFonts w:eastAsia="黑体"/>
          <w:color w:val="000000"/>
        </w:rPr>
        <w:t>1.</w:t>
      </w:r>
      <w:r>
        <w:rPr>
          <w:rFonts w:eastAsia="黑体" w:hint="eastAsia"/>
          <w:color w:val="000000"/>
        </w:rPr>
        <w:t>评审标准</w:t>
      </w:r>
      <w:r>
        <w:rPr>
          <w:rFonts w:eastAsia="仿宋_GB2312"/>
          <w:color w:val="000000"/>
        </w:rPr>
        <w:tab/>
      </w:r>
      <w:r>
        <w:rPr>
          <w:rFonts w:eastAsia="仿宋_GB2312"/>
          <w:color w:val="000000"/>
        </w:rPr>
        <w:fldChar w:fldCharType="begin"/>
      </w:r>
      <w:r>
        <w:rPr>
          <w:rFonts w:eastAsia="仿宋_GB2312"/>
          <w:color w:val="000000"/>
        </w:rPr>
        <w:instrText xml:space="preserve"> PAGEREF _Toc27550605 \h </w:instrText>
      </w:r>
      <w:r>
        <w:rPr>
          <w:rFonts w:eastAsia="仿宋_GB2312"/>
          <w:color w:val="000000"/>
        </w:rPr>
        <w:fldChar w:fldCharType="separate"/>
      </w:r>
      <w:r>
        <w:rPr>
          <w:rFonts w:eastAsia="仿宋_GB2312"/>
          <w:color w:val="000000"/>
        </w:rPr>
        <w:t>27</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"_Toc27550606" </w:instrText>
      </w:r>
      <w:r>
        <w:rPr>
          <w:rFonts w:eastAsia="仿宋_GB2312"/>
          <w:color w:val="000000"/>
        </w:rPr>
        <w:fldChar w:fldCharType="separate"/>
      </w:r>
      <w:r>
        <w:rPr>
          <w:rFonts w:eastAsia="黑体"/>
          <w:color w:val="000000"/>
        </w:rPr>
        <w:t>2.</w:t>
      </w:r>
      <w:r>
        <w:rPr>
          <w:rFonts w:eastAsia="黑体" w:hint="eastAsia"/>
          <w:color w:val="000000"/>
        </w:rPr>
        <w:t>评审程序</w:t>
      </w:r>
      <w:r>
        <w:rPr>
          <w:rFonts w:eastAsia="仿宋_GB2312"/>
          <w:color w:val="000000"/>
        </w:rPr>
        <w:tab/>
      </w:r>
      <w:r>
        <w:rPr>
          <w:rFonts w:eastAsia="仿宋_GB2312"/>
          <w:color w:val="000000"/>
        </w:rPr>
        <w:fldChar w:fldCharType="begin"/>
      </w:r>
      <w:r>
        <w:rPr>
          <w:rFonts w:eastAsia="仿宋_GB2312"/>
          <w:color w:val="000000"/>
        </w:rPr>
        <w:instrText xml:space="preserve"> PAGEREF _Toc27550606 \h </w:instrText>
      </w:r>
      <w:r>
        <w:rPr>
          <w:rFonts w:eastAsia="仿宋_GB2312"/>
          <w:color w:val="000000"/>
        </w:rPr>
        <w:fldChar w:fldCharType="separate"/>
      </w:r>
      <w:r>
        <w:rPr>
          <w:rFonts w:eastAsia="仿宋_GB2312"/>
          <w:color w:val="000000"/>
        </w:rPr>
        <w:t>27</w:t>
      </w:r>
      <w:r>
        <w:rPr>
          <w:rFonts w:eastAsia="仿宋_GB2312"/>
          <w:color w:val="000000"/>
        </w:rPr>
        <w:fldChar w:fldCharType="end"/>
      </w:r>
      <w:r>
        <w:rPr>
          <w:rFonts w:eastAsia="仿宋_GB2312"/>
          <w:color w:val="000000"/>
        </w:rPr>
        <w:fldChar w:fldCharType="end"/>
      </w:r>
    </w:p>
    <w:p>
      <w:pPr>
        <w:pStyle w:val="style21"/>
        <w:tabs>
          <w:tab w:val="right" w:leader="dot" w:pos="9403"/>
        </w:tabs>
        <w:ind w:leftChars="203" w:hanging="472" w:hangingChars="197"/>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"_Toc27550607" </w:instrText>
      </w:r>
      <w:r>
        <w:rPr>
          <w:rFonts w:eastAsia="仿宋_GB2312"/>
          <w:color w:val="000000"/>
        </w:rPr>
        <w:fldChar w:fldCharType="separate"/>
      </w:r>
      <w:r>
        <w:rPr>
          <w:rFonts w:eastAsia="黑体"/>
          <w:color w:val="000000"/>
        </w:rPr>
        <w:t>3.</w:t>
      </w:r>
      <w:r>
        <w:rPr>
          <w:rFonts w:eastAsia="黑体" w:hint="eastAsia"/>
          <w:color w:val="000000"/>
        </w:rPr>
        <w:t>评标结果</w:t>
      </w:r>
      <w:r>
        <w:rPr>
          <w:rFonts w:eastAsia="仿宋_GB2312"/>
          <w:color w:val="000000"/>
        </w:rPr>
        <w:tab/>
      </w:r>
      <w:r>
        <w:rPr>
          <w:rFonts w:eastAsia="仿宋_GB2312"/>
          <w:color w:val="000000"/>
        </w:rPr>
        <w:fldChar w:fldCharType="begin"/>
      </w:r>
      <w:r>
        <w:rPr>
          <w:rFonts w:eastAsia="仿宋_GB2312"/>
          <w:color w:val="000000"/>
        </w:rPr>
        <w:instrText xml:space="preserve"> PAGEREF _Toc27550607 \h </w:instrText>
      </w:r>
      <w:r>
        <w:rPr>
          <w:rFonts w:eastAsia="仿宋_GB2312"/>
          <w:color w:val="000000"/>
        </w:rPr>
        <w:fldChar w:fldCharType="separate"/>
      </w:r>
      <w:r>
        <w:rPr>
          <w:rFonts w:eastAsia="仿宋_GB2312"/>
          <w:color w:val="000000"/>
        </w:rPr>
        <w:t>27</w:t>
      </w:r>
      <w:r>
        <w:rPr>
          <w:rFonts w:eastAsia="仿宋_GB2312"/>
          <w:color w:val="000000"/>
        </w:rPr>
        <w:fldChar w:fldCharType="end"/>
      </w:r>
      <w:r>
        <w:rPr>
          <w:rFonts w:eastAsia="仿宋_GB2312"/>
          <w:color w:val="000000"/>
        </w:rPr>
        <w:fldChar w:fldCharType="end"/>
      </w:r>
    </w:p>
    <w:p>
      <w:pPr>
        <w:pStyle w:val="style19"/>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"_Toc27550612" </w:instrText>
      </w:r>
      <w:r>
        <w:rPr>
          <w:rFonts w:eastAsia="仿宋_GB2312"/>
          <w:color w:val="000000"/>
        </w:rPr>
        <w:fldChar w:fldCharType="separate"/>
      </w:r>
      <w:r>
        <w:rPr>
          <w:rFonts w:eastAsia="黑体" w:hint="eastAsia"/>
          <w:color w:val="000000"/>
        </w:rPr>
        <w:t>第四章</w:t>
      </w:r>
      <w:r>
        <w:rPr>
          <w:rFonts w:eastAsia="黑体"/>
          <w:color w:val="000000"/>
        </w:rPr>
        <w:t xml:space="preserve">  </w:t>
      </w:r>
      <w:r>
        <w:rPr>
          <w:rFonts w:eastAsia="黑体" w:hint="eastAsia"/>
          <w:color w:val="000000"/>
        </w:rPr>
        <w:t>合同条款及格式</w:t>
      </w:r>
      <w:r>
        <w:rPr>
          <w:rFonts w:eastAsia="仿宋_GB2312"/>
          <w:color w:val="000000"/>
        </w:rPr>
        <w:tab/>
      </w:r>
      <w:r>
        <w:rPr>
          <w:rFonts w:eastAsia="仿宋_GB2312"/>
          <w:color w:val="000000"/>
        </w:rPr>
        <w:fldChar w:fldCharType="begin"/>
      </w:r>
      <w:r>
        <w:rPr>
          <w:rFonts w:eastAsia="仿宋_GB2312"/>
          <w:color w:val="000000"/>
        </w:rPr>
        <w:instrText xml:space="preserve"> PAGEREF _Toc27550612 \h </w:instrText>
      </w:r>
      <w:r>
        <w:rPr>
          <w:rFonts w:eastAsia="仿宋_GB2312"/>
          <w:color w:val="000000"/>
        </w:rPr>
        <w:fldChar w:fldCharType="separate"/>
      </w:r>
      <w:r>
        <w:rPr>
          <w:rFonts w:eastAsia="仿宋_GB2312"/>
          <w:color w:val="000000"/>
        </w:rPr>
        <w:t>32</w:t>
      </w:r>
      <w:r>
        <w:rPr>
          <w:rFonts w:eastAsia="仿宋_GB2312"/>
          <w:color w:val="000000"/>
        </w:rPr>
        <w:fldChar w:fldCharType="end"/>
      </w:r>
      <w:r>
        <w:rPr>
          <w:rFonts w:eastAsia="仿宋_GB2312"/>
          <w:color w:val="000000"/>
        </w:rPr>
        <w:fldChar w:fldCharType="end"/>
      </w:r>
    </w:p>
    <w:p>
      <w:pPr>
        <w:pStyle w:val="style19"/>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"_Toc27550613" </w:instrText>
      </w:r>
      <w:r>
        <w:rPr>
          <w:rFonts w:eastAsia="仿宋_GB2312"/>
          <w:color w:val="000000"/>
        </w:rPr>
        <w:fldChar w:fldCharType="separate"/>
      </w:r>
      <w:r>
        <w:rPr>
          <w:rFonts w:eastAsia="黑体" w:hint="eastAsia"/>
          <w:color w:val="000000"/>
        </w:rPr>
        <w:t>第五章</w:t>
      </w:r>
      <w:r>
        <w:rPr>
          <w:rFonts w:eastAsia="黑体"/>
          <w:color w:val="000000"/>
        </w:rPr>
        <w:t xml:space="preserve">  </w:t>
      </w:r>
      <w:r>
        <w:rPr>
          <w:rFonts w:eastAsia="黑体" w:hint="eastAsia"/>
          <w:color w:val="000000"/>
        </w:rPr>
        <w:t>委托人要求</w:t>
      </w:r>
      <w:r>
        <w:rPr>
          <w:rFonts w:eastAsia="仿宋_GB2312"/>
          <w:color w:val="000000"/>
        </w:rPr>
        <w:tab/>
      </w:r>
      <w:r>
        <w:rPr>
          <w:rFonts w:eastAsia="仿宋_GB2312"/>
          <w:color w:val="000000"/>
        </w:rPr>
        <w:fldChar w:fldCharType="begin"/>
      </w:r>
      <w:r>
        <w:rPr>
          <w:rFonts w:eastAsia="仿宋_GB2312"/>
          <w:color w:val="000000"/>
        </w:rPr>
        <w:instrText xml:space="preserve"> PAGEREF _Toc27550613 \h </w:instrText>
      </w:r>
      <w:r>
        <w:rPr>
          <w:rFonts w:eastAsia="仿宋_GB2312"/>
          <w:color w:val="000000"/>
        </w:rPr>
        <w:fldChar w:fldCharType="separate"/>
      </w:r>
      <w:r>
        <w:rPr>
          <w:rFonts w:eastAsia="仿宋_GB2312"/>
          <w:color w:val="000000"/>
        </w:rPr>
        <w:t>48</w:t>
      </w:r>
      <w:r>
        <w:rPr>
          <w:rFonts w:eastAsia="仿宋_GB2312"/>
          <w:color w:val="000000"/>
        </w:rPr>
        <w:fldChar w:fldCharType="end"/>
      </w:r>
      <w:r>
        <w:rPr>
          <w:rFonts w:eastAsia="仿宋_GB2312"/>
          <w:color w:val="000000"/>
        </w:rPr>
        <w:fldChar w:fldCharType="end"/>
      </w:r>
    </w:p>
    <w:p>
      <w:pPr>
        <w:pStyle w:val="style19"/>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"_Toc27550614" </w:instrText>
      </w:r>
      <w:r>
        <w:rPr>
          <w:rFonts w:eastAsia="仿宋_GB2312"/>
          <w:color w:val="000000"/>
        </w:rPr>
        <w:fldChar w:fldCharType="separate"/>
      </w:r>
      <w:r>
        <w:rPr>
          <w:rFonts w:eastAsia="黑体" w:hint="eastAsia"/>
          <w:color w:val="000000"/>
        </w:rPr>
        <w:t>第六章</w:t>
      </w:r>
      <w:r>
        <w:rPr>
          <w:rFonts w:eastAsia="黑体"/>
          <w:color w:val="000000"/>
        </w:rPr>
        <w:t xml:space="preserve">  </w:t>
      </w:r>
      <w:r>
        <w:rPr>
          <w:rFonts w:eastAsia="黑体" w:hint="eastAsia"/>
          <w:color w:val="000000"/>
        </w:rPr>
        <w:t>投标文件格式</w:t>
      </w:r>
      <w:r>
        <w:rPr>
          <w:rFonts w:eastAsia="仿宋_GB2312"/>
          <w:color w:val="000000"/>
        </w:rPr>
        <w:tab/>
      </w:r>
      <w:r>
        <w:rPr>
          <w:rFonts w:eastAsia="仿宋_GB2312"/>
          <w:color w:val="000000"/>
        </w:rPr>
        <w:fldChar w:fldCharType="begin"/>
      </w:r>
      <w:r>
        <w:rPr>
          <w:rFonts w:eastAsia="仿宋_GB2312"/>
          <w:color w:val="000000"/>
        </w:rPr>
        <w:instrText xml:space="preserve"> PAGEREF _Toc27550614 \h </w:instrText>
      </w:r>
      <w:r>
        <w:rPr>
          <w:rFonts w:eastAsia="仿宋_GB2312"/>
          <w:color w:val="000000"/>
        </w:rPr>
        <w:fldChar w:fldCharType="separate"/>
      </w:r>
      <w:r>
        <w:rPr>
          <w:rFonts w:eastAsia="仿宋_GB2312"/>
          <w:color w:val="000000"/>
        </w:rPr>
        <w:t>49</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"_Toc27550615" </w:instrText>
      </w:r>
      <w:r>
        <w:rPr>
          <w:rFonts w:eastAsia="仿宋_GB2312"/>
          <w:color w:val="000000"/>
        </w:rPr>
        <w:fldChar w:fldCharType="separate"/>
      </w:r>
      <w:r>
        <w:rPr>
          <w:rFonts w:eastAsia="黑体" w:hint="eastAsia"/>
          <w:color w:val="000000"/>
          <w:kern w:val="32"/>
        </w:rPr>
        <w:t>一、商务投标文件格式</w:t>
      </w:r>
      <w:r>
        <w:rPr>
          <w:rFonts w:eastAsia="仿宋_GB2312"/>
          <w:color w:val="000000"/>
        </w:rPr>
        <w:tab/>
      </w:r>
      <w:r>
        <w:rPr>
          <w:rFonts w:eastAsia="仿宋_GB2312"/>
          <w:color w:val="000000"/>
        </w:rPr>
        <w:fldChar w:fldCharType="begin"/>
      </w:r>
      <w:r>
        <w:rPr>
          <w:rFonts w:eastAsia="仿宋_GB2312"/>
          <w:color w:val="000000"/>
        </w:rPr>
        <w:instrText xml:space="preserve"> PAGEREF _Toc27550615 \h </w:instrText>
      </w:r>
      <w:r>
        <w:rPr>
          <w:rFonts w:eastAsia="仿宋_GB2312"/>
          <w:color w:val="000000"/>
        </w:rPr>
        <w:fldChar w:fldCharType="separate"/>
      </w:r>
      <w:r>
        <w:rPr>
          <w:rFonts w:eastAsia="仿宋_GB2312"/>
          <w:color w:val="000000"/>
        </w:rPr>
        <w:t>50</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"_Toc27550616" </w:instrText>
      </w:r>
      <w:r>
        <w:rPr>
          <w:rFonts w:eastAsia="仿宋_GB2312"/>
          <w:color w:val="000000"/>
        </w:rPr>
        <w:fldChar w:fldCharType="separate"/>
      </w:r>
      <w:r>
        <w:rPr>
          <w:rFonts w:eastAsia="黑体" w:hint="eastAsia"/>
          <w:color w:val="000000"/>
        </w:rPr>
        <w:t>目</w:t>
      </w:r>
      <w:r>
        <w:rPr>
          <w:rFonts w:eastAsia="黑体"/>
          <w:color w:val="000000"/>
        </w:rPr>
        <w:t xml:space="preserve">    </w:t>
      </w:r>
      <w:r>
        <w:rPr>
          <w:rFonts w:eastAsia="黑体" w:hint="eastAsia"/>
          <w:color w:val="000000"/>
        </w:rPr>
        <w:t>录</w:t>
      </w:r>
      <w:r>
        <w:rPr>
          <w:rFonts w:eastAsia="仿宋_GB2312"/>
          <w:color w:val="000000"/>
        </w:rPr>
        <w:tab/>
      </w:r>
      <w:r>
        <w:rPr>
          <w:rFonts w:eastAsia="仿宋_GB2312"/>
          <w:color w:val="000000"/>
        </w:rPr>
        <w:fldChar w:fldCharType="begin"/>
      </w:r>
      <w:r>
        <w:rPr>
          <w:rFonts w:eastAsia="仿宋_GB2312"/>
          <w:color w:val="000000"/>
        </w:rPr>
        <w:instrText xml:space="preserve"> PAGEREF _Toc27550616 \h </w:instrText>
      </w:r>
      <w:r>
        <w:rPr>
          <w:rFonts w:eastAsia="仿宋_GB2312"/>
          <w:color w:val="000000"/>
        </w:rPr>
        <w:fldChar w:fldCharType="separate"/>
      </w:r>
      <w:r>
        <w:rPr>
          <w:rFonts w:eastAsia="仿宋_GB2312"/>
          <w:color w:val="000000"/>
        </w:rPr>
        <w:t>51</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"_Toc27550617" </w:instrText>
      </w:r>
      <w:r>
        <w:rPr>
          <w:rFonts w:eastAsia="仿宋_GB2312"/>
          <w:color w:val="000000"/>
        </w:rPr>
        <w:fldChar w:fldCharType="separate"/>
      </w:r>
      <w:r>
        <w:rPr>
          <w:rFonts w:ascii="黑体" w:eastAsia="黑体" w:hAnsi="黑体"/>
          <w:color w:val="000000"/>
        </w:rPr>
        <w:t>1.</w:t>
      </w:r>
      <w:r>
        <w:rPr>
          <w:rFonts w:ascii="黑体" w:eastAsia="黑体" w:hAnsi="黑体" w:hint="eastAsia"/>
          <w:color w:val="000000"/>
        </w:rPr>
        <w:t>投标函</w:t>
      </w:r>
      <w:r>
        <w:rPr>
          <w:rFonts w:eastAsia="仿宋_GB2312"/>
          <w:color w:val="000000"/>
        </w:rPr>
        <w:tab/>
      </w:r>
      <w:r>
        <w:rPr>
          <w:rFonts w:eastAsia="仿宋_GB2312"/>
          <w:color w:val="000000"/>
        </w:rPr>
        <w:fldChar w:fldCharType="begin"/>
      </w:r>
      <w:r>
        <w:rPr>
          <w:rFonts w:eastAsia="仿宋_GB2312"/>
          <w:color w:val="000000"/>
        </w:rPr>
        <w:instrText xml:space="preserve"> PAGEREF _Toc27550617 \h </w:instrText>
      </w:r>
      <w:r>
        <w:rPr>
          <w:rFonts w:eastAsia="仿宋_GB2312"/>
          <w:color w:val="000000"/>
        </w:rPr>
        <w:fldChar w:fldCharType="separate"/>
      </w:r>
      <w:r>
        <w:rPr>
          <w:rFonts w:eastAsia="仿宋_GB2312"/>
          <w:color w:val="000000"/>
        </w:rPr>
        <w:t>52</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"_Toc27550618" </w:instrText>
      </w:r>
      <w:r>
        <w:rPr>
          <w:rFonts w:eastAsia="仿宋_GB2312"/>
          <w:color w:val="000000"/>
        </w:rPr>
        <w:fldChar w:fldCharType="separate"/>
      </w:r>
      <w:r>
        <w:rPr>
          <w:rFonts w:ascii="黑体" w:eastAsia="黑体" w:hAnsi="黑体"/>
          <w:color w:val="000000"/>
        </w:rPr>
        <w:t>2.</w:t>
      </w:r>
      <w:r>
        <w:rPr>
          <w:rFonts w:ascii="黑体" w:eastAsia="黑体" w:hAnsi="黑体" w:hint="eastAsia"/>
          <w:color w:val="000000"/>
        </w:rPr>
        <w:t>法定代表人身份证明</w:t>
      </w:r>
      <w:r>
        <w:rPr>
          <w:rFonts w:eastAsia="仿宋_GB2312"/>
          <w:color w:val="000000"/>
        </w:rPr>
        <w:tab/>
      </w:r>
      <w:r>
        <w:rPr>
          <w:rFonts w:eastAsia="仿宋_GB2312"/>
          <w:color w:val="000000"/>
        </w:rPr>
        <w:fldChar w:fldCharType="begin"/>
      </w:r>
      <w:r>
        <w:rPr>
          <w:rFonts w:eastAsia="仿宋_GB2312"/>
          <w:color w:val="000000"/>
        </w:rPr>
        <w:instrText xml:space="preserve"> PAGEREF _Toc27550618 \h </w:instrText>
      </w:r>
      <w:r>
        <w:rPr>
          <w:rFonts w:eastAsia="仿宋_GB2312"/>
          <w:color w:val="000000"/>
        </w:rPr>
        <w:fldChar w:fldCharType="separate"/>
      </w:r>
      <w:r>
        <w:rPr>
          <w:rFonts w:eastAsia="仿宋_GB2312"/>
          <w:color w:val="000000"/>
        </w:rPr>
        <w:t>53</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"_Toc27550619" </w:instrText>
      </w:r>
      <w:r>
        <w:rPr>
          <w:rFonts w:eastAsia="仿宋_GB2312"/>
          <w:color w:val="000000"/>
        </w:rPr>
        <w:fldChar w:fldCharType="separate"/>
      </w:r>
      <w:r>
        <w:rPr>
          <w:rFonts w:ascii="黑体" w:eastAsia="黑体" w:hAnsi="黑体"/>
          <w:color w:val="000000"/>
        </w:rPr>
        <w:t>3.</w:t>
      </w:r>
      <w:r>
        <w:rPr>
          <w:rFonts w:ascii="黑体" w:eastAsia="黑体" w:hAnsi="黑体" w:hint="eastAsia"/>
          <w:color w:val="000000"/>
        </w:rPr>
        <w:t>授权委托书</w:t>
      </w:r>
      <w:r>
        <w:rPr>
          <w:rFonts w:eastAsia="仿宋_GB2312"/>
          <w:color w:val="000000"/>
        </w:rPr>
        <w:tab/>
      </w:r>
      <w:r>
        <w:rPr>
          <w:rFonts w:eastAsia="仿宋_GB2312"/>
          <w:color w:val="000000"/>
        </w:rPr>
        <w:fldChar w:fldCharType="begin"/>
      </w:r>
      <w:r>
        <w:rPr>
          <w:rFonts w:eastAsia="仿宋_GB2312"/>
          <w:color w:val="000000"/>
        </w:rPr>
        <w:instrText xml:space="preserve"> PAGEREF _Toc27550619 \h </w:instrText>
      </w:r>
      <w:r>
        <w:rPr>
          <w:rFonts w:eastAsia="仿宋_GB2312"/>
          <w:color w:val="000000"/>
        </w:rPr>
        <w:fldChar w:fldCharType="separate"/>
      </w:r>
      <w:r>
        <w:rPr>
          <w:rFonts w:eastAsia="仿宋_GB2312"/>
          <w:color w:val="000000"/>
        </w:rPr>
        <w:t>54</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"_Toc27550620" </w:instrText>
      </w:r>
      <w:r>
        <w:rPr>
          <w:rFonts w:eastAsia="仿宋_GB2312"/>
          <w:color w:val="000000"/>
        </w:rPr>
        <w:fldChar w:fldCharType="separate"/>
      </w:r>
      <w:r>
        <w:rPr>
          <w:rFonts w:ascii="黑体" w:eastAsia="黑体" w:hAnsi="黑体"/>
          <w:color w:val="000000"/>
        </w:rPr>
        <w:t>4.</w:t>
      </w:r>
      <w:r>
        <w:rPr>
          <w:rFonts w:ascii="黑体" w:eastAsia="黑体" w:hAnsi="黑体" w:hint="eastAsia"/>
          <w:color w:val="000000"/>
        </w:rPr>
        <w:t>联合体协议书</w:t>
      </w:r>
      <w:r>
        <w:rPr>
          <w:rFonts w:eastAsia="仿宋_GB2312"/>
          <w:color w:val="000000"/>
        </w:rPr>
        <w:tab/>
      </w:r>
      <w:r>
        <w:rPr>
          <w:rFonts w:eastAsia="仿宋_GB2312"/>
          <w:color w:val="000000"/>
        </w:rPr>
        <w:fldChar w:fldCharType="begin"/>
      </w:r>
      <w:r>
        <w:rPr>
          <w:rFonts w:eastAsia="仿宋_GB2312"/>
          <w:color w:val="000000"/>
        </w:rPr>
        <w:instrText xml:space="preserve"> PAGEREF _Toc27550620 \h </w:instrText>
      </w:r>
      <w:r>
        <w:rPr>
          <w:rFonts w:eastAsia="仿宋_GB2312"/>
          <w:color w:val="000000"/>
        </w:rPr>
        <w:fldChar w:fldCharType="separate"/>
      </w:r>
      <w:r>
        <w:rPr>
          <w:rFonts w:eastAsia="仿宋_GB2312"/>
          <w:color w:val="000000"/>
        </w:rPr>
        <w:t>55</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"_Toc27550621" </w:instrText>
      </w:r>
      <w:r>
        <w:rPr>
          <w:rFonts w:eastAsia="仿宋_GB2312"/>
          <w:color w:val="000000"/>
        </w:rPr>
        <w:fldChar w:fldCharType="separate"/>
      </w:r>
      <w:r>
        <w:rPr>
          <w:rFonts w:ascii="黑体" w:eastAsia="黑体" w:hAnsi="黑体"/>
          <w:color w:val="000000"/>
        </w:rPr>
        <w:t>5.</w:t>
      </w:r>
      <w:r>
        <w:rPr>
          <w:rFonts w:ascii="黑体" w:eastAsia="黑体" w:hAnsi="黑体" w:hint="eastAsia"/>
          <w:color w:val="000000"/>
        </w:rPr>
        <w:t>投标保证</w:t>
      </w:r>
      <w:r>
        <w:rPr>
          <w:rFonts w:eastAsia="仿宋_GB2312"/>
          <w:color w:val="000000"/>
        </w:rPr>
        <w:tab/>
      </w:r>
      <w:r>
        <w:rPr>
          <w:rFonts w:eastAsia="仿宋_GB2312"/>
          <w:color w:val="000000"/>
        </w:rPr>
        <w:fldChar w:fldCharType="begin"/>
      </w:r>
      <w:r>
        <w:rPr>
          <w:rFonts w:eastAsia="仿宋_GB2312"/>
          <w:color w:val="000000"/>
        </w:rPr>
        <w:instrText xml:space="preserve"> PAGEREF _Toc27550621 \h </w:instrText>
      </w:r>
      <w:r>
        <w:rPr>
          <w:rFonts w:eastAsia="仿宋_GB2312"/>
          <w:color w:val="000000"/>
        </w:rPr>
        <w:fldChar w:fldCharType="separate"/>
      </w:r>
      <w:r>
        <w:rPr>
          <w:rFonts w:eastAsia="仿宋_GB2312"/>
          <w:color w:val="000000"/>
        </w:rPr>
        <w:t>55</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"_Toc27550622" </w:instrText>
      </w:r>
      <w:r>
        <w:rPr>
          <w:rFonts w:eastAsia="仿宋_GB2312"/>
          <w:color w:val="000000"/>
        </w:rPr>
        <w:fldChar w:fldCharType="separate"/>
      </w:r>
      <w:r>
        <w:rPr>
          <w:rFonts w:ascii="黑体" w:eastAsia="黑体" w:hAnsi="黑体"/>
          <w:color w:val="000000"/>
        </w:rPr>
        <w:t>6.</w:t>
      </w:r>
      <w:r>
        <w:rPr>
          <w:rFonts w:ascii="黑体" w:eastAsia="黑体" w:hAnsi="黑体" w:hint="eastAsia"/>
          <w:color w:val="000000"/>
        </w:rPr>
        <w:t>项目监理机构</w:t>
      </w:r>
      <w:r>
        <w:rPr>
          <w:rFonts w:eastAsia="仿宋_GB2312"/>
          <w:color w:val="000000"/>
        </w:rPr>
        <w:tab/>
      </w:r>
      <w:r>
        <w:rPr>
          <w:rFonts w:eastAsia="仿宋_GB2312"/>
          <w:color w:val="000000"/>
        </w:rPr>
        <w:fldChar w:fldCharType="begin"/>
      </w:r>
      <w:r>
        <w:rPr>
          <w:rFonts w:eastAsia="仿宋_GB2312"/>
          <w:color w:val="000000"/>
        </w:rPr>
        <w:instrText xml:space="preserve"> PAGEREF _Toc27550622 \h </w:instrText>
      </w:r>
      <w:r>
        <w:rPr>
          <w:rFonts w:eastAsia="仿宋_GB2312"/>
          <w:color w:val="000000"/>
        </w:rPr>
        <w:fldChar w:fldCharType="separate"/>
      </w:r>
      <w:r>
        <w:rPr>
          <w:rFonts w:eastAsia="仿宋_GB2312"/>
          <w:color w:val="000000"/>
        </w:rPr>
        <w:t>56</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"_Toc27550623" </w:instrText>
      </w:r>
      <w:r>
        <w:rPr>
          <w:rFonts w:eastAsia="仿宋_GB2312"/>
          <w:color w:val="000000"/>
        </w:rPr>
        <w:fldChar w:fldCharType="separate"/>
      </w:r>
      <w:r>
        <w:rPr>
          <w:rFonts w:ascii="黑体" w:eastAsia="黑体" w:hAnsi="黑体"/>
          <w:color w:val="000000"/>
        </w:rPr>
        <w:t>7.</w:t>
      </w:r>
      <w:r>
        <w:rPr>
          <w:rFonts w:ascii="黑体" w:eastAsia="黑体" w:hAnsi="黑体" w:hint="eastAsia"/>
          <w:color w:val="000000"/>
        </w:rPr>
        <w:t>资格审查等资料</w:t>
      </w:r>
      <w:r>
        <w:rPr>
          <w:rFonts w:eastAsia="仿宋_GB2312"/>
          <w:color w:val="000000"/>
        </w:rPr>
        <w:tab/>
      </w:r>
      <w:r>
        <w:rPr>
          <w:rFonts w:eastAsia="仿宋_GB2312"/>
          <w:color w:val="000000"/>
        </w:rPr>
        <w:fldChar w:fldCharType="begin"/>
      </w:r>
      <w:r>
        <w:rPr>
          <w:rFonts w:eastAsia="仿宋_GB2312"/>
          <w:color w:val="000000"/>
        </w:rPr>
        <w:instrText xml:space="preserve"> PAGEREF _Toc27550623 \h </w:instrText>
      </w:r>
      <w:r>
        <w:rPr>
          <w:rFonts w:eastAsia="仿宋_GB2312"/>
          <w:color w:val="000000"/>
        </w:rPr>
        <w:fldChar w:fldCharType="separate"/>
      </w:r>
      <w:r>
        <w:rPr>
          <w:rFonts w:eastAsia="仿宋_GB2312"/>
          <w:color w:val="000000"/>
        </w:rPr>
        <w:t>60</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"_Toc27550624" </w:instrText>
      </w:r>
      <w:r>
        <w:rPr>
          <w:rFonts w:eastAsia="仿宋_GB2312"/>
          <w:color w:val="000000"/>
        </w:rPr>
        <w:fldChar w:fldCharType="separate"/>
      </w:r>
      <w:r>
        <w:rPr>
          <w:rFonts w:ascii="黑体" w:eastAsia="黑体" w:hAnsi="黑体"/>
          <w:color w:val="000000"/>
        </w:rPr>
        <w:t>8.</w:t>
      </w:r>
      <w:r>
        <w:rPr>
          <w:rFonts w:ascii="黑体" w:eastAsia="黑体" w:hAnsi="黑体" w:hint="eastAsia"/>
          <w:color w:val="000000"/>
        </w:rPr>
        <w:t>承</w:t>
      </w:r>
      <w:r>
        <w:rPr>
          <w:rFonts w:ascii="黑体" w:eastAsia="黑体" w:hAnsi="黑体"/>
          <w:color w:val="000000"/>
        </w:rPr>
        <w:t xml:space="preserve"> </w:t>
      </w:r>
      <w:r>
        <w:rPr>
          <w:rFonts w:ascii="黑体" w:eastAsia="黑体" w:hAnsi="黑体" w:hint="eastAsia"/>
          <w:color w:val="000000"/>
        </w:rPr>
        <w:t>诺</w:t>
      </w:r>
      <w:r>
        <w:rPr>
          <w:rFonts w:ascii="黑体" w:eastAsia="黑体" w:hAnsi="黑体"/>
          <w:color w:val="000000"/>
        </w:rPr>
        <w:t xml:space="preserve"> </w:t>
      </w:r>
      <w:r>
        <w:rPr>
          <w:rFonts w:ascii="黑体" w:eastAsia="黑体" w:hAnsi="黑体" w:hint="eastAsia"/>
          <w:color w:val="000000"/>
        </w:rPr>
        <w:t>书</w:t>
      </w:r>
      <w:r>
        <w:rPr>
          <w:rFonts w:eastAsia="仿宋_GB2312"/>
          <w:color w:val="000000"/>
        </w:rPr>
        <w:tab/>
      </w:r>
      <w:r>
        <w:rPr>
          <w:rFonts w:eastAsia="仿宋_GB2312"/>
          <w:color w:val="000000"/>
        </w:rPr>
        <w:fldChar w:fldCharType="begin"/>
      </w:r>
      <w:r>
        <w:rPr>
          <w:rFonts w:eastAsia="仿宋_GB2312"/>
          <w:color w:val="000000"/>
        </w:rPr>
        <w:instrText xml:space="preserve"> PAGEREF _Toc27550624 \h </w:instrText>
      </w:r>
      <w:r>
        <w:rPr>
          <w:rFonts w:eastAsia="仿宋_GB2312"/>
          <w:color w:val="000000"/>
        </w:rPr>
        <w:fldChar w:fldCharType="separate"/>
      </w:r>
      <w:r>
        <w:rPr>
          <w:rFonts w:eastAsia="仿宋_GB2312"/>
          <w:color w:val="000000"/>
        </w:rPr>
        <w:t>64</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"_Toc27550625" </w:instrText>
      </w:r>
      <w:r>
        <w:rPr>
          <w:rFonts w:eastAsia="仿宋_GB2312"/>
          <w:color w:val="000000"/>
        </w:rPr>
        <w:fldChar w:fldCharType="separate"/>
      </w:r>
      <w:r>
        <w:rPr>
          <w:rFonts w:ascii="黑体" w:eastAsia="黑体" w:hAnsi="黑体"/>
          <w:color w:val="000000"/>
        </w:rPr>
        <w:t>9.</w:t>
      </w:r>
      <w:r>
        <w:rPr>
          <w:rFonts w:ascii="黑体" w:eastAsia="黑体" w:hAnsi="黑体" w:hint="eastAsia"/>
          <w:color w:val="000000"/>
        </w:rPr>
        <w:t>投标信息表</w:t>
      </w:r>
      <w:r>
        <w:rPr>
          <w:rFonts w:eastAsia="仿宋_GB2312"/>
          <w:color w:val="000000"/>
        </w:rPr>
        <w:tab/>
      </w:r>
      <w:r>
        <w:rPr>
          <w:rFonts w:eastAsia="仿宋_GB2312"/>
          <w:color w:val="000000"/>
        </w:rPr>
        <w:fldChar w:fldCharType="begin"/>
      </w:r>
      <w:r>
        <w:rPr>
          <w:rFonts w:eastAsia="仿宋_GB2312"/>
          <w:color w:val="000000"/>
        </w:rPr>
        <w:instrText xml:space="preserve"> PAGEREF _Toc27550625 \h </w:instrText>
      </w:r>
      <w:r>
        <w:rPr>
          <w:rFonts w:eastAsia="仿宋_GB2312"/>
          <w:color w:val="000000"/>
        </w:rPr>
        <w:fldChar w:fldCharType="separate"/>
      </w:r>
      <w:r>
        <w:rPr>
          <w:rFonts w:eastAsia="仿宋_GB2312"/>
          <w:color w:val="000000"/>
        </w:rPr>
        <w:t>65</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"_Toc27550626" </w:instrText>
      </w:r>
      <w:r>
        <w:rPr>
          <w:rFonts w:eastAsia="仿宋_GB2312"/>
          <w:color w:val="000000"/>
        </w:rPr>
        <w:fldChar w:fldCharType="separate"/>
      </w:r>
      <w:r>
        <w:rPr>
          <w:rFonts w:ascii="黑体" w:eastAsia="黑体" w:hAnsi="黑体"/>
          <w:color w:val="000000"/>
        </w:rPr>
        <w:t>10.</w:t>
      </w:r>
      <w:r>
        <w:rPr>
          <w:rFonts w:ascii="黑体" w:eastAsia="黑体" w:hAnsi="黑体" w:hint="eastAsia"/>
          <w:color w:val="000000"/>
        </w:rPr>
        <w:t>其他</w:t>
      </w:r>
      <w:r>
        <w:rPr>
          <w:rFonts w:eastAsia="仿宋_GB2312"/>
          <w:color w:val="000000"/>
        </w:rPr>
        <w:tab/>
      </w:r>
      <w:r>
        <w:rPr>
          <w:rFonts w:eastAsia="仿宋_GB2312"/>
          <w:color w:val="000000"/>
        </w:rPr>
        <w:fldChar w:fldCharType="begin"/>
      </w:r>
      <w:r>
        <w:rPr>
          <w:rFonts w:eastAsia="仿宋_GB2312"/>
          <w:color w:val="000000"/>
        </w:rPr>
        <w:instrText xml:space="preserve"> PAGEREF _Toc27550626 \h </w:instrText>
      </w:r>
      <w:r>
        <w:rPr>
          <w:rFonts w:eastAsia="仿宋_GB2312"/>
          <w:color w:val="000000"/>
        </w:rPr>
        <w:fldChar w:fldCharType="separate"/>
      </w:r>
      <w:r>
        <w:rPr>
          <w:rFonts w:eastAsia="仿宋_GB2312"/>
          <w:color w:val="000000"/>
        </w:rPr>
        <w:t>65</w:t>
      </w:r>
      <w:r>
        <w:rPr>
          <w:rFonts w:eastAsia="仿宋_GB2312"/>
          <w:color w:val="000000"/>
        </w:rPr>
        <w:fldChar w:fldCharType="end"/>
      </w:r>
      <w:r>
        <w:rPr>
          <w:rFonts w:eastAsia="仿宋_GB2312"/>
          <w:color w:val="000000"/>
        </w:rPr>
        <w:fldChar w:fldCharType="end"/>
      </w:r>
    </w:p>
    <w:p>
      <w:pPr>
        <w:pStyle w:val="style20"/>
        <w:tabs>
          <w:tab w:val="right" w:leader="dot" w:pos="9403"/>
        </w:tabs>
        <w:rPr>
          <w:rFonts w:eastAsia="仿宋_GB2312"/>
          <w:color w:val="000000"/>
          <w:szCs w:val="22"/>
        </w:rPr>
      </w:pPr>
      <w:r>
        <w:rPr>
          <w:rFonts w:eastAsia="仿宋_GB2312"/>
          <w:color w:val="000000"/>
        </w:rPr>
        <w:fldChar w:fldCharType="begin"/>
      </w:r>
      <w:r>
        <w:rPr>
          <w:rFonts w:eastAsia="仿宋_GB2312"/>
          <w:color w:val="000000"/>
        </w:rPr>
        <w:instrText xml:space="preserve"> HYPERLINK \l "_Toc27550627" </w:instrText>
      </w:r>
      <w:r>
        <w:rPr>
          <w:rFonts w:eastAsia="仿宋_GB2312"/>
          <w:color w:val="000000"/>
        </w:rPr>
        <w:fldChar w:fldCharType="separate"/>
      </w:r>
      <w:r>
        <w:rPr>
          <w:rFonts w:eastAsia="黑体" w:hint="eastAsia"/>
          <w:color w:val="000000"/>
          <w:kern w:val="32"/>
        </w:rPr>
        <w:t>二、</w:t>
      </w:r>
      <w:r>
        <w:rPr>
          <w:rFonts w:eastAsia="黑体" w:hint="eastAsia"/>
          <w:color w:val="000000"/>
        </w:rPr>
        <w:t>监理大纲格式</w:t>
      </w:r>
      <w:r>
        <w:rPr>
          <w:rFonts w:eastAsia="仿宋_GB2312"/>
          <w:color w:val="000000"/>
        </w:rPr>
        <w:tab/>
      </w:r>
      <w:r>
        <w:rPr>
          <w:rFonts w:eastAsia="仿宋_GB2312"/>
          <w:color w:val="000000"/>
        </w:rPr>
        <w:fldChar w:fldCharType="begin"/>
      </w:r>
      <w:r>
        <w:rPr>
          <w:rFonts w:eastAsia="仿宋_GB2312"/>
          <w:color w:val="000000"/>
        </w:rPr>
        <w:instrText xml:space="preserve"> PAGEREF _Toc27550627 \h </w:instrText>
      </w:r>
      <w:r>
        <w:rPr>
          <w:rFonts w:eastAsia="仿宋_GB2312"/>
          <w:color w:val="000000"/>
        </w:rPr>
        <w:fldChar w:fldCharType="separate"/>
      </w:r>
      <w:r>
        <w:rPr>
          <w:rFonts w:eastAsia="仿宋_GB2312"/>
          <w:color w:val="000000"/>
        </w:rPr>
        <w:t>65</w:t>
      </w:r>
      <w:r>
        <w:rPr>
          <w:rFonts w:eastAsia="仿宋_GB2312"/>
          <w:color w:val="000000"/>
        </w:rPr>
        <w:fldChar w:fldCharType="end"/>
      </w:r>
      <w:r>
        <w:rPr>
          <w:rFonts w:eastAsia="仿宋_GB2312"/>
          <w:color w:val="000000"/>
        </w:rPr>
        <w:fldChar w:fldCharType="end"/>
      </w:r>
    </w:p>
    <w:p>
      <w:pPr>
        <w:pStyle w:val="style0"/>
        <w:spacing w:lineRule="exact" w:line="340"/>
        <w:ind w:firstLine="437"/>
        <w:rPr>
          <w:rFonts w:eastAsia="仿宋_GB2312"/>
          <w:color w:val="000000"/>
        </w:rPr>
      </w:pPr>
      <w:r>
        <w:rPr>
          <w:color w:val="000000"/>
          <w:sz w:val="24"/>
        </w:rPr>
        <w:fldChar w:fldCharType="end"/>
      </w:r>
      <w:r>
        <w:rPr>
          <w:color w:val="000000"/>
          <w:sz w:val="24"/>
        </w:rPr>
        <w:br w:type="page"/>
      </w:r>
      <w:bookmarkStart w:id="18" w:name="_Toc300677960"/>
    </w:p>
    <w:bookmarkStart w:id="19" w:name="_Toc27550582"/>
    <w:p>
      <w:pPr>
        <w:pStyle w:val="style1"/>
        <w:keepNext w:val="false"/>
        <w:spacing w:before="0" w:after="0" w:lineRule="exact" w:line="400"/>
        <w:jc w:val="center"/>
        <w:rPr>
          <w:rFonts w:ascii="宋体" w:cs="宋体" w:eastAsia="宋体" w:hAnsi="宋体" w:hint="eastAsia"/>
          <w:b w:val="false"/>
          <w:bCs w:val="false"/>
          <w:color w:val="000000"/>
          <w:sz w:val="24"/>
          <w:szCs w:val="24"/>
        </w:rPr>
      </w:pPr>
      <w:r>
        <w:rPr>
          <w:rFonts w:ascii="宋体" w:cs="宋体" w:eastAsia="宋体" w:hAnsi="宋体" w:hint="eastAsia"/>
          <w:color w:val="000000"/>
          <w:sz w:val="24"/>
          <w:szCs w:val="24"/>
          <w:u w:val="none"/>
          <w:lang w:val="en-US" w:eastAsia="zh-CN"/>
        </w:rPr>
        <w:t>宁远县城市供水能力提升建设项目（一期工程-源水输水管道建设工程）监理交易公告</w:t>
      </w:r>
      <w:bookmarkEnd w:id="18"/>
      <w:bookmarkEnd w:id="19"/>
    </w:p>
    <w:p>
      <w:pPr>
        <w:pStyle w:val="style0"/>
        <w:spacing w:lineRule="exact" w:line="400"/>
        <w:rPr>
          <w:rFonts w:ascii="宋体" w:cs="宋体" w:eastAsia="宋体" w:hAnsi="宋体" w:hint="eastAsia"/>
          <w:color w:val="000000"/>
          <w:sz w:val="24"/>
          <w:szCs w:val="24"/>
        </w:rPr>
      </w:pPr>
    </w:p>
    <w:p>
      <w:pPr>
        <w:pStyle w:val="style0"/>
        <w:spacing w:lineRule="exact" w:line="400"/>
        <w:jc w:val="center"/>
        <w:rPr>
          <w:rFonts w:ascii="宋体" w:cs="宋体" w:eastAsia="宋体" w:hAnsi="宋体" w:hint="eastAsia"/>
          <w:color w:val="000000"/>
          <w:sz w:val="24"/>
          <w:szCs w:val="24"/>
        </w:rPr>
      </w:pPr>
    </w:p>
    <w:bookmarkStart w:id="20" w:name="_Toc300677961"/>
    <w:bookmarkStart w:id="21" w:name="_Toc9178495"/>
    <w:bookmarkStart w:id="22" w:name="_Toc27550583"/>
    <w:p>
      <w:pPr>
        <w:pStyle w:val="style2"/>
        <w:keepNext w:val="false"/>
        <w:keepLines w:val="false"/>
        <w:spacing w:before="0" w:after="0" w:lineRule="auto" w:line="36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rPr>
        <w:t>1.</w:t>
      </w:r>
      <w:bookmarkEnd w:id="20"/>
      <w:r>
        <w:rPr>
          <w:rFonts w:ascii="宋体" w:cs="宋体" w:eastAsia="宋体" w:hAnsi="宋体" w:hint="eastAsia"/>
          <w:b w:val="false"/>
          <w:bCs w:val="false"/>
          <w:color w:val="000000"/>
          <w:sz w:val="24"/>
          <w:szCs w:val="24"/>
        </w:rPr>
        <w:t>项目概况</w:t>
      </w:r>
      <w:bookmarkEnd w:id="21"/>
      <w:bookmarkEnd w:id="22"/>
    </w:p>
    <w:p>
      <w:pPr>
        <w:pStyle w:val="style0"/>
        <w:spacing w:lineRule="auto" w:line="360"/>
        <w:ind w:firstLine="480" w:firstLineChars="200"/>
        <w:rPr>
          <w:rFonts w:ascii="宋体" w:cs="宋体" w:eastAsia="宋体" w:hAnsi="宋体" w:hint="eastAsia"/>
          <w:color w:val="000000"/>
          <w:sz w:val="24"/>
          <w:szCs w:val="24"/>
        </w:rPr>
      </w:pPr>
      <w:r>
        <w:rPr>
          <w:rFonts w:ascii="宋体" w:cs="宋体" w:eastAsia="宋体" w:hAnsi="宋体" w:hint="eastAsia"/>
          <w:color w:val="000000"/>
          <w:sz w:val="24"/>
          <w:szCs w:val="24"/>
        </w:rPr>
        <w:t>1.1 审批、核准或备案情况</w:t>
      </w:r>
    </w:p>
    <w:p>
      <w:pPr>
        <w:pStyle w:val="style94"/>
        <w:keepNext w:val="false"/>
        <w:keepLines w:val="false"/>
        <w:widowControl/>
        <w:suppressLineNumbers w:val="false"/>
        <w:spacing w:before="0" w:beforeAutospacing="false" w:after="0" w:afterAutospacing="false" w:lineRule="auto" w:line="360"/>
        <w:ind w:left="0" w:right="0" w:firstLine="420"/>
        <w:jc w:val="both"/>
        <w:rPr>
          <w:rFonts w:ascii="宋体" w:cs="宋体" w:eastAsia="宋体" w:hAnsi="宋体" w:hint="eastAsia"/>
          <w:color w:val="000000"/>
          <w:sz w:val="24"/>
          <w:szCs w:val="24"/>
        </w:rPr>
      </w:pPr>
      <w:r>
        <w:rPr>
          <w:rFonts w:ascii="宋体" w:cs="宋体" w:eastAsia="宋体" w:hAnsi="宋体" w:hint="eastAsia"/>
          <w:color w:val="000000"/>
          <w:sz w:val="24"/>
          <w:szCs w:val="24"/>
        </w:rPr>
        <w:t>项目名称</w:t>
      </w:r>
      <w:r>
        <w:rPr>
          <w:rFonts w:ascii="宋体" w:cs="宋体" w:eastAsia="宋体" w:hAnsi="宋体" w:hint="eastAsia"/>
          <w:color w:val="000000"/>
          <w:sz w:val="24"/>
          <w:szCs w:val="24"/>
          <w:u w:val="single"/>
          <w:lang w:val="en-US" w:eastAsia="zh-CN"/>
        </w:rPr>
        <w:t>宁远县城市供水能力提升建设项目（一期工程-源水输水管道建设工程）监理</w:t>
      </w:r>
      <w:r>
        <w:rPr>
          <w:rFonts w:ascii="宋体" w:cs="宋体" w:eastAsia="宋体" w:hAnsi="宋体" w:hint="eastAsia"/>
          <w:color w:val="000000"/>
          <w:sz w:val="24"/>
          <w:szCs w:val="24"/>
        </w:rPr>
        <w:t xml:space="preserve"> ，</w:t>
      </w:r>
      <w:r>
        <w:rPr>
          <w:rFonts w:ascii="宋体" w:cs="宋体" w:eastAsia="宋体" w:hAnsi="宋体" w:hint="eastAsia"/>
          <w:color w:val="000000"/>
          <w:kern w:val="2"/>
          <w:sz w:val="24"/>
          <w:szCs w:val="24"/>
          <w:lang w:val="en-US" w:bidi="ar-SA" w:eastAsia="zh-CN"/>
        </w:rPr>
        <w:t>由宁远县发展和改革局</w:t>
      </w:r>
      <w:r>
        <w:rPr>
          <w:rFonts w:ascii="宋体" w:cs="宋体" w:eastAsia="宋体" w:hAnsi="宋体" w:hint="eastAsia"/>
          <w:color w:val="000000"/>
          <w:sz w:val="24"/>
          <w:szCs w:val="24"/>
          <w:u w:val="single"/>
          <w:lang w:eastAsia="zh-CN"/>
        </w:rPr>
        <w:t>宁发改审批【</w:t>
      </w:r>
      <w:r>
        <w:rPr>
          <w:rFonts w:ascii="宋体" w:cs="宋体" w:eastAsia="宋体" w:hAnsi="宋体" w:hint="eastAsia"/>
          <w:color w:val="000000"/>
          <w:sz w:val="24"/>
          <w:szCs w:val="24"/>
          <w:u w:val="single"/>
          <w:lang w:val="en-US" w:eastAsia="zh-CN"/>
        </w:rPr>
        <w:t>2019】82号文批准建设，</w:t>
      </w:r>
      <w:r>
        <w:rPr>
          <w:rFonts w:ascii="宋体" w:cs="宋体" w:eastAsia="宋体" w:hAnsi="宋体" w:hint="eastAsia"/>
          <w:color w:val="000000"/>
          <w:kern w:val="2"/>
          <w:sz w:val="24"/>
          <w:szCs w:val="24"/>
          <w:u w:val="none"/>
          <w:lang w:val="en-US" w:bidi="ar-SA" w:eastAsia="zh-CN"/>
        </w:rPr>
        <w:t>并经宁远县发展和改革局以</w:t>
      </w:r>
      <w:bookmarkStart w:id="23" w:name="OLE_LINK8"/>
      <w:bookmarkEnd w:id="23"/>
      <w:r>
        <w:rPr>
          <w:rFonts w:ascii="宋体" w:cs="宋体" w:eastAsia="宋体" w:hAnsi="宋体" w:hint="eastAsia"/>
          <w:color w:val="000000"/>
          <w:kern w:val="2"/>
          <w:sz w:val="24"/>
          <w:szCs w:val="24"/>
          <w:u w:val="single"/>
          <w:lang w:val="en-US" w:bidi="ar-SA" w:eastAsia="zh-CN"/>
        </w:rPr>
        <w:t>宁发改许准字[2020]74号</w:t>
      </w:r>
      <w:r>
        <w:rPr>
          <w:rFonts w:ascii="宋体" w:cs="宋体" w:eastAsia="宋体" w:hAnsi="宋体" w:hint="eastAsia"/>
          <w:color w:val="000000"/>
          <w:kern w:val="2"/>
          <w:sz w:val="24"/>
          <w:szCs w:val="24"/>
          <w:u w:val="none"/>
          <w:lang w:val="en-US" w:bidi="ar-SA" w:eastAsia="zh-CN"/>
        </w:rPr>
        <w:t>文件核准</w:t>
      </w:r>
      <w:r>
        <w:rPr>
          <w:rFonts w:ascii="宋体" w:cs="宋体" w:eastAsia="宋体" w:hAnsi="宋体" w:hint="eastAsia"/>
          <w:color w:val="000000"/>
          <w:sz w:val="24"/>
          <w:szCs w:val="24"/>
          <w:lang w:eastAsia="zh-CN"/>
        </w:rPr>
        <w:t>，</w:t>
      </w:r>
      <w:r>
        <w:rPr>
          <w:rFonts w:ascii="宋体" w:cs="宋体" w:eastAsia="宋体" w:hAnsi="宋体" w:hint="eastAsia"/>
          <w:color w:val="000000"/>
          <w:sz w:val="24"/>
          <w:szCs w:val="24"/>
        </w:rPr>
        <w:t>项目业主为</w:t>
      </w:r>
      <w:r>
        <w:rPr>
          <w:rFonts w:ascii="宋体" w:cs="宋体" w:eastAsia="宋体" w:hAnsi="宋体" w:hint="eastAsia"/>
          <w:color w:val="000000"/>
          <w:sz w:val="24"/>
          <w:szCs w:val="24"/>
          <w:u w:val="single"/>
          <w:lang w:val="en-US" w:eastAsia="zh-CN"/>
        </w:rPr>
        <w:t>宁远县自来水公司</w:t>
      </w:r>
      <w:r>
        <w:rPr>
          <w:rFonts w:ascii="宋体" w:cs="宋体" w:eastAsia="宋体" w:hAnsi="宋体" w:hint="eastAsia"/>
          <w:color w:val="000000"/>
          <w:sz w:val="24"/>
          <w:szCs w:val="24"/>
        </w:rPr>
        <w:t>，资金来源</w:t>
      </w:r>
      <w:r>
        <w:rPr>
          <w:rFonts w:ascii="宋体" w:cs="宋体" w:eastAsia="宋体" w:hAnsi="宋体" w:hint="eastAsia"/>
          <w:color w:val="000000"/>
          <w:sz w:val="24"/>
          <w:szCs w:val="24"/>
          <w:u w:val="single"/>
        </w:rPr>
        <w:t xml:space="preserve"> </w:t>
      </w:r>
      <w:r>
        <w:rPr>
          <w:rFonts w:ascii="宋体" w:cs="宋体" w:eastAsia="宋体" w:hAnsi="宋体" w:hint="eastAsia"/>
          <w:color w:val="000000"/>
          <w:sz w:val="24"/>
          <w:szCs w:val="24"/>
          <w:u w:val="single"/>
          <w:lang w:eastAsia="zh-CN"/>
        </w:rPr>
        <w:t>自筹资金</w:t>
      </w:r>
      <w:r>
        <w:rPr>
          <w:rFonts w:ascii="宋体" w:cs="宋体" w:eastAsia="宋体" w:hAnsi="宋体" w:hint="eastAsia"/>
          <w:color w:val="000000"/>
          <w:sz w:val="24"/>
          <w:szCs w:val="24"/>
          <w:u w:val="single"/>
        </w:rPr>
        <w:t xml:space="preserve">  </w:t>
      </w:r>
      <w:r>
        <w:rPr>
          <w:rFonts w:ascii="宋体" w:cs="宋体" w:eastAsia="宋体" w:hAnsi="宋体" w:hint="eastAsia"/>
          <w:color w:val="000000"/>
          <w:sz w:val="24"/>
          <w:szCs w:val="24"/>
        </w:rPr>
        <w:t>。</w:t>
      </w:r>
    </w:p>
    <w:p>
      <w:pPr>
        <w:pStyle w:val="style0"/>
        <w:spacing w:lineRule="auto" w:line="360"/>
        <w:ind w:firstLine="480" w:firstLineChars="200"/>
        <w:rPr>
          <w:rFonts w:ascii="宋体" w:cs="宋体" w:eastAsia="宋体" w:hAnsi="宋体" w:hint="eastAsia"/>
          <w:color w:val="000000"/>
          <w:sz w:val="24"/>
          <w:szCs w:val="24"/>
        </w:rPr>
      </w:pPr>
      <w:r>
        <w:rPr>
          <w:rFonts w:ascii="宋体" w:cs="宋体" w:eastAsia="宋体" w:hAnsi="宋体" w:hint="eastAsia"/>
          <w:color w:val="000000"/>
          <w:sz w:val="24"/>
          <w:szCs w:val="24"/>
        </w:rPr>
        <w:t>1.2</w:t>
      </w:r>
      <w:r>
        <w:rPr>
          <w:rFonts w:ascii="宋体" w:cs="宋体" w:eastAsia="宋体" w:hAnsi="宋体" w:hint="eastAsia"/>
          <w:color w:val="000000"/>
          <w:sz w:val="24"/>
          <w:szCs w:val="24"/>
          <w:lang w:eastAsia="zh-CN"/>
        </w:rPr>
        <w:t>交易</w:t>
      </w:r>
      <w:r>
        <w:rPr>
          <w:rFonts w:ascii="宋体" w:cs="宋体" w:eastAsia="宋体" w:hAnsi="宋体" w:hint="eastAsia"/>
          <w:color w:val="000000"/>
          <w:sz w:val="24"/>
          <w:szCs w:val="24"/>
        </w:rPr>
        <w:t>项目概况</w:t>
      </w:r>
    </w:p>
    <w:p>
      <w:pPr>
        <w:pStyle w:val="style0"/>
        <w:snapToGrid w:val="false"/>
        <w:spacing w:lineRule="auto" w:line="360"/>
        <w:ind w:firstLine="360" w:firstLineChars="150"/>
        <w:rPr>
          <w:rFonts w:ascii="宋体" w:cs="宋体" w:eastAsia="宋体" w:hAnsi="宋体" w:hint="eastAsia"/>
          <w:color w:val="000000"/>
          <w:sz w:val="24"/>
          <w:szCs w:val="24"/>
        </w:rPr>
      </w:pPr>
      <w:r>
        <w:rPr>
          <w:rFonts w:ascii="宋体" w:cs="宋体" w:eastAsia="宋体" w:hAnsi="宋体" w:hint="eastAsia"/>
          <w:color w:val="000000"/>
          <w:sz w:val="24"/>
          <w:szCs w:val="24"/>
        </w:rPr>
        <w:t xml:space="preserve">1.2.1  </w:t>
      </w:r>
      <w:r>
        <w:rPr>
          <w:rFonts w:ascii="宋体" w:cs="宋体" w:eastAsia="宋体" w:hAnsi="宋体" w:hint="eastAsia"/>
          <w:color w:val="000000"/>
          <w:sz w:val="24"/>
          <w:szCs w:val="24"/>
          <w:lang w:eastAsia="zh-CN"/>
        </w:rPr>
        <w:t>交易</w:t>
      </w:r>
      <w:r>
        <w:rPr>
          <w:rFonts w:ascii="宋体" w:cs="宋体" w:eastAsia="宋体" w:hAnsi="宋体" w:hint="eastAsia"/>
          <w:color w:val="000000"/>
          <w:sz w:val="24"/>
          <w:szCs w:val="24"/>
        </w:rPr>
        <w:t>项目或标段（以下简称：</w:t>
      </w:r>
      <w:r>
        <w:rPr>
          <w:rFonts w:ascii="宋体" w:cs="宋体" w:eastAsia="宋体" w:hAnsi="宋体" w:hint="eastAsia"/>
          <w:color w:val="000000"/>
          <w:sz w:val="24"/>
          <w:szCs w:val="24"/>
          <w:lang w:eastAsia="zh-CN"/>
        </w:rPr>
        <w:t>交易</w:t>
      </w:r>
      <w:r>
        <w:rPr>
          <w:rFonts w:ascii="宋体" w:cs="宋体" w:eastAsia="宋体" w:hAnsi="宋体" w:hint="eastAsia"/>
          <w:color w:val="000000"/>
          <w:sz w:val="24"/>
          <w:szCs w:val="24"/>
        </w:rPr>
        <w:t>项目）名称：</w:t>
      </w:r>
      <w:r>
        <w:rPr>
          <w:rFonts w:ascii="宋体" w:cs="宋体" w:eastAsia="宋体" w:hAnsi="宋体" w:hint="eastAsia"/>
          <w:color w:val="000000"/>
          <w:sz w:val="24"/>
          <w:szCs w:val="24"/>
          <w:u w:val="single"/>
          <w:lang w:val="en-US" w:eastAsia="zh-CN"/>
        </w:rPr>
        <w:t>宁远县城市供水能力提升建设项目（一期工程-源水输水管道建设工程）监理</w:t>
      </w:r>
      <w:r>
        <w:rPr>
          <w:rFonts w:ascii="宋体" w:cs="宋体" w:eastAsia="宋体" w:hAnsi="宋体" w:hint="eastAsia"/>
          <w:color w:val="000000"/>
          <w:sz w:val="24"/>
          <w:szCs w:val="24"/>
        </w:rPr>
        <w:t>；</w:t>
      </w:r>
    </w:p>
    <w:p>
      <w:pPr>
        <w:pStyle w:val="style0"/>
        <w:snapToGrid w:val="false"/>
        <w:spacing w:lineRule="auto" w:line="360"/>
        <w:ind w:firstLine="360" w:firstLineChars="150"/>
        <w:rPr>
          <w:rFonts w:ascii="宋体" w:cs="宋体" w:eastAsia="宋体" w:hAnsi="宋体" w:hint="eastAsia"/>
          <w:color w:val="000000"/>
          <w:sz w:val="24"/>
          <w:szCs w:val="24"/>
        </w:rPr>
      </w:pPr>
      <w:r>
        <w:rPr>
          <w:rFonts w:ascii="宋体" w:cs="宋体" w:eastAsia="宋体" w:hAnsi="宋体" w:hint="eastAsia"/>
          <w:color w:val="000000"/>
          <w:sz w:val="24"/>
          <w:szCs w:val="24"/>
        </w:rPr>
        <w:t>1.2.2  建设地点：</w:t>
      </w:r>
      <w:r>
        <w:rPr>
          <w:rFonts w:ascii="宋体" w:cs="宋体" w:eastAsia="宋体" w:hAnsi="宋体" w:hint="eastAsia"/>
          <w:color w:val="000000"/>
          <w:sz w:val="24"/>
          <w:szCs w:val="24"/>
          <w:u w:val="single"/>
          <w:lang w:eastAsia="zh-CN"/>
        </w:rPr>
        <w:t>宁远县</w:t>
      </w:r>
      <w:r>
        <w:rPr>
          <w:rFonts w:ascii="宋体" w:cs="宋体" w:eastAsia="宋体" w:hAnsi="宋体" w:hint="eastAsia"/>
          <w:color w:val="000000"/>
          <w:sz w:val="24"/>
          <w:szCs w:val="24"/>
        </w:rPr>
        <w:t>；</w:t>
      </w:r>
    </w:p>
    <w:p>
      <w:pPr>
        <w:pStyle w:val="style0"/>
        <w:snapToGrid w:val="false"/>
        <w:spacing w:lineRule="auto" w:line="360"/>
        <w:ind w:firstLine="360" w:firstLineChars="150"/>
        <w:rPr>
          <w:rFonts w:ascii="宋体" w:cs="宋体" w:eastAsia="宋体" w:hAnsi="宋体" w:hint="eastAsia"/>
          <w:color w:val="000000"/>
          <w:sz w:val="24"/>
          <w:szCs w:val="24"/>
          <w:lang w:eastAsia="zh-CN"/>
        </w:rPr>
      </w:pPr>
      <w:r>
        <w:rPr>
          <w:rFonts w:ascii="宋体" w:cs="宋体" w:eastAsia="宋体" w:hAnsi="宋体" w:hint="eastAsia"/>
          <w:color w:val="000000"/>
          <w:sz w:val="24"/>
          <w:szCs w:val="24"/>
        </w:rPr>
        <w:t>1.2.3  项目基本情况</w:t>
      </w:r>
      <w:r>
        <w:rPr>
          <w:rFonts w:ascii="宋体" w:cs="宋体" w:eastAsia="宋体" w:hAnsi="宋体" w:hint="eastAsia"/>
          <w:color w:val="000000"/>
          <w:sz w:val="24"/>
          <w:szCs w:val="24"/>
          <w:lang w:eastAsia="zh-CN"/>
        </w:rPr>
        <w:t>：</w:t>
      </w:r>
    </w:p>
    <w:p>
      <w:pPr>
        <w:pStyle w:val="style0"/>
        <w:snapToGrid w:val="false"/>
        <w:spacing w:lineRule="auto" w:line="360"/>
        <w:ind w:firstLine="600" w:firstLineChars="250"/>
        <w:rPr>
          <w:rFonts w:ascii="宋体" w:cs="宋体" w:eastAsia="宋体" w:hAnsi="宋体" w:hint="eastAsia"/>
          <w:color w:val="000000"/>
          <w:sz w:val="24"/>
          <w:szCs w:val="24"/>
          <w:u w:val="none"/>
          <w:lang w:val="en-US" w:eastAsia="zh-CN"/>
        </w:rPr>
      </w:pPr>
      <w:r>
        <w:rPr>
          <w:rFonts w:ascii="宋体" w:cs="宋体" w:eastAsia="宋体" w:hAnsi="宋体" w:hint="eastAsia"/>
          <w:color w:val="000000"/>
          <w:sz w:val="24"/>
          <w:szCs w:val="24"/>
          <w:u w:val="none"/>
          <w:lang w:val="en-US" w:eastAsia="zh-CN"/>
        </w:rPr>
        <w:t xml:space="preserve"> </w:t>
      </w:r>
      <w:r>
        <w:rPr>
          <w:rFonts w:ascii="宋体" w:cs="宋体" w:hAnsi="宋体" w:hint="eastAsia"/>
          <w:b w:val="false"/>
          <w:bCs w:val="false"/>
          <w:color w:val="auto"/>
          <w:sz w:val="24"/>
          <w:szCs w:val="24"/>
          <w:lang w:eastAsia="zh-CN"/>
        </w:rPr>
        <w:t>宁远县城市供水能力提升建设项目（一期工程-源水输水管道工程），管道为DN1200、DN900球墨铸铁管，长度共21公里，项目总投资为6900</w:t>
      </w:r>
      <w:r>
        <w:rPr>
          <w:rFonts w:ascii="宋体" w:cs="宋体" w:hAnsi="宋体" w:hint="eastAsia"/>
          <w:b w:val="false"/>
          <w:bCs w:val="false"/>
          <w:color w:val="auto"/>
          <w:sz w:val="24"/>
          <w:szCs w:val="24"/>
          <w:lang w:val="en-US" w:eastAsia="zh-CN"/>
        </w:rPr>
        <w:t>.</w:t>
      </w:r>
      <w:r>
        <w:rPr>
          <w:rFonts w:ascii="宋体" w:cs="宋体" w:hAnsi="宋体" w:hint="eastAsia"/>
          <w:b w:val="false"/>
          <w:bCs w:val="false"/>
          <w:color w:val="auto"/>
          <w:sz w:val="24"/>
          <w:szCs w:val="24"/>
          <w:lang w:eastAsia="zh-CN"/>
        </w:rPr>
        <w:t>0835万元。其中土建及安装费用</w:t>
      </w:r>
      <w:r>
        <w:rPr>
          <w:rFonts w:ascii="宋体" w:cs="宋体" w:hAnsi="宋体" w:hint="eastAsia"/>
          <w:b w:val="false"/>
          <w:bCs w:val="false"/>
          <w:color w:val="auto"/>
          <w:sz w:val="24"/>
          <w:szCs w:val="24"/>
          <w:lang w:val="en-US" w:eastAsia="zh-CN"/>
        </w:rPr>
        <w:t>2272.6835万元。</w:t>
      </w:r>
      <w:r>
        <w:rPr>
          <w:rFonts w:ascii="宋体" w:cs="宋体" w:hAnsi="宋体" w:hint="eastAsia"/>
          <w:b w:val="false"/>
          <w:bCs w:val="false"/>
          <w:color w:val="auto"/>
          <w:sz w:val="24"/>
          <w:szCs w:val="24"/>
          <w:lang w:eastAsia="zh-CN"/>
        </w:rPr>
        <w:t>本项目施工监理费最高投标限价为</w:t>
      </w:r>
      <w:r>
        <w:rPr>
          <w:rFonts w:ascii="宋体" w:cs="宋体" w:hAnsi="宋体" w:hint="eastAsia"/>
          <w:b w:val="false"/>
          <w:bCs w:val="false"/>
          <w:color w:val="auto"/>
          <w:sz w:val="24"/>
          <w:szCs w:val="24"/>
          <w:lang w:val="en-US" w:eastAsia="zh-CN"/>
        </w:rPr>
        <w:t>41.3927</w:t>
      </w:r>
      <w:r>
        <w:rPr>
          <w:rFonts w:ascii="宋体" w:cs="宋体" w:hAnsi="宋体" w:hint="eastAsia"/>
          <w:b w:val="false"/>
          <w:bCs w:val="false"/>
          <w:color w:val="auto"/>
          <w:sz w:val="24"/>
          <w:szCs w:val="24"/>
          <w:lang w:eastAsia="zh-CN"/>
        </w:rPr>
        <w:t xml:space="preserve">万元。    </w:t>
      </w:r>
      <w:r>
        <w:rPr>
          <w:rFonts w:ascii="宋体" w:cs="宋体" w:hAnsi="宋体"/>
          <w:b w:val="false"/>
          <w:bCs w:val="false"/>
          <w:color w:val="0000ff"/>
          <w:sz w:val="24"/>
          <w:szCs w:val="24"/>
        </w:rPr>
        <w:t xml:space="preserve"> </w:t>
      </w:r>
      <w:r>
        <w:rPr>
          <w:rFonts w:ascii="宋体" w:cs="宋体" w:eastAsia="宋体" w:hAnsi="宋体" w:hint="eastAsia"/>
          <w:color w:val="000000"/>
          <w:sz w:val="24"/>
          <w:szCs w:val="24"/>
          <w:u w:val="none"/>
          <w:lang w:val="en-US" w:eastAsia="zh-CN"/>
        </w:rPr>
        <w:t xml:space="preserve">  </w:t>
      </w:r>
    </w:p>
    <w:p>
      <w:pPr>
        <w:pStyle w:val="style0"/>
        <w:spacing w:lineRule="auto" w:line="360"/>
        <w:ind w:firstLine="480" w:firstLineChars="200"/>
        <w:rPr>
          <w:rFonts w:ascii="宋体" w:cs="宋体" w:eastAsia="宋体" w:hAnsi="宋体" w:hint="eastAsia"/>
          <w:color w:val="auto"/>
          <w:sz w:val="24"/>
          <w:szCs w:val="24"/>
          <w:highlight w:val="none"/>
          <w:lang w:eastAsia="zh-CN"/>
        </w:rPr>
      </w:pPr>
      <w:r>
        <w:rPr>
          <w:rFonts w:ascii="宋体" w:cs="宋体" w:eastAsia="宋体" w:hAnsi="宋体" w:hint="eastAsia"/>
          <w:color w:val="auto"/>
          <w:sz w:val="24"/>
          <w:szCs w:val="24"/>
          <w:highlight w:val="none"/>
          <w:lang w:val="en-US" w:eastAsia="zh-CN"/>
        </w:rPr>
        <w:t xml:space="preserve"> 1.3 监理服务期限：</w:t>
      </w:r>
      <w:r>
        <w:rPr>
          <w:rFonts w:ascii="宋体" w:cs="宋体" w:eastAsia="宋体" w:hAnsi="宋体" w:hint="eastAsia"/>
          <w:color w:val="auto"/>
          <w:sz w:val="24"/>
          <w:szCs w:val="24"/>
          <w:highlight w:val="none"/>
          <w:lang w:eastAsia="zh-CN"/>
        </w:rPr>
        <w:t>从施工准备开始至缺陷责任期结束；其中施工工期180日历天，缺陷责任期24个月</w:t>
      </w:r>
      <w:r>
        <w:rPr>
          <w:rFonts w:ascii="宋体" w:cs="宋体" w:eastAsia="宋体" w:hAnsi="宋体" w:hint="eastAsia"/>
          <w:color w:val="auto"/>
          <w:sz w:val="24"/>
          <w:szCs w:val="24"/>
          <w:highlight w:val="none"/>
          <w:lang w:val="en-US" w:eastAsia="zh-CN"/>
        </w:rPr>
        <w:t>；</w:t>
      </w:r>
    </w:p>
    <w:p>
      <w:pPr>
        <w:pStyle w:val="style0"/>
        <w:spacing w:lineRule="auto" w:line="360"/>
        <w:ind w:firstLine="480" w:firstLineChars="200"/>
        <w:rPr>
          <w:rFonts w:ascii="宋体" w:cs="宋体" w:eastAsia="宋体" w:hAnsi="宋体" w:hint="default"/>
          <w:color w:val="auto"/>
          <w:sz w:val="24"/>
          <w:szCs w:val="24"/>
          <w:highlight w:val="none"/>
        </w:rPr>
      </w:pPr>
      <w:r>
        <w:rPr>
          <w:rFonts w:ascii="宋体" w:cs="宋体" w:eastAsia="宋体" w:hAnsi="宋体" w:hint="eastAsia"/>
          <w:color w:val="auto"/>
          <w:sz w:val="24"/>
          <w:szCs w:val="24"/>
          <w:highlight w:val="none"/>
        </w:rPr>
        <w:t xml:space="preserve">1.4 </w:t>
      </w:r>
      <w:r>
        <w:rPr>
          <w:rFonts w:ascii="宋体" w:cs="宋体" w:eastAsia="宋体" w:hAnsi="宋体" w:hint="eastAsia"/>
          <w:color w:val="auto"/>
          <w:sz w:val="24"/>
          <w:szCs w:val="24"/>
          <w:highlight w:val="none"/>
          <w:lang w:eastAsia="zh-CN"/>
        </w:rPr>
        <w:t>交易</w:t>
      </w:r>
      <w:r>
        <w:rPr>
          <w:rFonts w:ascii="宋体" w:cs="宋体" w:eastAsia="宋体" w:hAnsi="宋体" w:hint="eastAsia"/>
          <w:color w:val="auto"/>
          <w:sz w:val="24"/>
          <w:szCs w:val="24"/>
          <w:highlight w:val="none"/>
        </w:rPr>
        <w:t>范围：</w:t>
      </w:r>
      <w:r>
        <w:rPr>
          <w:rFonts w:ascii="宋体" w:cs="宋体" w:eastAsia="宋体" w:hAnsi="宋体" w:hint="eastAsia"/>
          <w:color w:val="auto"/>
          <w:sz w:val="24"/>
          <w:szCs w:val="24"/>
          <w:highlight w:val="none"/>
          <w:lang w:eastAsia="zh-CN"/>
        </w:rPr>
        <w:t>宁远县城市供水能力</w:t>
      </w:r>
      <w:r>
        <w:rPr>
          <w:rFonts w:ascii="宋体" w:cs="宋体" w:eastAsia="宋体" w:hAnsi="宋体" w:hint="eastAsia"/>
          <w:color w:val="auto"/>
          <w:sz w:val="24"/>
          <w:szCs w:val="24"/>
          <w:highlight w:val="none"/>
        </w:rPr>
        <w:t>提升建设项目（一期工程-源水输水管道建设工程）监理的施工准备阶段监理、施工阶段监理、竣工验收阶段监理及缺陷责任期阶段的全过程监理。</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1.5 质量要求：合格；</w:t>
      </w:r>
    </w:p>
    <w:p>
      <w:pPr>
        <w:pStyle w:val="style0"/>
        <w:spacing w:lineRule="auto" w:line="360"/>
        <w:ind w:firstLine="480" w:firstLineChars="200"/>
        <w:rPr>
          <w:rFonts w:ascii="宋体" w:cs="宋体" w:eastAsia="宋体" w:hAnsi="宋体" w:hint="eastAsia"/>
          <w:color w:val="auto"/>
          <w:sz w:val="24"/>
          <w:szCs w:val="24"/>
          <w:highlight w:val="none"/>
          <w:lang w:val="en-US" w:eastAsia="zh-CN"/>
        </w:rPr>
      </w:pPr>
      <w:r>
        <w:rPr>
          <w:rFonts w:ascii="宋体" w:cs="宋体" w:eastAsia="宋体" w:hAnsi="宋体" w:hint="eastAsia"/>
          <w:color w:val="auto"/>
          <w:sz w:val="24"/>
          <w:szCs w:val="24"/>
          <w:highlight w:val="none"/>
          <w:lang w:val="en-US" w:eastAsia="zh-CN"/>
        </w:rPr>
        <w:t>1.6 标段划分：本项目分为一个监理标段。</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lang w:val="en-US" w:eastAsia="zh-CN"/>
        </w:rPr>
        <w:t>1.7 缺陷责任期监理服务承诺：承诺按建设部80号令要求提供监理服务。</w:t>
      </w:r>
      <w:bookmarkStart w:id="24" w:name="_Toc300677963"/>
      <w:bookmarkStart w:id="25" w:name="_Toc9178496"/>
    </w:p>
    <w:bookmarkStart w:id="26" w:name="_Toc27550584"/>
    <w:p>
      <w:pPr>
        <w:pStyle w:val="style2"/>
        <w:keepNext w:val="false"/>
        <w:keepLines w:val="false"/>
        <w:spacing w:before="0" w:after="0" w:lineRule="auto" w:line="360"/>
        <w:rPr>
          <w:rFonts w:ascii="宋体" w:cs="宋体" w:eastAsia="宋体" w:hAnsi="宋体" w:hint="eastAsia"/>
          <w:b w:val="false"/>
          <w:bCs w:val="false"/>
          <w:color w:val="auto"/>
          <w:sz w:val="24"/>
          <w:szCs w:val="24"/>
          <w:highlight w:val="none"/>
        </w:rPr>
      </w:pPr>
      <w:r>
        <w:rPr>
          <w:rFonts w:ascii="宋体" w:cs="宋体" w:eastAsia="宋体" w:hAnsi="宋体" w:hint="eastAsia"/>
          <w:b w:val="false"/>
          <w:bCs w:val="false"/>
          <w:color w:val="auto"/>
          <w:sz w:val="24"/>
          <w:szCs w:val="24"/>
          <w:highlight w:val="none"/>
        </w:rPr>
        <w:t>2.资格要求</w:t>
      </w:r>
      <w:bookmarkEnd w:id="24"/>
      <w:bookmarkEnd w:id="25"/>
      <w:bookmarkEnd w:id="26"/>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2.1  具有独立法人资格并依法取得企业营业执照，营业执照处于有效期；</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2.2  具备住房城乡建设主管部门颁发的</w:t>
      </w:r>
      <w:r>
        <w:rPr>
          <w:rFonts w:ascii="宋体" w:cs="宋体" w:eastAsia="宋体" w:hAnsi="宋体" w:hint="eastAsia"/>
          <w:color w:val="auto"/>
          <w:sz w:val="24"/>
          <w:szCs w:val="24"/>
          <w:highlight w:val="none"/>
          <w:u w:val="single"/>
        </w:rPr>
        <w:t xml:space="preserve"> </w:t>
      </w:r>
      <w:r>
        <w:rPr>
          <w:rFonts w:ascii="宋体" w:cs="宋体" w:eastAsia="宋体" w:hAnsi="宋体" w:hint="eastAsia"/>
          <w:color w:val="auto"/>
          <w:sz w:val="24"/>
          <w:szCs w:val="24"/>
          <w:highlight w:val="none"/>
          <w:u w:val="single"/>
          <w:lang w:eastAsia="zh-CN"/>
        </w:rPr>
        <w:t>工程监理综合资质或市政公用工程监理乙级资质及以上</w:t>
      </w:r>
      <w:r>
        <w:rPr>
          <w:rFonts w:ascii="宋体" w:cs="宋体" w:eastAsia="宋体" w:hAnsi="宋体" w:hint="eastAsia"/>
          <w:color w:val="auto"/>
          <w:sz w:val="24"/>
          <w:szCs w:val="24"/>
          <w:highlight w:val="none"/>
        </w:rPr>
        <w:t>，资质证书处于有效期；</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2.3 拟任总监理工程师应具有</w:t>
      </w:r>
      <w:r>
        <w:rPr>
          <w:rFonts w:ascii="宋体" w:cs="宋体" w:eastAsia="宋体" w:hAnsi="宋体" w:hint="eastAsia"/>
          <w:color w:val="auto"/>
          <w:sz w:val="24"/>
          <w:szCs w:val="24"/>
          <w:highlight w:val="none"/>
          <w:u w:val="single"/>
          <w:lang w:eastAsia="zh-CN"/>
        </w:rPr>
        <w:t>市政公用工程</w:t>
      </w:r>
      <w:r>
        <w:rPr>
          <w:rFonts w:ascii="宋体" w:cs="宋体" w:eastAsia="宋体" w:hAnsi="宋体" w:hint="eastAsia"/>
          <w:color w:val="auto"/>
          <w:sz w:val="24"/>
          <w:szCs w:val="24"/>
          <w:highlight w:val="none"/>
        </w:rPr>
        <w:t>专业国家注册监理工程师证书（在有效期内）。</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2.4  拟任专业监理工程师（</w:t>
      </w:r>
      <w:r>
        <w:rPr>
          <w:rFonts w:ascii="宋体" w:cs="宋体" w:eastAsia="宋体" w:hAnsi="宋体" w:hint="eastAsia"/>
          <w:color w:val="auto"/>
          <w:sz w:val="24"/>
          <w:szCs w:val="24"/>
          <w:highlight w:val="none"/>
          <w:lang w:eastAsia="zh-CN"/>
        </w:rPr>
        <w:t>交易</w:t>
      </w:r>
      <w:r>
        <w:rPr>
          <w:rFonts w:ascii="宋体" w:cs="宋体" w:eastAsia="宋体" w:hAnsi="宋体" w:hint="eastAsia"/>
          <w:color w:val="auto"/>
          <w:sz w:val="24"/>
          <w:szCs w:val="24"/>
          <w:highlight w:val="none"/>
        </w:rPr>
        <w:t>阶段配备1人）应取得国家注册监理工程师证书或湖南省监理工程师证书或湖南省专业监理工程师培训合格证书。</w:t>
      </w:r>
    </w:p>
    <w:p>
      <w:pPr>
        <w:pStyle w:val="style0"/>
        <w:spacing w:lineRule="auto" w:line="360"/>
        <w:ind w:firstLine="480" w:firstLineChars="200"/>
        <w:rPr>
          <w:rFonts w:ascii="宋体" w:cs="宋体" w:eastAsia="宋体" w:hAnsi="宋体" w:hint="eastAsia"/>
          <w:sz w:val="24"/>
          <w:szCs w:val="24"/>
        </w:rPr>
      </w:pPr>
      <w:r>
        <w:rPr>
          <w:rFonts w:ascii="宋体" w:cs="宋体" w:eastAsia="宋体" w:hAnsi="宋体" w:hint="eastAsia"/>
          <w:color w:val="auto"/>
          <w:sz w:val="24"/>
          <w:szCs w:val="24"/>
          <w:highlight w:val="none"/>
          <w:lang w:val="en-US" w:eastAsia="zh-CN"/>
        </w:rPr>
        <w:t>2.5拟现场监理部关键岗位人员要求按湘建建[2015]57号文件规定自行配备，但不得少于最低配备标准即：总监理工程师1人、专业监理工程师1人、监理员2人且实行承诺制，中标后发出中标通知书前向招标人或招标代理机构提供相关人员及证件，承诺中标后，办理质监安监手续时按招标文件的要求配备到位。</w:t>
      </w:r>
    </w:p>
    <w:p>
      <w:pPr>
        <w:pStyle w:val="style0"/>
        <w:spacing w:lineRule="auto" w:line="360"/>
        <w:ind w:firstLine="480" w:firstLineChars="200"/>
        <w:rPr>
          <w:rFonts w:ascii="宋体" w:cs="宋体" w:eastAsia="宋体" w:hAnsi="宋体" w:hint="eastAsia"/>
          <w:color w:val="auto"/>
          <w:sz w:val="24"/>
          <w:szCs w:val="24"/>
          <w:highlight w:val="none"/>
          <w:u w:val="single"/>
        </w:rPr>
      </w:pPr>
      <w:r>
        <w:rPr>
          <w:rFonts w:ascii="宋体" w:cs="宋体" w:eastAsia="宋体" w:hAnsi="宋体" w:hint="eastAsia"/>
          <w:color w:val="auto"/>
          <w:sz w:val="24"/>
          <w:szCs w:val="24"/>
          <w:highlight w:val="none"/>
        </w:rPr>
        <w:t>2.</w:t>
      </w:r>
      <w:r>
        <w:rPr>
          <w:rFonts w:ascii="宋体" w:cs="宋体" w:eastAsia="宋体" w:hAnsi="宋体" w:hint="eastAsia"/>
          <w:color w:val="auto"/>
          <w:sz w:val="24"/>
          <w:szCs w:val="24"/>
          <w:highlight w:val="none"/>
          <w:lang w:val="en-US" w:eastAsia="zh-CN"/>
        </w:rPr>
        <w:t>6</w:t>
      </w:r>
      <w:r>
        <w:rPr>
          <w:rFonts w:ascii="宋体" w:cs="宋体" w:eastAsia="宋体" w:hAnsi="宋体" w:hint="eastAsia"/>
          <w:color w:val="auto"/>
          <w:sz w:val="24"/>
          <w:szCs w:val="24"/>
          <w:highlight w:val="none"/>
        </w:rPr>
        <w:t xml:space="preserve">  本次</w:t>
      </w:r>
      <w:r>
        <w:rPr>
          <w:rFonts w:ascii="宋体" w:cs="宋体" w:eastAsia="宋体" w:hAnsi="宋体" w:hint="eastAsia"/>
          <w:color w:val="auto"/>
          <w:sz w:val="24"/>
          <w:szCs w:val="24"/>
          <w:highlight w:val="none"/>
          <w:lang w:eastAsia="zh-CN"/>
        </w:rPr>
        <w:t>交易</w:t>
      </w:r>
      <w:r>
        <w:rPr>
          <w:rFonts w:ascii="宋体" w:cs="宋体" w:eastAsia="宋体" w:hAnsi="宋体" w:hint="eastAsia"/>
          <w:color w:val="auto"/>
          <w:sz w:val="24"/>
          <w:szCs w:val="24"/>
          <w:highlight w:val="none"/>
        </w:rPr>
        <w:t xml:space="preserve">  □接受联合体投标，联合体投标的相关要求见投标人须知前附表</w:t>
      </w:r>
    </w:p>
    <w:p>
      <w:pPr>
        <w:pStyle w:val="style0"/>
        <w:spacing w:lineRule="auto" w:line="360"/>
        <w:ind w:firstLine="2280" w:firstLineChars="95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sym w:font="Wingdings" w:char="fe"/>
      </w:r>
      <w:r>
        <w:rPr>
          <w:rFonts w:ascii="宋体" w:cs="宋体" w:eastAsia="宋体" w:hAnsi="宋体" w:hint="eastAsia"/>
          <w:color w:val="auto"/>
          <w:sz w:val="24"/>
          <w:szCs w:val="24"/>
          <w:highlight w:val="none"/>
        </w:rPr>
        <w:t>不接受联合体投标</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2.</w:t>
      </w:r>
      <w:r>
        <w:rPr>
          <w:rFonts w:ascii="宋体" w:cs="宋体" w:eastAsia="宋体" w:hAnsi="宋体" w:hint="eastAsia"/>
          <w:color w:val="auto"/>
          <w:sz w:val="24"/>
          <w:szCs w:val="24"/>
          <w:highlight w:val="none"/>
          <w:lang w:val="en-US" w:eastAsia="zh-CN"/>
        </w:rPr>
        <w:t>7</w:t>
      </w:r>
      <w:r>
        <w:rPr>
          <w:rFonts w:ascii="宋体" w:cs="宋体" w:eastAsia="宋体" w:hAnsi="宋体" w:hint="eastAsia"/>
          <w:color w:val="auto"/>
          <w:sz w:val="24"/>
          <w:szCs w:val="24"/>
          <w:highlight w:val="none"/>
        </w:rPr>
        <w:t xml:space="preserve"> 类似工程业绩要求：</w:t>
      </w:r>
    </w:p>
    <w:p>
      <w:pPr>
        <w:pStyle w:val="style0"/>
        <w:spacing w:lineRule="auto" w:line="360"/>
        <w:ind w:firstLine="480" w:firstLineChars="200"/>
        <w:rPr>
          <w:rFonts w:ascii="宋体" w:cs="宋体" w:eastAsia="宋体" w:hAnsi="宋体" w:hint="eastAsia"/>
          <w:color w:val="auto"/>
          <w:sz w:val="24"/>
          <w:szCs w:val="24"/>
          <w:highlight w:val="none"/>
        </w:rPr>
      </w:pPr>
      <w:r>
        <w:rPr>
          <w:rFonts w:ascii="宋体" w:cs="宋体" w:eastAsia="宋体" w:hAnsi="宋体" w:hint="eastAsia"/>
          <w:color w:val="auto"/>
          <w:sz w:val="24"/>
          <w:szCs w:val="24"/>
          <w:highlight w:val="none"/>
        </w:rPr>
        <w:t xml:space="preserve">  </w:t>
      </w:r>
      <w:r>
        <w:rPr>
          <w:rFonts w:ascii="宋体" w:cs="宋体" w:eastAsia="宋体" w:hAnsi="宋体" w:hint="eastAsia"/>
          <w:color w:val="auto"/>
          <w:sz w:val="24"/>
          <w:szCs w:val="24"/>
          <w:highlight w:val="none"/>
        </w:rPr>
        <w:sym w:font="Wingdings" w:char="fe"/>
      </w:r>
      <w:r>
        <w:rPr>
          <w:rFonts w:ascii="宋体" w:cs="宋体" w:eastAsia="宋体" w:hAnsi="宋体" w:hint="eastAsia"/>
          <w:color w:val="auto"/>
          <w:sz w:val="24"/>
          <w:szCs w:val="24"/>
          <w:highlight w:val="none"/>
        </w:rPr>
        <w:t>不要求</w:t>
      </w:r>
    </w:p>
    <w:p>
      <w:pPr>
        <w:pStyle w:val="style0"/>
        <w:spacing w:lineRule="auto" w:line="360"/>
        <w:ind w:firstLine="720" w:firstLineChars="300"/>
        <w:rPr>
          <w:rFonts w:ascii="宋体" w:cs="宋体" w:eastAsia="宋体" w:hAnsi="宋体" w:hint="eastAsia"/>
          <w:color w:val="000000"/>
          <w:sz w:val="24"/>
          <w:szCs w:val="24"/>
        </w:rPr>
      </w:pPr>
      <w:r>
        <w:rPr>
          <w:rFonts w:ascii="宋体" w:cs="宋体" w:eastAsia="宋体" w:hAnsi="宋体" w:hint="eastAsia"/>
          <w:color w:val="000000"/>
          <w:sz w:val="24"/>
          <w:szCs w:val="24"/>
        </w:rPr>
        <w:t>□ 要求，（由</w:t>
      </w:r>
      <w:r>
        <w:rPr>
          <w:rFonts w:ascii="宋体" w:cs="宋体" w:eastAsia="宋体" w:hAnsi="宋体" w:hint="eastAsia"/>
          <w:color w:val="000000"/>
          <w:sz w:val="24"/>
          <w:szCs w:val="24"/>
          <w:lang w:eastAsia="zh-CN"/>
        </w:rPr>
        <w:t>交易</w:t>
      </w:r>
      <w:r>
        <w:rPr>
          <w:rFonts w:ascii="宋体" w:cs="宋体" w:eastAsia="宋体" w:hAnsi="宋体" w:hint="eastAsia"/>
          <w:color w:val="000000"/>
          <w:sz w:val="24"/>
          <w:szCs w:val="24"/>
        </w:rPr>
        <w:t>人在以下工程业绩中勾选一项）</w:t>
      </w:r>
    </w:p>
    <w:p>
      <w:pPr>
        <w:pStyle w:val="style0"/>
        <w:spacing w:lineRule="auto" w:line="360"/>
        <w:ind w:firstLine="1200" w:firstLineChars="500"/>
        <w:rPr>
          <w:rFonts w:ascii="宋体" w:cs="宋体" w:eastAsia="宋体" w:hAnsi="宋体" w:hint="eastAsia"/>
          <w:color w:val="000000"/>
          <w:sz w:val="24"/>
          <w:szCs w:val="24"/>
        </w:rPr>
      </w:pPr>
      <w:r>
        <w:rPr>
          <w:rFonts w:ascii="宋体" w:cs="宋体" w:eastAsia="宋体" w:hAnsi="宋体" w:hint="eastAsia"/>
          <w:color w:val="000000"/>
          <w:sz w:val="24"/>
          <w:szCs w:val="24"/>
        </w:rPr>
        <w:t>□企业承担过1项类似工程； □拟任总监理工程师承担过1项类似工程</w:t>
      </w:r>
    </w:p>
    <w:p>
      <w:pPr>
        <w:pStyle w:val="style0"/>
        <w:spacing w:lineRule="auto" w:line="360"/>
        <w:ind w:firstLine="480" w:firstLineChars="200"/>
        <w:rPr>
          <w:rFonts w:ascii="宋体" w:cs="宋体" w:eastAsia="宋体" w:hAnsi="宋体" w:hint="eastAsia"/>
          <w:color w:val="000000"/>
          <w:sz w:val="24"/>
          <w:szCs w:val="24"/>
        </w:rPr>
      </w:pPr>
      <w:r>
        <w:rPr>
          <w:rFonts w:ascii="宋体" w:cs="宋体" w:eastAsia="宋体" w:hAnsi="宋体" w:hint="eastAsia"/>
          <w:color w:val="000000"/>
          <w:sz w:val="24"/>
          <w:szCs w:val="24"/>
        </w:rPr>
        <w:t>2.8  其他要求：</w:t>
      </w:r>
    </w:p>
    <w:p>
      <w:pPr>
        <w:pStyle w:val="style0"/>
        <w:snapToGrid w:val="false"/>
        <w:spacing w:lineRule="auto" w:line="360"/>
        <w:ind w:firstLine="720" w:firstLineChars="300"/>
        <w:rPr>
          <w:rFonts w:ascii="宋体" w:cs="宋体" w:eastAsia="宋体" w:hAnsi="宋体" w:hint="eastAsia"/>
          <w:b w:val="false"/>
          <w:bCs w:val="false"/>
          <w:color w:val="000000"/>
          <w:sz w:val="24"/>
          <w:szCs w:val="24"/>
        </w:rPr>
      </w:pPr>
      <w:r>
        <w:rPr>
          <w:rFonts w:ascii="宋体" w:cs="宋体" w:eastAsia="宋体" w:hAnsi="宋体" w:hint="eastAsia"/>
          <w:color w:val="000000"/>
          <w:sz w:val="24"/>
          <w:szCs w:val="24"/>
        </w:rPr>
        <w:t>投标人资格具体要求详见第二章投标人须知前附表。</w:t>
      </w:r>
      <w:bookmarkStart w:id="27" w:name="_Toc9178497"/>
    </w:p>
    <w:bookmarkStart w:id="28" w:name="_Toc27550585"/>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rPr>
        <w:t>3.资格审查</w:t>
      </w:r>
      <w:bookmarkEnd w:id="27"/>
      <w:bookmarkEnd w:id="28"/>
    </w:p>
    <w:bookmarkStart w:id="29" w:name="_Toc9178161"/>
    <w:bookmarkStart w:id="30" w:name="_Toc9178302"/>
    <w:bookmarkStart w:id="31" w:name="_Toc9188856"/>
    <w:bookmarkStart w:id="32" w:name="_Toc9178498"/>
    <w:bookmarkStart w:id="33" w:name="_Toc9189272"/>
    <w:p>
      <w:pPr>
        <w:pStyle w:val="style0"/>
        <w:snapToGrid w:val="false"/>
        <w:spacing w:lineRule="auto" w:line="360"/>
        <w:ind w:firstLine="720" w:firstLineChars="300"/>
        <w:rPr>
          <w:rFonts w:ascii="宋体" w:cs="宋体" w:eastAsia="宋体" w:hAnsi="宋体" w:hint="eastAsia"/>
          <w:b w:val="false"/>
          <w:bCs w:val="false"/>
          <w:color w:val="000000"/>
          <w:sz w:val="24"/>
          <w:szCs w:val="24"/>
        </w:rPr>
      </w:pPr>
      <w:r>
        <w:rPr>
          <w:rFonts w:ascii="宋体" w:cs="宋体" w:eastAsia="宋体" w:hAnsi="宋体" w:hint="eastAsia"/>
          <w:color w:val="000000"/>
          <w:sz w:val="24"/>
          <w:szCs w:val="24"/>
        </w:rPr>
        <w:t>采用</w:t>
      </w:r>
      <w:bookmarkStart w:id="34" w:name="_Toc9188857"/>
      <w:bookmarkStart w:id="35" w:name="_Toc9178303"/>
      <w:bookmarkStart w:id="36" w:name="_Toc9178162"/>
      <w:bookmarkStart w:id="37" w:name="_Toc9178499"/>
      <w:bookmarkStart w:id="38" w:name="_Toc9189273"/>
      <w:bookmarkEnd w:id="29"/>
      <w:bookmarkEnd w:id="30"/>
      <w:bookmarkEnd w:id="31"/>
      <w:bookmarkEnd w:id="32"/>
      <w:bookmarkEnd w:id="33"/>
      <w:r>
        <w:rPr>
          <w:rFonts w:ascii="宋体" w:cs="宋体" w:eastAsia="宋体" w:hAnsi="宋体" w:hint="eastAsia"/>
          <w:color w:val="000000"/>
          <w:sz w:val="24"/>
          <w:szCs w:val="24"/>
        </w:rPr>
        <w:t>资格后审方式</w:t>
      </w:r>
      <w:bookmarkEnd w:id="34"/>
      <w:bookmarkEnd w:id="35"/>
      <w:bookmarkEnd w:id="36"/>
      <w:bookmarkEnd w:id="37"/>
      <w:bookmarkEnd w:id="38"/>
      <w:r>
        <w:rPr>
          <w:rFonts w:ascii="宋体" w:cs="宋体" w:eastAsia="宋体" w:hAnsi="宋体" w:hint="eastAsia"/>
          <w:color w:val="000000"/>
          <w:sz w:val="24"/>
          <w:szCs w:val="24"/>
        </w:rPr>
        <w:t>。</w:t>
      </w:r>
      <w:bookmarkStart w:id="39" w:name="_Toc300677967"/>
      <w:bookmarkStart w:id="40" w:name="_Toc9178500"/>
    </w:p>
    <w:bookmarkStart w:id="41" w:name="_Toc27550586"/>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rPr>
        <w:t>4.评标办法</w:t>
      </w:r>
      <w:bookmarkEnd w:id="39"/>
      <w:bookmarkEnd w:id="40"/>
      <w:bookmarkEnd w:id="41"/>
    </w:p>
    <w:p>
      <w:pPr>
        <w:pStyle w:val="style0"/>
        <w:spacing w:lineRule="auto" w:line="360"/>
        <w:ind w:firstLine="420"/>
        <w:rPr>
          <w:rFonts w:ascii="宋体" w:cs="宋体" w:eastAsia="宋体" w:hAnsi="宋体" w:hint="eastAsia"/>
          <w:b w:val="false"/>
          <w:bCs w:val="false"/>
          <w:color w:val="000000"/>
          <w:sz w:val="24"/>
          <w:szCs w:val="24"/>
        </w:rPr>
      </w:pPr>
      <w:r>
        <w:rPr>
          <w:rFonts w:ascii="宋体" w:cs="宋体" w:eastAsia="宋体" w:hAnsi="宋体" w:hint="eastAsia"/>
          <w:color w:val="000000"/>
          <w:sz w:val="24"/>
          <w:szCs w:val="24"/>
        </w:rPr>
        <w:t>本</w:t>
      </w:r>
      <w:r>
        <w:rPr>
          <w:rFonts w:ascii="宋体" w:cs="宋体" w:eastAsia="宋体" w:hAnsi="宋体" w:hint="eastAsia"/>
          <w:color w:val="000000"/>
          <w:sz w:val="24"/>
          <w:szCs w:val="24"/>
          <w:lang w:eastAsia="zh-CN"/>
        </w:rPr>
        <w:t>交易</w:t>
      </w:r>
      <w:r>
        <w:rPr>
          <w:rFonts w:ascii="宋体" w:cs="宋体" w:eastAsia="宋体" w:hAnsi="宋体" w:hint="eastAsia"/>
          <w:color w:val="000000"/>
          <w:sz w:val="24"/>
          <w:szCs w:val="24"/>
        </w:rPr>
        <w:t xml:space="preserve">项目采用湘建监督[2018]172号文件规定的： </w:t>
      </w:r>
      <w:r>
        <w:rPr>
          <w:rFonts w:ascii="宋体" w:cs="宋体" w:eastAsia="宋体" w:hAnsi="宋体" w:hint="eastAsia"/>
          <w:color w:val="000000"/>
          <w:sz w:val="24"/>
          <w:szCs w:val="24"/>
        </w:rPr>
        <w:sym w:font="Wingdings" w:char="fe"/>
      </w:r>
      <w:r>
        <w:rPr>
          <w:rFonts w:ascii="宋体" w:cs="宋体" w:eastAsia="宋体" w:hAnsi="宋体" w:hint="eastAsia"/>
          <w:color w:val="000000"/>
          <w:sz w:val="24"/>
          <w:szCs w:val="24"/>
        </w:rPr>
        <w:t>综合评估法I ；□综合评估法Ⅱ。</w:t>
      </w:r>
      <w:bookmarkStart w:id="42" w:name="_Toc300677964"/>
      <w:bookmarkStart w:id="43" w:name="_Toc9178501"/>
    </w:p>
    <w:bookmarkStart w:id="44" w:name="_Toc27550587"/>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rPr>
        <w:t>5.</w:t>
      </w:r>
      <w:r>
        <w:rPr>
          <w:rFonts w:ascii="宋体" w:cs="宋体" w:eastAsia="宋体" w:hAnsi="宋体" w:hint="eastAsia"/>
          <w:b w:val="false"/>
          <w:bCs w:val="false"/>
          <w:color w:val="000000"/>
          <w:sz w:val="24"/>
          <w:szCs w:val="24"/>
          <w:lang w:eastAsia="zh-CN"/>
        </w:rPr>
        <w:t>交易</w:t>
      </w:r>
      <w:r>
        <w:rPr>
          <w:rFonts w:ascii="宋体" w:cs="宋体" w:eastAsia="宋体" w:hAnsi="宋体" w:hint="eastAsia"/>
          <w:b w:val="false"/>
          <w:bCs w:val="false"/>
          <w:color w:val="000000"/>
          <w:sz w:val="24"/>
          <w:szCs w:val="24"/>
        </w:rPr>
        <w:t>文件的获取</w:t>
      </w:r>
      <w:bookmarkEnd w:id="42"/>
      <w:bookmarkEnd w:id="43"/>
      <w:bookmarkEnd w:id="44"/>
    </w:p>
    <w:p>
      <w:pPr>
        <w:pStyle w:val="style0"/>
        <w:spacing w:lineRule="auto" w:line="360"/>
        <w:ind w:firstLine="480" w:firstLineChars="200"/>
        <w:rPr>
          <w:rFonts w:ascii="宋体" w:cs="宋体" w:eastAsia="宋体" w:hAnsi="宋体" w:hint="eastAsia"/>
          <w:color w:val="000000"/>
          <w:sz w:val="24"/>
          <w:szCs w:val="24"/>
          <w:lang w:val="en-US" w:eastAsia="zh-CN"/>
        </w:rPr>
      </w:pPr>
      <w:r>
        <w:rPr>
          <w:rFonts w:ascii="宋体" w:cs="宋体" w:eastAsia="宋体" w:hAnsi="宋体" w:hint="eastAsia"/>
          <w:color w:val="000000"/>
          <w:sz w:val="24"/>
          <w:szCs w:val="24"/>
        </w:rPr>
        <w:t xml:space="preserve">5.1 </w:t>
      </w:r>
      <w:bookmarkStart w:id="45" w:name="_Toc9178502"/>
      <w:bookmarkStart w:id="46" w:name="_Toc300677966"/>
      <w:r>
        <w:rPr>
          <w:rFonts w:ascii="宋体" w:cs="宋体" w:eastAsia="宋体" w:hAnsi="宋体" w:hint="eastAsia"/>
          <w:color w:val="000000"/>
          <w:sz w:val="24"/>
          <w:szCs w:val="24"/>
        </w:rPr>
        <w:t>有投标意愿者，需在投标截止时间前于永州市公共资源交易网</w:t>
      </w:r>
      <w:r>
        <w:rPr>
          <w:rFonts w:ascii="宋体" w:cs="宋体" w:eastAsia="宋体" w:hAnsi="宋体" w:hint="eastAsia"/>
          <w:color w:val="000000"/>
          <w:sz w:val="24"/>
          <w:szCs w:val="24"/>
          <w:lang w:eastAsia="zh-CN"/>
        </w:rPr>
        <w:t>（http://ggzy.yzcity.gov.cn/）</w:t>
      </w:r>
      <w:r>
        <w:rPr>
          <w:rFonts w:ascii="宋体" w:cs="宋体" w:eastAsia="宋体" w:hAnsi="宋体" w:hint="eastAsia"/>
          <w:color w:val="000000"/>
          <w:sz w:val="24"/>
          <w:szCs w:val="24"/>
        </w:rPr>
        <w:t>进行网上下载获取招标文件等相关资料。如通过网络下载，其</w:t>
      </w:r>
      <w:r>
        <w:rPr>
          <w:rFonts w:ascii="宋体" w:cs="宋体" w:eastAsia="宋体" w:hAnsi="宋体" w:hint="eastAsia"/>
          <w:color w:val="000000"/>
          <w:sz w:val="24"/>
          <w:szCs w:val="24"/>
          <w:lang w:eastAsia="zh-CN"/>
        </w:rPr>
        <w:t>交易</w:t>
      </w:r>
      <w:r>
        <w:rPr>
          <w:rFonts w:ascii="宋体" w:cs="宋体" w:eastAsia="宋体" w:hAnsi="宋体" w:hint="eastAsia"/>
          <w:color w:val="000000"/>
          <w:sz w:val="24"/>
          <w:szCs w:val="24"/>
        </w:rPr>
        <w:t>文件等有关资料与备案的书面招标文件等有关资料具有同等法律效力</w:t>
      </w:r>
      <w:r>
        <w:rPr>
          <w:rFonts w:ascii="宋体" w:cs="宋体" w:eastAsia="宋体" w:hAnsi="宋体" w:hint="eastAsia"/>
          <w:color w:val="000000"/>
          <w:sz w:val="24"/>
          <w:szCs w:val="24"/>
          <w:lang w:val="en-US" w:eastAsia="zh-CN"/>
        </w:rPr>
        <w:t>；</w:t>
      </w:r>
    </w:p>
    <w:p>
      <w:pPr>
        <w:pStyle w:val="style0"/>
        <w:spacing w:lineRule="auto" w:line="360"/>
        <w:ind w:firstLine="480" w:firstLineChars="200"/>
        <w:rPr>
          <w:rFonts w:ascii="宋体" w:cs="宋体" w:eastAsia="宋体" w:hAnsi="宋体" w:hint="eastAsia"/>
          <w:color w:val="000000"/>
          <w:sz w:val="24"/>
          <w:szCs w:val="24"/>
          <w:lang w:val="en-US" w:eastAsia="zh-CN"/>
        </w:rPr>
      </w:pPr>
      <w:r>
        <w:rPr>
          <w:rFonts w:ascii="宋体" w:cs="宋体" w:eastAsia="宋体" w:hAnsi="宋体" w:hint="eastAsia"/>
          <w:color w:val="000000"/>
          <w:sz w:val="24"/>
          <w:szCs w:val="24"/>
          <w:lang w:val="en-US" w:eastAsia="zh-CN"/>
        </w:rPr>
        <w:t>5.2交易文件及资料每套售价400元，领取交易文件及资料时缴纳，否则其投标文件将被拒绝。</w:t>
      </w:r>
    </w:p>
    <w:p>
      <w:pPr>
        <w:pStyle w:val="style0"/>
        <w:spacing w:lineRule="auto" w:line="360"/>
        <w:ind w:firstLine="480" w:firstLineChars="200"/>
        <w:rPr>
          <w:rFonts w:ascii="宋体" w:cs="宋体" w:eastAsia="宋体" w:hAnsi="宋体" w:hint="eastAsia"/>
          <w:color w:val="000000"/>
          <w:sz w:val="24"/>
          <w:szCs w:val="24"/>
          <w:lang w:val="en-US" w:eastAsia="zh-CN"/>
        </w:rPr>
      </w:pPr>
      <w:r>
        <w:rPr>
          <w:rFonts w:ascii="宋体" w:cs="宋体" w:eastAsia="宋体" w:hAnsi="宋体" w:hint="eastAsia"/>
          <w:color w:val="000000"/>
          <w:sz w:val="24"/>
          <w:szCs w:val="24"/>
          <w:lang w:val="en-US" w:eastAsia="zh-CN"/>
        </w:rPr>
        <w:t>5.3 投标人应仔细阅读和检查交易文件的全部内容。如发现缺页或附件不全，应及时向交易人提出，以便补齐。如有疑问，应在投标人须知前附表规定的时间前以规定的方式，要求交易人对交易文件予以澄清。</w:t>
      </w:r>
    </w:p>
    <w:p>
      <w:pPr>
        <w:pStyle w:val="style0"/>
        <w:spacing w:lineRule="auto" w:line="360"/>
        <w:ind w:firstLine="480" w:firstLineChars="200"/>
        <w:rPr>
          <w:rFonts w:ascii="宋体" w:cs="宋体" w:eastAsia="宋体" w:hAnsi="宋体" w:hint="eastAsia"/>
          <w:color w:val="000000"/>
          <w:sz w:val="24"/>
          <w:szCs w:val="24"/>
          <w:lang w:val="en-US" w:eastAsia="zh-CN"/>
        </w:rPr>
      </w:pPr>
      <w:r>
        <w:rPr>
          <w:rFonts w:ascii="宋体" w:cs="宋体" w:eastAsia="宋体" w:hAnsi="宋体" w:hint="eastAsia"/>
          <w:color w:val="000000"/>
          <w:sz w:val="24"/>
          <w:szCs w:val="24"/>
          <w:lang w:val="en-US" w:eastAsia="zh-CN"/>
        </w:rPr>
        <w:t>5.4.交易人可以对已发出的交易文件进行必要的澄清或者修改。澄清或者修改的内容可能影响投标文件编制的，于投标截止时间2天前按投标人须知前附表规定的方式发布，交易代理机构将通知所有投标人且需确认；澄清发出的时间距投标人须知前附表规定的投标截止时间不足2天的，并且澄清内容影响投标文件编制的，将相应延长投标截止时间。</w:t>
      </w:r>
    </w:p>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lang w:val="en-US" w:eastAsia="zh-CN"/>
        </w:rPr>
      </w:pPr>
      <w:r>
        <w:rPr>
          <w:rFonts w:ascii="宋体" w:cs="宋体" w:eastAsia="宋体" w:hAnsi="宋体" w:hint="eastAsia"/>
          <w:b w:val="false"/>
          <w:bCs w:val="false"/>
          <w:color w:val="000000"/>
          <w:sz w:val="24"/>
          <w:szCs w:val="24"/>
          <w:lang w:val="en-US" w:eastAsia="zh-CN"/>
        </w:rPr>
        <w:fldChar w:fldCharType="begin"/>
      </w:r>
      <w:r>
        <w:rPr>
          <w:rFonts w:ascii="宋体" w:cs="宋体" w:eastAsia="宋体" w:hAnsi="宋体" w:hint="eastAsia"/>
          <w:b w:val="false"/>
          <w:bCs w:val="false"/>
          <w:color w:val="000000"/>
          <w:sz w:val="24"/>
          <w:szCs w:val="24"/>
          <w:lang w:val="en-US" w:eastAsia="zh-CN"/>
        </w:rPr>
        <w:instrText xml:space="preserve"> HYPERLINK "mailto:3.投标人若对招标文件有任何疑问或异议的，应在投标截止时间15天前将疑问或异议以电子邮件的方式发至（306752430@qq.com）邮箱，否则视为认可招标文件的内容和条款。对投标人提出的疑问或异议，招标人当收到疑问或异议之日起三日内作出答复。" </w:instrText>
      </w:r>
      <w:r>
        <w:rPr>
          <w:rFonts w:ascii="宋体" w:cs="宋体" w:eastAsia="宋体" w:hAnsi="宋体" w:hint="eastAsia"/>
          <w:b w:val="false"/>
          <w:bCs w:val="false"/>
          <w:color w:val="000000"/>
          <w:sz w:val="24"/>
          <w:szCs w:val="24"/>
          <w:lang w:val="en-US" w:eastAsia="zh-CN"/>
        </w:rPr>
        <w:fldChar w:fldCharType="separate"/>
      </w:r>
      <w:r>
        <w:rPr>
          <w:rFonts w:ascii="宋体" w:cs="宋体" w:eastAsia="宋体" w:hAnsi="宋体" w:hint="eastAsia"/>
          <w:b w:val="false"/>
          <w:bCs w:val="false"/>
          <w:color w:val="000000"/>
          <w:sz w:val="24"/>
          <w:szCs w:val="24"/>
          <w:lang w:val="en-US" w:eastAsia="zh-CN"/>
        </w:rPr>
        <w:t>5.5投标人若对交易文件有任何疑问或异议的，应在投标截止时间3天前将疑问或异议以电子邮件的方式发至（727859972@qq.com）邮箱，否则视为认可交易文件的内容和条款。对投标人提出的疑问或异议，交易人当收到疑问或异议之日起三日内作出答复。</w:t>
      </w:r>
      <w:r>
        <w:rPr>
          <w:rFonts w:ascii="宋体" w:cs="宋体" w:eastAsia="宋体" w:hAnsi="宋体" w:hint="eastAsia"/>
          <w:b w:val="false"/>
          <w:bCs w:val="false"/>
          <w:color w:val="000000"/>
          <w:sz w:val="24"/>
          <w:szCs w:val="24"/>
          <w:lang w:val="en-US" w:eastAsia="zh-CN"/>
        </w:rPr>
        <w:fldChar w:fldCharType="end"/>
      </w:r>
    </w:p>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lang w:val="en-US" w:eastAsia="zh-CN"/>
        </w:rPr>
      </w:pPr>
      <w:r>
        <w:rPr>
          <w:rFonts w:ascii="宋体" w:cs="宋体" w:eastAsia="宋体" w:hAnsi="宋体" w:hint="eastAsia"/>
          <w:b w:val="false"/>
          <w:bCs w:val="false"/>
          <w:color w:val="000000"/>
          <w:sz w:val="24"/>
          <w:szCs w:val="24"/>
          <w:lang w:val="en-US" w:eastAsia="zh-CN"/>
        </w:rPr>
        <w:t xml:space="preserve"> </w:t>
      </w:r>
      <w:bookmarkStart w:id="47" w:name="_Toc27550588"/>
      <w:r>
        <w:rPr>
          <w:rFonts w:ascii="宋体" w:cs="宋体" w:eastAsia="宋体" w:hAnsi="宋体" w:hint="eastAsia"/>
          <w:b w:val="false"/>
          <w:bCs w:val="false"/>
          <w:color w:val="000000"/>
          <w:sz w:val="24"/>
          <w:szCs w:val="24"/>
          <w:lang w:val="en-US" w:eastAsia="zh-CN"/>
        </w:rPr>
        <w:t>6.投标文件的递交</w:t>
      </w:r>
      <w:bookmarkEnd w:id="45"/>
      <w:bookmarkEnd w:id="46"/>
      <w:bookmarkEnd w:id="47"/>
    </w:p>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lang w:val="en-US" w:eastAsia="zh-CN"/>
        </w:rPr>
      </w:pPr>
      <w:r>
        <w:rPr>
          <w:rFonts w:ascii="宋体" w:cs="宋体" w:eastAsia="宋体" w:hAnsi="宋体" w:hint="eastAsia"/>
          <w:b w:val="false"/>
          <w:bCs w:val="false"/>
          <w:color w:val="000000"/>
          <w:sz w:val="24"/>
          <w:szCs w:val="24"/>
        </w:rPr>
        <w:t>6.1 投标文件递交的截止时间（投标截止时间，下同）及开标时间为20</w:t>
      </w:r>
      <w:r>
        <w:rPr>
          <w:rFonts w:ascii="宋体" w:cs="宋体" w:eastAsia="宋体" w:hAnsi="宋体" w:hint="eastAsia"/>
          <w:b w:val="false"/>
          <w:bCs w:val="false"/>
          <w:color w:val="000000"/>
          <w:sz w:val="24"/>
          <w:szCs w:val="24"/>
          <w:lang w:val="en-US" w:eastAsia="zh-CN"/>
        </w:rPr>
        <w:t>20</w:t>
      </w:r>
      <w:r>
        <w:rPr>
          <w:rFonts w:ascii="宋体" w:cs="宋体" w:eastAsia="宋体" w:hAnsi="宋体" w:hint="eastAsia"/>
          <w:b w:val="false"/>
          <w:bCs w:val="false"/>
          <w:color w:val="000000"/>
          <w:sz w:val="24"/>
          <w:szCs w:val="24"/>
        </w:rPr>
        <w:t>年</w:t>
      </w:r>
      <w:r>
        <w:rPr>
          <w:rFonts w:ascii="宋体" w:cs="宋体" w:eastAsia="宋体" w:hAnsi="宋体" w:hint="eastAsia"/>
          <w:b w:val="false"/>
          <w:bCs w:val="false"/>
          <w:color w:val="000000"/>
          <w:sz w:val="24"/>
          <w:szCs w:val="24"/>
          <w:lang w:val="en-US" w:eastAsia="zh-CN"/>
        </w:rPr>
        <w:t xml:space="preserve"> </w:t>
      </w:r>
      <w:r>
        <w:rPr>
          <w:rFonts w:ascii="宋体" w:cs="宋体" w:eastAsia="宋体" w:hAnsi="宋体" w:hint="default"/>
          <w:b w:val="false"/>
          <w:bCs w:val="false"/>
          <w:color w:val="000000"/>
          <w:sz w:val="24"/>
          <w:szCs w:val="24"/>
          <w:lang w:val="en-US" w:eastAsia="zh-CN"/>
        </w:rPr>
        <w:t>12</w:t>
      </w:r>
      <w:r>
        <w:rPr>
          <w:rFonts w:ascii="宋体" w:cs="宋体" w:eastAsia="宋体" w:hAnsi="宋体" w:hint="eastAsia"/>
          <w:b w:val="false"/>
          <w:bCs w:val="false"/>
          <w:color w:val="000000"/>
          <w:sz w:val="24"/>
          <w:szCs w:val="24"/>
        </w:rPr>
        <w:t>月</w:t>
      </w:r>
      <w:r>
        <w:rPr>
          <w:rFonts w:ascii="宋体" w:cs="宋体" w:eastAsia="宋体" w:hAnsi="宋体" w:hint="default"/>
          <w:b w:val="false"/>
          <w:bCs w:val="false"/>
          <w:color w:val="000000"/>
          <w:sz w:val="24"/>
          <w:szCs w:val="24"/>
          <w:lang w:val="en-US"/>
        </w:rPr>
        <w:t>30</w:t>
      </w:r>
      <w:r>
        <w:rPr>
          <w:rFonts w:ascii="宋体" w:cs="宋体" w:eastAsia="宋体" w:hAnsi="宋体" w:hint="eastAsia"/>
          <w:b w:val="false"/>
          <w:bCs w:val="false"/>
          <w:color w:val="000000"/>
          <w:sz w:val="24"/>
          <w:szCs w:val="24"/>
        </w:rPr>
        <w:t>日</w:t>
      </w:r>
      <w:r>
        <w:rPr>
          <w:rFonts w:ascii="宋体" w:cs="宋体" w:eastAsia="宋体" w:hAnsi="宋体" w:hint="eastAsia"/>
          <w:b w:val="false"/>
          <w:bCs w:val="false"/>
          <w:color w:val="000000"/>
          <w:sz w:val="24"/>
          <w:szCs w:val="24"/>
          <w:lang w:val="en-US" w:eastAsia="zh-CN"/>
        </w:rPr>
        <w:t xml:space="preserve"> </w:t>
      </w:r>
      <w:r>
        <w:rPr>
          <w:rFonts w:ascii="宋体" w:cs="宋体" w:eastAsia="宋体" w:hAnsi="宋体" w:hint="default"/>
          <w:b w:val="false"/>
          <w:bCs w:val="false"/>
          <w:color w:val="000000"/>
          <w:sz w:val="24"/>
          <w:szCs w:val="24"/>
          <w:lang w:val="en-US" w:eastAsia="zh-CN"/>
        </w:rPr>
        <w:t>09</w:t>
      </w:r>
      <w:r>
        <w:rPr>
          <w:rFonts w:ascii="宋体" w:cs="宋体" w:eastAsia="宋体" w:hAnsi="宋体" w:hint="eastAsia"/>
          <w:b w:val="false"/>
          <w:bCs w:val="false"/>
          <w:color w:val="000000"/>
          <w:sz w:val="24"/>
          <w:szCs w:val="24"/>
        </w:rPr>
        <w:t>时</w:t>
      </w:r>
      <w:r>
        <w:rPr>
          <w:rFonts w:ascii="宋体" w:cs="宋体" w:eastAsia="宋体" w:hAnsi="宋体" w:hint="eastAsia"/>
          <w:b w:val="false"/>
          <w:bCs w:val="false"/>
          <w:color w:val="000000"/>
          <w:sz w:val="24"/>
          <w:szCs w:val="24"/>
          <w:lang w:val="en-US" w:eastAsia="zh-CN"/>
        </w:rPr>
        <w:t xml:space="preserve"> </w:t>
      </w:r>
      <w:r>
        <w:rPr>
          <w:rFonts w:ascii="宋体" w:cs="宋体" w:eastAsia="宋体" w:hAnsi="宋体" w:hint="default"/>
          <w:b w:val="false"/>
          <w:bCs w:val="false"/>
          <w:color w:val="000000"/>
          <w:sz w:val="24"/>
          <w:szCs w:val="24"/>
          <w:lang w:val="en-US" w:eastAsia="zh-CN"/>
        </w:rPr>
        <w:t>00</w:t>
      </w:r>
      <w:r>
        <w:rPr>
          <w:rFonts w:ascii="宋体" w:cs="宋体" w:eastAsia="宋体" w:hAnsi="宋体" w:hint="eastAsia"/>
          <w:b w:val="false"/>
          <w:bCs w:val="false"/>
          <w:color w:val="000000"/>
          <w:sz w:val="24"/>
          <w:szCs w:val="24"/>
        </w:rPr>
        <w:t>分，地点为</w:t>
      </w:r>
      <w:r>
        <w:rPr>
          <w:rFonts w:ascii="宋体" w:cs="宋体" w:eastAsia="宋体" w:hAnsi="宋体" w:hint="eastAsia"/>
          <w:b w:val="false"/>
          <w:bCs w:val="false"/>
          <w:color w:val="000000"/>
          <w:sz w:val="24"/>
          <w:szCs w:val="24"/>
          <w:lang w:val="en-US" w:eastAsia="zh-CN"/>
        </w:rPr>
        <w:t xml:space="preserve"> :</w:t>
      </w:r>
      <w:r>
        <w:rPr>
          <w:rFonts w:ascii="宋体" w:cs="宋体" w:eastAsia="宋体" w:hAnsi="宋体" w:hint="eastAsia"/>
          <w:b w:val="false"/>
          <w:bCs w:val="false"/>
          <w:color w:val="000000"/>
          <w:sz w:val="24"/>
          <w:szCs w:val="24"/>
          <w:u w:val="single"/>
        </w:rPr>
        <w:t>宁远县园艺路武装部隔壁原县交易中心五楼开标室；</w:t>
      </w:r>
      <w:r>
        <w:rPr>
          <w:rFonts w:ascii="宋体" w:cs="宋体" w:eastAsia="宋体" w:hAnsi="宋体" w:hint="eastAsia"/>
          <w:b w:val="false"/>
          <w:bCs w:val="false"/>
          <w:color w:val="000000"/>
          <w:sz w:val="24"/>
          <w:szCs w:val="24"/>
          <w:u w:val="single"/>
          <w:lang w:val="en-US" w:eastAsia="zh-CN"/>
        </w:rPr>
        <w:t xml:space="preserve"> </w:t>
      </w:r>
      <w:r>
        <w:rPr>
          <w:rFonts w:ascii="宋体" w:cs="宋体" w:eastAsia="宋体" w:hAnsi="宋体" w:hint="eastAsia"/>
          <w:b w:val="false"/>
          <w:bCs w:val="false"/>
          <w:color w:val="000000"/>
          <w:sz w:val="24"/>
          <w:szCs w:val="24"/>
          <w:lang w:val="en-US" w:eastAsia="zh-CN"/>
        </w:rPr>
        <w:t xml:space="preserve"> </w:t>
      </w:r>
    </w:p>
    <w:p>
      <w:pPr>
        <w:pStyle w:val="style2"/>
        <w:keepNext w:val="false"/>
        <w:keepLines w:val="false"/>
        <w:spacing w:before="0" w:after="0" w:lineRule="auto" w:line="360"/>
        <w:ind w:firstLine="240" w:firstLineChars="100"/>
        <w:rPr>
          <w:rFonts w:ascii="宋体" w:cs="宋体" w:eastAsia="宋体" w:hAnsi="宋体" w:hint="default"/>
          <w:b w:val="false"/>
          <w:bCs w:val="false"/>
          <w:color w:val="000000"/>
          <w:sz w:val="24"/>
          <w:szCs w:val="24"/>
          <w:lang w:val="en-US" w:eastAsia="zh-CN"/>
        </w:rPr>
      </w:pPr>
      <w:r>
        <w:rPr>
          <w:rFonts w:ascii="宋体" w:cs="宋体" w:eastAsia="宋体" w:hAnsi="宋体" w:hint="eastAsia"/>
          <w:b w:val="false"/>
          <w:bCs w:val="false"/>
          <w:color w:val="000000"/>
          <w:sz w:val="24"/>
          <w:szCs w:val="24"/>
          <w:lang w:val="en-US" w:eastAsia="zh-CN"/>
        </w:rPr>
        <w:t>7.发布交易公告的媒介：</w:t>
      </w:r>
    </w:p>
    <w:bookmarkStart w:id="48" w:name="OLE_LINK16"/>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lang w:eastAsia="zh-CN"/>
        </w:rPr>
      </w:pPr>
      <w:r>
        <w:rPr>
          <w:rFonts w:ascii="宋体" w:cs="宋体" w:eastAsia="宋体" w:hAnsi="宋体" w:hint="eastAsia"/>
          <w:b w:val="false"/>
          <w:bCs w:val="false"/>
          <w:color w:val="000000"/>
          <w:sz w:val="24"/>
          <w:szCs w:val="24"/>
        </w:rPr>
        <w:t>本次交易公告同时在永州市公共资源交易网（http://ggzy.yzcity.gov.cn/）和宁远县人民政府网上发布。</w:t>
      </w:r>
      <w:bookmarkEnd w:id="48"/>
    </w:p>
    <w:bookmarkStart w:id="49" w:name="_Toc300677969"/>
    <w:bookmarkStart w:id="50" w:name="_Toc9178503"/>
    <w:bookmarkStart w:id="51" w:name="_Toc27550589"/>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lang w:val="en-US" w:eastAsia="zh-CN"/>
        </w:rPr>
      </w:pPr>
      <w:r>
        <w:rPr>
          <w:rFonts w:ascii="宋体" w:cs="宋体" w:eastAsia="宋体" w:hAnsi="宋体" w:hint="eastAsia"/>
          <w:b w:val="false"/>
          <w:bCs w:val="false"/>
          <w:color w:val="000000"/>
          <w:sz w:val="24"/>
          <w:szCs w:val="24"/>
          <w:lang w:val="en-US" w:eastAsia="zh-CN"/>
        </w:rPr>
        <w:t>8.</w:t>
      </w:r>
      <w:bookmarkStart w:id="52" w:name="_Toc300677968"/>
      <w:bookmarkStart w:id="53" w:name="_Toc9178504"/>
      <w:bookmarkStart w:id="54" w:name="_Toc27550590"/>
      <w:bookmarkEnd w:id="49"/>
      <w:bookmarkEnd w:id="50"/>
      <w:bookmarkEnd w:id="51"/>
      <w:r>
        <w:rPr>
          <w:rFonts w:ascii="宋体" w:cs="宋体" w:eastAsia="宋体" w:hAnsi="宋体" w:hint="eastAsia"/>
          <w:b w:val="false"/>
          <w:bCs w:val="false"/>
          <w:color w:val="000000"/>
          <w:sz w:val="24"/>
          <w:szCs w:val="24"/>
          <w:lang w:val="en-US" w:eastAsia="zh-CN"/>
        </w:rPr>
        <w:t>行政监督</w:t>
      </w:r>
      <w:bookmarkEnd w:id="52"/>
      <w:bookmarkEnd w:id="53"/>
      <w:bookmarkEnd w:id="54"/>
    </w:p>
    <w:bookmarkStart w:id="55" w:name="_Toc300677970"/>
    <w:bookmarkStart w:id="56" w:name="_Toc9178505"/>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rPr>
        <w:t>本次招标项目招标投标监督机构为宁远县建设工程施工招标投标管理领导小组办公室。电话：0746-7225211 。</w:t>
      </w:r>
      <w:bookmarkStart w:id="57" w:name="_Toc27550591"/>
    </w:p>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lang w:val="en-US" w:eastAsia="zh-CN"/>
        </w:rPr>
        <w:t>9</w:t>
      </w:r>
      <w:r>
        <w:rPr>
          <w:rFonts w:ascii="宋体" w:cs="宋体" w:eastAsia="宋体" w:hAnsi="宋体" w:hint="eastAsia"/>
          <w:b w:val="false"/>
          <w:bCs w:val="false"/>
          <w:color w:val="000000"/>
          <w:sz w:val="24"/>
          <w:szCs w:val="24"/>
        </w:rPr>
        <w:t>.其它</w:t>
      </w:r>
      <w:bookmarkEnd w:id="55"/>
      <w:bookmarkEnd w:id="56"/>
      <w:bookmarkEnd w:id="57"/>
    </w:p>
    <w:p>
      <w:pPr>
        <w:pStyle w:val="style0"/>
        <w:spacing w:lineRule="auto" w:line="360"/>
        <w:ind w:firstLine="480" w:firstLineChars="200"/>
        <w:rPr>
          <w:rFonts w:ascii="宋体" w:cs="宋体" w:eastAsia="宋体" w:hAnsi="宋体" w:hint="eastAsia"/>
          <w:color w:val="auto"/>
          <w:sz w:val="24"/>
          <w:szCs w:val="24"/>
        </w:rPr>
      </w:pPr>
      <w:r>
        <w:rPr>
          <w:rFonts w:ascii="宋体" w:cs="宋体" w:eastAsia="宋体" w:hAnsi="宋体" w:hint="eastAsia"/>
          <w:color w:val="auto"/>
          <w:sz w:val="24"/>
          <w:szCs w:val="24"/>
        </w:rPr>
        <w:t>9.1省外入湘企业应在“湖南省住房和城乡建设网”进行基本信息登记；</w:t>
      </w:r>
      <w:bookmarkStart w:id="58" w:name="_Toc300677971"/>
      <w:bookmarkStart w:id="59" w:name="_Toc9178506"/>
    </w:p>
    <w:p>
      <w:pPr>
        <w:pStyle w:val="style4097"/>
        <w:rPr>
          <w:rFonts w:hint="eastAsia"/>
        </w:rPr>
      </w:pPr>
    </w:p>
    <w:bookmarkStart w:id="60" w:name="_Toc27550592"/>
    <w:p>
      <w:pPr>
        <w:pStyle w:val="style2"/>
        <w:keepNext w:val="false"/>
        <w:keepLines w:val="false"/>
        <w:spacing w:before="0" w:after="0" w:lineRule="auto" w:line="360"/>
        <w:ind w:firstLine="240" w:firstLineChars="100"/>
        <w:rPr>
          <w:rFonts w:ascii="宋体" w:cs="宋体" w:eastAsia="宋体" w:hAnsi="宋体" w:hint="eastAsia"/>
          <w:b w:val="false"/>
          <w:bCs w:val="false"/>
          <w:color w:val="000000"/>
          <w:sz w:val="24"/>
          <w:szCs w:val="24"/>
        </w:rPr>
      </w:pPr>
      <w:r>
        <w:rPr>
          <w:rFonts w:ascii="宋体" w:cs="宋体" w:eastAsia="宋体" w:hAnsi="宋体" w:hint="eastAsia"/>
          <w:b w:val="false"/>
          <w:bCs w:val="false"/>
          <w:color w:val="000000"/>
          <w:sz w:val="24"/>
          <w:szCs w:val="24"/>
          <w:lang w:val="en-US" w:eastAsia="zh-CN"/>
        </w:rPr>
        <w:t>10</w:t>
      </w:r>
      <w:r>
        <w:rPr>
          <w:rFonts w:ascii="宋体" w:cs="宋体" w:eastAsia="宋体" w:hAnsi="宋体" w:hint="eastAsia"/>
          <w:b w:val="false"/>
          <w:bCs w:val="false"/>
          <w:color w:val="000000"/>
          <w:sz w:val="24"/>
          <w:szCs w:val="24"/>
        </w:rPr>
        <w:t>.联系方式</w:t>
      </w:r>
      <w:bookmarkEnd w:id="58"/>
      <w:bookmarkEnd w:id="59"/>
      <w:bookmarkEnd w:id="60"/>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招 标 人：宁远县自来水公司</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地    址：宁远县九疑南路</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联 系 人：何胜平</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联系电话: 15507468168 </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招标代理： 湖南博皓项目管理有限公司</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地    址： 永州市零陵区风荷路17号</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联 系 人：柳军义</w:t>
      </w:r>
    </w:p>
    <w:p>
      <w:pPr>
        <w:pStyle w:val="style0"/>
        <w:spacing w:lineRule="exact" w:line="360"/>
        <w:ind w:firstLine="240" w:firstLineChars="100"/>
        <w:rPr>
          <w:rFonts w:cs="Times New Roman" w:hint="eastAsia"/>
          <w:color w:val="auto"/>
          <w:lang w:val="en-US" w:eastAsia="zh-CN"/>
        </w:rPr>
      </w:pPr>
      <w:r>
        <w:rPr>
          <w:rFonts w:cs="Times New Roman" w:hint="eastAsia"/>
          <w:color w:val="auto"/>
          <w:lang w:val="en-US" w:eastAsia="zh-CN"/>
        </w:rPr>
        <w:t>电    话：18274638192</w:t>
      </w:r>
    </w:p>
    <w:p>
      <w:pPr>
        <w:pStyle w:val="style0"/>
        <w:spacing w:lineRule="exact" w:line="400"/>
        <w:ind w:firstLine="480" w:firstLineChars="200"/>
        <w:rPr>
          <w:rFonts w:eastAsia="仿宋_GB2312"/>
          <w:color w:val="000000"/>
          <w:szCs w:val="21"/>
        </w:rPr>
      </w:pPr>
    </w:p>
    <w:p>
      <w:pPr>
        <w:pStyle w:val="style0"/>
        <w:spacing w:lineRule="exact" w:line="400"/>
        <w:rPr>
          <w:rFonts w:eastAsia="仿宋_GB2312" w:hint="eastAsia"/>
          <w:color w:val="000000"/>
        </w:rPr>
      </w:pPr>
    </w:p>
    <w:p>
      <w:pPr>
        <w:pStyle w:val="style0"/>
        <w:rPr>
          <w:rFonts w:cs="宋体" w:hint="default"/>
          <w:color w:val="auto"/>
          <w:sz w:val="21"/>
          <w:szCs w:val="21"/>
        </w:rPr>
      </w:pPr>
    </w:p>
    <w:p>
      <w:pPr>
        <w:pStyle w:val="style4102"/>
        <w:rPr>
          <w:rFonts w:cs="宋体" w:hint="default"/>
          <w:color w:val="auto"/>
          <w:sz w:val="21"/>
          <w:szCs w:val="21"/>
        </w:rPr>
      </w:pPr>
    </w:p>
    <w:p>
      <w:pPr>
        <w:pStyle w:val="style4102"/>
        <w:rPr>
          <w:rFonts w:cs="宋体" w:hint="default"/>
          <w:color w:val="auto"/>
          <w:sz w:val="21"/>
          <w:szCs w:val="21"/>
        </w:rPr>
      </w:pPr>
    </w:p>
    <w:p>
      <w:pPr>
        <w:pStyle w:val="style4102"/>
        <w:rPr>
          <w:rFonts w:cs="宋体" w:hint="default"/>
          <w:color w:val="auto"/>
          <w:sz w:val="21"/>
          <w:szCs w:val="21"/>
        </w:rPr>
      </w:pPr>
    </w:p>
    <w:bookmarkStart w:id="61" w:name="_Toc27550593"/>
    <w:p>
      <w:pPr>
        <w:pStyle w:val="style1"/>
        <w:keepNext w:val="false"/>
        <w:spacing w:before="0" w:after="0"/>
        <w:jc w:val="both"/>
        <w:rPr>
          <w:rFonts w:ascii="Times New Roman" w:eastAsia="黑体" w:hAnsi="Times New Roman"/>
          <w:b w:val="false"/>
          <w:bCs w:val="false"/>
          <w:color w:val="auto"/>
        </w:rPr>
      </w:pPr>
    </w:p>
    <w:p>
      <w:pPr>
        <w:pStyle w:val="style1"/>
        <w:keepNext w:val="false"/>
        <w:spacing w:before="0" w:after="0"/>
        <w:jc w:val="center"/>
        <w:rPr>
          <w:rFonts w:ascii="Times New Roman" w:eastAsia="黑体" w:hAnsi="Times New Roman" w:hint="default"/>
          <w:b w:val="false"/>
          <w:bCs w:val="false"/>
          <w:color w:val="auto"/>
        </w:rPr>
      </w:pPr>
      <w:r>
        <w:rPr>
          <w:rFonts w:ascii="Times New Roman" w:eastAsia="黑体" w:hAnsi="Times New Roman"/>
          <w:b w:val="false"/>
          <w:bCs w:val="false"/>
          <w:color w:val="auto"/>
        </w:rPr>
        <w:t>第二章  投标人须知</w:t>
      </w:r>
      <w:bookmarkEnd w:id="61"/>
    </w:p>
    <w:p>
      <w:pPr>
        <w:pStyle w:val="style0"/>
        <w:rPr>
          <w:rFonts w:eastAsia="仿宋_GB2312" w:hint="default"/>
          <w:color w:val="auto"/>
        </w:rPr>
      </w:pPr>
    </w:p>
    <w:bookmarkStart w:id="62" w:name="_Toc300677997"/>
    <w:p>
      <w:pPr>
        <w:pStyle w:val="style0"/>
        <w:snapToGrid w:val="false"/>
        <w:spacing w:lineRule="auto" w:line="360"/>
        <w:jc w:val="center"/>
        <w:rPr>
          <w:rFonts w:eastAsia="黑体" w:hint="default"/>
          <w:color w:val="auto"/>
          <w:sz w:val="28"/>
          <w:szCs w:val="28"/>
        </w:rPr>
      </w:pPr>
      <w:r>
        <w:rPr>
          <w:rFonts w:eastAsia="黑体"/>
          <w:color w:val="auto"/>
          <w:sz w:val="28"/>
          <w:szCs w:val="28"/>
        </w:rPr>
        <w:t>投标人须知前附表</w:t>
      </w:r>
      <w:bookmarkEnd w:id="62"/>
    </w:p>
    <w:tbl>
      <w:tblPr>
        <w:tblStyle w:val="style105"/>
        <w:tblW w:w="93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065"/>
        <w:gridCol w:w="1770"/>
        <w:gridCol w:w="6563"/>
      </w:tblGrid>
      <w:tr>
        <w:trPr>
          <w:trHeight w:val="471" w:hRule="atLeast"/>
          <w:tblHeader/>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条款号</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条款名称</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编列内容</w:t>
            </w:r>
          </w:p>
        </w:tc>
      </w:tr>
      <w:tr>
        <w:tblPrEx/>
        <w:trPr>
          <w:trHeight w:val="1269"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1.1.2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招标人</w:t>
            </w:r>
          </w:p>
        </w:tc>
        <w:tc>
          <w:tcPr>
            <w:tcW w:w="6563" w:type="dxa"/>
            <w:tcBorders/>
            <w:vAlign w:val="center"/>
          </w:tcPr>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招 标 人：宁远县自来水公司</w:t>
            </w:r>
          </w:p>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地    址：宁远县九疑南路</w:t>
            </w:r>
          </w:p>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联 系 人：何胜平</w:t>
            </w:r>
          </w:p>
          <w:p>
            <w:pPr>
              <w:pStyle w:val="style0"/>
              <w:widowControl/>
              <w:spacing w:lineRule="auto" w:line="240"/>
              <w:jc w:val="left"/>
              <w:rPr>
                <w:rFonts w:cs="宋体" w:hint="default"/>
                <w:color w:val="auto"/>
                <w:kern w:val="0"/>
              </w:rPr>
            </w:pPr>
            <w:r>
              <w:rPr>
                <w:rFonts w:cs="宋体" w:hint="eastAsia"/>
                <w:color w:val="auto"/>
                <w:kern w:val="0"/>
                <w:lang w:val="en-US" w:eastAsia="zh-CN"/>
              </w:rPr>
              <w:t>联系电话: 15507468168 </w:t>
            </w:r>
          </w:p>
        </w:tc>
      </w:tr>
      <w:tr>
        <w:tblPrEx/>
        <w:trPr>
          <w:trHeight w:val="1235"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1.1.3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招标代理机构</w:t>
            </w:r>
          </w:p>
        </w:tc>
        <w:tc>
          <w:tcPr>
            <w:tcW w:w="6563" w:type="dxa"/>
            <w:tcBorders/>
            <w:vAlign w:val="center"/>
          </w:tcPr>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招标代理： 湖南博皓项目管理有限公司</w:t>
            </w:r>
          </w:p>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地    址： 永州市零陵区风荷路17号</w:t>
            </w:r>
          </w:p>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联 系 人：柳军义</w:t>
            </w:r>
          </w:p>
          <w:p>
            <w:pPr>
              <w:pStyle w:val="style0"/>
              <w:widowControl/>
              <w:spacing w:lineRule="auto" w:line="240"/>
              <w:jc w:val="left"/>
              <w:rPr>
                <w:rFonts w:cs="宋体" w:hint="default"/>
                <w:color w:val="auto"/>
                <w:kern w:val="0"/>
              </w:rPr>
            </w:pPr>
            <w:r>
              <w:rPr>
                <w:rFonts w:cs="宋体" w:hint="eastAsia"/>
                <w:color w:val="auto"/>
                <w:kern w:val="0"/>
                <w:lang w:val="en-US" w:eastAsia="zh-CN"/>
              </w:rPr>
              <w:t>电    话：18274638192</w:t>
            </w:r>
          </w:p>
        </w:tc>
      </w:tr>
      <w:tr>
        <w:tblPrEx/>
        <w:trPr>
          <w:trHeight w:val="819" w:hRule="exac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1.1.4</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招标项目名称</w:t>
            </w:r>
          </w:p>
        </w:tc>
        <w:tc>
          <w:tcPr>
            <w:tcW w:w="6563" w:type="dxa"/>
            <w:tcBorders/>
            <w:vAlign w:val="center"/>
          </w:tcPr>
          <w:p>
            <w:pPr>
              <w:pStyle w:val="style0"/>
              <w:widowControl/>
              <w:spacing w:lineRule="auto" w:line="240"/>
              <w:jc w:val="left"/>
              <w:rPr>
                <w:rFonts w:cs="宋体" w:eastAsia="宋体" w:hint="eastAsia"/>
                <w:color w:val="auto"/>
                <w:kern w:val="0"/>
                <w:lang w:eastAsia="zh-CN"/>
              </w:rPr>
            </w:pPr>
            <w:r>
              <w:rPr>
                <w:rFonts w:cs="宋体" w:hint="eastAsia"/>
                <w:color w:val="auto"/>
                <w:kern w:val="0"/>
                <w:lang w:eastAsia="zh-CN"/>
              </w:rPr>
              <w:t>宁远县城市供水能力提升建设项目（一期工程-源水输水管道建设工程）监理</w:t>
            </w:r>
          </w:p>
        </w:tc>
      </w:tr>
      <w:tr>
        <w:tblPrEx/>
        <w:trPr>
          <w:trHeight w:val="430" w:hRule="exac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1.1.5</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建设地点</w:t>
            </w:r>
          </w:p>
        </w:tc>
        <w:tc>
          <w:tcPr>
            <w:tcW w:w="6563" w:type="dxa"/>
            <w:tcBorders/>
            <w:vAlign w:val="center"/>
          </w:tcPr>
          <w:p>
            <w:pPr>
              <w:pStyle w:val="style0"/>
              <w:widowControl/>
              <w:spacing w:lineRule="auto" w:line="240"/>
              <w:jc w:val="left"/>
              <w:rPr>
                <w:rFonts w:cs="宋体" w:eastAsia="宋体" w:hint="eastAsia"/>
                <w:color w:val="auto"/>
                <w:kern w:val="0"/>
                <w:lang w:eastAsia="zh-CN"/>
              </w:rPr>
            </w:pPr>
            <w:r>
              <w:rPr>
                <w:rFonts w:cs="宋体" w:hint="eastAsia"/>
                <w:color w:val="auto"/>
                <w:kern w:val="0"/>
                <w:lang w:eastAsia="zh-CN"/>
              </w:rPr>
              <w:t>宁远县</w:t>
            </w:r>
          </w:p>
        </w:tc>
      </w:tr>
      <w:tr>
        <w:tblPrEx/>
        <w:trPr>
          <w:trHeight w:val="564" w:hRule="exac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1.1.6</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建设周期</w:t>
            </w:r>
          </w:p>
        </w:tc>
        <w:tc>
          <w:tcPr>
            <w:tcW w:w="6563" w:type="dxa"/>
            <w:tcBorders/>
            <w:vAlign w:val="center"/>
          </w:tcPr>
          <w:p>
            <w:pPr>
              <w:pStyle w:val="style0"/>
              <w:widowControl/>
              <w:spacing w:lineRule="auto" w:line="240"/>
              <w:jc w:val="left"/>
              <w:rPr>
                <w:rFonts w:cs="宋体" w:hint="default"/>
                <w:color w:val="auto"/>
                <w:kern w:val="0"/>
              </w:rPr>
            </w:pPr>
            <w:r>
              <w:rPr>
                <w:rFonts w:cs="宋体" w:hint="eastAsia"/>
                <w:color w:val="auto"/>
                <w:kern w:val="0"/>
                <w:lang w:val="en-US" w:eastAsia="zh-CN"/>
              </w:rPr>
              <w:t>180日历</w:t>
            </w:r>
            <w:r>
              <w:rPr>
                <w:rFonts w:cs="宋体"/>
                <w:color w:val="auto"/>
                <w:kern w:val="0"/>
              </w:rPr>
              <w:t>天</w:t>
            </w:r>
          </w:p>
        </w:tc>
      </w:tr>
      <w:tr>
        <w:tblPrEx/>
        <w:trPr>
          <w:trHeight w:val="564" w:hRule="exact"/>
          <w:jc w:val="center"/>
        </w:trPr>
        <w:tc>
          <w:tcPr>
            <w:tcW w:w="1065" w:type="dxa"/>
            <w:tcBorders/>
            <w:vAlign w:val="center"/>
          </w:tcPr>
          <w:p>
            <w:pPr>
              <w:pStyle w:val="style0"/>
              <w:widowControl/>
              <w:spacing w:lineRule="auto" w:line="240"/>
              <w:jc w:val="left"/>
              <w:rPr>
                <w:rFonts w:cs="宋体" w:hint="eastAsia"/>
                <w:color w:val="auto"/>
                <w:kern w:val="0"/>
                <w:lang w:eastAsia="zh-CN"/>
              </w:rPr>
            </w:pPr>
            <w:r>
              <w:rPr>
                <w:rFonts w:cs="宋体" w:hint="eastAsia"/>
                <w:color w:val="auto"/>
                <w:kern w:val="0"/>
                <w:lang w:eastAsia="zh-CN"/>
              </w:rPr>
              <w:t>1.1.7</w:t>
            </w:r>
          </w:p>
        </w:tc>
        <w:tc>
          <w:tcPr>
            <w:tcW w:w="1770" w:type="dxa"/>
            <w:tcBorders/>
            <w:vAlign w:val="center"/>
          </w:tcPr>
          <w:p>
            <w:pPr>
              <w:pStyle w:val="style0"/>
              <w:widowControl/>
              <w:spacing w:lineRule="auto" w:line="240"/>
              <w:jc w:val="left"/>
              <w:rPr>
                <w:rFonts w:cs="宋体" w:hint="eastAsia"/>
                <w:color w:val="auto"/>
                <w:kern w:val="0"/>
                <w:lang w:eastAsia="zh-CN"/>
              </w:rPr>
            </w:pPr>
            <w:r>
              <w:rPr>
                <w:rFonts w:cs="宋体" w:hint="eastAsia"/>
                <w:color w:val="auto"/>
                <w:kern w:val="0"/>
                <w:lang w:eastAsia="zh-CN"/>
              </w:rPr>
              <w:t>建筑安装工程费</w:t>
            </w:r>
          </w:p>
        </w:tc>
        <w:tc>
          <w:tcPr>
            <w:tcW w:w="6563" w:type="dxa"/>
            <w:tcBorders/>
            <w:vAlign w:val="center"/>
          </w:tcPr>
          <w:p>
            <w:pPr>
              <w:pStyle w:val="style0"/>
              <w:widowControl/>
              <w:spacing w:lineRule="auto" w:line="240"/>
              <w:jc w:val="left"/>
              <w:rPr>
                <w:rFonts w:cs="宋体" w:hint="eastAsia"/>
                <w:color w:val="auto"/>
                <w:kern w:val="0"/>
                <w:lang w:val="en-US" w:eastAsia="zh-CN"/>
              </w:rPr>
            </w:pPr>
            <w:r>
              <w:rPr>
                <w:rFonts w:cs="宋体" w:hint="eastAsia"/>
                <w:color w:val="auto"/>
                <w:kern w:val="0"/>
                <w:lang w:val="en-US" w:eastAsia="zh-CN"/>
              </w:rPr>
              <w:t>/</w:t>
            </w:r>
          </w:p>
        </w:tc>
      </w:tr>
      <w:tr>
        <w:tblPrEx/>
        <w:trPr>
          <w:trHeight w:val="1106"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1.3.1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招标范围</w:t>
            </w:r>
          </w:p>
        </w:tc>
        <w:tc>
          <w:tcPr>
            <w:tcW w:w="6563" w:type="dxa"/>
            <w:tcBorders/>
            <w:vAlign w:val="center"/>
          </w:tcPr>
          <w:p>
            <w:pPr>
              <w:pStyle w:val="style0"/>
              <w:widowControl/>
              <w:spacing w:lineRule="auto" w:line="240"/>
              <w:jc w:val="left"/>
              <w:rPr>
                <w:rFonts w:cs="宋体" w:hint="default"/>
                <w:color w:val="auto"/>
                <w:kern w:val="0"/>
              </w:rPr>
            </w:pPr>
            <w:r>
              <w:rPr>
                <w:rFonts w:cs="宋体"/>
                <w:color w:val="auto"/>
                <w:kern w:val="0"/>
              </w:rPr>
              <w:t>包括</w:t>
            </w:r>
            <w:r>
              <w:rPr>
                <w:rFonts w:cs="宋体" w:hint="eastAsia"/>
                <w:color w:val="auto"/>
                <w:kern w:val="0"/>
                <w:lang w:eastAsia="zh-CN"/>
              </w:rPr>
              <w:t>宁远县城市供水能力提升建设项目（一期工程-源水输水管道建设工程）监理</w:t>
            </w:r>
            <w:r>
              <w:rPr>
                <w:rFonts w:cs="宋体"/>
                <w:color w:val="auto"/>
                <w:kern w:val="0"/>
              </w:rPr>
              <w:t>的施工准备阶段监理、施工阶段监理、竣工验收阶段监理及缺陷责任期阶段的全过程监理。</w:t>
            </w:r>
          </w:p>
        </w:tc>
      </w:tr>
      <w:tr>
        <w:tblPrEx/>
        <w:trPr>
          <w:trHeight w:val="7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1.3.2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监理服务期限</w:t>
            </w:r>
          </w:p>
        </w:tc>
        <w:tc>
          <w:tcPr>
            <w:tcW w:w="6563" w:type="dxa"/>
            <w:tcBorders/>
            <w:vAlign w:val="center"/>
          </w:tcPr>
          <w:p>
            <w:pPr>
              <w:pStyle w:val="style0"/>
              <w:widowControl/>
              <w:spacing w:lineRule="auto" w:line="240"/>
              <w:jc w:val="left"/>
              <w:rPr>
                <w:rFonts w:cs="宋体" w:hint="default"/>
                <w:color w:val="auto"/>
                <w:kern w:val="0"/>
              </w:rPr>
            </w:pPr>
            <w:r>
              <w:rPr>
                <w:rFonts w:cs="宋体" w:hint="eastAsia"/>
                <w:color w:val="auto"/>
                <w:kern w:val="0"/>
                <w:lang w:eastAsia="zh-CN"/>
              </w:rPr>
              <w:t>从施工准备开始至缺陷责任期结束；其中施工工期180日历天，缺陷责任期24个月</w:t>
            </w:r>
            <w:r>
              <w:rPr>
                <w:rFonts w:cs="宋体" w:hint="eastAsia"/>
                <w:color w:val="auto"/>
                <w:kern w:val="0"/>
                <w:lang w:val="en-US" w:eastAsia="zh-CN"/>
              </w:rPr>
              <w:t>；</w:t>
            </w:r>
          </w:p>
        </w:tc>
      </w:tr>
      <w:tr>
        <w:tblPrEx/>
        <w:trPr>
          <w:trHeight w:val="581"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1.3.3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质量标准</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 xml:space="preserve">合格         </w:t>
            </w:r>
          </w:p>
        </w:tc>
      </w:tr>
      <w:tr>
        <w:tblPrEx/>
        <w:trPr>
          <w:trHeight w:val="1572"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1.4.1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资质条件</w:t>
            </w:r>
          </w:p>
        </w:tc>
        <w:tc>
          <w:tcPr>
            <w:tcW w:w="6563" w:type="dxa"/>
            <w:tcBorders/>
            <w:vAlign w:val="center"/>
          </w:tcPr>
          <w:p>
            <w:pPr>
              <w:pStyle w:val="style0"/>
              <w:spacing w:lineRule="exact" w:line="360"/>
              <w:ind w:firstLine="480" w:firstLineChars="200"/>
              <w:rPr>
                <w:rFonts w:cs="宋体" w:hint="default"/>
                <w:color w:val="auto"/>
              </w:rPr>
            </w:pPr>
            <w:r>
              <w:rPr>
                <w:rFonts w:cs="宋体"/>
                <w:color w:val="auto"/>
              </w:rPr>
              <w:t>1、具有独立法人资格并依法取得企业法人营业执照，营业执照处于有效期；湖南省外企业须按照湘建建【2015】190号文件要求办理省外企业入湘相关事宜（以“湖南省住房和城乡建设网”查询为准）或具有《省外工程建设中介服务企业入湘登记证》（处于有效期内）。</w:t>
            </w:r>
          </w:p>
          <w:p>
            <w:pPr>
              <w:pStyle w:val="style0"/>
              <w:spacing w:lineRule="exact" w:line="360"/>
              <w:ind w:firstLine="480" w:firstLineChars="200"/>
              <w:rPr>
                <w:rFonts w:cs="宋体" w:hint="default"/>
                <w:color w:val="auto"/>
              </w:rPr>
            </w:pPr>
            <w:r>
              <w:rPr>
                <w:rFonts w:cs="宋体"/>
                <w:color w:val="auto"/>
              </w:rPr>
              <w:t>2、具备建设行政主管部门颁发的</w:t>
            </w:r>
            <w:r>
              <w:rPr>
                <w:rFonts w:cs="宋体" w:hint="eastAsia"/>
                <w:b/>
                <w:bCs/>
                <w:color w:val="auto"/>
                <w:lang w:eastAsia="zh-CN"/>
              </w:rPr>
              <w:t>市政公用工程监理乙级及以上资质</w:t>
            </w:r>
            <w:r>
              <w:rPr>
                <w:rFonts w:cs="宋体"/>
                <w:b/>
                <w:bCs/>
                <w:color w:val="auto"/>
              </w:rPr>
              <w:t>或者</w:t>
            </w:r>
            <w:r>
              <w:rPr>
                <w:rFonts w:cs="宋体" w:hint="eastAsia"/>
                <w:b/>
                <w:bCs/>
                <w:color w:val="auto"/>
                <w:lang w:eastAsia="zh-CN"/>
              </w:rPr>
              <w:t>工程监理综合资质</w:t>
            </w:r>
            <w:r>
              <w:rPr>
                <w:rFonts w:cs="宋体"/>
                <w:color w:val="auto"/>
              </w:rPr>
              <w:t>，并在人员、设备、资金等方面具备相应的施工监理能力。</w:t>
            </w:r>
          </w:p>
          <w:p>
            <w:pPr>
              <w:pStyle w:val="style0"/>
              <w:spacing w:lineRule="exact" w:line="360"/>
              <w:ind w:firstLine="480" w:firstLineChars="200"/>
              <w:rPr>
                <w:rFonts w:cs="宋体" w:hint="default"/>
                <w:b/>
                <w:color w:val="auto"/>
              </w:rPr>
            </w:pPr>
            <w:r>
              <w:rPr>
                <w:rFonts w:cs="宋体"/>
                <w:color w:val="auto"/>
              </w:rPr>
              <w:t>3、现场监理部关键岗位人员要求按湘建建[2015]57号文文件规定，即：至少总监理工程师1人，专业监理工程师1人，监理员</w:t>
            </w:r>
            <w:r>
              <w:rPr>
                <w:rFonts w:cs="宋体" w:hint="eastAsia"/>
                <w:color w:val="auto"/>
                <w:lang w:val="en-US" w:eastAsia="zh-CN"/>
              </w:rPr>
              <w:t>2</w:t>
            </w:r>
            <w:r>
              <w:rPr>
                <w:rFonts w:cs="宋体"/>
                <w:color w:val="auto"/>
              </w:rPr>
              <w:t>人且实行承诺制，中标后发出中标通知书前向招标人或招标代理机构提供相关人员及证件，承诺中标后，办理质监安监手续时按招标文件的要求配备到位。其中：拟任总监理工程师，需具有</w:t>
            </w:r>
            <w:r>
              <w:rPr>
                <w:rFonts w:cs="宋体" w:hint="eastAsia"/>
                <w:color w:val="auto"/>
                <w:lang w:eastAsia="zh-CN"/>
              </w:rPr>
              <w:t>市政公用</w:t>
            </w:r>
            <w:r>
              <w:rPr>
                <w:rFonts w:cs="宋体"/>
                <w:color w:val="auto"/>
              </w:rPr>
              <w:t>工程专业《国家注册监理工程师》证书；专业监理工程师，应具有国家注册监理工程师证书或湖南省监理工程师证书或湖南省专业监理工程师培训合格证书；拟任本次投标的关键岗位人员必须是本企业在职职工,投标截止时间前在本单位缴纳</w:t>
            </w:r>
            <w:r>
              <w:rPr>
                <w:rFonts w:cs="宋体" w:hint="eastAsia"/>
                <w:color w:val="auto"/>
                <w:lang w:eastAsia="zh-CN"/>
              </w:rPr>
              <w:t>六</w:t>
            </w:r>
            <w:r>
              <w:rPr>
                <w:rFonts w:cs="宋体"/>
                <w:color w:val="auto"/>
              </w:rPr>
              <w:t>个月（2020年</w:t>
            </w:r>
            <w:r>
              <w:rPr>
                <w:rFonts w:cs="宋体"/>
                <w:color w:val="auto"/>
                <w:lang w:val="en-US"/>
              </w:rPr>
              <w:t>6</w:t>
            </w:r>
            <w:r>
              <w:rPr>
                <w:rFonts w:cs="宋体"/>
                <w:color w:val="auto"/>
              </w:rPr>
              <w:t>月至2020年</w:t>
            </w:r>
            <w:r>
              <w:rPr>
                <w:rFonts w:cs="宋体" w:hint="eastAsia"/>
                <w:color w:val="auto"/>
                <w:lang w:val="en-US" w:eastAsia="zh-CN"/>
              </w:rPr>
              <w:t>1</w:t>
            </w:r>
            <w:r>
              <w:rPr>
                <w:rFonts w:cs="宋体" w:hint="default"/>
                <w:color w:val="auto"/>
                <w:lang w:val="en-US" w:eastAsia="zh-CN"/>
              </w:rPr>
              <w:t>1</w:t>
            </w:r>
            <w:r>
              <w:rPr>
                <w:rFonts w:cs="宋体"/>
                <w:color w:val="auto"/>
              </w:rPr>
              <w:t>月）以上社会养老保险，以社会保障部门出具的查询清单和明细为准并必须加盖当地社保部门公章（补缴社保无效），若无社会保障部门出具的查询清单和明细，则必须提供个人网页查询途径（网址、账号、姓名、密码）。查询结果具有下列情况之一的，均按废标处理：①没按招标文件规定的时间交纳养老保险的；②按提供的养老保险查询网址和密码无法查询的；③查询结果显示不是投标单位的。投标单位性质属事业的，还需提供事业单位法人证书原件，否则按废标处理）</w:t>
            </w:r>
            <w:r>
              <w:rPr>
                <w:rFonts w:cs="宋体"/>
                <w:b/>
                <w:color w:val="auto"/>
              </w:rPr>
              <w:t>。</w:t>
            </w:r>
            <w:r>
              <w:rPr>
                <w:rFonts w:cs="宋体"/>
                <w:b/>
                <w:color w:val="auto"/>
                <w:highlight w:val="none"/>
              </w:rPr>
              <w:t>拟任本次项目的总监理工程师不允许有在监项目</w:t>
            </w:r>
            <w:r>
              <w:rPr>
                <w:rFonts w:cs="宋体"/>
                <w:b/>
                <w:color w:val="auto"/>
              </w:rPr>
              <w:t>。其它现场监理部关键岗位人员不得同时在二个及二个以上的建设工程项目中任职（在湖南省建筑工程监管信息平台上查询无押证）。</w:t>
            </w:r>
          </w:p>
          <w:p>
            <w:pPr>
              <w:pStyle w:val="style0"/>
              <w:spacing w:lineRule="exact" w:line="360"/>
              <w:ind w:firstLine="480" w:firstLineChars="200"/>
              <w:jc w:val="left"/>
              <w:rPr>
                <w:rFonts w:cs="宋体" w:hint="default"/>
                <w:color w:val="auto"/>
              </w:rPr>
            </w:pPr>
            <w:r>
              <w:rPr>
                <w:rFonts w:cs="宋体"/>
                <w:color w:val="auto"/>
              </w:rPr>
              <w:t>4、省外企业关键岗位人员如持有外省行政主管部门颁发的岗位资格证书，提供其证书真伪查询官方网站网址，或提供由省级行政主管部门出具的证书真实性证明；省外企业由企业所在地省级行政主管部门提供关键岗位人员无在监项目证明</w:t>
            </w:r>
            <w:r>
              <w:rPr>
                <w:rFonts w:cs="宋体"/>
                <w:b/>
                <w:color w:val="auto"/>
              </w:rPr>
              <w:t>（省外企业关键岗位人员在湖南省内在监项目情况以湖南省市政工程监管信息平台查询为准）</w:t>
            </w:r>
            <w:r>
              <w:rPr>
                <w:rFonts w:cs="宋体"/>
                <w:color w:val="auto"/>
              </w:rPr>
              <w:t>；省外工程监理企业承揽本省工程监理业务组建的现场监理部，其总监理工程师、专业监理工程师、监理员应取得国家注册监理工程师证书或湖南省监理工程师证书（企业所在地省级监理工程师证书）或湖南省专业监理工程师培训合格证书（企业所在地省级专业监理工程师培训合格证书）。</w:t>
            </w:r>
          </w:p>
          <w:p>
            <w:pPr>
              <w:pStyle w:val="style0"/>
              <w:spacing w:lineRule="exact" w:line="360"/>
              <w:ind w:firstLine="480" w:firstLineChars="200"/>
              <w:rPr>
                <w:rFonts w:cs="宋体" w:hint="default"/>
                <w:color w:val="auto"/>
              </w:rPr>
            </w:pPr>
            <w:r>
              <w:rPr>
                <w:rFonts w:cs="宋体"/>
                <w:color w:val="auto"/>
              </w:rPr>
              <w:t>5、本项目不接受联合体投标。</w:t>
            </w:r>
          </w:p>
          <w:p>
            <w:pPr>
              <w:pStyle w:val="style0"/>
              <w:spacing w:lineRule="exact" w:line="360"/>
              <w:ind w:firstLine="480" w:firstLineChars="200"/>
              <w:rPr>
                <w:rFonts w:cs="宋体" w:hint="default"/>
                <w:color w:val="auto"/>
                <w:kern w:val="0"/>
              </w:rPr>
            </w:pPr>
            <w:r>
              <w:rPr>
                <w:rFonts w:cs="宋体"/>
                <w:color w:val="auto"/>
                <w:kern w:val="0"/>
              </w:rPr>
              <w:t xml:space="preserve">6.本项目所有现场监理部关键岗位人员的养老保险证明资料、投标函及投标函附录除在响应文件中按规定提交外，还应用小信封另行单独再装一份，以供代理机构唱标和招标人、监管机构核查。                  </w:t>
            </w:r>
          </w:p>
        </w:tc>
      </w:tr>
      <w:tr>
        <w:tblPrEx/>
        <w:trPr>
          <w:trHeight w:val="63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1.4.2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是否接受</w:t>
            </w:r>
          </w:p>
          <w:p>
            <w:pPr>
              <w:pStyle w:val="style0"/>
              <w:widowControl/>
              <w:spacing w:lineRule="auto" w:line="360"/>
              <w:jc w:val="left"/>
              <w:rPr>
                <w:rFonts w:cs="宋体" w:hint="default"/>
                <w:color w:val="auto"/>
                <w:kern w:val="0"/>
              </w:rPr>
            </w:pPr>
            <w:r>
              <w:rPr>
                <w:rFonts w:cs="宋体"/>
                <w:color w:val="auto"/>
                <w:kern w:val="0"/>
              </w:rPr>
              <w:t>联合体投标</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☑不接受</w:t>
            </w:r>
          </w:p>
          <w:p>
            <w:pPr>
              <w:pStyle w:val="style0"/>
              <w:widowControl/>
              <w:spacing w:lineRule="auto" w:line="360"/>
              <w:jc w:val="left"/>
              <w:rPr>
                <w:rFonts w:cs="宋体" w:hint="default"/>
                <w:color w:val="auto"/>
                <w:kern w:val="0"/>
              </w:rPr>
            </w:pPr>
            <w:r>
              <w:rPr>
                <w:rFonts w:cs="宋体"/>
                <w:color w:val="auto"/>
                <w:kern w:val="0"/>
              </w:rPr>
              <w:t xml:space="preserve">□接受，应满足下列要求： </w:t>
            </w:r>
          </w:p>
        </w:tc>
      </w:tr>
      <w:tr>
        <w:tblPrEx/>
        <w:trPr>
          <w:trHeight w:val="542"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1.9.1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踏勘现场</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☑不组织</w:t>
            </w:r>
          </w:p>
          <w:p>
            <w:pPr>
              <w:pStyle w:val="style0"/>
              <w:widowControl/>
              <w:spacing w:lineRule="auto" w:line="360"/>
              <w:jc w:val="left"/>
              <w:rPr>
                <w:rFonts w:cs="宋体" w:hint="default"/>
                <w:color w:val="auto"/>
                <w:kern w:val="0"/>
              </w:rPr>
            </w:pPr>
            <w:r>
              <w:rPr>
                <w:rFonts w:cs="宋体"/>
                <w:color w:val="auto"/>
                <w:kern w:val="0"/>
              </w:rPr>
              <w:t>□组织，踏勘时间      年  月   日，踏勘地点：</w:t>
            </w:r>
          </w:p>
        </w:tc>
      </w:tr>
      <w:tr>
        <w:tblPrEx/>
        <w:trPr>
          <w:trHeight w:val="53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1.11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偏  离</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☑不允许</w:t>
            </w:r>
          </w:p>
          <w:p>
            <w:pPr>
              <w:pStyle w:val="style0"/>
              <w:widowControl/>
              <w:spacing w:lineRule="auto" w:line="360"/>
              <w:jc w:val="left"/>
              <w:rPr>
                <w:rFonts w:cs="宋体" w:hint="default"/>
                <w:color w:val="auto"/>
                <w:kern w:val="0"/>
              </w:rPr>
            </w:pPr>
            <w:r>
              <w:rPr>
                <w:rFonts w:cs="宋体"/>
                <w:color w:val="auto"/>
                <w:kern w:val="0"/>
              </w:rPr>
              <w:t>□允许，偏差范围：            偏差幅度：</w:t>
            </w:r>
          </w:p>
        </w:tc>
      </w:tr>
      <w:tr>
        <w:tblPrEx/>
        <w:trPr>
          <w:trHeight w:val="70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2.1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构成交易文件的其他材料</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招标过程中发出的澄清（答疑）纪要、有关修改、补充通知等。</w:t>
            </w:r>
          </w:p>
        </w:tc>
      </w:tr>
      <w:tr>
        <w:tblPrEx/>
        <w:trPr>
          <w:trHeight w:val="301"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2.2.1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响应单位要求澄清交易文件的截止时间和提问方式</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截止时间：在投标截止时间</w:t>
            </w:r>
            <w:r>
              <w:rPr>
                <w:rFonts w:cs="宋体"/>
                <w:color w:val="auto"/>
                <w:kern w:val="0"/>
                <w:u w:val="single"/>
              </w:rPr>
              <w:t>3</w:t>
            </w:r>
            <w:r>
              <w:rPr>
                <w:rFonts w:cs="宋体"/>
                <w:color w:val="auto"/>
                <w:kern w:val="0"/>
              </w:rPr>
              <w:t>日前</w:t>
            </w:r>
          </w:p>
          <w:p>
            <w:pPr>
              <w:pStyle w:val="style0"/>
              <w:widowControl/>
              <w:spacing w:lineRule="auto" w:line="360"/>
              <w:jc w:val="left"/>
              <w:rPr>
                <w:rFonts w:cs="宋体" w:hint="default"/>
                <w:color w:val="auto"/>
                <w:kern w:val="0"/>
              </w:rPr>
            </w:pPr>
            <w:r>
              <w:rPr>
                <w:rFonts w:cs="宋体"/>
                <w:color w:val="auto"/>
                <w:kern w:val="0"/>
              </w:rPr>
              <w:t>提问方式：书面提问，响应单位将疑问以书面形式（不署名）传真至招标代理公司，并同时发送电子文档至招标代理公司的电子邮箱</w:t>
            </w:r>
            <w:r>
              <w:rPr>
                <w:rFonts w:cs="宋体" w:hint="eastAsia"/>
                <w:color w:val="auto"/>
                <w:kern w:val="0"/>
                <w:lang w:eastAsia="zh-CN"/>
              </w:rPr>
              <w:t>727859972@qq.com</w:t>
            </w:r>
            <w:r>
              <w:rPr>
                <w:rFonts w:cs="宋体"/>
                <w:color w:val="auto"/>
                <w:kern w:val="0"/>
              </w:rPr>
              <w:t xml:space="preserve"> </w:t>
            </w:r>
          </w:p>
        </w:tc>
      </w:tr>
      <w:tr>
        <w:tblPrEx/>
        <w:trPr>
          <w:trHeight w:val="49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2.2.2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投标截止时间</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详见交易公告</w:t>
            </w:r>
          </w:p>
        </w:tc>
      </w:tr>
      <w:tr>
        <w:tblPrEx/>
        <w:trPr>
          <w:trHeight w:val="4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3.1.1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构成响应文件的的其他材料</w:t>
            </w:r>
          </w:p>
        </w:tc>
        <w:tc>
          <w:tcPr>
            <w:tcW w:w="6563" w:type="dxa"/>
            <w:tcBorders/>
            <w:vAlign w:val="center"/>
          </w:tcPr>
          <w:p>
            <w:pPr>
              <w:pStyle w:val="style0"/>
              <w:widowControl/>
              <w:spacing w:lineRule="auto" w:line="360"/>
              <w:jc w:val="left"/>
              <w:rPr>
                <w:rFonts w:cs="宋体" w:eastAsia="宋体" w:hint="eastAsia"/>
                <w:color w:val="auto"/>
                <w:kern w:val="0"/>
                <w:lang w:eastAsia="zh-CN"/>
              </w:rPr>
            </w:pPr>
            <w:r>
              <w:rPr>
                <w:rFonts w:cs="宋体"/>
                <w:color w:val="auto"/>
                <w:kern w:val="0"/>
              </w:rPr>
              <w:t>/</w:t>
            </w:r>
          </w:p>
        </w:tc>
      </w:tr>
      <w:tr>
        <w:tblPrEx/>
        <w:trPr>
          <w:trHeight w:val="4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3.2.1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增值税税金的计算方法</w:t>
            </w:r>
          </w:p>
        </w:tc>
        <w:tc>
          <w:tcPr>
            <w:tcW w:w="6563" w:type="dxa"/>
            <w:tcBorders/>
            <w:vAlign w:val="center"/>
          </w:tcPr>
          <w:p>
            <w:pPr>
              <w:pStyle w:val="style0"/>
              <w:widowControl/>
              <w:spacing w:lineRule="auto" w:line="360"/>
              <w:jc w:val="left"/>
              <w:rPr>
                <w:rFonts w:cs="宋体" w:hint="eastAsia"/>
                <w:color w:val="auto"/>
                <w:kern w:val="0"/>
              </w:rPr>
            </w:pPr>
            <w:r>
              <w:rPr>
                <w:rFonts w:cs="宋体" w:hint="eastAsia"/>
                <w:color w:val="auto"/>
                <w:kern w:val="0"/>
              </w:rPr>
              <w:t>☑一般计税方法</w:t>
            </w:r>
          </w:p>
          <w:p>
            <w:pPr>
              <w:pStyle w:val="style0"/>
              <w:widowControl/>
              <w:spacing w:lineRule="auto" w:line="360"/>
              <w:jc w:val="left"/>
              <w:rPr>
                <w:rFonts w:cs="宋体" w:hint="default"/>
                <w:color w:val="auto"/>
                <w:kern w:val="0"/>
              </w:rPr>
            </w:pPr>
            <w:r>
              <w:rPr>
                <w:rFonts w:cs="宋体" w:hint="eastAsia"/>
                <w:color w:val="auto"/>
                <w:kern w:val="0"/>
              </w:rPr>
              <w:t>□简易计税方法</w:t>
            </w:r>
          </w:p>
        </w:tc>
      </w:tr>
      <w:tr>
        <w:tblPrEx/>
        <w:trPr>
          <w:trHeight w:val="4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3.2.3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报价方式</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☑总价报价方式</w:t>
            </w:r>
          </w:p>
          <w:p>
            <w:pPr>
              <w:pStyle w:val="style0"/>
              <w:widowControl/>
              <w:spacing w:lineRule="auto" w:line="360"/>
              <w:jc w:val="left"/>
              <w:rPr>
                <w:rFonts w:cs="宋体" w:hint="default"/>
                <w:color w:val="auto"/>
                <w:kern w:val="0"/>
              </w:rPr>
            </w:pPr>
            <w:r>
              <w:rPr>
                <w:rFonts w:cs="宋体"/>
                <w:color w:val="auto"/>
                <w:kern w:val="0"/>
              </w:rPr>
              <w:t>□取费率报价方式</w:t>
            </w:r>
          </w:p>
        </w:tc>
      </w:tr>
      <w:tr>
        <w:tblPrEx/>
        <w:trPr>
          <w:trHeight w:val="4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3.2.4</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最高投标限价</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☑总价人民币（大写）：</w:t>
            </w:r>
            <w:r>
              <w:rPr>
                <w:rFonts w:cs="宋体" w:hint="eastAsia"/>
                <w:color w:val="auto"/>
                <w:kern w:val="0"/>
                <w:lang w:eastAsia="zh-CN"/>
              </w:rPr>
              <w:t>肆拾壹万叁仟玖佰贰拾柒元叁角伍分</w:t>
            </w:r>
            <w:r>
              <w:rPr>
                <w:rFonts w:cs="宋体"/>
                <w:color w:val="auto"/>
                <w:kern w:val="0"/>
              </w:rPr>
              <w:t xml:space="preserve"> （小写：</w:t>
            </w:r>
            <w:r>
              <w:rPr>
                <w:rFonts w:cs="宋体" w:hint="eastAsia"/>
                <w:color w:val="auto"/>
                <w:kern w:val="0"/>
                <w:lang w:val="en-US" w:eastAsia="zh-CN"/>
              </w:rPr>
              <w:t>413927.35</w:t>
            </w:r>
            <w:r>
              <w:rPr>
                <w:rFonts w:cs="宋体"/>
                <w:color w:val="auto"/>
                <w:kern w:val="0"/>
              </w:rPr>
              <w:t>元 ）</w:t>
            </w:r>
          </w:p>
          <w:p>
            <w:pPr>
              <w:pStyle w:val="style0"/>
              <w:widowControl/>
              <w:spacing w:lineRule="auto" w:line="360"/>
              <w:jc w:val="left"/>
              <w:rPr>
                <w:rFonts w:cs="宋体" w:hint="default"/>
                <w:color w:val="auto"/>
                <w:kern w:val="0"/>
              </w:rPr>
            </w:pPr>
            <w:r>
              <w:rPr>
                <w:rFonts w:cs="宋体"/>
                <w:color w:val="auto"/>
                <w:kern w:val="0"/>
              </w:rPr>
              <w:t xml:space="preserve">□取费率      %，其中取费基数。          </w:t>
            </w:r>
          </w:p>
        </w:tc>
      </w:tr>
      <w:tr>
        <w:tblPrEx/>
        <w:trPr>
          <w:trHeight w:val="4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3.2.5</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投标报价的其他要求</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投标人投标价格不得超出（不含等于）最高投标限价。</w:t>
            </w:r>
          </w:p>
        </w:tc>
      </w:tr>
      <w:tr>
        <w:tblPrEx/>
        <w:trPr>
          <w:trHeight w:val="46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3.3.1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投标有效期</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自投标截止之日起 90 天（日历天）</w:t>
            </w:r>
          </w:p>
        </w:tc>
      </w:tr>
      <w:tr>
        <w:tblPrEx/>
        <w:trPr>
          <w:trHeight w:val="525"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3.4.1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投标保证</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□不要求提交投标担保</w:t>
            </w:r>
          </w:p>
          <w:p>
            <w:pPr>
              <w:pStyle w:val="style0"/>
              <w:widowControl/>
              <w:spacing w:lineRule="auto" w:line="360"/>
              <w:jc w:val="left"/>
              <w:rPr>
                <w:rFonts w:cs="宋体" w:hint="default"/>
                <w:color w:val="auto"/>
                <w:kern w:val="0"/>
              </w:rPr>
            </w:pPr>
            <w:r>
              <w:rPr>
                <w:rFonts w:cs="宋体"/>
                <w:color w:val="auto"/>
                <w:kern w:val="0"/>
              </w:rPr>
              <w:t>☑要求提交投标担保，投标保证金：捌仟元整</w:t>
            </w:r>
          </w:p>
          <w:p>
            <w:pPr>
              <w:pStyle w:val="style0"/>
              <w:widowControl/>
              <w:spacing w:lineRule="auto" w:line="360"/>
              <w:jc w:val="left"/>
              <w:rPr>
                <w:rFonts w:cs="宋体" w:hint="default"/>
                <w:color w:val="auto"/>
                <w:kern w:val="0"/>
              </w:rPr>
            </w:pPr>
            <w:r>
              <w:rPr>
                <w:rFonts w:cs="宋体"/>
                <w:color w:val="auto"/>
                <w:kern w:val="0"/>
              </w:rPr>
              <w:t>1、采用承诺的形式，格式详见第六章响应文件格式四；</w:t>
            </w:r>
          </w:p>
        </w:tc>
      </w:tr>
      <w:tr>
        <w:tblPrEx/>
        <w:trPr>
          <w:trHeight w:val="60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3.6</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是否允许递交备选投标方案</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☑不允许</w:t>
            </w:r>
          </w:p>
          <w:p>
            <w:pPr>
              <w:pStyle w:val="style0"/>
              <w:widowControl/>
              <w:spacing w:lineRule="auto" w:line="360"/>
              <w:jc w:val="left"/>
              <w:rPr>
                <w:rFonts w:cs="宋体" w:hint="default"/>
                <w:color w:val="auto"/>
                <w:kern w:val="0"/>
              </w:rPr>
            </w:pPr>
            <w:r>
              <w:rPr>
                <w:rFonts w:cs="宋体"/>
                <w:color w:val="auto"/>
                <w:kern w:val="0"/>
              </w:rPr>
              <w:t>□允许</w:t>
            </w:r>
          </w:p>
        </w:tc>
      </w:tr>
      <w:tr>
        <w:tblPrEx/>
        <w:trPr>
          <w:trHeight w:val="1069"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3.7.3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签字和（或）盖章要求</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（1）响应文件封面、投标函及交易文件第六章“响应文件格式”规定处必须由响应单位的法定代表人或其委托代理人签字或盖章和加盖单位章。</w:t>
            </w:r>
          </w:p>
          <w:p>
            <w:pPr>
              <w:pStyle w:val="style0"/>
              <w:widowControl/>
              <w:spacing w:lineRule="auto" w:line="360"/>
              <w:jc w:val="left"/>
              <w:rPr>
                <w:rFonts w:cs="宋体" w:hint="default"/>
                <w:color w:val="auto"/>
                <w:kern w:val="0"/>
              </w:rPr>
            </w:pPr>
            <w:r>
              <w:rPr>
                <w:rFonts w:cs="宋体"/>
                <w:color w:val="auto"/>
                <w:kern w:val="0"/>
              </w:rPr>
              <w:t>（2）上述签字盖章要求响应文件正本须本人亲笔签字、盖章必须为原章，副本可用正本复印。</w:t>
            </w:r>
          </w:p>
        </w:tc>
      </w:tr>
      <w:tr>
        <w:tblPrEx/>
        <w:trPr>
          <w:trHeight w:val="70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3.7.4</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响应文件份数</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响应文件一式叁份，其中正本壹份，副本贰份，统一胶装成册并加盖公章。</w:t>
            </w:r>
          </w:p>
        </w:tc>
      </w:tr>
      <w:tr>
        <w:tblPrEx/>
        <w:trPr>
          <w:trHeight w:val="852"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4.2.2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递交响应文件</w:t>
            </w:r>
          </w:p>
          <w:p>
            <w:pPr>
              <w:pStyle w:val="style0"/>
              <w:widowControl/>
              <w:spacing w:lineRule="auto" w:line="360"/>
              <w:jc w:val="left"/>
              <w:rPr>
                <w:rFonts w:cs="宋体" w:hint="default"/>
                <w:color w:val="auto"/>
                <w:kern w:val="0"/>
              </w:rPr>
            </w:pPr>
            <w:r>
              <w:rPr>
                <w:rFonts w:cs="宋体"/>
                <w:color w:val="auto"/>
                <w:kern w:val="0"/>
              </w:rPr>
              <w:t>地点</w:t>
            </w:r>
          </w:p>
        </w:tc>
        <w:tc>
          <w:tcPr>
            <w:tcW w:w="6563" w:type="dxa"/>
            <w:tcBorders/>
            <w:vAlign w:val="center"/>
          </w:tcPr>
          <w:p>
            <w:pPr>
              <w:pStyle w:val="style0"/>
              <w:widowControl/>
              <w:spacing w:lineRule="auto" w:line="360"/>
              <w:jc w:val="left"/>
              <w:rPr>
                <w:rFonts w:cs="宋体" w:hint="default"/>
                <w:color w:val="auto"/>
                <w:kern w:val="0"/>
              </w:rPr>
            </w:pPr>
            <w:r>
              <w:rPr>
                <w:rFonts w:cs="宋体"/>
                <w:b/>
                <w:bCs/>
                <w:color w:val="auto"/>
                <w:kern w:val="0"/>
              </w:rPr>
              <w:t>宁远县园艺路武装部隔壁原县交易中心五楼开标室</w:t>
            </w:r>
          </w:p>
        </w:tc>
      </w:tr>
      <w:tr>
        <w:tblPrEx/>
        <w:trPr>
          <w:trHeight w:val="639"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4.2.3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是否退还投标</w:t>
            </w:r>
          </w:p>
          <w:p>
            <w:pPr>
              <w:pStyle w:val="style0"/>
              <w:widowControl/>
              <w:spacing w:lineRule="auto" w:line="360"/>
              <w:jc w:val="left"/>
              <w:rPr>
                <w:rFonts w:cs="宋体" w:hint="default"/>
                <w:color w:val="auto"/>
                <w:kern w:val="0"/>
              </w:rPr>
            </w:pPr>
            <w:r>
              <w:rPr>
                <w:rFonts w:cs="宋体"/>
                <w:color w:val="auto"/>
                <w:kern w:val="0"/>
              </w:rPr>
              <w:t>文件</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☑否</w:t>
            </w:r>
          </w:p>
          <w:p>
            <w:pPr>
              <w:pStyle w:val="style0"/>
              <w:widowControl/>
              <w:spacing w:lineRule="auto" w:line="360"/>
              <w:jc w:val="left"/>
              <w:rPr>
                <w:rFonts w:cs="宋体" w:hint="default"/>
                <w:color w:val="auto"/>
                <w:kern w:val="0"/>
              </w:rPr>
            </w:pPr>
            <w:r>
              <w:rPr>
                <w:rFonts w:cs="宋体"/>
                <w:color w:val="auto"/>
                <w:kern w:val="0"/>
              </w:rPr>
              <w:t>□是，退还时间：</w:t>
            </w:r>
          </w:p>
        </w:tc>
      </w:tr>
      <w:tr>
        <w:tblPrEx/>
        <w:trPr>
          <w:trHeight w:val="1437"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5.1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开标时间和地点</w:t>
            </w:r>
          </w:p>
        </w:tc>
        <w:tc>
          <w:tcPr>
            <w:tcW w:w="6563" w:type="dxa"/>
            <w:tcBorders/>
            <w:vAlign w:val="center"/>
          </w:tcPr>
          <w:p>
            <w:pPr>
              <w:pStyle w:val="style0"/>
              <w:spacing w:lineRule="exact" w:line="360"/>
              <w:rPr>
                <w:rFonts w:cs="宋体" w:hint="default"/>
                <w:color w:val="auto"/>
                <w:kern w:val="0"/>
              </w:rPr>
            </w:pPr>
            <w:r>
              <w:rPr>
                <w:rFonts w:cs="宋体"/>
                <w:color w:val="auto"/>
                <w:kern w:val="0"/>
              </w:rPr>
              <w:t>开标时间：</w:t>
            </w:r>
            <w:r>
              <w:rPr>
                <w:b/>
                <w:color w:val="auto"/>
                <w:u w:val="single"/>
              </w:rPr>
              <w:t>2020年</w:t>
            </w:r>
            <w:r>
              <w:rPr>
                <w:rFonts w:hint="eastAsia"/>
                <w:b/>
                <w:color w:val="auto"/>
                <w:u w:val="single"/>
                <w:lang w:val="en-US" w:eastAsia="zh-CN"/>
              </w:rPr>
              <w:t xml:space="preserve"> </w:t>
            </w:r>
            <w:r>
              <w:rPr>
                <w:rFonts w:hint="default"/>
                <w:b/>
                <w:color w:val="auto"/>
                <w:u w:val="single"/>
                <w:lang w:val="en-US" w:eastAsia="zh-CN"/>
              </w:rPr>
              <w:t>12</w:t>
            </w:r>
            <w:r>
              <w:rPr>
                <w:b/>
                <w:color w:val="auto"/>
                <w:u w:val="single"/>
              </w:rPr>
              <w:t>月</w:t>
            </w:r>
            <w:r>
              <w:rPr>
                <w:rFonts w:hint="eastAsia"/>
                <w:b/>
                <w:color w:val="auto"/>
                <w:u w:val="single"/>
                <w:lang w:val="en-US" w:eastAsia="zh-CN"/>
              </w:rPr>
              <w:t xml:space="preserve"> </w:t>
            </w:r>
            <w:r>
              <w:rPr>
                <w:rFonts w:hint="default"/>
                <w:b/>
                <w:color w:val="auto"/>
                <w:u w:val="single"/>
                <w:lang w:val="en-US" w:eastAsia="zh-CN"/>
              </w:rPr>
              <w:t>30</w:t>
            </w:r>
            <w:r>
              <w:rPr>
                <w:b/>
                <w:color w:val="auto"/>
                <w:u w:val="single"/>
              </w:rPr>
              <w:t>日</w:t>
            </w:r>
            <w:r>
              <w:rPr>
                <w:rFonts w:hint="eastAsia"/>
                <w:b/>
                <w:color w:val="auto"/>
                <w:u w:val="single"/>
                <w:lang w:val="en-US" w:eastAsia="zh-CN"/>
              </w:rPr>
              <w:t xml:space="preserve"> </w:t>
            </w:r>
            <w:r>
              <w:rPr>
                <w:rFonts w:hint="default"/>
                <w:b/>
                <w:color w:val="auto"/>
                <w:u w:val="single"/>
                <w:lang w:val="en-US" w:eastAsia="zh-CN"/>
              </w:rPr>
              <w:t>09</w:t>
            </w:r>
            <w:r>
              <w:rPr>
                <w:b/>
                <w:color w:val="auto"/>
                <w:u w:val="single"/>
              </w:rPr>
              <w:t>时</w:t>
            </w:r>
            <w:r>
              <w:rPr>
                <w:rFonts w:hint="eastAsia"/>
                <w:b/>
                <w:color w:val="auto"/>
                <w:u w:val="single"/>
                <w:lang w:val="en-US" w:eastAsia="zh-CN"/>
              </w:rPr>
              <w:t xml:space="preserve"> </w:t>
            </w:r>
            <w:r>
              <w:rPr>
                <w:rFonts w:hint="default"/>
                <w:b/>
                <w:color w:val="auto"/>
                <w:u w:val="single"/>
                <w:lang w:val="en-US" w:eastAsia="zh-CN"/>
              </w:rPr>
              <w:t>00</w:t>
            </w:r>
            <w:r>
              <w:rPr>
                <w:b/>
                <w:color w:val="auto"/>
                <w:u w:val="single"/>
              </w:rPr>
              <w:t>分（北京时间）</w:t>
            </w:r>
            <w:r>
              <w:rPr>
                <w:color w:val="auto"/>
              </w:rPr>
              <w:t>；</w:t>
            </w:r>
          </w:p>
          <w:p>
            <w:pPr>
              <w:pStyle w:val="style0"/>
              <w:widowControl/>
              <w:spacing w:lineRule="auto" w:line="360"/>
              <w:jc w:val="left"/>
              <w:rPr>
                <w:rFonts w:cs="宋体" w:hint="default"/>
                <w:color w:val="auto"/>
                <w:kern w:val="0"/>
              </w:rPr>
            </w:pPr>
            <w:r>
              <w:rPr>
                <w:rFonts w:cs="宋体"/>
                <w:color w:val="auto"/>
                <w:kern w:val="0"/>
              </w:rPr>
              <w:t>☑见面（现场）开标，开标地点：</w:t>
            </w:r>
            <w:r>
              <w:rPr>
                <w:rFonts w:cs="宋体"/>
                <w:b/>
                <w:bCs/>
                <w:color w:val="auto"/>
                <w:kern w:val="0"/>
              </w:rPr>
              <w:t>宁远县园艺路武装部隔壁原县交易中心五楼开标室</w:t>
            </w:r>
          </w:p>
        </w:tc>
      </w:tr>
      <w:tr>
        <w:tblPrEx/>
        <w:trPr>
          <w:trHeight w:val="984"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6.1.1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评标委员会的      组建</w:t>
            </w:r>
          </w:p>
        </w:tc>
        <w:tc>
          <w:tcPr>
            <w:tcW w:w="6563" w:type="dxa"/>
            <w:tcBorders/>
            <w:vAlign w:val="center"/>
          </w:tcPr>
          <w:p>
            <w:pPr>
              <w:pStyle w:val="style0"/>
              <w:widowControl/>
              <w:spacing w:lineRule="auto" w:line="360"/>
              <w:jc w:val="left"/>
              <w:rPr>
                <w:rFonts w:cs="宋体" w:hint="default"/>
                <w:color w:val="auto"/>
                <w:kern w:val="0"/>
              </w:rPr>
            </w:pPr>
            <w:r>
              <w:rPr>
                <w:rFonts w:cs="宋体" w:hint="eastAsia"/>
                <w:color w:val="auto"/>
                <w:kern w:val="0"/>
              </w:rPr>
              <w:t>评标委员会成员</w:t>
            </w:r>
            <w:r>
              <w:rPr>
                <w:rFonts w:cs="宋体" w:hint="eastAsia"/>
                <w:color w:val="auto"/>
                <w:kern w:val="0"/>
                <w:u w:val="single"/>
                <w:lang w:val="en-US" w:eastAsia="zh-CN"/>
              </w:rPr>
              <w:t>3</w:t>
            </w:r>
            <w:r>
              <w:rPr>
                <w:rFonts w:cs="宋体" w:hint="eastAsia"/>
                <w:color w:val="auto"/>
                <w:kern w:val="0"/>
              </w:rPr>
              <w:t>人或以上单数，其中：招标人代表0人。</w:t>
            </w:r>
          </w:p>
        </w:tc>
      </w:tr>
      <w:tr>
        <w:tblPrEx/>
        <w:trPr>
          <w:trHeight w:val="1586"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7.1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推荐中标候选人和确定中标人 方式</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 综合评估法</w:t>
            </w:r>
            <w:r>
              <w:rPr>
                <w:rFonts w:cs="宋体"/>
                <w:color w:val="auto"/>
                <w:kern w:val="0"/>
              </w:rPr>
              <w:fldChar w:fldCharType="begin"/>
            </w:r>
            <w:r>
              <w:rPr>
                <w:rFonts w:cs="宋体"/>
                <w:color w:val="auto"/>
                <w:kern w:val="0"/>
              </w:rPr>
              <w:instrText xml:space="preserve"> = 1 \* ROMAN </w:instrText>
            </w:r>
            <w:r>
              <w:rPr>
                <w:rFonts w:cs="宋体"/>
                <w:color w:val="auto"/>
                <w:kern w:val="0"/>
              </w:rPr>
              <w:fldChar w:fldCharType="separate"/>
            </w:r>
            <w:r>
              <w:rPr>
                <w:rFonts w:cs="宋体"/>
                <w:color w:val="auto"/>
                <w:kern w:val="0"/>
              </w:rPr>
              <w:t>I</w:t>
            </w:r>
            <w:r>
              <w:rPr>
                <w:rFonts w:cs="宋体"/>
                <w:color w:val="auto"/>
                <w:kern w:val="0"/>
              </w:rPr>
              <w:fldChar w:fldCharType="end"/>
            </w:r>
          </w:p>
          <w:p>
            <w:pPr>
              <w:pStyle w:val="style0"/>
              <w:widowControl/>
              <w:spacing w:lineRule="auto" w:line="360"/>
              <w:jc w:val="left"/>
              <w:rPr>
                <w:rFonts w:cs="宋体" w:hint="default"/>
                <w:color w:val="auto"/>
                <w:kern w:val="0"/>
              </w:rPr>
            </w:pPr>
            <w:r>
              <w:rPr>
                <w:rFonts w:cs="宋体"/>
                <w:color w:val="auto"/>
                <w:kern w:val="0"/>
              </w:rPr>
              <w:t>排序法，即：由评标委员会推荐不超过3个有排序的中标候选人，公示期满后招标人按照相关规定确定中标人。</w:t>
            </w:r>
          </w:p>
        </w:tc>
      </w:tr>
      <w:tr>
        <w:tblPrEx/>
        <w:trPr>
          <w:trHeight w:val="1099"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7.3.1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履约担保</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□不要求提供履约担保；</w:t>
            </w:r>
          </w:p>
          <w:p>
            <w:pPr>
              <w:pStyle w:val="style0"/>
              <w:widowControl/>
              <w:spacing w:lineRule="auto" w:line="360"/>
              <w:jc w:val="left"/>
              <w:rPr>
                <w:rFonts w:cs="宋体" w:hint="default"/>
                <w:color w:val="auto"/>
                <w:kern w:val="0"/>
              </w:rPr>
            </w:pPr>
            <w:r>
              <w:rPr>
                <w:rFonts w:cs="宋体"/>
                <w:color w:val="auto"/>
                <w:kern w:val="0"/>
              </w:rPr>
              <w:t>☑要求提供履约担保， 担保金额：中标金额的10%</w:t>
            </w:r>
          </w:p>
        </w:tc>
      </w:tr>
      <w:tr>
        <w:tblPrEx/>
        <w:trPr>
          <w:trHeight w:val="866"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7.3.2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服务费预付款或者服务费支付担保</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招标人在收到履约担保的同时，向中标人支付服务费预付款，或者向中标人提供服务费支付担保。</w:t>
            </w:r>
            <w:bookmarkStart w:id="63" w:name="_GoBack"/>
            <w:bookmarkEnd w:id="63"/>
          </w:p>
        </w:tc>
      </w:tr>
      <w:tr>
        <w:tblPrEx/>
        <w:trPr>
          <w:trHeight w:val="555" w:hRule="atLeast"/>
          <w:jc w:val="center"/>
        </w:trPr>
        <w:tc>
          <w:tcPr>
            <w:tcW w:w="9398" w:type="dxa"/>
            <w:gridSpan w:val="3"/>
            <w:tcBorders/>
            <w:vAlign w:val="center"/>
          </w:tcPr>
          <w:p>
            <w:pPr>
              <w:pStyle w:val="style0"/>
              <w:widowControl/>
              <w:spacing w:lineRule="auto" w:line="360"/>
              <w:jc w:val="left"/>
              <w:rPr>
                <w:rFonts w:cs="宋体" w:hint="default"/>
                <w:color w:val="auto"/>
                <w:kern w:val="0"/>
              </w:rPr>
            </w:pPr>
            <w:r>
              <w:rPr>
                <w:rFonts w:cs="宋体"/>
                <w:color w:val="auto"/>
                <w:kern w:val="0"/>
              </w:rPr>
              <w:t>10.1需要补充内容的其他内容</w:t>
            </w:r>
          </w:p>
        </w:tc>
      </w:tr>
      <w:tr>
        <w:tblPrEx/>
        <w:trPr>
          <w:trHeight w:val="576"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类似工程业绩</w:t>
            </w:r>
          </w:p>
        </w:tc>
        <w:tc>
          <w:tcPr>
            <w:tcW w:w="6563" w:type="dxa"/>
            <w:tcBorders/>
            <w:vAlign w:val="center"/>
          </w:tcPr>
          <w:p>
            <w:pPr>
              <w:pStyle w:val="style0"/>
              <w:widowControl/>
              <w:spacing w:lineRule="auto" w:line="360"/>
              <w:jc w:val="left"/>
              <w:rPr>
                <w:rFonts w:cs="宋体" w:hint="eastAsia"/>
                <w:kern w:val="0"/>
              </w:rPr>
            </w:pPr>
            <w:r>
              <w:rPr>
                <w:rFonts w:cs="宋体" w:hint="eastAsia"/>
                <w:kern w:val="0"/>
              </w:rPr>
              <w:t>1.资格要求：</w:t>
            </w:r>
          </w:p>
          <w:p>
            <w:pPr>
              <w:pStyle w:val="style0"/>
              <w:widowControl/>
              <w:spacing w:lineRule="auto" w:line="360"/>
              <w:jc w:val="left"/>
              <w:rPr>
                <w:rFonts w:cs="宋体" w:hint="eastAsia"/>
                <w:kern w:val="0"/>
              </w:rPr>
            </w:pPr>
            <w:r>
              <w:rPr>
                <w:rFonts w:cs="宋体" w:hint="eastAsia"/>
                <w:kern w:val="0"/>
                <w:lang w:eastAsia="zh-CN"/>
              </w:rPr>
              <w:t>☑</w:t>
            </w:r>
            <w:r>
              <w:rPr>
                <w:rFonts w:cs="宋体" w:hint="eastAsia"/>
                <w:kern w:val="0"/>
              </w:rPr>
              <w:t>不要求类似工程业绩</w:t>
            </w:r>
          </w:p>
          <w:p>
            <w:pPr>
              <w:pStyle w:val="style0"/>
              <w:widowControl/>
              <w:spacing w:lineRule="auto" w:line="360"/>
              <w:jc w:val="left"/>
              <w:rPr>
                <w:rFonts w:cs="宋体" w:hint="eastAsia"/>
                <w:kern w:val="0"/>
              </w:rPr>
            </w:pPr>
            <w:r>
              <w:rPr>
                <w:rFonts w:cs="宋体" w:hint="eastAsia"/>
                <w:kern w:val="0"/>
                <w:lang w:eastAsia="zh-CN"/>
              </w:rPr>
              <w:t>□</w:t>
            </w:r>
            <w:r>
              <w:rPr>
                <w:rFonts w:cs="宋体" w:hint="eastAsia"/>
                <w:kern w:val="0"/>
              </w:rPr>
              <w:t xml:space="preserve">要求类似工程业绩（由招标人在以下工程业绩中勾选一项）    </w:t>
            </w:r>
            <w:r>
              <w:rPr>
                <w:rFonts w:cs="宋体" w:hint="eastAsia"/>
                <w:kern w:val="0"/>
                <w:lang w:eastAsia="zh-CN"/>
              </w:rPr>
              <w:t>□</w:t>
            </w:r>
            <w:r>
              <w:rPr>
                <w:rFonts w:cs="宋体" w:hint="eastAsia"/>
                <w:kern w:val="0"/>
              </w:rPr>
              <w:t xml:space="preserve">投标人1个  </w:t>
            </w:r>
            <w:r>
              <w:rPr>
                <w:rFonts w:cs="宋体" w:hint="eastAsia"/>
                <w:kern w:val="0"/>
                <w:lang w:eastAsia="zh-CN"/>
              </w:rPr>
              <w:t>□</w:t>
            </w:r>
            <w:r>
              <w:rPr>
                <w:rFonts w:cs="宋体" w:hint="eastAsia"/>
                <w:kern w:val="0"/>
              </w:rPr>
              <w:t>拟任总监理工程师1个</w:t>
            </w:r>
          </w:p>
          <w:p>
            <w:pPr>
              <w:pStyle w:val="style0"/>
              <w:widowControl/>
              <w:spacing w:lineRule="auto" w:line="360"/>
              <w:jc w:val="left"/>
              <w:rPr>
                <w:rFonts w:cs="宋体" w:hint="eastAsia"/>
                <w:kern w:val="0"/>
              </w:rPr>
            </w:pPr>
            <w:r>
              <w:rPr>
                <w:rFonts w:cs="宋体" w:hint="eastAsia"/>
                <w:kern w:val="0"/>
              </w:rPr>
              <w:t>2.项目监理机构评审要求的类似工程业绩</w:t>
            </w:r>
          </w:p>
          <w:p>
            <w:pPr>
              <w:pStyle w:val="style0"/>
              <w:widowControl/>
              <w:spacing w:lineRule="auto" w:line="360"/>
              <w:jc w:val="left"/>
              <w:rPr>
                <w:rFonts w:cs="宋体" w:hint="eastAsia"/>
                <w:kern w:val="0"/>
              </w:rPr>
            </w:pPr>
            <w:r>
              <w:rPr>
                <w:rFonts w:cs="宋体"/>
                <w:kern w:val="0"/>
              </w:rPr>
              <w:t>☑</w:t>
            </w:r>
            <w:r>
              <w:rPr>
                <w:rFonts w:cs="宋体" w:hint="eastAsia"/>
                <w:kern w:val="0"/>
              </w:rPr>
              <w:t>2.1综合评估法</w:t>
            </w:r>
            <w:r>
              <w:rPr>
                <w:rFonts w:cs="宋体" w:hint="eastAsia"/>
                <w:kern w:val="0"/>
              </w:rPr>
              <w:fldChar w:fldCharType="begin"/>
            </w:r>
            <w:r>
              <w:rPr>
                <w:rFonts w:cs="宋体" w:hint="eastAsia"/>
                <w:kern w:val="0"/>
              </w:rPr>
              <w:instrText xml:space="preserve"> = 1 \* ROMAN </w:instrText>
            </w:r>
            <w:r>
              <w:rPr>
                <w:rFonts w:cs="宋体" w:hint="eastAsia"/>
                <w:kern w:val="0"/>
              </w:rPr>
              <w:fldChar w:fldCharType="separate"/>
            </w:r>
            <w:r>
              <w:rPr>
                <w:rFonts w:cs="宋体" w:hint="eastAsia"/>
                <w:kern w:val="0"/>
              </w:rPr>
              <w:t>I</w:t>
            </w:r>
            <w:r>
              <w:rPr>
                <w:rFonts w:cs="宋体" w:hint="eastAsia"/>
                <w:kern w:val="0"/>
              </w:rPr>
              <w:fldChar w:fldCharType="end"/>
            </w:r>
            <w:r>
              <w:rPr>
                <w:rFonts w:cs="宋体" w:hint="eastAsia"/>
                <w:kern w:val="0"/>
              </w:rPr>
              <w:t>：</w:t>
            </w:r>
          </w:p>
          <w:p>
            <w:pPr>
              <w:pStyle w:val="style0"/>
              <w:widowControl/>
              <w:spacing w:lineRule="auto" w:line="360"/>
              <w:jc w:val="left"/>
              <w:rPr>
                <w:rFonts w:cs="宋体" w:hint="eastAsia"/>
                <w:kern w:val="0"/>
              </w:rPr>
            </w:pPr>
            <w:r>
              <w:rPr>
                <w:rFonts w:cs="宋体" w:hint="eastAsia"/>
                <w:kern w:val="0"/>
              </w:rPr>
              <w:t>拟任总监理工程师</w:t>
            </w:r>
          </w:p>
          <w:p>
            <w:pPr>
              <w:pStyle w:val="style0"/>
              <w:widowControl/>
              <w:spacing w:lineRule="auto" w:line="360"/>
              <w:jc w:val="left"/>
              <w:rPr>
                <w:rFonts w:cs="宋体" w:hint="eastAsia"/>
                <w:kern w:val="0"/>
              </w:rPr>
            </w:pPr>
            <w:r>
              <w:rPr>
                <w:rFonts w:cs="宋体" w:hint="eastAsia"/>
                <w:kern w:val="0"/>
              </w:rPr>
              <w:t xml:space="preserve">   </w:t>
            </w:r>
            <w:r>
              <w:rPr>
                <w:rFonts w:cs="宋体" w:hint="eastAsia"/>
                <w:kern w:val="0"/>
                <w:lang w:eastAsia="zh-CN"/>
              </w:rPr>
              <w:t>□</w:t>
            </w:r>
            <w:r>
              <w:rPr>
                <w:rFonts w:cs="宋体" w:hint="eastAsia"/>
                <w:kern w:val="0"/>
              </w:rPr>
              <w:t xml:space="preserve">不要求  </w:t>
            </w:r>
            <w:r>
              <w:rPr>
                <w:rFonts w:cs="宋体" w:hint="eastAsia"/>
                <w:kern w:val="0"/>
                <w:lang w:eastAsia="zh-CN"/>
              </w:rPr>
              <w:t>☑</w:t>
            </w:r>
            <w:r>
              <w:rPr>
                <w:rFonts w:cs="宋体" w:hint="eastAsia"/>
                <w:kern w:val="0"/>
              </w:rPr>
              <w:t xml:space="preserve">要求：1个 </w:t>
            </w:r>
          </w:p>
          <w:p>
            <w:pPr>
              <w:pStyle w:val="style0"/>
              <w:widowControl/>
              <w:spacing w:lineRule="auto" w:line="360"/>
              <w:jc w:val="left"/>
              <w:rPr>
                <w:rFonts w:cs="宋体" w:hint="eastAsia"/>
                <w:kern w:val="0"/>
              </w:rPr>
            </w:pPr>
            <w:r>
              <w:rPr>
                <w:rFonts w:cs="宋体" w:hint="eastAsia"/>
                <w:kern w:val="0"/>
              </w:rPr>
              <w:t>（2）拟任专业监理工程师</w:t>
            </w:r>
          </w:p>
          <w:p>
            <w:pPr>
              <w:pStyle w:val="style0"/>
              <w:widowControl/>
              <w:spacing w:lineRule="auto" w:line="360"/>
              <w:jc w:val="left"/>
              <w:rPr>
                <w:rFonts w:cs="宋体" w:hint="eastAsia"/>
                <w:kern w:val="0"/>
              </w:rPr>
            </w:pPr>
            <w:r>
              <w:rPr>
                <w:rFonts w:cs="宋体" w:hint="eastAsia"/>
                <w:kern w:val="0"/>
              </w:rPr>
              <w:t xml:space="preserve">   </w:t>
            </w:r>
            <w:r>
              <w:rPr>
                <w:rFonts w:cs="宋体" w:hint="eastAsia"/>
                <w:kern w:val="0"/>
                <w:lang w:eastAsia="zh-CN"/>
              </w:rPr>
              <w:t>☑</w:t>
            </w:r>
            <w:r>
              <w:rPr>
                <w:rFonts w:cs="宋体" w:hint="eastAsia"/>
                <w:kern w:val="0"/>
              </w:rPr>
              <w:t xml:space="preserve">不要求  </w:t>
            </w:r>
            <w:r>
              <w:rPr>
                <w:rFonts w:cs="宋体" w:hint="eastAsia"/>
                <w:kern w:val="0"/>
                <w:lang w:eastAsia="zh-CN"/>
              </w:rPr>
              <w:t>□</w:t>
            </w:r>
            <w:r>
              <w:rPr>
                <w:rFonts w:cs="宋体" w:hint="eastAsia"/>
                <w:kern w:val="0"/>
              </w:rPr>
              <w:t>要求：1个</w:t>
            </w:r>
          </w:p>
          <w:p>
            <w:pPr>
              <w:pStyle w:val="style0"/>
              <w:widowControl/>
              <w:spacing w:lineRule="auto" w:line="360"/>
              <w:jc w:val="left"/>
              <w:rPr>
                <w:rFonts w:cs="宋体" w:hint="eastAsia"/>
                <w:kern w:val="0"/>
              </w:rPr>
            </w:pPr>
            <w:r>
              <w:rPr>
                <w:rFonts w:cs="宋体" w:hint="eastAsia"/>
                <w:kern w:val="0"/>
              </w:rPr>
              <w:t>3.类似工程业绩应当符合以下规定：</w:t>
            </w:r>
          </w:p>
          <w:p>
            <w:pPr>
              <w:pStyle w:val="style0"/>
              <w:widowControl/>
              <w:spacing w:lineRule="auto" w:line="360"/>
              <w:jc w:val="left"/>
              <w:rPr>
                <w:rFonts w:cs="宋体" w:hint="eastAsia"/>
                <w:kern w:val="0"/>
              </w:rPr>
            </w:pPr>
            <w:r>
              <w:rPr>
                <w:rFonts w:cs="宋体" w:hint="eastAsia"/>
                <w:kern w:val="0"/>
              </w:rPr>
              <w:t xml:space="preserve">（1）资格要求的类似工程业绩： </w:t>
            </w:r>
            <w:r>
              <w:rPr>
                <w:rFonts w:cs="宋体" w:hint="eastAsia"/>
                <w:kern w:val="0"/>
                <w:lang w:eastAsia="zh-CN"/>
              </w:rPr>
              <w:t>无</w:t>
            </w:r>
            <w:r>
              <w:rPr>
                <w:rFonts w:cs="宋体" w:hint="eastAsia"/>
                <w:kern w:val="0"/>
              </w:rPr>
              <w:t xml:space="preserve">                     </w:t>
            </w:r>
          </w:p>
          <w:p>
            <w:pPr>
              <w:pStyle w:val="style0"/>
              <w:widowControl/>
              <w:spacing w:lineRule="auto" w:line="360"/>
              <w:jc w:val="left"/>
              <w:rPr>
                <w:rFonts w:cs="宋体" w:hint="eastAsia"/>
                <w:kern w:val="0"/>
              </w:rPr>
            </w:pPr>
            <w:r>
              <w:rPr>
                <w:rFonts w:cs="宋体" w:hint="eastAsia"/>
                <w:kern w:val="0"/>
              </w:rPr>
              <w:t xml:space="preserve">（2）项目监理机构评审要求的类似工程业绩：                      </w:t>
            </w:r>
          </w:p>
          <w:p>
            <w:pPr>
              <w:pStyle w:val="style0"/>
              <w:widowControl/>
              <w:spacing w:lineRule="auto" w:line="360"/>
              <w:jc w:val="left"/>
              <w:rPr>
                <w:rFonts w:cs="宋体"/>
                <w:color w:val="auto"/>
                <w:kern w:val="0"/>
              </w:rPr>
            </w:pPr>
            <w:r>
              <w:rPr>
                <w:rFonts w:cs="宋体" w:hint="eastAsia"/>
                <w:kern w:val="0"/>
              </w:rPr>
              <w:t xml:space="preserve">  要求</w:t>
            </w:r>
            <w:r>
              <w:rPr>
                <w:rFonts w:cs="宋体"/>
                <w:b/>
                <w:bCs/>
                <w:color w:val="auto"/>
                <w:kern w:val="0"/>
              </w:rPr>
              <w:t>提供类似工程业绩（必须为</w:t>
            </w:r>
            <w:r>
              <w:rPr>
                <w:rFonts w:cs="宋体" w:hint="eastAsia"/>
                <w:b/>
                <w:bCs/>
                <w:color w:val="auto"/>
                <w:kern w:val="0"/>
                <w:lang w:eastAsia="zh-CN"/>
              </w:rPr>
              <w:t>市政公用工程的监理业绩</w:t>
            </w:r>
            <w:r>
              <w:rPr>
                <w:rFonts w:cs="宋体"/>
                <w:b/>
                <w:bCs/>
                <w:color w:val="auto"/>
                <w:kern w:val="0"/>
              </w:rPr>
              <w:t>）总金额</w:t>
            </w:r>
            <w:r>
              <w:rPr>
                <w:rFonts w:cs="宋体" w:hint="eastAsia"/>
                <w:b/>
                <w:bCs/>
                <w:color w:val="auto"/>
                <w:kern w:val="0"/>
                <w:lang w:val="en-US" w:eastAsia="zh-CN"/>
              </w:rPr>
              <w:t>1500</w:t>
            </w:r>
            <w:r>
              <w:rPr>
                <w:rFonts w:cs="宋体"/>
                <w:b/>
                <w:bCs/>
                <w:color w:val="auto"/>
                <w:kern w:val="0"/>
              </w:rPr>
              <w:t>万元以上的项目工程（提供中标通知书、合同和业务手册）。</w:t>
            </w:r>
            <w:r>
              <w:rPr>
                <w:rFonts w:cs="宋体"/>
                <w:color w:val="auto"/>
                <w:kern w:val="0"/>
              </w:rPr>
              <w:t xml:space="preserve"> </w:t>
            </w:r>
          </w:p>
          <w:p>
            <w:pPr>
              <w:pStyle w:val="style0"/>
              <w:widowControl/>
              <w:spacing w:lineRule="auto" w:line="360"/>
              <w:jc w:val="left"/>
              <w:rPr>
                <w:rFonts w:cs="宋体" w:hint="eastAsia"/>
                <w:kern w:val="0"/>
              </w:rPr>
            </w:pPr>
            <w:r>
              <w:rPr>
                <w:rFonts w:cs="宋体" w:hint="eastAsia"/>
                <w:kern w:val="0"/>
              </w:rPr>
              <w:t>（由招标人根据招标项目的特点和实际需要提出要求，并符合以下规定：①投标人资格要求的类似工程业绩原则上不超过招标项目相关指标的50%［四舍五入取整数，下同］</w:t>
            </w:r>
          </w:p>
          <w:p>
            <w:pPr>
              <w:pStyle w:val="style0"/>
              <w:widowControl/>
              <w:spacing w:lineRule="auto" w:line="360"/>
              <w:jc w:val="left"/>
              <w:rPr>
                <w:rFonts w:cs="宋体" w:hint="eastAsia"/>
                <w:kern w:val="0"/>
              </w:rPr>
            </w:pPr>
            <w:r>
              <w:rPr>
                <w:rFonts w:cs="宋体" w:hint="eastAsia"/>
                <w:kern w:val="0"/>
              </w:rPr>
              <w:t xml:space="preserve"> ②项目监理机构评审的类似工程业绩，原则上为招标项目相关指标的70%。其中：</w:t>
            </w:r>
          </w:p>
          <w:p>
            <w:pPr>
              <w:pStyle w:val="style0"/>
              <w:widowControl/>
              <w:spacing w:lineRule="auto" w:line="360"/>
              <w:jc w:val="left"/>
              <w:rPr>
                <w:rFonts w:cs="宋体" w:hint="eastAsia"/>
                <w:kern w:val="0"/>
              </w:rPr>
            </w:pPr>
            <w:r>
              <w:rPr>
                <w:rFonts w:cs="宋体" w:hint="eastAsia"/>
                <w:kern w:val="0"/>
              </w:rPr>
              <w:t>房屋建筑工程，采用层数、高度、建筑面积、结构、跨度、单项合同额等指标中的 1-2项。市政基础设施工程，采用道路长度或面积、桥梁面积或跨度或结构、管道直径或压力、隧道和地下交通工程断面面积、供水能力、污水垃圾处理能力以及单项合同额等指标中的1-2 项）</w:t>
            </w:r>
          </w:p>
          <w:p>
            <w:pPr>
              <w:pStyle w:val="style0"/>
              <w:widowControl/>
              <w:spacing w:lineRule="auto" w:line="360"/>
              <w:jc w:val="left"/>
              <w:rPr>
                <w:rFonts w:cs="宋体" w:hint="eastAsia"/>
                <w:kern w:val="0"/>
              </w:rPr>
            </w:pPr>
            <w:r>
              <w:rPr>
                <w:rFonts w:cs="宋体" w:hint="eastAsia"/>
                <w:kern w:val="0"/>
              </w:rPr>
              <w:t>4.类似工程业绩的考核要求：</w:t>
            </w:r>
          </w:p>
          <w:p>
            <w:pPr>
              <w:pStyle w:val="style0"/>
              <w:widowControl/>
              <w:spacing w:lineRule="auto" w:line="360"/>
              <w:jc w:val="left"/>
              <w:rPr>
                <w:rFonts w:cs="宋体" w:hint="eastAsia"/>
                <w:kern w:val="0"/>
              </w:rPr>
            </w:pPr>
            <w:r>
              <w:rPr>
                <w:rFonts w:cs="宋体" w:hint="eastAsia"/>
                <w:kern w:val="0"/>
              </w:rPr>
              <w:t>（1）考核期限：1080天，自监理业务手册中建设单位签字之日起至提交投标文件截止之日止。</w:t>
            </w:r>
          </w:p>
          <w:p>
            <w:pPr>
              <w:pStyle w:val="style0"/>
              <w:widowControl/>
              <w:spacing w:lineRule="auto" w:line="360"/>
              <w:jc w:val="left"/>
              <w:rPr>
                <w:rFonts w:cs="宋体" w:hint="eastAsia"/>
                <w:kern w:val="0"/>
              </w:rPr>
            </w:pPr>
            <w:r>
              <w:rPr>
                <w:rFonts w:cs="宋体" w:hint="eastAsia"/>
                <w:kern w:val="0"/>
              </w:rPr>
              <w:t>（2）考核依据：投标文件中提供的中标通知书</w:t>
            </w:r>
            <w:r>
              <w:rPr>
                <w:rFonts w:cs="宋体" w:hint="eastAsia"/>
                <w:kern w:val="0"/>
                <w:lang w:eastAsia="zh-CN"/>
              </w:rPr>
              <w:t>（招标工程提供）</w:t>
            </w:r>
            <w:r>
              <w:rPr>
                <w:rFonts w:cs="宋体" w:hint="eastAsia"/>
                <w:kern w:val="0"/>
              </w:rPr>
              <w:t>、监理合同和监理业务手册以及答疑文件明确可以作为考核依据的资料的复印件。</w:t>
            </w:r>
          </w:p>
          <w:p>
            <w:pPr>
              <w:pStyle w:val="style0"/>
              <w:widowControl/>
              <w:spacing w:lineRule="auto" w:line="360"/>
              <w:jc w:val="left"/>
              <w:rPr>
                <w:rFonts w:cs="宋体" w:hint="eastAsia"/>
                <w:kern w:val="0"/>
              </w:rPr>
            </w:pPr>
            <w:r>
              <w:rPr>
                <w:rFonts w:cs="宋体" w:hint="eastAsia"/>
                <w:kern w:val="0"/>
              </w:rPr>
              <w:t>总监理工程师类似工程业绩限于以总监理工程师身份管理的类似工程监理业绩。专业监理工程师类似工程业绩限于以专业监理工程师或总监理工程师身份管理的类似工程监理业绩。</w:t>
            </w:r>
          </w:p>
          <w:p>
            <w:pPr>
              <w:pStyle w:val="style0"/>
              <w:widowControl/>
              <w:spacing w:lineRule="auto" w:line="360"/>
              <w:jc w:val="left"/>
              <w:rPr>
                <w:rFonts w:cs="宋体" w:hint="eastAsia"/>
                <w:kern w:val="0"/>
              </w:rPr>
            </w:pPr>
            <w:r>
              <w:rPr>
                <w:rFonts w:cs="宋体" w:hint="eastAsia"/>
                <w:kern w:val="0"/>
              </w:rPr>
              <w:t xml:space="preserve">专业监理工程师姓名以中标通知书或监理业务手册上注明的为准。 </w:t>
            </w:r>
          </w:p>
          <w:p>
            <w:pPr>
              <w:pStyle w:val="style0"/>
              <w:widowControl/>
              <w:spacing w:lineRule="auto" w:line="360"/>
              <w:jc w:val="left"/>
              <w:rPr>
                <w:rFonts w:cs="宋体" w:hint="eastAsia"/>
                <w:kern w:val="0"/>
              </w:rPr>
            </w:pPr>
            <w:r>
              <w:rPr>
                <w:rFonts w:cs="宋体" w:hint="eastAsia"/>
                <w:kern w:val="0"/>
              </w:rPr>
              <w:t>总监理工程师姓名不一致时，依次按照监理业务手册、监理合同和中标通知书的顺序认定。监理业务手册、监理合同和中标通知书等任一考核依据上标明的总监理工程师超过一个的，仅对排序第一的总监理工程师计分。相关指标不一致时，依次按照中标通知书、监理合同、监理业务手册的顺序认定。该类似工程业绩应当在“湖南省智慧住建云—湖南省建筑市场监管公共服务平台—房屋建筑和市政基础设施工程监理招标投标信用评价管理平台”或者“全国建筑市场监管公共服务平台”查询到其项目名称。</w:t>
            </w:r>
          </w:p>
          <w:p>
            <w:pPr>
              <w:pStyle w:val="style0"/>
              <w:widowControl/>
              <w:spacing w:lineRule="auto" w:line="360"/>
              <w:jc w:val="left"/>
              <w:rPr>
                <w:rFonts w:cs="宋体" w:hint="default"/>
                <w:color w:val="auto"/>
                <w:kern w:val="0"/>
              </w:rPr>
            </w:pPr>
            <w:r>
              <w:rPr>
                <w:rFonts w:cs="宋体" w:hint="eastAsia"/>
                <w:kern w:val="0"/>
              </w:rPr>
              <w:t>投标人提供的类似工程业绩不符合上述规定，或者总监理工程师、专业监理工程师类似工程业绩考核依据未标明姓名（或者身份），涉及投标人资格条件时，应当认定该投标人资格条件不符合招标文件要求，否决其投标；涉及项目监理机构评审时，拟任总监理工程师、专业监理工程师类似工程业绩不予计分</w:t>
            </w:r>
            <w:r>
              <w:rPr>
                <w:rFonts w:ascii="仿宋_GB2312" w:cs="仿宋_GB2312" w:eastAsia="仿宋_GB2312" w:hAnsi="仿宋_GB2312" w:hint="eastAsia"/>
                <w:color w:val="000000"/>
                <w:szCs w:val="21"/>
              </w:rPr>
              <w:t>。</w:t>
            </w:r>
          </w:p>
        </w:tc>
      </w:tr>
      <w:tr>
        <w:tblPrEx/>
        <w:trPr>
          <w:trHeight w:val="36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拟任总监理工程师优良信息</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1.项目监理机构评审将拟任总监理工程师下列优良信息（包括建筑安全质量管理表彰奖励、建筑工程监理质量安全生产标准化年度项目考评优良工地和优秀总监）纳入评审计分：</w:t>
            </w:r>
          </w:p>
          <w:p>
            <w:pPr>
              <w:pStyle w:val="style0"/>
              <w:widowControl/>
              <w:spacing w:lineRule="auto" w:line="360"/>
              <w:jc w:val="left"/>
              <w:rPr>
                <w:rFonts w:cs="宋体" w:hint="default"/>
                <w:color w:val="auto"/>
                <w:kern w:val="0"/>
              </w:rPr>
            </w:pPr>
            <w:r>
              <w:rPr>
                <w:rFonts w:cs="宋体"/>
                <w:color w:val="auto"/>
                <w:kern w:val="0"/>
              </w:rPr>
              <w:t xml:space="preserve"> ☑1.1综合评估法</w:t>
            </w:r>
            <w:r>
              <w:rPr>
                <w:rFonts w:cs="宋体"/>
                <w:color w:val="auto"/>
                <w:kern w:val="0"/>
              </w:rPr>
              <w:fldChar w:fldCharType="begin"/>
            </w:r>
            <w:r>
              <w:rPr>
                <w:rFonts w:cs="宋体"/>
                <w:color w:val="auto"/>
                <w:kern w:val="0"/>
              </w:rPr>
              <w:instrText xml:space="preserve"> = 1 \* ROMAN </w:instrText>
            </w:r>
            <w:r>
              <w:rPr>
                <w:rFonts w:cs="宋体"/>
                <w:color w:val="auto"/>
                <w:kern w:val="0"/>
              </w:rPr>
              <w:fldChar w:fldCharType="separate"/>
            </w:r>
            <w:r>
              <w:rPr>
                <w:rFonts w:cs="宋体"/>
                <w:color w:val="auto"/>
                <w:kern w:val="0"/>
              </w:rPr>
              <w:t>I</w:t>
            </w:r>
            <w:r>
              <w:rPr>
                <w:rFonts w:cs="宋体"/>
                <w:color w:val="auto"/>
                <w:kern w:val="0"/>
              </w:rPr>
              <w:fldChar w:fldCharType="end"/>
            </w:r>
          </w:p>
          <w:p>
            <w:pPr>
              <w:pStyle w:val="style0"/>
              <w:widowControl/>
              <w:spacing w:lineRule="auto" w:line="360"/>
              <w:jc w:val="left"/>
              <w:rPr>
                <w:rFonts w:cs="宋体" w:hint="default"/>
                <w:color w:val="auto"/>
                <w:kern w:val="0"/>
              </w:rPr>
            </w:pPr>
            <w:r>
              <w:rPr>
                <w:rFonts w:cs="宋体"/>
                <w:color w:val="auto"/>
                <w:kern w:val="0"/>
              </w:rPr>
              <w:t>（1）质量管理奖项：国家级、省级、市州级</w:t>
            </w:r>
          </w:p>
          <w:p>
            <w:pPr>
              <w:pStyle w:val="style0"/>
              <w:widowControl/>
              <w:spacing w:lineRule="auto" w:line="360"/>
              <w:jc w:val="left"/>
              <w:rPr>
                <w:rFonts w:cs="宋体" w:hint="default"/>
                <w:color w:val="auto"/>
                <w:kern w:val="0"/>
              </w:rPr>
            </w:pPr>
            <w:r>
              <w:rPr>
                <w:rFonts w:cs="宋体"/>
                <w:color w:val="auto"/>
                <w:kern w:val="0"/>
              </w:rPr>
              <w:t>（2）建筑施工质量管理标准化年度项目考评优良工地:</w:t>
            </w:r>
          </w:p>
          <w:p>
            <w:pPr>
              <w:pStyle w:val="style0"/>
              <w:widowControl/>
              <w:spacing w:lineRule="auto" w:line="360"/>
              <w:jc w:val="left"/>
              <w:rPr>
                <w:rFonts w:cs="宋体" w:hint="default"/>
                <w:color w:val="auto"/>
                <w:kern w:val="0"/>
              </w:rPr>
            </w:pPr>
            <w:r>
              <w:rPr>
                <w:rFonts w:cs="宋体"/>
                <w:color w:val="auto"/>
                <w:kern w:val="0"/>
              </w:rPr>
              <w:t>省级、市州级</w:t>
            </w:r>
          </w:p>
          <w:p>
            <w:pPr>
              <w:pStyle w:val="style0"/>
              <w:widowControl/>
              <w:spacing w:lineRule="auto" w:line="360"/>
              <w:jc w:val="left"/>
              <w:rPr>
                <w:rFonts w:cs="宋体" w:hint="default"/>
                <w:color w:val="auto"/>
                <w:kern w:val="0"/>
              </w:rPr>
            </w:pPr>
            <w:r>
              <w:rPr>
                <w:rFonts w:cs="宋体"/>
                <w:color w:val="auto"/>
                <w:kern w:val="0"/>
              </w:rPr>
              <w:t xml:space="preserve">（3）建筑施工安全生产标准化年度项目考评优良工地: </w:t>
            </w:r>
          </w:p>
          <w:p>
            <w:pPr>
              <w:pStyle w:val="style0"/>
              <w:widowControl/>
              <w:spacing w:lineRule="auto" w:line="360"/>
              <w:jc w:val="left"/>
              <w:rPr>
                <w:rFonts w:cs="宋体" w:hint="default"/>
                <w:color w:val="auto"/>
                <w:kern w:val="0"/>
              </w:rPr>
            </w:pPr>
            <w:r>
              <w:rPr>
                <w:rFonts w:cs="宋体"/>
                <w:color w:val="auto"/>
                <w:kern w:val="0"/>
              </w:rPr>
              <w:t xml:space="preserve">  省级、市州级</w:t>
            </w:r>
          </w:p>
          <w:p>
            <w:pPr>
              <w:pStyle w:val="style0"/>
              <w:widowControl/>
              <w:spacing w:lineRule="auto" w:line="360"/>
              <w:jc w:val="left"/>
              <w:rPr>
                <w:rFonts w:cs="宋体" w:hint="default"/>
                <w:color w:val="auto"/>
                <w:kern w:val="0"/>
              </w:rPr>
            </w:pPr>
            <w:r>
              <w:rPr>
                <w:rFonts w:cs="宋体"/>
                <w:color w:val="auto"/>
                <w:kern w:val="0"/>
              </w:rPr>
              <w:t>（4）建筑工程监理质量安全生产标准化年度项目考评优良工地</w:t>
            </w:r>
            <w:r>
              <w:rPr>
                <w:rFonts w:cs="宋体" w:hint="eastAsia"/>
                <w:color w:val="auto"/>
                <w:kern w:val="0"/>
                <w:lang w:eastAsia="zh-CN"/>
              </w:rPr>
              <w:t>：</w:t>
            </w:r>
            <w:r>
              <w:rPr>
                <w:rFonts w:cs="宋体"/>
                <w:color w:val="auto"/>
                <w:kern w:val="0"/>
              </w:rPr>
              <w:t>省级</w:t>
            </w:r>
          </w:p>
          <w:p>
            <w:pPr>
              <w:pStyle w:val="style0"/>
              <w:widowControl/>
              <w:spacing w:lineRule="auto" w:line="360"/>
              <w:jc w:val="left"/>
              <w:rPr>
                <w:rFonts w:cs="宋体" w:hint="default"/>
                <w:color w:val="auto"/>
                <w:kern w:val="0"/>
              </w:rPr>
            </w:pPr>
            <w:r>
              <w:rPr>
                <w:rFonts w:cs="宋体"/>
                <w:color w:val="auto"/>
                <w:kern w:val="0"/>
              </w:rPr>
              <w:t>（5）优秀总监：</w:t>
            </w:r>
          </w:p>
          <w:p>
            <w:pPr>
              <w:pStyle w:val="style0"/>
              <w:widowControl/>
              <w:spacing w:lineRule="auto" w:line="360"/>
              <w:jc w:val="left"/>
              <w:rPr>
                <w:rFonts w:cs="宋体"/>
                <w:color w:val="auto"/>
                <w:kern w:val="0"/>
              </w:rPr>
            </w:pPr>
            <w:r>
              <w:rPr>
                <w:rFonts w:cs="宋体"/>
                <w:color w:val="auto"/>
                <w:kern w:val="0"/>
              </w:rPr>
              <w:t xml:space="preserve">国家级、省级：☑0 个   □ 1个        </w:t>
            </w:r>
          </w:p>
          <w:p>
            <w:pPr>
              <w:pStyle w:val="style0"/>
              <w:spacing w:lineRule="auto" w:line="360"/>
              <w:rPr>
                <w:rFonts w:ascii="宋体" w:cs="宋体" w:eastAsia="宋体" w:hAnsi="宋体" w:hint="eastAsia"/>
                <w:szCs w:val="21"/>
              </w:rPr>
            </w:pPr>
            <w:r>
              <w:rPr>
                <w:rFonts w:ascii="宋体" w:cs="宋体" w:eastAsia="宋体" w:hAnsi="宋体" w:hint="eastAsia"/>
                <w:szCs w:val="21"/>
              </w:rPr>
              <w:t>2.计分规则：</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（1）同一工程获取两个以上（含本数）表彰和奖励的，按其所获最高奖项计分。</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（2）招标项目的工程类型与获奖工程的工程类型不一致，则该获奖工程不予计分，即：房屋建筑工程招标不对获奖的市政基础设施工程计分，市政基础设施工程招标不对获奖的房屋建筑工程计分。</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3）国家级质量管理奖项中未标明总监理工程师姓名的，以监理业务手册中标明的总监理工程师为准。其他建筑安全质量管理表彰奖励以相关文件标明的总监理工程师为准。监理业务手册以及相关文件标明的总监理工程师超过一个的，仅对排序第一的总监理工程师计分；未标明总监理工程师姓名，以及无法分辨工程类型的，均不予计分。</w:t>
            </w:r>
          </w:p>
          <w:p>
            <w:pPr>
              <w:pStyle w:val="style0"/>
              <w:spacing w:lineRule="auto" w:line="360"/>
              <w:ind w:left="-118" w:leftChars="-49" w:firstLine="482" w:firstLineChars="201"/>
              <w:rPr>
                <w:rFonts w:ascii="宋体" w:cs="宋体" w:eastAsia="宋体" w:hAnsi="宋体" w:hint="eastAsia"/>
              </w:rPr>
            </w:pPr>
            <w:r>
              <w:rPr>
                <w:rFonts w:ascii="宋体" w:cs="宋体" w:eastAsia="宋体" w:hAnsi="宋体" w:hint="eastAsia"/>
                <w:szCs w:val="21"/>
              </w:rPr>
              <w:t>（4）建筑安全质量管理表彰奖励，是指湖南省房屋建筑和市政基础设施工程监理招标投标信用评价标准（以下简称：信用</w:t>
            </w:r>
            <w:r>
              <w:rPr>
                <w:rFonts w:ascii="宋体" w:cs="宋体" w:eastAsia="宋体" w:hAnsi="宋体" w:hint="eastAsia"/>
              </w:rPr>
              <w:t>评价标准）列示</w:t>
            </w:r>
            <w:r>
              <w:rPr>
                <w:rFonts w:ascii="宋体" w:cs="宋体" w:eastAsia="宋体" w:hAnsi="宋体" w:hint="eastAsia"/>
                <w:szCs w:val="21"/>
              </w:rPr>
              <w:t>的安全质量管理表彰和奖励</w:t>
            </w:r>
            <w:r>
              <w:rPr>
                <w:rFonts w:ascii="宋体" w:cs="宋体" w:eastAsia="宋体" w:hAnsi="宋体" w:hint="eastAsia"/>
              </w:rPr>
              <w:t>。具体包括：</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①国家级奖项： 鲁班奖、国家优质工程奖、詹天佑奖、中国建筑工程装饰奖、中国安装之星、中国钢结构金奖。</w:t>
            </w:r>
          </w:p>
          <w:p>
            <w:pPr>
              <w:pStyle w:val="style0"/>
              <w:spacing w:lineRule="auto" w:line="360"/>
              <w:ind w:left="-118" w:leftChars="-49" w:firstLine="482" w:firstLineChars="201"/>
              <w:rPr>
                <w:rFonts w:ascii="宋体" w:cs="宋体" w:eastAsia="宋体" w:hAnsi="宋体" w:hint="eastAsia"/>
              </w:rPr>
            </w:pPr>
            <w:r>
              <w:rPr>
                <w:rFonts w:ascii="宋体" w:cs="宋体" w:eastAsia="宋体" w:hAnsi="宋体" w:hint="eastAsia"/>
                <w:szCs w:val="21"/>
              </w:rPr>
              <w:t>②省级奖项：湖南省优质工程</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③信用评价标准列示的市州级质量管理奖</w:t>
            </w:r>
            <w:r>
              <w:rPr>
                <w:rFonts w:ascii="宋体" w:cs="宋体" w:eastAsia="宋体" w:hAnsi="宋体" w:hint="eastAsia"/>
                <w:szCs w:val="21"/>
                <w:u w:val="single"/>
              </w:rPr>
              <w:t xml:space="preserve">            </w:t>
            </w:r>
            <w:r>
              <w:rPr>
                <w:rFonts w:ascii="宋体" w:cs="宋体" w:eastAsia="宋体" w:hAnsi="宋体" w:hint="eastAsia"/>
                <w:szCs w:val="21"/>
              </w:rPr>
              <w:t>。</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④建筑施工质量管理标准化年度项目考评优良工地，包括：湖南省建筑施工质量管理标准化年度项目考评优良工地、</w:t>
            </w:r>
            <w:r>
              <w:rPr>
                <w:rFonts w:ascii="宋体" w:cs="宋体" w:eastAsia="宋体" w:hAnsi="宋体" w:hint="eastAsia"/>
                <w:szCs w:val="21"/>
                <w:u w:val="single"/>
              </w:rPr>
              <w:t xml:space="preserve">      </w:t>
            </w:r>
            <w:r>
              <w:rPr>
                <w:rFonts w:ascii="宋体" w:cs="宋体" w:eastAsia="宋体" w:hAnsi="宋体" w:hint="eastAsia"/>
                <w:szCs w:val="21"/>
              </w:rPr>
              <w:t>市（州）建筑施工质量管理标准化项目考评优良工地。</w:t>
            </w:r>
          </w:p>
          <w:p>
            <w:pPr>
              <w:pStyle w:val="style0"/>
              <w:spacing w:lineRule="auto" w:line="360"/>
              <w:ind w:left="-118" w:leftChars="-49" w:firstLine="482" w:firstLineChars="201"/>
              <w:rPr>
                <w:rFonts w:ascii="宋体" w:cs="宋体" w:eastAsia="宋体" w:hAnsi="宋体" w:hint="eastAsia"/>
              </w:rPr>
            </w:pPr>
            <w:r>
              <w:rPr>
                <w:rFonts w:ascii="宋体" w:cs="宋体" w:eastAsia="宋体" w:hAnsi="宋体" w:hint="eastAsia"/>
                <w:szCs w:val="21"/>
              </w:rPr>
              <w:t>⑤建筑施工安全生产标准化年度项目考评优良工地，包括：</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t>湖南省建筑施工安全生产标准化年度项目考评优良工地、</w:t>
            </w:r>
            <w:r>
              <w:rPr>
                <w:rFonts w:ascii="宋体" w:cs="宋体" w:eastAsia="宋体" w:hAnsi="宋体" w:hint="eastAsia"/>
                <w:szCs w:val="21"/>
                <w:u w:val="single"/>
              </w:rPr>
              <w:t xml:space="preserve">      </w:t>
            </w:r>
            <w:r>
              <w:rPr>
                <w:rFonts w:ascii="宋体" w:cs="宋体" w:eastAsia="宋体" w:hAnsi="宋体" w:hint="eastAsia"/>
                <w:szCs w:val="21"/>
              </w:rPr>
              <w:t>市（州）建筑施工安全生产管理标准化项目考评优良工地</w:t>
            </w:r>
          </w:p>
          <w:p>
            <w:pPr>
              <w:pStyle w:val="style0"/>
              <w:spacing w:lineRule="auto" w:line="360"/>
              <w:ind w:left="-118" w:leftChars="-49" w:firstLine="482" w:firstLineChars="201"/>
              <w:rPr>
                <w:rFonts w:ascii="宋体" w:cs="宋体" w:eastAsia="宋体" w:hAnsi="宋体" w:hint="eastAsia"/>
                <w:szCs w:val="21"/>
              </w:rPr>
            </w:pPr>
            <w:r>
              <w:rPr>
                <w:rFonts w:ascii="宋体" w:cs="宋体" w:eastAsia="宋体" w:hAnsi="宋体" w:hint="eastAsia"/>
                <w:szCs w:val="21"/>
              </w:rPr>
              <w:fldChar w:fldCharType="begin"/>
            </w:r>
            <w:r>
              <w:rPr>
                <w:rFonts w:ascii="宋体" w:cs="宋体" w:eastAsia="宋体" w:hAnsi="宋体" w:hint="eastAsia"/>
                <w:szCs w:val="21"/>
              </w:rPr>
              <w:instrText xml:space="preserve"> = 6 \* GB3 </w:instrText>
            </w:r>
            <w:r>
              <w:rPr>
                <w:rFonts w:ascii="宋体" w:cs="宋体" w:eastAsia="宋体" w:hAnsi="宋体" w:hint="eastAsia"/>
                <w:szCs w:val="21"/>
              </w:rPr>
              <w:fldChar w:fldCharType="separate"/>
            </w:r>
            <w:r>
              <w:rPr>
                <w:rFonts w:ascii="宋体" w:cs="宋体" w:eastAsia="宋体" w:hAnsi="宋体" w:hint="eastAsia"/>
                <w:szCs w:val="21"/>
              </w:rPr>
              <w:t>⑥</w:t>
            </w:r>
            <w:r>
              <w:rPr>
                <w:rFonts w:ascii="宋体" w:cs="宋体" w:eastAsia="宋体" w:hAnsi="宋体" w:hint="eastAsia"/>
                <w:szCs w:val="21"/>
              </w:rPr>
              <w:fldChar w:fldCharType="end"/>
            </w:r>
            <w:r>
              <w:rPr>
                <w:rFonts w:ascii="宋体" w:cs="宋体" w:eastAsia="宋体" w:hAnsi="宋体" w:hint="eastAsia"/>
                <w:szCs w:val="21"/>
              </w:rPr>
              <w:t>建筑工程监理质量安全生产标准化年度项目考评优良工地，包括湖南省建筑工程监理质量安全生产标准化年度项目考评优良工地</w:t>
            </w:r>
          </w:p>
          <w:p>
            <w:pPr>
              <w:pStyle w:val="style0"/>
              <w:widowControl/>
              <w:spacing w:lineRule="auto" w:line="360"/>
              <w:jc w:val="left"/>
              <w:rPr>
                <w:rFonts w:cs="宋体" w:hint="default"/>
                <w:color w:val="auto"/>
                <w:kern w:val="0"/>
              </w:rPr>
            </w:pPr>
            <w:r>
              <w:rPr>
                <w:rFonts w:ascii="宋体" w:cs="宋体" w:eastAsia="宋体" w:hAnsi="宋体" w:hint="eastAsia"/>
                <w:szCs w:val="21"/>
              </w:rPr>
              <w:t>（5）其他</w:t>
            </w:r>
            <w:r>
              <w:rPr>
                <w:rFonts w:ascii="宋体" w:cs="宋体" w:eastAsia="宋体" w:hAnsi="宋体" w:hint="eastAsia"/>
                <w:szCs w:val="21"/>
                <w:u w:val="single"/>
              </w:rPr>
              <w:t xml:space="preserve">                    </w:t>
            </w:r>
            <w:r>
              <w:rPr>
                <w:rFonts w:ascii="宋体" w:cs="宋体" w:eastAsia="宋体" w:hAnsi="宋体" w:hint="eastAsia"/>
                <w:color w:val="auto"/>
                <w:kern w:val="0"/>
              </w:rPr>
              <w:t xml:space="preserve">   </w:t>
            </w:r>
            <w:r>
              <w:rPr>
                <w:rFonts w:cs="宋体"/>
                <w:color w:val="auto"/>
                <w:kern w:val="0"/>
              </w:rPr>
              <w:t xml:space="preserve">    </w:t>
            </w:r>
          </w:p>
        </w:tc>
      </w:tr>
      <w:tr>
        <w:tblPrEx/>
        <w:trPr>
          <w:trHeight w:val="3653"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联合体投标人</w:t>
            </w:r>
          </w:p>
          <w:p>
            <w:pPr>
              <w:pStyle w:val="style0"/>
              <w:widowControl/>
              <w:spacing w:lineRule="auto" w:line="360"/>
              <w:jc w:val="left"/>
              <w:rPr>
                <w:rFonts w:cs="宋体" w:hint="default"/>
                <w:color w:val="auto"/>
                <w:kern w:val="0"/>
              </w:rPr>
            </w:pPr>
            <w:r>
              <w:rPr>
                <w:rFonts w:cs="宋体"/>
                <w:color w:val="auto"/>
                <w:kern w:val="0"/>
              </w:rPr>
              <w:t>现场安全质量管理评价分值和信用评价分值计取方式</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按照联合投标协议约定的各自工作量所占比例加权折算的原则确定联合体的现场安全质量管理评价分值和信用评价分值。</w:t>
            </w:r>
          </w:p>
          <w:p>
            <w:pPr>
              <w:pStyle w:val="style0"/>
              <w:widowControl/>
              <w:spacing w:lineRule="auto" w:line="360"/>
              <w:jc w:val="left"/>
              <w:rPr>
                <w:rFonts w:cs="宋体" w:hint="default"/>
                <w:color w:val="auto"/>
                <w:kern w:val="0"/>
              </w:rPr>
            </w:pPr>
            <w:r>
              <w:rPr>
                <w:rFonts w:cs="宋体"/>
                <w:color w:val="auto"/>
                <w:kern w:val="0"/>
              </w:rPr>
              <w:t>联合体各方均没有在监工程或信用评价的，按照现场安全质量管理评价和信用评价处于末位的合格投标人的分值计取；联合体组成方没有在监工程或信用评价的，其现场质量安全管理评价和信用评价分值按所有联合体成员中，处于末位的联合体成员分值计取。</w:t>
            </w:r>
          </w:p>
        </w:tc>
      </w:tr>
      <w:tr>
        <w:tblPrEx/>
        <w:trPr>
          <w:trHeight w:val="1188"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10.1.4</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监理大纲的评审</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 xml:space="preserve">☑1. 综合评估法Ⅰ，不要求编制监理大纲。 </w:t>
            </w:r>
          </w:p>
        </w:tc>
      </w:tr>
      <w:tr>
        <w:tblPrEx/>
        <w:trPr>
          <w:trHeight w:val="9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10.1.5</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拟任总监理工程师答辩要求</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☑不要求答辩</w:t>
            </w:r>
          </w:p>
          <w:p>
            <w:pPr>
              <w:pStyle w:val="style0"/>
              <w:widowControl/>
              <w:spacing w:lineRule="auto" w:line="360"/>
              <w:jc w:val="left"/>
              <w:rPr>
                <w:rFonts w:cs="宋体" w:hint="default"/>
                <w:color w:val="auto"/>
                <w:kern w:val="0"/>
              </w:rPr>
            </w:pPr>
          </w:p>
        </w:tc>
      </w:tr>
      <w:tr>
        <w:tblPrEx/>
        <w:trPr>
          <w:trHeight w:val="579"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hint="eastAsia"/>
                <w:color w:val="auto"/>
                <w:kern w:val="0"/>
              </w:rPr>
              <w:t>10.1.6</w:t>
            </w:r>
          </w:p>
        </w:tc>
        <w:tc>
          <w:tcPr>
            <w:tcW w:w="1770" w:type="dxa"/>
            <w:tcBorders/>
            <w:vAlign w:val="center"/>
          </w:tcPr>
          <w:p>
            <w:pPr>
              <w:pStyle w:val="style0"/>
              <w:widowControl/>
              <w:spacing w:lineRule="auto" w:line="360"/>
              <w:jc w:val="left"/>
              <w:rPr>
                <w:rFonts w:cs="宋体" w:hint="default"/>
                <w:color w:val="auto"/>
                <w:kern w:val="0"/>
              </w:rPr>
            </w:pPr>
            <w:r>
              <w:rPr>
                <w:rFonts w:cs="宋体" w:hint="eastAsia"/>
                <w:color w:val="auto"/>
                <w:kern w:val="0"/>
              </w:rPr>
              <w:t>计算机辅助评标要求</w:t>
            </w:r>
          </w:p>
        </w:tc>
        <w:tc>
          <w:tcPr>
            <w:tcW w:w="6563" w:type="dxa"/>
            <w:tcBorders/>
            <w:vAlign w:val="center"/>
          </w:tcPr>
          <w:p>
            <w:pPr>
              <w:pStyle w:val="style0"/>
              <w:widowControl/>
              <w:spacing w:lineRule="auto" w:line="360"/>
              <w:jc w:val="left"/>
              <w:rPr>
                <w:rFonts w:cs="宋体" w:hint="default"/>
                <w:color w:val="auto"/>
                <w:kern w:val="0"/>
              </w:rPr>
            </w:pPr>
            <w:r>
              <w:rPr>
                <w:rFonts w:cs="宋体" w:hint="eastAsia"/>
                <w:color w:val="auto"/>
                <w:kern w:val="0"/>
              </w:rPr>
              <w:t>按投标人须知附件2-1“电子投标文件编制及报送要求”编制及报送电子投标文件。计算机辅助评标方法见投标人须知附件2-3。</w:t>
            </w:r>
          </w:p>
        </w:tc>
      </w:tr>
      <w:tr>
        <w:tblPrEx/>
        <w:trPr>
          <w:trHeight w:val="788"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10.1.7</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委托代理人要求</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委托代理人必须是本招标项目的拟任总监理工程师。</w:t>
            </w:r>
          </w:p>
        </w:tc>
      </w:tr>
      <w:tr>
        <w:tblPrEx/>
        <w:trPr>
          <w:trHeight w:val="85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10.1.8</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是否要求投标人代表出席开标会</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□不要求</w:t>
            </w:r>
          </w:p>
          <w:p>
            <w:pPr>
              <w:pStyle w:val="style0"/>
              <w:widowControl/>
              <w:spacing w:lineRule="auto" w:line="360"/>
              <w:jc w:val="left"/>
              <w:rPr>
                <w:rFonts w:cs="宋体" w:hint="default"/>
                <w:color w:val="auto"/>
                <w:kern w:val="0"/>
              </w:rPr>
            </w:pPr>
            <w:r>
              <w:rPr>
                <w:rFonts w:cs="宋体"/>
                <w:color w:val="auto"/>
                <w:kern w:val="0"/>
              </w:rPr>
              <w:t>☑要求：投标人必须派法定代表人持法定代表人身份证明原件或法定代表人的委托代理人持授权委托书原件（格式详见第六章响应文件格式“3.授权委托书” ）及其身份证原件参加开标会议。</w:t>
            </w:r>
          </w:p>
        </w:tc>
      </w:tr>
      <w:tr>
        <w:tblPrEx/>
        <w:trPr>
          <w:trHeight w:val="85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10.1.9</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省外入湘登记</w:t>
            </w:r>
          </w:p>
          <w:p>
            <w:pPr>
              <w:pStyle w:val="style0"/>
              <w:widowControl/>
              <w:spacing w:lineRule="auto" w:line="360"/>
              <w:jc w:val="left"/>
              <w:rPr>
                <w:rFonts w:cs="宋体" w:hint="default"/>
                <w:color w:val="auto"/>
                <w:kern w:val="0"/>
              </w:rPr>
            </w:pPr>
            <w:r>
              <w:rPr>
                <w:rFonts w:cs="宋体"/>
                <w:color w:val="auto"/>
                <w:kern w:val="0"/>
              </w:rPr>
              <w:t>要求</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省外入湘企业在“湖南省住房和城乡建设网”进行基本信息登记（按照第六章响应文件格式规定提供查询网页截图）。</w:t>
            </w:r>
          </w:p>
        </w:tc>
      </w:tr>
      <w:tr>
        <w:tblPrEx/>
        <w:trPr>
          <w:trHeight w:val="850"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10.1.10</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中标公示</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招标人收到评标报告之日起3日内，将中标候选人的情况在</w:t>
            </w:r>
            <w:r>
              <w:rPr>
                <w:color w:val="auto"/>
              </w:rPr>
              <w:t>永州市公共资源交易中心网</w:t>
            </w:r>
            <w:r>
              <w:rPr>
                <w:rFonts w:cs="宋体"/>
                <w:color w:val="auto"/>
                <w:kern w:val="0"/>
              </w:rPr>
              <w:t>予以公示，公示期不少于3个工作日。</w:t>
            </w:r>
          </w:p>
        </w:tc>
      </w:tr>
      <w:tr>
        <w:tblPrEx/>
        <w:trPr>
          <w:trHeight w:val="1134"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10.1.11</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知识产权</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招标人全部或者部分使用未中标人响应文件中的技术成果或技术方案时，需征得其书面同意，并不得擅自复印或提供给第三人。</w:t>
            </w:r>
          </w:p>
        </w:tc>
      </w:tr>
      <w:tr>
        <w:tblPrEx/>
        <w:trPr>
          <w:trHeight w:val="1134"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10.1.12</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同义词语</w:t>
            </w:r>
          </w:p>
        </w:tc>
        <w:tc>
          <w:tcPr>
            <w:tcW w:w="6563" w:type="dxa"/>
            <w:tcBorders/>
            <w:vAlign w:val="center"/>
          </w:tcPr>
          <w:p>
            <w:pPr>
              <w:pStyle w:val="style0"/>
              <w:widowControl/>
              <w:spacing w:lineRule="auto" w:line="360"/>
              <w:jc w:val="left"/>
              <w:rPr>
                <w:rFonts w:hint="default"/>
                <w:color w:val="auto"/>
              </w:rPr>
            </w:pPr>
            <w:r>
              <w:rPr>
                <w:color w:val="auto"/>
              </w:rPr>
              <w:t>1.构成招标文件等章节中出现的措辞“交易文件”和“响应文件”，在招标投标阶段应当分别按“招标文件”和“投标文件”进行理解。</w:t>
            </w:r>
          </w:p>
          <w:p>
            <w:pPr>
              <w:pStyle w:val="style0"/>
              <w:widowControl/>
              <w:spacing w:lineRule="auto" w:line="360"/>
              <w:jc w:val="left"/>
              <w:rPr>
                <w:rFonts w:hint="default"/>
                <w:color w:val="auto"/>
              </w:rPr>
            </w:pPr>
            <w:r>
              <w:rPr>
                <w:color w:val="auto"/>
              </w:rPr>
              <w:t>2.构成招标文件组成部分的“合同条款”等章节中出现的措辞“委托人”和“监理人”，在招标投标阶段应当分别按“招标人”和“投标人”进行理解。</w:t>
            </w:r>
          </w:p>
        </w:tc>
      </w:tr>
      <w:tr>
        <w:tblPrEx/>
        <w:trPr>
          <w:trHeight w:val="874"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10.1.13</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监  督</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本项目的招标投标活动及其相关当事人应当接受招标投标行政监督部门依法实施的监督。</w:t>
            </w:r>
          </w:p>
        </w:tc>
      </w:tr>
      <w:tr>
        <w:tblPrEx/>
        <w:trPr>
          <w:trHeight w:val="962"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10.1.14</w:t>
            </w:r>
          </w:p>
        </w:tc>
        <w:tc>
          <w:tcPr>
            <w:tcW w:w="1770" w:type="dxa"/>
            <w:tcBorders/>
            <w:vAlign w:val="center"/>
          </w:tcPr>
          <w:p>
            <w:pPr>
              <w:pStyle w:val="style0"/>
              <w:widowControl/>
              <w:spacing w:lineRule="auto" w:line="360"/>
              <w:jc w:val="left"/>
              <w:rPr>
                <w:rFonts w:cs="宋体" w:hint="default"/>
                <w:color w:val="auto"/>
                <w:kern w:val="0"/>
              </w:rPr>
            </w:pPr>
            <w:r>
              <w:rPr>
                <w:rFonts w:cs="宋体"/>
                <w:color w:val="auto"/>
                <w:kern w:val="0"/>
              </w:rPr>
              <w:t>解释权</w:t>
            </w:r>
          </w:p>
        </w:tc>
        <w:tc>
          <w:tcPr>
            <w:tcW w:w="6563" w:type="dxa"/>
            <w:tcBorders/>
            <w:vAlign w:val="center"/>
          </w:tcPr>
          <w:p>
            <w:pPr>
              <w:pStyle w:val="style0"/>
              <w:widowControl/>
              <w:spacing w:lineRule="auto" w:line="360"/>
              <w:jc w:val="left"/>
              <w:rPr>
                <w:rFonts w:cs="宋体" w:hint="default"/>
                <w:color w:val="auto"/>
                <w:kern w:val="0"/>
              </w:rPr>
            </w:pPr>
            <w:r>
              <w:rPr>
                <w:rFonts w:cs="宋体"/>
                <w:color w:val="auto"/>
                <w:kern w:val="0"/>
              </w:rPr>
              <w:t>构成本招标文件的各个组成文件应互为解释，互为说明；如有不明确或不一致，构成合同文件组成内容，以合同文件约定内容为准，且以专用条件条款约定的合同文件优先顺序解释；除招标文件中有特别规定外，仅适用于招标投标阶段的规定，按交易公告、投标人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招标人负责解释。</w:t>
            </w:r>
          </w:p>
        </w:tc>
      </w:tr>
      <w:tr>
        <w:tblPrEx/>
        <w:trPr>
          <w:trHeight w:val="611" w:hRule="atLeast"/>
          <w:jc w:val="center"/>
        </w:trPr>
        <w:tc>
          <w:tcPr>
            <w:tcW w:w="9398" w:type="dxa"/>
            <w:gridSpan w:val="3"/>
            <w:tcBorders/>
            <w:vAlign w:val="center"/>
          </w:tcPr>
          <w:p>
            <w:pPr>
              <w:pStyle w:val="style0"/>
              <w:widowControl/>
              <w:spacing w:lineRule="auto" w:line="360"/>
              <w:jc w:val="left"/>
              <w:rPr>
                <w:rFonts w:cs="宋体" w:hint="default"/>
                <w:color w:val="auto"/>
                <w:kern w:val="0"/>
              </w:rPr>
            </w:pPr>
            <w:r>
              <w:rPr>
                <w:rFonts w:cs="宋体"/>
                <w:color w:val="auto"/>
                <w:kern w:val="0"/>
              </w:rPr>
              <w:t>10.2其他补充内容</w:t>
            </w:r>
          </w:p>
        </w:tc>
      </w:tr>
      <w:tr>
        <w:tblPrEx/>
        <w:trPr>
          <w:trHeight w:val="944"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10.2.1</w:t>
            </w:r>
          </w:p>
        </w:tc>
        <w:tc>
          <w:tcPr>
            <w:tcW w:w="8333" w:type="dxa"/>
            <w:gridSpan w:val="2"/>
            <w:tcBorders/>
            <w:vAlign w:val="center"/>
          </w:tcPr>
          <w:p>
            <w:pPr>
              <w:pStyle w:val="style0"/>
              <w:widowControl/>
              <w:spacing w:lineRule="auto" w:line="360"/>
              <w:jc w:val="left"/>
              <w:rPr>
                <w:rFonts w:cs="宋体" w:hint="default"/>
                <w:color w:val="auto"/>
                <w:kern w:val="0"/>
              </w:rPr>
            </w:pPr>
            <w:r>
              <w:rPr>
                <w:rFonts w:cs="宋体"/>
                <w:color w:val="auto"/>
                <w:kern w:val="0"/>
              </w:rPr>
              <w:t>1.招标文件中所设置的内容、条款及未尽事宜，以国家或省有关规定为准；</w:t>
            </w:r>
          </w:p>
          <w:p>
            <w:pPr>
              <w:pStyle w:val="style0"/>
              <w:widowControl/>
              <w:spacing w:lineRule="auto" w:line="360"/>
              <w:jc w:val="left"/>
              <w:rPr>
                <w:rFonts w:cs="宋体" w:hint="default"/>
                <w:color w:val="auto"/>
                <w:kern w:val="0"/>
              </w:rPr>
            </w:pPr>
            <w:r>
              <w:rPr>
                <w:rFonts w:cs="宋体"/>
                <w:color w:val="auto"/>
                <w:kern w:val="0"/>
              </w:rPr>
              <w:t xml:space="preserve">2.其它：无            </w:t>
            </w:r>
          </w:p>
        </w:tc>
      </w:tr>
      <w:tr>
        <w:tblPrEx/>
        <w:trPr>
          <w:trHeight w:val="751"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10.2.2</w:t>
            </w:r>
          </w:p>
        </w:tc>
        <w:tc>
          <w:tcPr>
            <w:tcW w:w="8333" w:type="dxa"/>
            <w:gridSpan w:val="2"/>
            <w:tcBorders/>
            <w:vAlign w:val="center"/>
          </w:tcPr>
          <w:p>
            <w:pPr>
              <w:pStyle w:val="style0"/>
              <w:widowControl/>
              <w:spacing w:lineRule="auto" w:line="360"/>
              <w:jc w:val="left"/>
              <w:rPr>
                <w:rFonts w:cs="宋体" w:hint="default"/>
                <w:color w:val="auto"/>
                <w:kern w:val="0"/>
              </w:rPr>
            </w:pPr>
            <w:r>
              <w:rPr>
                <w:rFonts w:cs="宋体"/>
                <w:color w:val="auto"/>
                <w:kern w:val="0"/>
              </w:rPr>
              <w:t>本招标文件要求的复印件是指复印件或扫描件或影印件。</w:t>
            </w:r>
          </w:p>
        </w:tc>
      </w:tr>
      <w:tr>
        <w:tblPrEx/>
        <w:trPr>
          <w:trHeight w:val="1038" w:hRule="atLeast"/>
          <w:jc w:val="center"/>
        </w:trPr>
        <w:tc>
          <w:tcPr>
            <w:tcW w:w="1065" w:type="dxa"/>
            <w:tcBorders/>
            <w:vAlign w:val="center"/>
          </w:tcPr>
          <w:p>
            <w:pPr>
              <w:pStyle w:val="style0"/>
              <w:widowControl/>
              <w:spacing w:lineRule="auto" w:line="360"/>
              <w:jc w:val="left"/>
              <w:rPr>
                <w:rFonts w:cs="宋体" w:hint="default"/>
                <w:color w:val="auto"/>
                <w:kern w:val="0"/>
              </w:rPr>
            </w:pPr>
            <w:r>
              <w:rPr>
                <w:rFonts w:cs="宋体"/>
                <w:color w:val="auto"/>
                <w:kern w:val="0"/>
              </w:rPr>
              <w:t>10.2.3</w:t>
            </w:r>
          </w:p>
        </w:tc>
        <w:tc>
          <w:tcPr>
            <w:tcW w:w="8333" w:type="dxa"/>
            <w:gridSpan w:val="2"/>
            <w:tcBorders/>
            <w:vAlign w:val="center"/>
          </w:tcPr>
          <w:p>
            <w:pPr>
              <w:pStyle w:val="style0"/>
              <w:widowControl/>
              <w:spacing w:lineRule="auto" w:line="360"/>
              <w:jc w:val="left"/>
              <w:rPr>
                <w:rFonts w:cs="宋体" w:hint="default"/>
                <w:color w:val="auto"/>
                <w:kern w:val="0"/>
              </w:rPr>
            </w:pPr>
            <w:r>
              <w:rPr>
                <w:rFonts w:cs="宋体"/>
                <w:color w:val="auto"/>
                <w:kern w:val="0"/>
              </w:rPr>
              <w:t>招标代理服务费按照招标代理机构与招标人的约定收取；</w:t>
            </w:r>
          </w:p>
          <w:p>
            <w:pPr>
              <w:pStyle w:val="style0"/>
              <w:widowControl/>
              <w:spacing w:lineRule="auto" w:line="360"/>
              <w:jc w:val="left"/>
              <w:rPr>
                <w:rFonts w:cs="宋体" w:hint="default"/>
                <w:color w:val="auto"/>
                <w:kern w:val="0"/>
              </w:rPr>
            </w:pPr>
            <w:r>
              <w:rPr>
                <w:rFonts w:cs="宋体"/>
                <w:color w:val="auto"/>
                <w:kern w:val="0"/>
              </w:rPr>
              <w:t>交易服务费按照相关规定缴纳。</w:t>
            </w:r>
          </w:p>
        </w:tc>
      </w:tr>
      <w:tr>
        <w:tblPrEx/>
        <w:trPr>
          <w:trHeight w:val="1038" w:hRule="atLeast"/>
          <w:jc w:val="center"/>
        </w:trPr>
        <w:tc>
          <w:tcPr>
            <w:tcW w:w="1065" w:type="dxa"/>
            <w:tcBorders/>
            <w:vAlign w:val="center"/>
          </w:tcPr>
          <w:p>
            <w:pPr>
              <w:pStyle w:val="style0"/>
              <w:snapToGrid w:val="false"/>
              <w:spacing w:lineRule="exact" w:line="300"/>
              <w:jc w:val="center"/>
              <w:rPr>
                <w:rFonts w:cs="宋体"/>
                <w:color w:val="auto"/>
                <w:kern w:val="0"/>
              </w:rPr>
            </w:pPr>
            <w:r>
              <w:rPr>
                <w:rFonts w:ascii="仿宋_GB2312" w:cs="仿宋_GB2312" w:eastAsia="仿宋_GB2312" w:hAnsi="仿宋_GB2312" w:hint="eastAsia"/>
                <w:szCs w:val="21"/>
              </w:rPr>
              <w:t>10.2.4</w:t>
            </w:r>
          </w:p>
        </w:tc>
        <w:tc>
          <w:tcPr>
            <w:tcW w:w="8333" w:type="dxa"/>
            <w:gridSpan w:val="2"/>
            <w:tcBorders/>
            <w:vAlign w:val="center"/>
          </w:tcPr>
          <w:p>
            <w:pPr>
              <w:pStyle w:val="style0"/>
              <w:widowControl/>
              <w:spacing w:lineRule="auto" w:line="360"/>
              <w:jc w:val="left"/>
              <w:rPr>
                <w:rFonts w:cs="宋体" w:hint="eastAsia"/>
                <w:color w:val="auto"/>
                <w:kern w:val="0"/>
              </w:rPr>
            </w:pPr>
            <w:r>
              <w:rPr>
                <w:rFonts w:cs="宋体" w:hint="eastAsia"/>
                <w:color w:val="auto"/>
                <w:kern w:val="0"/>
              </w:rPr>
              <w:t>招标人及招标代理机构承诺：</w:t>
            </w:r>
          </w:p>
          <w:p>
            <w:pPr>
              <w:pStyle w:val="style0"/>
              <w:widowControl/>
              <w:spacing w:lineRule="auto" w:line="360"/>
              <w:jc w:val="left"/>
              <w:rPr>
                <w:rFonts w:cs="宋体" w:hint="eastAsia"/>
                <w:color w:val="auto"/>
                <w:kern w:val="0"/>
              </w:rPr>
            </w:pPr>
            <w:r>
              <w:rPr>
                <w:rFonts w:cs="宋体" w:hint="eastAsia"/>
                <w:color w:val="auto"/>
                <w:kern w:val="0"/>
              </w:rPr>
              <w:t>1.依法</w:t>
            </w:r>
            <w:r>
              <w:rPr>
                <w:rFonts w:cs="宋体"/>
                <w:color w:val="auto"/>
                <w:kern w:val="0"/>
              </w:rPr>
              <w:t>依规开展招投标活动，</w:t>
            </w:r>
            <w:r>
              <w:rPr>
                <w:rFonts w:cs="宋体" w:hint="eastAsia"/>
                <w:color w:val="auto"/>
                <w:kern w:val="0"/>
              </w:rPr>
              <w:t>不以</w:t>
            </w:r>
            <w:r>
              <w:rPr>
                <w:rFonts w:cs="宋体"/>
                <w:color w:val="auto"/>
                <w:kern w:val="0"/>
              </w:rPr>
              <w:t>直接或者间接、明示或者暗示的方式</w:t>
            </w:r>
            <w:r>
              <w:rPr>
                <w:rFonts w:cs="宋体" w:hint="eastAsia"/>
                <w:color w:val="auto"/>
                <w:kern w:val="0"/>
              </w:rPr>
              <w:t>干预</w:t>
            </w:r>
            <w:r>
              <w:rPr>
                <w:rFonts w:cs="宋体"/>
                <w:color w:val="auto"/>
                <w:kern w:val="0"/>
              </w:rPr>
              <w:t>和</w:t>
            </w:r>
            <w:r>
              <w:rPr>
                <w:rFonts w:cs="宋体" w:hint="eastAsia"/>
                <w:color w:val="auto"/>
                <w:kern w:val="0"/>
              </w:rPr>
              <w:t>影</w:t>
            </w:r>
            <w:r>
              <w:rPr>
                <w:rFonts w:cs="宋体"/>
                <w:color w:val="auto"/>
                <w:kern w:val="0"/>
              </w:rPr>
              <w:t>响</w:t>
            </w:r>
            <w:r>
              <w:rPr>
                <w:rFonts w:cs="宋体" w:hint="eastAsia"/>
                <w:color w:val="auto"/>
                <w:kern w:val="0"/>
              </w:rPr>
              <w:t>招</w:t>
            </w:r>
            <w:r>
              <w:rPr>
                <w:rFonts w:cs="宋体"/>
                <w:color w:val="auto"/>
                <w:kern w:val="0"/>
              </w:rPr>
              <w:t>标投标活动正常</w:t>
            </w:r>
            <w:r>
              <w:rPr>
                <w:rFonts w:cs="宋体" w:hint="eastAsia"/>
                <w:color w:val="auto"/>
                <w:kern w:val="0"/>
              </w:rPr>
              <w:t>的</w:t>
            </w:r>
            <w:r>
              <w:rPr>
                <w:rFonts w:cs="宋体"/>
                <w:color w:val="auto"/>
                <w:kern w:val="0"/>
              </w:rPr>
              <w:t>开展</w:t>
            </w:r>
            <w:r>
              <w:rPr>
                <w:rFonts w:cs="宋体" w:hint="eastAsia"/>
                <w:color w:val="auto"/>
                <w:kern w:val="0"/>
              </w:rPr>
              <w:t>。招投</w:t>
            </w:r>
            <w:r>
              <w:rPr>
                <w:rFonts w:cs="宋体"/>
                <w:color w:val="auto"/>
                <w:kern w:val="0"/>
              </w:rPr>
              <w:t>标</w:t>
            </w:r>
            <w:r>
              <w:rPr>
                <w:rFonts w:cs="宋体" w:hint="eastAsia"/>
                <w:color w:val="auto"/>
                <w:kern w:val="0"/>
              </w:rPr>
              <w:t>过程</w:t>
            </w:r>
            <w:r>
              <w:rPr>
                <w:rFonts w:cs="宋体"/>
                <w:color w:val="auto"/>
                <w:kern w:val="0"/>
              </w:rPr>
              <w:t>中，遇</w:t>
            </w:r>
            <w:r>
              <w:rPr>
                <w:rFonts w:cs="宋体" w:hint="eastAsia"/>
                <w:color w:val="auto"/>
                <w:kern w:val="0"/>
              </w:rPr>
              <w:t>到被</w:t>
            </w:r>
            <w:r>
              <w:rPr>
                <w:rFonts w:cs="宋体"/>
                <w:color w:val="auto"/>
                <w:kern w:val="0"/>
              </w:rPr>
              <w:t>“打招呼”的情况，</w:t>
            </w:r>
            <w:r>
              <w:rPr>
                <w:rFonts w:cs="宋体" w:hint="eastAsia"/>
                <w:color w:val="auto"/>
                <w:kern w:val="0"/>
              </w:rPr>
              <w:t>及</w:t>
            </w:r>
            <w:r>
              <w:rPr>
                <w:rFonts w:cs="宋体"/>
                <w:color w:val="auto"/>
                <w:kern w:val="0"/>
              </w:rPr>
              <w:t>时填写《工程建设项目招标投标“打招呼”登记表》，报告</w:t>
            </w:r>
            <w:r>
              <w:rPr>
                <w:rFonts w:cs="宋体" w:hint="eastAsia"/>
                <w:color w:val="auto"/>
                <w:kern w:val="0"/>
              </w:rPr>
              <w:t>相</w:t>
            </w:r>
            <w:r>
              <w:rPr>
                <w:rFonts w:cs="宋体"/>
                <w:color w:val="auto"/>
                <w:kern w:val="0"/>
              </w:rPr>
              <w:t>关行政主管部门</w:t>
            </w:r>
            <w:r>
              <w:rPr>
                <w:rFonts w:cs="宋体" w:hint="eastAsia"/>
                <w:color w:val="auto"/>
                <w:kern w:val="0"/>
              </w:rPr>
              <w:t>；</w:t>
            </w:r>
          </w:p>
          <w:p>
            <w:pPr>
              <w:pStyle w:val="style0"/>
              <w:widowControl/>
              <w:spacing w:lineRule="auto" w:line="360"/>
              <w:jc w:val="left"/>
              <w:rPr>
                <w:rFonts w:cs="宋体"/>
                <w:color w:val="auto"/>
                <w:kern w:val="0"/>
              </w:rPr>
            </w:pPr>
            <w:r>
              <w:rPr>
                <w:rFonts w:cs="宋体" w:hint="eastAsia"/>
                <w:color w:val="auto"/>
                <w:kern w:val="0"/>
              </w:rPr>
              <w:t xml:space="preserve">2.本招标公告及招标文件没有排斥潜在投标人等违法违规问题。 </w:t>
            </w:r>
          </w:p>
        </w:tc>
      </w:tr>
      <w:tr>
        <w:tblPrEx/>
        <w:trPr>
          <w:trHeight w:val="1038" w:hRule="atLeast"/>
          <w:jc w:val="center"/>
        </w:trPr>
        <w:tc>
          <w:tcPr>
            <w:tcW w:w="1065" w:type="dxa"/>
            <w:tcBorders/>
            <w:vAlign w:val="center"/>
          </w:tcPr>
          <w:p>
            <w:pPr>
              <w:pStyle w:val="style0"/>
              <w:snapToGrid w:val="false"/>
              <w:spacing w:lineRule="exact" w:line="300"/>
              <w:jc w:val="center"/>
              <w:rPr>
                <w:rFonts w:ascii="仿宋_GB2312" w:cs="仿宋_GB2312" w:eastAsia="仿宋_GB2312" w:hAnsi="仿宋_GB2312" w:hint="default"/>
                <w:szCs w:val="21"/>
                <w:lang w:val="en-US" w:eastAsia="zh-CN"/>
              </w:rPr>
            </w:pPr>
            <w:r>
              <w:rPr>
                <w:rFonts w:ascii="仿宋_GB2312" w:cs="仿宋_GB2312" w:eastAsia="仿宋_GB2312" w:hAnsi="仿宋_GB2312" w:hint="eastAsia"/>
                <w:szCs w:val="21"/>
                <w:lang w:val="en-US" w:eastAsia="zh-CN"/>
              </w:rPr>
              <w:t>10.2.5</w:t>
            </w:r>
          </w:p>
        </w:tc>
        <w:tc>
          <w:tcPr>
            <w:tcW w:w="8333" w:type="dxa"/>
            <w:gridSpan w:val="2"/>
            <w:tcBorders/>
            <w:vAlign w:val="center"/>
          </w:tcPr>
          <w:p>
            <w:pPr>
              <w:pStyle w:val="style0"/>
              <w:widowControl/>
              <w:spacing w:lineRule="auto" w:line="360"/>
              <w:jc w:val="left"/>
              <w:rPr>
                <w:rFonts w:cs="宋体"/>
                <w:color w:val="auto"/>
                <w:kern w:val="0"/>
              </w:rPr>
            </w:pPr>
            <w:r>
              <w:rPr>
                <w:rFonts w:cs="宋体"/>
                <w:color w:val="auto"/>
                <w:kern w:val="0"/>
              </w:rPr>
              <w:t>付款方式：本工程按</w:t>
            </w:r>
            <w:r>
              <w:rPr>
                <w:rFonts w:cs="宋体" w:hint="eastAsia"/>
                <w:color w:val="auto"/>
                <w:kern w:val="0"/>
                <w:lang w:eastAsia="zh-CN"/>
              </w:rPr>
              <w:t>进度</w:t>
            </w:r>
            <w:r>
              <w:rPr>
                <w:rFonts w:cs="宋体"/>
                <w:color w:val="auto"/>
                <w:kern w:val="0"/>
              </w:rPr>
              <w:t>付款（付款比例均包含已付款）</w:t>
            </w:r>
          </w:p>
          <w:p>
            <w:pPr>
              <w:pStyle w:val="style0"/>
              <w:widowControl/>
              <w:spacing w:lineRule="auto" w:line="360"/>
              <w:jc w:val="left"/>
              <w:rPr>
                <w:rFonts w:cs="宋体"/>
                <w:color w:val="auto"/>
                <w:kern w:val="0"/>
              </w:rPr>
            </w:pPr>
            <w:r>
              <w:rPr>
                <w:rFonts w:cs="宋体"/>
                <w:color w:val="auto"/>
                <w:kern w:val="0"/>
              </w:rPr>
              <w:t>(1)合同签订后，监理进场</w:t>
            </w:r>
            <w:r>
              <w:rPr>
                <w:rFonts w:cs="宋体" w:hint="eastAsia"/>
                <w:color w:val="auto"/>
                <w:kern w:val="0"/>
                <w:lang w:val="en-US" w:eastAsia="zh-CN"/>
              </w:rPr>
              <w:t>30</w:t>
            </w:r>
            <w:r>
              <w:rPr>
                <w:rFonts w:cs="宋体"/>
                <w:color w:val="auto"/>
                <w:kern w:val="0"/>
              </w:rPr>
              <w:t>天，支付合同价款的</w:t>
            </w:r>
            <w:r>
              <w:rPr>
                <w:rFonts w:cs="宋体" w:hint="eastAsia"/>
                <w:color w:val="auto"/>
                <w:kern w:val="0"/>
                <w:lang w:val="en-US" w:eastAsia="zh-CN"/>
              </w:rPr>
              <w:t>15</w:t>
            </w:r>
            <w:r>
              <w:rPr>
                <w:rFonts w:cs="宋体"/>
                <w:color w:val="auto"/>
                <w:kern w:val="0"/>
              </w:rPr>
              <w:t>%。</w:t>
            </w:r>
          </w:p>
          <w:p>
            <w:pPr>
              <w:pStyle w:val="style0"/>
              <w:widowControl/>
              <w:spacing w:lineRule="auto" w:line="360"/>
              <w:jc w:val="left"/>
              <w:rPr>
                <w:rFonts w:cs="宋体" w:hint="eastAsia"/>
                <w:color w:val="auto"/>
                <w:kern w:val="0"/>
                <w:lang w:eastAsia="zh-CN"/>
              </w:rPr>
            </w:pPr>
            <w:r>
              <w:rPr>
                <w:rFonts w:cs="宋体" w:hint="eastAsia"/>
                <w:color w:val="auto"/>
                <w:kern w:val="0"/>
                <w:lang w:eastAsia="zh-CN"/>
              </w:rPr>
              <w:t>（</w:t>
            </w:r>
            <w:r>
              <w:rPr>
                <w:rFonts w:cs="宋体" w:hint="eastAsia"/>
                <w:color w:val="auto"/>
                <w:kern w:val="0"/>
                <w:lang w:val="en-US" w:eastAsia="zh-CN"/>
              </w:rPr>
              <w:t>2）完成总工程量的50%，支付合同价款的20</w:t>
            </w:r>
            <w:r>
              <w:rPr>
                <w:rFonts w:cs="宋体"/>
                <w:color w:val="auto"/>
                <w:kern w:val="0"/>
              </w:rPr>
              <w:t>%</w:t>
            </w:r>
            <w:r>
              <w:rPr>
                <w:rFonts w:cs="宋体" w:hint="eastAsia"/>
                <w:color w:val="auto"/>
                <w:kern w:val="0"/>
                <w:lang w:eastAsia="zh-CN"/>
              </w:rPr>
              <w:t>；</w:t>
            </w:r>
          </w:p>
          <w:p>
            <w:pPr>
              <w:pStyle w:val="style0"/>
              <w:widowControl/>
              <w:spacing w:lineRule="auto" w:line="360"/>
              <w:jc w:val="left"/>
              <w:rPr>
                <w:rFonts w:cs="宋体" w:hint="eastAsia"/>
                <w:color w:val="auto"/>
                <w:kern w:val="0"/>
                <w:lang w:eastAsia="zh-CN"/>
              </w:rPr>
            </w:pPr>
            <w:r>
              <w:rPr>
                <w:rFonts w:cs="宋体"/>
                <w:color w:val="auto"/>
                <w:kern w:val="0"/>
              </w:rPr>
              <w:t>（</w:t>
            </w:r>
            <w:r>
              <w:rPr>
                <w:rFonts w:cs="宋体" w:hint="eastAsia"/>
                <w:color w:val="auto"/>
                <w:kern w:val="0"/>
                <w:lang w:val="en-US" w:eastAsia="zh-CN"/>
              </w:rPr>
              <w:t>3</w:t>
            </w:r>
            <w:r>
              <w:rPr>
                <w:rFonts w:cs="宋体"/>
                <w:color w:val="auto"/>
                <w:kern w:val="0"/>
              </w:rPr>
              <w:t>）</w:t>
            </w:r>
            <w:r>
              <w:rPr>
                <w:rFonts w:cs="宋体" w:hint="eastAsia"/>
                <w:color w:val="auto"/>
                <w:kern w:val="0"/>
                <w:lang w:val="en-US" w:eastAsia="zh-CN"/>
              </w:rPr>
              <w:t>完成总工程量的80%，支付合同价款的20</w:t>
            </w:r>
            <w:r>
              <w:rPr>
                <w:rFonts w:cs="宋体"/>
                <w:color w:val="auto"/>
                <w:kern w:val="0"/>
              </w:rPr>
              <w:t>%</w:t>
            </w:r>
            <w:r>
              <w:rPr>
                <w:rFonts w:cs="宋体" w:hint="eastAsia"/>
                <w:color w:val="auto"/>
                <w:kern w:val="0"/>
                <w:lang w:eastAsia="zh-CN"/>
              </w:rPr>
              <w:t>；</w:t>
            </w:r>
          </w:p>
          <w:p>
            <w:pPr>
              <w:pStyle w:val="style0"/>
              <w:widowControl/>
              <w:spacing w:lineRule="auto" w:line="360"/>
              <w:jc w:val="left"/>
              <w:rPr>
                <w:rFonts w:cs="宋体" w:hint="eastAsia"/>
                <w:color w:val="auto"/>
                <w:kern w:val="0"/>
                <w:lang w:eastAsia="zh-CN"/>
              </w:rPr>
            </w:pPr>
            <w:r>
              <w:rPr>
                <w:rFonts w:cs="宋体" w:hint="eastAsia"/>
                <w:color w:val="auto"/>
                <w:kern w:val="0"/>
                <w:lang w:eastAsia="zh-CN"/>
              </w:rPr>
              <w:t>（</w:t>
            </w:r>
            <w:r>
              <w:rPr>
                <w:rFonts w:cs="宋体" w:hint="eastAsia"/>
                <w:color w:val="auto"/>
                <w:kern w:val="0"/>
                <w:lang w:val="en-US" w:eastAsia="zh-CN"/>
              </w:rPr>
              <w:t>4）工程全部完工时，支付合同价款的20</w:t>
            </w:r>
            <w:r>
              <w:rPr>
                <w:rFonts w:cs="宋体"/>
                <w:color w:val="auto"/>
                <w:kern w:val="0"/>
              </w:rPr>
              <w:t>%</w:t>
            </w:r>
            <w:r>
              <w:rPr>
                <w:rFonts w:cs="宋体" w:hint="eastAsia"/>
                <w:color w:val="auto"/>
                <w:kern w:val="0"/>
                <w:lang w:eastAsia="zh-CN"/>
              </w:rPr>
              <w:t>；</w:t>
            </w:r>
          </w:p>
          <w:p>
            <w:pPr>
              <w:pStyle w:val="style0"/>
              <w:widowControl/>
              <w:spacing w:lineRule="auto" w:line="360"/>
              <w:jc w:val="left"/>
              <w:rPr>
                <w:rFonts w:cs="宋体" w:hint="eastAsia"/>
                <w:color w:val="auto"/>
                <w:kern w:val="0"/>
                <w:lang w:eastAsia="zh-CN"/>
              </w:rPr>
            </w:pPr>
            <w:r>
              <w:rPr>
                <w:rFonts w:cs="宋体" w:hint="eastAsia"/>
                <w:color w:val="auto"/>
                <w:kern w:val="0"/>
                <w:lang w:eastAsia="zh-CN"/>
              </w:rPr>
              <w:t>（</w:t>
            </w:r>
            <w:r>
              <w:rPr>
                <w:rFonts w:cs="宋体" w:hint="eastAsia"/>
                <w:color w:val="auto"/>
                <w:kern w:val="0"/>
                <w:lang w:val="en-US" w:eastAsia="zh-CN"/>
              </w:rPr>
              <w:t>5）</w:t>
            </w:r>
            <w:r>
              <w:rPr>
                <w:rFonts w:cs="宋体"/>
                <w:color w:val="auto"/>
                <w:kern w:val="0"/>
              </w:rPr>
              <w:t>工程竣工验收合格，监理结算资料齐备后，</w:t>
            </w:r>
            <w:r>
              <w:rPr>
                <w:rFonts w:cs="宋体" w:hint="eastAsia"/>
                <w:color w:val="auto"/>
                <w:kern w:val="0"/>
                <w:lang w:val="en-US" w:eastAsia="zh-CN"/>
              </w:rPr>
              <w:t>支付合同价款的20</w:t>
            </w:r>
            <w:r>
              <w:rPr>
                <w:rFonts w:cs="宋体"/>
                <w:color w:val="auto"/>
                <w:kern w:val="0"/>
              </w:rPr>
              <w:t>%</w:t>
            </w:r>
            <w:r>
              <w:rPr>
                <w:rFonts w:cs="宋体" w:hint="eastAsia"/>
                <w:color w:val="auto"/>
                <w:kern w:val="0"/>
                <w:lang w:eastAsia="zh-CN"/>
              </w:rPr>
              <w:t>；</w:t>
            </w:r>
          </w:p>
          <w:p>
            <w:pPr>
              <w:pStyle w:val="style0"/>
              <w:widowControl/>
              <w:spacing w:lineRule="auto" w:line="360"/>
              <w:jc w:val="left"/>
              <w:rPr>
                <w:rFonts w:cs="宋体" w:hint="eastAsia"/>
                <w:color w:val="auto"/>
                <w:kern w:val="0"/>
              </w:rPr>
            </w:pPr>
            <w:r>
              <w:rPr>
                <w:rFonts w:cs="宋体" w:hint="eastAsia"/>
                <w:color w:val="auto"/>
                <w:kern w:val="0"/>
                <w:lang w:eastAsia="zh-CN"/>
              </w:rPr>
              <w:t>（</w:t>
            </w:r>
            <w:r>
              <w:rPr>
                <w:rFonts w:cs="宋体" w:hint="eastAsia"/>
                <w:color w:val="auto"/>
                <w:kern w:val="0"/>
                <w:lang w:val="en-US" w:eastAsia="zh-CN"/>
              </w:rPr>
              <w:t>6）</w:t>
            </w:r>
            <w:r>
              <w:rPr>
                <w:rFonts w:cs="宋体" w:hint="eastAsia"/>
                <w:color w:val="auto"/>
                <w:kern w:val="0"/>
                <w:lang w:eastAsia="zh-CN"/>
              </w:rPr>
              <w:t>剩余合同价款的</w:t>
            </w:r>
            <w:r>
              <w:rPr>
                <w:rFonts w:cs="宋体" w:hint="eastAsia"/>
                <w:color w:val="auto"/>
                <w:kern w:val="0"/>
                <w:lang w:val="en-US" w:eastAsia="zh-CN"/>
              </w:rPr>
              <w:t>5%在缺陷责任期过后一次性无息付清。</w:t>
            </w:r>
          </w:p>
        </w:tc>
      </w:tr>
      <w:bookmarkStart w:id="64" w:name="_Toc300677998"/>
    </w:tbl>
    <w:p>
      <w:pPr>
        <w:pStyle w:val="style0"/>
        <w:widowControl/>
        <w:spacing w:lineRule="auto" w:line="360"/>
        <w:jc w:val="left"/>
        <w:rPr>
          <w:rFonts w:cs="宋体" w:hint="default"/>
          <w:color w:val="auto"/>
          <w:kern w:val="0"/>
        </w:rPr>
      </w:pPr>
      <w:r>
        <w:rPr>
          <w:rFonts w:cs="宋体"/>
          <w:color w:val="auto"/>
          <w:kern w:val="0"/>
        </w:rPr>
        <w:br w:type="page"/>
      </w:r>
      <w:r>
        <w:rPr>
          <w:rFonts w:cs="宋体"/>
          <w:b/>
          <w:bCs/>
          <w:color w:val="auto"/>
          <w:kern w:val="0"/>
          <w:sz w:val="28"/>
          <w:szCs w:val="28"/>
        </w:rPr>
        <w:t>投标人须知</w:t>
      </w:r>
      <w:bookmarkEnd w:id="64"/>
    </w:p>
    <w:bookmarkStart w:id="65" w:name="_Toc300677999"/>
    <w:bookmarkStart w:id="66" w:name="_Toc9178518"/>
    <w:bookmarkStart w:id="67" w:name="_Toc27550594"/>
    <w:p>
      <w:pPr>
        <w:pStyle w:val="style0"/>
        <w:widowControl/>
        <w:spacing w:lineRule="auto" w:line="360"/>
        <w:jc w:val="left"/>
        <w:rPr>
          <w:rFonts w:cs="宋体" w:hint="default"/>
          <w:color w:val="auto"/>
          <w:kern w:val="0"/>
        </w:rPr>
      </w:pPr>
      <w:r>
        <w:rPr>
          <w:rFonts w:cs="宋体"/>
          <w:color w:val="auto"/>
          <w:kern w:val="0"/>
        </w:rPr>
        <w:t>1.总则</w:t>
      </w:r>
      <w:bookmarkEnd w:id="65"/>
      <w:bookmarkEnd w:id="66"/>
      <w:bookmarkEnd w:id="67"/>
    </w:p>
    <w:bookmarkStart w:id="68" w:name="_Toc300678000"/>
    <w:p>
      <w:pPr>
        <w:pStyle w:val="style0"/>
        <w:widowControl/>
        <w:spacing w:lineRule="auto" w:line="360"/>
        <w:jc w:val="left"/>
        <w:rPr>
          <w:rFonts w:cs="宋体" w:hint="default"/>
          <w:color w:val="auto"/>
          <w:kern w:val="0"/>
        </w:rPr>
      </w:pPr>
      <w:r>
        <w:rPr>
          <w:rFonts w:cs="宋体"/>
          <w:color w:val="auto"/>
          <w:kern w:val="0"/>
        </w:rPr>
        <w:t>1.1 项目概况</w:t>
      </w:r>
      <w:bookmarkEnd w:id="68"/>
    </w:p>
    <w:p>
      <w:pPr>
        <w:pStyle w:val="style0"/>
        <w:widowControl/>
        <w:spacing w:lineRule="auto" w:line="360"/>
        <w:jc w:val="left"/>
        <w:rPr>
          <w:rFonts w:cs="宋体" w:hint="default"/>
          <w:color w:val="auto"/>
          <w:kern w:val="0"/>
        </w:rPr>
      </w:pPr>
      <w:r>
        <w:rPr>
          <w:rFonts w:cs="宋体"/>
          <w:color w:val="auto"/>
          <w:kern w:val="0"/>
        </w:rPr>
        <w:t>1.1.1  根据《 中华人民共和国招标投标法》、《中华人民共和国招标投标法实施条例》 等有关法律、法规和规章的规定，本招标项目已具备招标条件，现对监理进行招标。</w:t>
      </w:r>
    </w:p>
    <w:p>
      <w:pPr>
        <w:pStyle w:val="style0"/>
        <w:widowControl/>
        <w:spacing w:lineRule="auto" w:line="360"/>
        <w:jc w:val="left"/>
        <w:rPr>
          <w:rFonts w:cs="宋体" w:hint="default"/>
          <w:color w:val="auto"/>
          <w:kern w:val="0"/>
        </w:rPr>
      </w:pPr>
      <w:r>
        <w:rPr>
          <w:rFonts w:cs="宋体"/>
          <w:color w:val="auto"/>
          <w:kern w:val="0"/>
        </w:rPr>
        <w:t>1.1.2  招标人：见投标人须知前附表。</w:t>
      </w:r>
    </w:p>
    <w:p>
      <w:pPr>
        <w:pStyle w:val="style0"/>
        <w:widowControl/>
        <w:spacing w:lineRule="auto" w:line="360"/>
        <w:jc w:val="left"/>
        <w:rPr>
          <w:rFonts w:cs="宋体" w:hint="default"/>
          <w:color w:val="auto"/>
          <w:kern w:val="0"/>
        </w:rPr>
      </w:pPr>
      <w:r>
        <w:rPr>
          <w:rFonts w:cs="宋体"/>
          <w:color w:val="auto"/>
          <w:kern w:val="0"/>
        </w:rPr>
        <w:t>1.1.3  招标代理机构：见投标人须知前附表。</w:t>
      </w:r>
    </w:p>
    <w:p>
      <w:pPr>
        <w:pStyle w:val="style0"/>
        <w:widowControl/>
        <w:spacing w:lineRule="auto" w:line="360"/>
        <w:jc w:val="left"/>
        <w:rPr>
          <w:rFonts w:cs="宋体" w:hint="default"/>
          <w:color w:val="auto"/>
          <w:kern w:val="0"/>
        </w:rPr>
      </w:pPr>
      <w:r>
        <w:rPr>
          <w:rFonts w:cs="宋体"/>
          <w:color w:val="auto"/>
          <w:kern w:val="0"/>
        </w:rPr>
        <w:t>1.1.4  招标项目名称：见投标人须知前附表。</w:t>
      </w:r>
    </w:p>
    <w:p>
      <w:pPr>
        <w:pStyle w:val="style0"/>
        <w:widowControl/>
        <w:spacing w:lineRule="auto" w:line="360"/>
        <w:jc w:val="left"/>
        <w:rPr>
          <w:rFonts w:cs="宋体" w:hint="default"/>
          <w:color w:val="auto"/>
          <w:kern w:val="0"/>
        </w:rPr>
      </w:pPr>
      <w:r>
        <w:rPr>
          <w:rFonts w:cs="宋体"/>
          <w:color w:val="auto"/>
          <w:kern w:val="0"/>
        </w:rPr>
        <w:t>1.1.5  建设地点：见投标人须知前附表。</w:t>
      </w:r>
    </w:p>
    <w:p>
      <w:pPr>
        <w:pStyle w:val="style0"/>
        <w:widowControl/>
        <w:spacing w:lineRule="auto" w:line="360"/>
        <w:jc w:val="left"/>
        <w:rPr>
          <w:rFonts w:cs="宋体" w:hint="default"/>
          <w:color w:val="auto"/>
          <w:kern w:val="0"/>
        </w:rPr>
      </w:pPr>
      <w:r>
        <w:rPr>
          <w:rFonts w:cs="宋体"/>
          <w:color w:val="auto"/>
          <w:kern w:val="0"/>
        </w:rPr>
        <w:t>1.1.6  建设周期：见投标人须知前附表。</w:t>
      </w:r>
    </w:p>
    <w:bookmarkStart w:id="69" w:name="_Toc300678001"/>
    <w:p>
      <w:pPr>
        <w:pStyle w:val="style0"/>
        <w:widowControl/>
        <w:spacing w:lineRule="auto" w:line="360"/>
        <w:jc w:val="left"/>
        <w:rPr>
          <w:rFonts w:cs="宋体" w:hint="default"/>
          <w:color w:val="auto"/>
          <w:kern w:val="0"/>
        </w:rPr>
      </w:pPr>
      <w:r>
        <w:rPr>
          <w:rFonts w:cs="宋体"/>
          <w:color w:val="auto"/>
          <w:kern w:val="0"/>
        </w:rPr>
        <w:t>1.2 资金来源和落实情况</w:t>
      </w:r>
      <w:bookmarkEnd w:id="69"/>
    </w:p>
    <w:p>
      <w:pPr>
        <w:pStyle w:val="style0"/>
        <w:widowControl/>
        <w:spacing w:lineRule="auto" w:line="360"/>
        <w:jc w:val="left"/>
        <w:rPr>
          <w:rFonts w:cs="宋体" w:hint="default"/>
          <w:color w:val="auto"/>
          <w:kern w:val="0"/>
        </w:rPr>
      </w:pPr>
      <w:r>
        <w:rPr>
          <w:rFonts w:cs="宋体"/>
          <w:color w:val="auto"/>
          <w:kern w:val="0"/>
        </w:rPr>
        <w:t>详见交易公告。</w:t>
      </w:r>
    </w:p>
    <w:bookmarkStart w:id="70" w:name="_Toc300678002"/>
    <w:p>
      <w:pPr>
        <w:pStyle w:val="style0"/>
        <w:widowControl/>
        <w:spacing w:lineRule="auto" w:line="360"/>
        <w:jc w:val="left"/>
        <w:rPr>
          <w:rFonts w:cs="宋体" w:hint="default"/>
          <w:color w:val="auto"/>
          <w:kern w:val="0"/>
        </w:rPr>
      </w:pPr>
      <w:r>
        <w:rPr>
          <w:rFonts w:cs="宋体"/>
          <w:color w:val="auto"/>
          <w:kern w:val="0"/>
        </w:rPr>
        <w:t>1.3 招标范围、监理服务期限和质量</w:t>
      </w:r>
      <w:bookmarkEnd w:id="70"/>
      <w:r>
        <w:rPr>
          <w:rFonts w:cs="宋体"/>
          <w:color w:val="auto"/>
          <w:kern w:val="0"/>
        </w:rPr>
        <w:t>标准</w:t>
      </w:r>
    </w:p>
    <w:p>
      <w:pPr>
        <w:pStyle w:val="style0"/>
        <w:widowControl/>
        <w:spacing w:lineRule="auto" w:line="360"/>
        <w:jc w:val="left"/>
        <w:rPr>
          <w:rFonts w:cs="宋体" w:hint="default"/>
          <w:color w:val="auto"/>
          <w:kern w:val="0"/>
        </w:rPr>
      </w:pPr>
      <w:r>
        <w:rPr>
          <w:rFonts w:cs="宋体"/>
          <w:color w:val="auto"/>
          <w:kern w:val="0"/>
        </w:rPr>
        <w:t>1.3.1  招标范围：见投标人须知前附表。</w:t>
      </w:r>
    </w:p>
    <w:p>
      <w:pPr>
        <w:pStyle w:val="style0"/>
        <w:widowControl/>
        <w:spacing w:lineRule="auto" w:line="360"/>
        <w:jc w:val="left"/>
        <w:rPr>
          <w:rFonts w:cs="宋体" w:hint="default"/>
          <w:color w:val="auto"/>
          <w:kern w:val="0"/>
        </w:rPr>
      </w:pPr>
      <w:r>
        <w:rPr>
          <w:rFonts w:cs="宋体"/>
          <w:color w:val="auto"/>
          <w:kern w:val="0"/>
        </w:rPr>
        <w:t>1.3.2  监理服务期限：见投标人须知前附表。</w:t>
      </w:r>
    </w:p>
    <w:p>
      <w:pPr>
        <w:pStyle w:val="style0"/>
        <w:widowControl/>
        <w:spacing w:lineRule="auto" w:line="360"/>
        <w:jc w:val="left"/>
        <w:rPr>
          <w:rFonts w:cs="宋体" w:hint="default"/>
          <w:color w:val="auto"/>
          <w:kern w:val="0"/>
        </w:rPr>
      </w:pPr>
      <w:r>
        <w:rPr>
          <w:rFonts w:cs="宋体"/>
          <w:color w:val="auto"/>
          <w:kern w:val="0"/>
        </w:rPr>
        <w:t>1.3.3  质量标准：见投标人须知前附表。</w:t>
      </w:r>
    </w:p>
    <w:bookmarkStart w:id="71" w:name="_Toc300678003"/>
    <w:p>
      <w:pPr>
        <w:pStyle w:val="style0"/>
        <w:widowControl/>
        <w:spacing w:lineRule="auto" w:line="360"/>
        <w:jc w:val="left"/>
        <w:rPr>
          <w:rFonts w:cs="宋体" w:hint="default"/>
          <w:color w:val="auto"/>
          <w:kern w:val="0"/>
        </w:rPr>
      </w:pPr>
      <w:r>
        <w:rPr>
          <w:rFonts w:cs="宋体"/>
          <w:color w:val="auto"/>
          <w:kern w:val="0"/>
        </w:rPr>
        <w:t>1.4 投标人资格要求</w:t>
      </w:r>
    </w:p>
    <w:bookmarkEnd w:id="71"/>
    <w:p>
      <w:pPr>
        <w:pStyle w:val="style0"/>
        <w:widowControl/>
        <w:spacing w:lineRule="auto" w:line="360"/>
        <w:jc w:val="left"/>
        <w:rPr>
          <w:rFonts w:cs="宋体" w:hint="default"/>
          <w:color w:val="auto"/>
          <w:kern w:val="0"/>
        </w:rPr>
      </w:pPr>
      <w:r>
        <w:rPr>
          <w:rFonts w:cs="宋体"/>
          <w:color w:val="auto"/>
          <w:kern w:val="0"/>
        </w:rPr>
        <w:t>1.4.1  投标人应具备承担本项目的资质条件：见投标人须知前附表；</w:t>
      </w:r>
    </w:p>
    <w:p>
      <w:pPr>
        <w:pStyle w:val="style0"/>
        <w:widowControl/>
        <w:spacing w:lineRule="auto" w:line="360"/>
        <w:jc w:val="left"/>
        <w:rPr>
          <w:rFonts w:cs="宋体" w:hint="default"/>
          <w:color w:val="auto"/>
          <w:kern w:val="0"/>
        </w:rPr>
      </w:pPr>
      <w:r>
        <w:rPr>
          <w:rFonts w:cs="宋体"/>
          <w:color w:val="auto"/>
          <w:kern w:val="0"/>
        </w:rPr>
        <w:t>1.4.2  投标人须知前附表规定接受联合体投标的，除应符合本须知第1.4.1项和投标人须知前附表的要求外，还应遵守以下规定：</w:t>
      </w:r>
    </w:p>
    <w:p>
      <w:pPr>
        <w:pStyle w:val="style0"/>
        <w:widowControl/>
        <w:spacing w:lineRule="auto" w:line="360"/>
        <w:jc w:val="left"/>
        <w:rPr>
          <w:rFonts w:cs="宋体" w:hint="default"/>
          <w:color w:val="auto"/>
          <w:kern w:val="0"/>
        </w:rPr>
      </w:pPr>
      <w:r>
        <w:rPr>
          <w:rFonts w:cs="宋体"/>
          <w:color w:val="auto"/>
          <w:kern w:val="0"/>
        </w:rPr>
        <w:t>（1）联合体各方应按招标文件提供的格式签订联合体协议书，明确联合体牵头人和各方权利义务，并承诺就中标项目向招标人承担连带责任；</w:t>
      </w:r>
    </w:p>
    <w:p>
      <w:pPr>
        <w:pStyle w:val="style0"/>
        <w:widowControl/>
        <w:spacing w:lineRule="auto" w:line="360"/>
        <w:jc w:val="left"/>
        <w:rPr>
          <w:rFonts w:cs="宋体" w:hint="default"/>
          <w:color w:val="auto"/>
          <w:kern w:val="0"/>
        </w:rPr>
      </w:pPr>
      <w:r>
        <w:rPr>
          <w:rFonts w:cs="宋体"/>
          <w:color w:val="auto"/>
          <w:kern w:val="0"/>
        </w:rPr>
        <w:t>（2）由同一专业的单位组成的联合体，按照资质等级较低的单位确定资质等级；</w:t>
      </w:r>
    </w:p>
    <w:p>
      <w:pPr>
        <w:pStyle w:val="style0"/>
        <w:widowControl/>
        <w:spacing w:lineRule="auto" w:line="360"/>
        <w:jc w:val="left"/>
        <w:rPr>
          <w:rFonts w:cs="宋体" w:hint="default"/>
          <w:color w:val="auto"/>
          <w:kern w:val="0"/>
        </w:rPr>
      </w:pPr>
      <w:r>
        <w:rPr>
          <w:rFonts w:cs="宋体"/>
          <w:color w:val="auto"/>
          <w:kern w:val="0"/>
        </w:rPr>
        <w:t>（3）联合体各方不得再以自己名义单独或参加其他联合体在同一标段中投标，否则各相关投标均无效。</w:t>
      </w:r>
    </w:p>
    <w:p>
      <w:pPr>
        <w:pStyle w:val="style0"/>
        <w:widowControl/>
        <w:spacing w:lineRule="auto" w:line="360"/>
        <w:jc w:val="left"/>
        <w:rPr>
          <w:rFonts w:cs="宋体" w:hint="default"/>
          <w:color w:val="auto"/>
          <w:kern w:val="0"/>
        </w:rPr>
      </w:pPr>
      <w:r>
        <w:rPr>
          <w:rFonts w:cs="宋体"/>
          <w:color w:val="auto"/>
          <w:kern w:val="0"/>
        </w:rPr>
        <w:t>1.4.3 投标人不得存在下列情形之一：</w:t>
      </w:r>
    </w:p>
    <w:p>
      <w:pPr>
        <w:pStyle w:val="style0"/>
        <w:widowControl/>
        <w:spacing w:lineRule="auto" w:line="360"/>
        <w:jc w:val="left"/>
        <w:rPr>
          <w:rFonts w:cs="宋体" w:hint="default"/>
          <w:color w:val="auto"/>
          <w:kern w:val="0"/>
        </w:rPr>
      </w:pPr>
      <w:r>
        <w:rPr>
          <w:rFonts w:cs="宋体"/>
          <w:color w:val="auto"/>
          <w:kern w:val="0"/>
        </w:rPr>
        <w:t>（l）为招标人的不具有独立法人资格的附属机构（单位）；</w:t>
      </w:r>
    </w:p>
    <w:p>
      <w:pPr>
        <w:pStyle w:val="style0"/>
        <w:widowControl/>
        <w:spacing w:lineRule="auto" w:line="360"/>
        <w:jc w:val="left"/>
        <w:rPr>
          <w:rFonts w:cs="宋体" w:hint="default"/>
          <w:color w:val="auto"/>
          <w:kern w:val="0"/>
        </w:rPr>
      </w:pPr>
      <w:r>
        <w:rPr>
          <w:rFonts w:cs="宋体"/>
          <w:color w:val="auto"/>
          <w:kern w:val="0"/>
        </w:rPr>
        <w:t>（2）与招标人存在利害关系且可能影响招标公正性；</w:t>
      </w:r>
    </w:p>
    <w:p>
      <w:pPr>
        <w:pStyle w:val="style0"/>
        <w:widowControl/>
        <w:spacing w:lineRule="auto" w:line="360"/>
        <w:jc w:val="left"/>
        <w:rPr>
          <w:rFonts w:cs="宋体" w:hint="default"/>
          <w:color w:val="auto"/>
          <w:kern w:val="0"/>
        </w:rPr>
      </w:pPr>
      <w:r>
        <w:rPr>
          <w:rFonts w:cs="宋体"/>
          <w:color w:val="auto"/>
          <w:kern w:val="0"/>
        </w:rPr>
        <w:t>（3）单位负责人为同一人或者存在控股、管理关系的不同单位参加同一标段或者未划分标段的同一招标项目投标；</w:t>
      </w:r>
    </w:p>
    <w:p>
      <w:pPr>
        <w:pStyle w:val="style0"/>
        <w:widowControl/>
        <w:spacing w:lineRule="auto" w:line="360"/>
        <w:jc w:val="left"/>
        <w:rPr>
          <w:rFonts w:cs="宋体" w:hint="default"/>
          <w:color w:val="auto"/>
          <w:kern w:val="0"/>
        </w:rPr>
      </w:pPr>
      <w:r>
        <w:rPr>
          <w:rFonts w:cs="宋体"/>
          <w:color w:val="auto"/>
          <w:kern w:val="0"/>
        </w:rPr>
        <w:t>（4）为本招标项目的代建人；</w:t>
      </w:r>
    </w:p>
    <w:p>
      <w:pPr>
        <w:pStyle w:val="style0"/>
        <w:widowControl/>
        <w:spacing w:lineRule="auto" w:line="360"/>
        <w:jc w:val="left"/>
        <w:rPr>
          <w:rFonts w:cs="宋体" w:hint="default"/>
          <w:color w:val="auto"/>
          <w:kern w:val="0"/>
        </w:rPr>
      </w:pPr>
      <w:r>
        <w:rPr>
          <w:rFonts w:cs="宋体"/>
          <w:color w:val="auto"/>
          <w:kern w:val="0"/>
        </w:rPr>
        <w:t>（5）为本招标项目的招标代理机构；</w:t>
      </w:r>
    </w:p>
    <w:p>
      <w:pPr>
        <w:pStyle w:val="style0"/>
        <w:widowControl/>
        <w:spacing w:lineRule="auto" w:line="360"/>
        <w:jc w:val="left"/>
        <w:rPr>
          <w:rFonts w:cs="宋体" w:hint="default"/>
          <w:color w:val="auto"/>
          <w:kern w:val="0"/>
        </w:rPr>
      </w:pPr>
      <w:r>
        <w:rPr>
          <w:rFonts w:cs="宋体"/>
          <w:color w:val="auto"/>
          <w:kern w:val="0"/>
        </w:rPr>
        <w:t>（6）与本招标项目的代建人或招标代理机构同为一个法定代表人；</w:t>
      </w:r>
    </w:p>
    <w:p>
      <w:pPr>
        <w:pStyle w:val="style0"/>
        <w:widowControl/>
        <w:spacing w:lineRule="auto" w:line="360"/>
        <w:jc w:val="left"/>
        <w:rPr>
          <w:rFonts w:cs="宋体" w:hint="default"/>
          <w:color w:val="auto"/>
          <w:kern w:val="0"/>
        </w:rPr>
      </w:pPr>
      <w:r>
        <w:rPr>
          <w:rFonts w:cs="宋体"/>
          <w:color w:val="auto"/>
          <w:kern w:val="0"/>
        </w:rPr>
        <w:t>（7）与本招标项目的代建人或招标代理机构相互控股或参股的；</w:t>
      </w:r>
    </w:p>
    <w:p>
      <w:pPr>
        <w:pStyle w:val="style0"/>
        <w:widowControl/>
        <w:spacing w:lineRule="auto" w:line="360"/>
        <w:jc w:val="left"/>
        <w:rPr>
          <w:rFonts w:cs="宋体" w:hint="default"/>
          <w:color w:val="auto"/>
          <w:kern w:val="0"/>
        </w:rPr>
      </w:pPr>
      <w:r>
        <w:rPr>
          <w:rFonts w:cs="宋体"/>
          <w:color w:val="auto"/>
          <w:kern w:val="0"/>
        </w:rPr>
        <w:t>（8）与本招标项目的代建人或招标代理机构相互任职或工作的；</w:t>
      </w:r>
    </w:p>
    <w:p>
      <w:pPr>
        <w:pStyle w:val="style0"/>
        <w:widowControl/>
        <w:spacing w:lineRule="auto" w:line="360"/>
        <w:jc w:val="left"/>
        <w:rPr>
          <w:rFonts w:cs="宋体" w:hint="default"/>
          <w:color w:val="auto"/>
          <w:kern w:val="0"/>
        </w:rPr>
      </w:pPr>
      <w:r>
        <w:rPr>
          <w:rFonts w:cs="宋体"/>
          <w:color w:val="auto"/>
          <w:kern w:val="0"/>
        </w:rPr>
        <w:t>（9）被责令停业的；</w:t>
      </w:r>
    </w:p>
    <w:p>
      <w:pPr>
        <w:pStyle w:val="style0"/>
        <w:widowControl/>
        <w:spacing w:lineRule="auto" w:line="360"/>
        <w:jc w:val="left"/>
        <w:rPr>
          <w:rFonts w:cs="宋体" w:hint="default"/>
          <w:color w:val="auto"/>
          <w:kern w:val="0"/>
        </w:rPr>
      </w:pPr>
      <w:r>
        <w:rPr>
          <w:rFonts w:cs="宋体"/>
          <w:color w:val="auto"/>
          <w:kern w:val="0"/>
        </w:rPr>
        <w:t>（10）被住房城乡建设主管部门取消参加本地区依法必须招标项目投标资格的；</w:t>
      </w:r>
    </w:p>
    <w:p>
      <w:pPr>
        <w:pStyle w:val="style0"/>
        <w:widowControl/>
        <w:spacing w:lineRule="auto" w:line="360"/>
        <w:jc w:val="left"/>
        <w:rPr>
          <w:rFonts w:cs="宋体" w:hint="default"/>
          <w:color w:val="auto"/>
          <w:kern w:val="0"/>
        </w:rPr>
      </w:pPr>
      <w:r>
        <w:rPr>
          <w:rFonts w:cs="宋体"/>
          <w:color w:val="auto"/>
          <w:kern w:val="0"/>
        </w:rPr>
        <w:t xml:space="preserve">（11）被列入湖南省房屋建筑和市政基础设施工程施工监理招标投标失信黑名单并在有效期内的； </w:t>
      </w:r>
    </w:p>
    <w:p>
      <w:pPr>
        <w:pStyle w:val="style0"/>
        <w:widowControl/>
        <w:spacing w:lineRule="auto" w:line="360"/>
        <w:jc w:val="left"/>
        <w:rPr>
          <w:rFonts w:cs="宋体" w:hint="default"/>
          <w:color w:val="auto"/>
          <w:kern w:val="0"/>
        </w:rPr>
      </w:pPr>
      <w:r>
        <w:rPr>
          <w:rFonts w:cs="宋体"/>
          <w:color w:val="auto"/>
          <w:kern w:val="0"/>
        </w:rPr>
        <w:t>（12）法律、法规规定的其他情形。</w:t>
      </w:r>
    </w:p>
    <w:bookmarkStart w:id="72" w:name="_Toc300678005"/>
    <w:p>
      <w:pPr>
        <w:pStyle w:val="style0"/>
        <w:widowControl/>
        <w:spacing w:lineRule="auto" w:line="360"/>
        <w:jc w:val="left"/>
        <w:rPr>
          <w:rFonts w:cs="宋体" w:hint="default"/>
          <w:color w:val="auto"/>
          <w:kern w:val="0"/>
        </w:rPr>
      </w:pPr>
      <w:r>
        <w:rPr>
          <w:rFonts w:cs="宋体"/>
          <w:color w:val="auto"/>
          <w:kern w:val="0"/>
        </w:rPr>
        <w:t>1.5 费用承担</w:t>
      </w:r>
      <w:bookmarkEnd w:id="72"/>
    </w:p>
    <w:p>
      <w:pPr>
        <w:pStyle w:val="style0"/>
        <w:widowControl/>
        <w:spacing w:lineRule="auto" w:line="360"/>
        <w:jc w:val="left"/>
        <w:rPr>
          <w:rFonts w:cs="宋体" w:hint="default"/>
          <w:color w:val="auto"/>
          <w:kern w:val="0"/>
        </w:rPr>
      </w:pPr>
      <w:r>
        <w:rPr>
          <w:rFonts w:cs="宋体"/>
          <w:color w:val="auto"/>
          <w:kern w:val="0"/>
        </w:rPr>
        <w:t>投标人准备和参加投标活动发生的费用自理。</w:t>
      </w:r>
    </w:p>
    <w:bookmarkStart w:id="73" w:name="_Toc300678006"/>
    <w:p>
      <w:pPr>
        <w:pStyle w:val="style0"/>
        <w:widowControl/>
        <w:spacing w:lineRule="auto" w:line="360"/>
        <w:jc w:val="left"/>
        <w:rPr>
          <w:rFonts w:cs="宋体" w:hint="default"/>
          <w:color w:val="auto"/>
          <w:kern w:val="0"/>
        </w:rPr>
      </w:pPr>
      <w:r>
        <w:rPr>
          <w:rFonts w:cs="宋体"/>
          <w:color w:val="auto"/>
          <w:kern w:val="0"/>
        </w:rPr>
        <w:t>1.6 保密</w:t>
      </w:r>
      <w:bookmarkEnd w:id="73"/>
    </w:p>
    <w:p>
      <w:pPr>
        <w:pStyle w:val="style0"/>
        <w:widowControl/>
        <w:spacing w:lineRule="auto" w:line="360"/>
        <w:jc w:val="left"/>
        <w:rPr>
          <w:rFonts w:cs="宋体" w:hint="default"/>
          <w:color w:val="auto"/>
          <w:kern w:val="0"/>
        </w:rPr>
      </w:pPr>
      <w:r>
        <w:rPr>
          <w:rFonts w:cs="宋体"/>
          <w:color w:val="auto"/>
          <w:kern w:val="0"/>
        </w:rPr>
        <w:t>参与招标投标活动的各方应对招标文件和响应文件中的商业和技术等秘密保密，违者应对由此造成的后果承担法律责任。</w:t>
      </w:r>
    </w:p>
    <w:bookmarkStart w:id="74" w:name="_Toc300678007"/>
    <w:p>
      <w:pPr>
        <w:pStyle w:val="style0"/>
        <w:widowControl/>
        <w:spacing w:lineRule="auto" w:line="360"/>
        <w:jc w:val="left"/>
        <w:rPr>
          <w:rFonts w:cs="宋体" w:hint="default"/>
          <w:color w:val="auto"/>
          <w:kern w:val="0"/>
        </w:rPr>
      </w:pPr>
      <w:r>
        <w:rPr>
          <w:rFonts w:cs="宋体"/>
          <w:color w:val="auto"/>
          <w:kern w:val="0"/>
        </w:rPr>
        <w:t>1.7 语言文字</w:t>
      </w:r>
      <w:bookmarkEnd w:id="74"/>
    </w:p>
    <w:p>
      <w:pPr>
        <w:pStyle w:val="style0"/>
        <w:widowControl/>
        <w:spacing w:lineRule="auto" w:line="360"/>
        <w:jc w:val="left"/>
        <w:rPr>
          <w:rFonts w:cs="宋体" w:hint="default"/>
          <w:color w:val="auto"/>
          <w:kern w:val="0"/>
        </w:rPr>
      </w:pPr>
      <w:r>
        <w:rPr>
          <w:rFonts w:cs="宋体"/>
          <w:color w:val="auto"/>
          <w:kern w:val="0"/>
        </w:rPr>
        <w:t>除专用术语外，与招标投标有关的语言均使用中文。必要时专用术语应附有中文注释。</w:t>
      </w:r>
    </w:p>
    <w:bookmarkStart w:id="75" w:name="_Toc300678008"/>
    <w:p>
      <w:pPr>
        <w:pStyle w:val="style0"/>
        <w:widowControl/>
        <w:spacing w:lineRule="auto" w:line="360"/>
        <w:jc w:val="left"/>
        <w:rPr>
          <w:rFonts w:cs="宋体" w:hint="default"/>
          <w:color w:val="auto"/>
          <w:kern w:val="0"/>
        </w:rPr>
      </w:pPr>
      <w:r>
        <w:rPr>
          <w:rFonts w:cs="宋体"/>
          <w:color w:val="auto"/>
          <w:kern w:val="0"/>
        </w:rPr>
        <w:t>1.8 计量单位</w:t>
      </w:r>
      <w:bookmarkEnd w:id="75"/>
    </w:p>
    <w:p>
      <w:pPr>
        <w:pStyle w:val="style0"/>
        <w:widowControl/>
        <w:spacing w:lineRule="auto" w:line="360"/>
        <w:jc w:val="left"/>
        <w:rPr>
          <w:rFonts w:cs="宋体" w:hint="default"/>
          <w:color w:val="auto"/>
          <w:kern w:val="0"/>
        </w:rPr>
      </w:pPr>
      <w:r>
        <w:rPr>
          <w:rFonts w:cs="宋体"/>
          <w:color w:val="auto"/>
          <w:kern w:val="0"/>
        </w:rPr>
        <w:t>所有计量均采用中华人民共和国法定计量单位。</w:t>
      </w:r>
    </w:p>
    <w:bookmarkStart w:id="76" w:name="_Toc300678009"/>
    <w:p>
      <w:pPr>
        <w:pStyle w:val="style0"/>
        <w:widowControl/>
        <w:spacing w:lineRule="auto" w:line="360"/>
        <w:jc w:val="left"/>
        <w:rPr>
          <w:rFonts w:cs="宋体" w:hint="default"/>
          <w:color w:val="auto"/>
          <w:kern w:val="0"/>
        </w:rPr>
      </w:pPr>
      <w:r>
        <w:rPr>
          <w:rFonts w:cs="宋体"/>
          <w:color w:val="auto"/>
          <w:kern w:val="0"/>
        </w:rPr>
        <w:t>1.9 踏勘现场</w:t>
      </w:r>
      <w:bookmarkEnd w:id="76"/>
    </w:p>
    <w:p>
      <w:pPr>
        <w:pStyle w:val="style0"/>
        <w:widowControl/>
        <w:spacing w:lineRule="auto" w:line="360"/>
        <w:jc w:val="left"/>
        <w:rPr>
          <w:rFonts w:cs="宋体" w:hint="default"/>
          <w:color w:val="auto"/>
          <w:kern w:val="0"/>
        </w:rPr>
      </w:pPr>
      <w:r>
        <w:rPr>
          <w:rFonts w:cs="宋体"/>
          <w:color w:val="auto"/>
          <w:kern w:val="0"/>
        </w:rPr>
        <w:t>1.9.1  按投标人须知前附表的规定执行。</w:t>
      </w:r>
    </w:p>
    <w:p>
      <w:pPr>
        <w:pStyle w:val="style0"/>
        <w:widowControl/>
        <w:spacing w:lineRule="auto" w:line="360"/>
        <w:jc w:val="left"/>
        <w:rPr>
          <w:rFonts w:cs="宋体" w:hint="default"/>
          <w:color w:val="auto"/>
          <w:kern w:val="0"/>
        </w:rPr>
      </w:pPr>
      <w:r>
        <w:rPr>
          <w:rFonts w:cs="宋体"/>
          <w:color w:val="auto"/>
          <w:kern w:val="0"/>
        </w:rPr>
        <w:t>1.9.2  投标人踏勘现场发生的费用自理。</w:t>
      </w:r>
    </w:p>
    <w:p>
      <w:pPr>
        <w:pStyle w:val="style0"/>
        <w:widowControl/>
        <w:spacing w:lineRule="auto" w:line="360"/>
        <w:jc w:val="left"/>
        <w:rPr>
          <w:rFonts w:cs="宋体" w:hint="default"/>
          <w:color w:val="auto"/>
          <w:kern w:val="0"/>
        </w:rPr>
      </w:pPr>
      <w:r>
        <w:rPr>
          <w:rFonts w:cs="宋体"/>
          <w:color w:val="auto"/>
          <w:kern w:val="0"/>
        </w:rPr>
        <w:t>1.9.3  除招标人的原因外，投标人自行负责在踏勘现场中所发生的人员伤亡和财产损失。</w:t>
      </w:r>
    </w:p>
    <w:p>
      <w:pPr>
        <w:pStyle w:val="style0"/>
        <w:widowControl/>
        <w:spacing w:lineRule="auto" w:line="360"/>
        <w:jc w:val="left"/>
        <w:rPr>
          <w:rFonts w:cs="宋体" w:hint="default"/>
          <w:color w:val="auto"/>
          <w:kern w:val="0"/>
        </w:rPr>
      </w:pPr>
      <w:r>
        <w:rPr>
          <w:rFonts w:cs="宋体"/>
          <w:color w:val="auto"/>
          <w:kern w:val="0"/>
        </w:rPr>
        <w:t>1.9.4  招标人在踏勘现场有关工程场地和相关环境等情况的介绍，供投标人参考。投标人对自身的判断和决策负责。</w:t>
      </w:r>
    </w:p>
    <w:bookmarkStart w:id="77" w:name="_Toc300678011"/>
    <w:p>
      <w:pPr>
        <w:pStyle w:val="style0"/>
        <w:widowControl/>
        <w:spacing w:lineRule="auto" w:line="360"/>
        <w:jc w:val="left"/>
        <w:rPr>
          <w:rFonts w:cs="宋体" w:hint="default"/>
          <w:color w:val="auto"/>
          <w:kern w:val="0"/>
        </w:rPr>
      </w:pPr>
      <w:r>
        <w:rPr>
          <w:rFonts w:cs="宋体"/>
          <w:color w:val="auto"/>
          <w:kern w:val="0"/>
        </w:rPr>
        <w:t>1.10 分包</w:t>
      </w:r>
      <w:bookmarkEnd w:id="77"/>
    </w:p>
    <w:p>
      <w:pPr>
        <w:pStyle w:val="style0"/>
        <w:widowControl/>
        <w:spacing w:lineRule="auto" w:line="360"/>
        <w:jc w:val="left"/>
        <w:rPr>
          <w:rFonts w:cs="宋体" w:hint="default"/>
          <w:color w:val="auto"/>
          <w:kern w:val="0"/>
        </w:rPr>
      </w:pPr>
      <w:r>
        <w:rPr>
          <w:rFonts w:cs="宋体"/>
          <w:color w:val="auto"/>
          <w:kern w:val="0"/>
        </w:rPr>
        <w:t>本项目严禁分包。</w:t>
      </w:r>
      <w:r>
        <w:rPr>
          <w:rFonts w:cs="宋体"/>
          <w:color w:val="auto"/>
          <w:kern w:val="0"/>
        </w:rPr>
        <w:tab/>
      </w:r>
    </w:p>
    <w:bookmarkStart w:id="78" w:name="_Toc300678012"/>
    <w:p>
      <w:pPr>
        <w:pStyle w:val="style0"/>
        <w:widowControl/>
        <w:spacing w:lineRule="auto" w:line="360"/>
        <w:jc w:val="left"/>
        <w:rPr>
          <w:rFonts w:cs="宋体" w:hint="default"/>
          <w:color w:val="auto"/>
          <w:kern w:val="0"/>
        </w:rPr>
      </w:pPr>
      <w:r>
        <w:rPr>
          <w:rFonts w:cs="宋体"/>
          <w:color w:val="auto"/>
          <w:kern w:val="0"/>
        </w:rPr>
        <w:t>1.11 偏离</w:t>
      </w:r>
      <w:bookmarkEnd w:id="78"/>
    </w:p>
    <w:p>
      <w:pPr>
        <w:pStyle w:val="style0"/>
        <w:widowControl/>
        <w:spacing w:lineRule="auto" w:line="360"/>
        <w:jc w:val="left"/>
        <w:rPr>
          <w:rFonts w:cs="宋体" w:hint="default"/>
          <w:color w:val="auto"/>
          <w:kern w:val="0"/>
        </w:rPr>
      </w:pPr>
      <w:r>
        <w:rPr>
          <w:rFonts w:cs="宋体"/>
          <w:color w:val="auto"/>
          <w:kern w:val="0"/>
        </w:rPr>
        <w:t>投标人须知前附表允许响应文件偏离招标文件某些要求的，偏离应当符合招标文件规定的偏离范围和幅度。</w:t>
      </w:r>
    </w:p>
    <w:bookmarkStart w:id="79" w:name="_Toc27550595"/>
    <w:bookmarkStart w:id="80" w:name="_Toc9178519"/>
    <w:bookmarkStart w:id="81" w:name="_Toc300678013"/>
    <w:p>
      <w:pPr>
        <w:pStyle w:val="style0"/>
        <w:widowControl/>
        <w:spacing w:lineRule="auto" w:line="360"/>
        <w:jc w:val="left"/>
        <w:rPr>
          <w:rFonts w:cs="宋体" w:hint="default"/>
          <w:color w:val="auto"/>
          <w:kern w:val="0"/>
        </w:rPr>
      </w:pPr>
      <w:r>
        <w:rPr>
          <w:rFonts w:cs="宋体"/>
          <w:color w:val="auto"/>
          <w:kern w:val="0"/>
        </w:rPr>
        <w:t>2.招标文件</w:t>
      </w:r>
      <w:bookmarkEnd w:id="79"/>
      <w:bookmarkEnd w:id="80"/>
      <w:bookmarkEnd w:id="81"/>
    </w:p>
    <w:bookmarkStart w:id="82" w:name="_Toc300678014"/>
    <w:p>
      <w:pPr>
        <w:pStyle w:val="style0"/>
        <w:widowControl/>
        <w:spacing w:lineRule="auto" w:line="360"/>
        <w:jc w:val="left"/>
        <w:rPr>
          <w:rFonts w:cs="宋体" w:hint="default"/>
          <w:color w:val="auto"/>
          <w:kern w:val="0"/>
        </w:rPr>
      </w:pPr>
      <w:r>
        <w:rPr>
          <w:rFonts w:cs="宋体"/>
          <w:color w:val="auto"/>
          <w:kern w:val="0"/>
        </w:rPr>
        <w:t>2.1 招标文件的组成</w:t>
      </w:r>
      <w:bookmarkEnd w:id="82"/>
    </w:p>
    <w:p>
      <w:pPr>
        <w:pStyle w:val="style0"/>
        <w:widowControl/>
        <w:spacing w:lineRule="auto" w:line="360"/>
        <w:jc w:val="left"/>
        <w:rPr>
          <w:rFonts w:cs="宋体" w:hint="default"/>
          <w:color w:val="auto"/>
          <w:kern w:val="0"/>
        </w:rPr>
      </w:pPr>
      <w:r>
        <w:rPr>
          <w:rFonts w:cs="宋体"/>
          <w:color w:val="auto"/>
          <w:kern w:val="0"/>
        </w:rPr>
        <w:t>本招标文件包括：</w:t>
      </w:r>
    </w:p>
    <w:p>
      <w:pPr>
        <w:pStyle w:val="style0"/>
        <w:widowControl/>
        <w:spacing w:lineRule="auto" w:line="360"/>
        <w:jc w:val="left"/>
        <w:rPr>
          <w:rFonts w:cs="宋体" w:hint="default"/>
          <w:color w:val="auto"/>
          <w:kern w:val="0"/>
        </w:rPr>
      </w:pPr>
      <w:r>
        <w:rPr>
          <w:rFonts w:cs="宋体"/>
          <w:color w:val="auto"/>
          <w:kern w:val="0"/>
        </w:rPr>
        <w:t>（1）交易公告（或交易公告）；</w:t>
      </w:r>
    </w:p>
    <w:p>
      <w:pPr>
        <w:pStyle w:val="style0"/>
        <w:widowControl/>
        <w:spacing w:lineRule="auto" w:line="360"/>
        <w:jc w:val="left"/>
        <w:rPr>
          <w:rFonts w:cs="宋体" w:hint="default"/>
          <w:color w:val="auto"/>
          <w:kern w:val="0"/>
        </w:rPr>
      </w:pPr>
      <w:r>
        <w:rPr>
          <w:rFonts w:cs="宋体"/>
          <w:color w:val="auto"/>
          <w:kern w:val="0"/>
        </w:rPr>
        <w:t>（2）投标人须知；</w:t>
      </w:r>
    </w:p>
    <w:p>
      <w:pPr>
        <w:pStyle w:val="style0"/>
        <w:widowControl/>
        <w:spacing w:lineRule="auto" w:line="360"/>
        <w:jc w:val="left"/>
        <w:rPr>
          <w:rFonts w:cs="宋体" w:hint="default"/>
          <w:color w:val="auto"/>
          <w:kern w:val="0"/>
        </w:rPr>
      </w:pPr>
      <w:r>
        <w:rPr>
          <w:rFonts w:cs="宋体"/>
          <w:color w:val="auto"/>
          <w:kern w:val="0"/>
        </w:rPr>
        <w:t>（3）评标办法；</w:t>
      </w:r>
    </w:p>
    <w:p>
      <w:pPr>
        <w:pStyle w:val="style0"/>
        <w:widowControl/>
        <w:spacing w:lineRule="auto" w:line="360"/>
        <w:jc w:val="left"/>
        <w:rPr>
          <w:rFonts w:cs="宋体" w:hint="default"/>
          <w:color w:val="auto"/>
          <w:kern w:val="0"/>
        </w:rPr>
      </w:pPr>
      <w:r>
        <w:rPr>
          <w:rFonts w:cs="宋体"/>
          <w:color w:val="auto"/>
          <w:kern w:val="0"/>
        </w:rPr>
        <w:t>（4）合同条款及格式；</w:t>
      </w:r>
    </w:p>
    <w:p>
      <w:pPr>
        <w:pStyle w:val="style0"/>
        <w:widowControl/>
        <w:spacing w:lineRule="auto" w:line="360"/>
        <w:jc w:val="left"/>
        <w:rPr>
          <w:rFonts w:cs="宋体" w:hint="default"/>
          <w:color w:val="auto"/>
          <w:kern w:val="0"/>
        </w:rPr>
      </w:pPr>
      <w:r>
        <w:rPr>
          <w:rFonts w:cs="宋体"/>
          <w:color w:val="auto"/>
          <w:kern w:val="0"/>
        </w:rPr>
        <w:t>（5）委托人要求；</w:t>
      </w:r>
    </w:p>
    <w:p>
      <w:pPr>
        <w:pStyle w:val="style0"/>
        <w:widowControl/>
        <w:spacing w:lineRule="auto" w:line="360"/>
        <w:jc w:val="left"/>
        <w:rPr>
          <w:rFonts w:cs="宋体" w:hint="default"/>
          <w:color w:val="auto"/>
          <w:kern w:val="0"/>
        </w:rPr>
      </w:pPr>
      <w:r>
        <w:rPr>
          <w:rFonts w:cs="宋体"/>
          <w:color w:val="auto"/>
          <w:kern w:val="0"/>
        </w:rPr>
        <w:t>（6）响应文件格式；</w:t>
      </w:r>
    </w:p>
    <w:p>
      <w:pPr>
        <w:pStyle w:val="style0"/>
        <w:widowControl/>
        <w:spacing w:lineRule="auto" w:line="360"/>
        <w:jc w:val="left"/>
        <w:rPr>
          <w:rFonts w:cs="宋体" w:hint="default"/>
          <w:color w:val="auto"/>
          <w:kern w:val="0"/>
        </w:rPr>
      </w:pPr>
      <w:r>
        <w:rPr>
          <w:rFonts w:cs="宋体"/>
          <w:color w:val="auto"/>
          <w:kern w:val="0"/>
        </w:rPr>
        <w:t>（7）投标人须知前附表规定的其他材料。</w:t>
      </w:r>
    </w:p>
    <w:p>
      <w:pPr>
        <w:pStyle w:val="style0"/>
        <w:widowControl/>
        <w:spacing w:lineRule="auto" w:line="360"/>
        <w:jc w:val="left"/>
        <w:rPr>
          <w:rFonts w:cs="宋体" w:hint="default"/>
          <w:color w:val="auto"/>
          <w:kern w:val="0"/>
        </w:rPr>
      </w:pPr>
      <w:r>
        <w:rPr>
          <w:rFonts w:cs="宋体"/>
          <w:color w:val="auto"/>
          <w:kern w:val="0"/>
        </w:rPr>
        <w:t>根据本须知第2.2 项对招标文件所作的澄清和修改，构成招标文件的组成部分。</w:t>
      </w:r>
    </w:p>
    <w:bookmarkStart w:id="83" w:name="_Toc300678015"/>
    <w:p>
      <w:pPr>
        <w:pStyle w:val="style0"/>
        <w:widowControl/>
        <w:spacing w:lineRule="auto" w:line="360"/>
        <w:jc w:val="left"/>
        <w:rPr>
          <w:rFonts w:cs="宋体" w:hint="default"/>
          <w:color w:val="auto"/>
          <w:kern w:val="0"/>
        </w:rPr>
      </w:pPr>
      <w:r>
        <w:rPr>
          <w:rFonts w:cs="宋体"/>
          <w:color w:val="auto"/>
          <w:kern w:val="0"/>
        </w:rPr>
        <w:t>2.2 招标文件的澄清</w:t>
      </w:r>
      <w:bookmarkEnd w:id="83"/>
      <w:r>
        <w:rPr>
          <w:rFonts w:cs="宋体"/>
          <w:color w:val="auto"/>
          <w:kern w:val="0"/>
        </w:rPr>
        <w:t>和修改</w:t>
      </w:r>
    </w:p>
    <w:p>
      <w:pPr>
        <w:pStyle w:val="style0"/>
        <w:widowControl/>
        <w:spacing w:lineRule="auto" w:line="360"/>
        <w:jc w:val="left"/>
        <w:rPr>
          <w:rFonts w:cs="宋体" w:hint="default"/>
          <w:color w:val="auto"/>
          <w:kern w:val="0"/>
        </w:rPr>
      </w:pPr>
      <w:r>
        <w:rPr>
          <w:rFonts w:cs="宋体"/>
          <w:color w:val="auto"/>
          <w:kern w:val="0"/>
        </w:rPr>
        <w:t>2.2.1  投标人应仔细阅读和检查招标文件的全部内容。如有疑问，应当在投标人须知前附表规定的时间之前，按照规定的方式，要求招标人澄清。</w:t>
      </w:r>
    </w:p>
    <w:p>
      <w:pPr>
        <w:pStyle w:val="style0"/>
        <w:widowControl/>
        <w:spacing w:lineRule="auto" w:line="360"/>
        <w:jc w:val="left"/>
        <w:rPr>
          <w:rFonts w:cs="宋体" w:hint="default"/>
          <w:color w:val="auto"/>
          <w:kern w:val="0"/>
        </w:rPr>
      </w:pPr>
      <w:r>
        <w:rPr>
          <w:rFonts w:cs="宋体"/>
          <w:color w:val="auto"/>
          <w:kern w:val="0"/>
        </w:rPr>
        <w:t>2.2.2  招标文件的澄清或者修改的内容可能影响响应文件编制的，由招标人在投标人须知前附表规定的投标截止时间至少</w:t>
      </w:r>
      <w:r>
        <w:rPr>
          <w:rFonts w:cs="宋体" w:hint="eastAsia"/>
          <w:color w:val="auto"/>
          <w:kern w:val="0"/>
          <w:lang w:val="en-US" w:eastAsia="zh-CN"/>
        </w:rPr>
        <w:t>3</w:t>
      </w:r>
      <w:r>
        <w:rPr>
          <w:rFonts w:cs="宋体"/>
          <w:color w:val="auto"/>
          <w:kern w:val="0"/>
        </w:rPr>
        <w:t>日前，在投标人须知前附表规定的媒介发布；不足</w:t>
      </w:r>
      <w:r>
        <w:rPr>
          <w:rFonts w:cs="宋体" w:hint="eastAsia"/>
          <w:color w:val="auto"/>
          <w:kern w:val="0"/>
          <w:lang w:val="en-US" w:eastAsia="zh-CN"/>
        </w:rPr>
        <w:t>3</w:t>
      </w:r>
      <w:r>
        <w:rPr>
          <w:rFonts w:cs="宋体"/>
          <w:color w:val="auto"/>
          <w:kern w:val="0"/>
        </w:rPr>
        <w:t>日，相应顺延投标截止时间。</w:t>
      </w:r>
    </w:p>
    <w:p>
      <w:pPr>
        <w:pStyle w:val="style0"/>
        <w:widowControl/>
        <w:spacing w:lineRule="auto" w:line="360"/>
        <w:jc w:val="left"/>
        <w:rPr>
          <w:rFonts w:cs="宋体" w:hint="default"/>
          <w:color w:val="auto"/>
          <w:kern w:val="0"/>
        </w:rPr>
      </w:pPr>
      <w:r>
        <w:rPr>
          <w:rFonts w:cs="宋体"/>
          <w:color w:val="auto"/>
          <w:kern w:val="0"/>
        </w:rPr>
        <w:t>2.2.3招标文件澄清或者修改的内容由投标人在投标人须知前附表规定的媒介上自行查阅。</w:t>
      </w:r>
    </w:p>
    <w:bookmarkStart w:id="84" w:name="_Toc27550596"/>
    <w:bookmarkStart w:id="85" w:name="_Toc9178520"/>
    <w:bookmarkStart w:id="86" w:name="_Toc300678017"/>
    <w:p>
      <w:pPr>
        <w:pStyle w:val="style0"/>
        <w:widowControl/>
        <w:spacing w:lineRule="auto" w:line="360"/>
        <w:jc w:val="left"/>
        <w:rPr>
          <w:rFonts w:cs="宋体" w:hint="default"/>
          <w:color w:val="auto"/>
          <w:kern w:val="0"/>
        </w:rPr>
      </w:pPr>
      <w:r>
        <w:rPr>
          <w:rFonts w:cs="宋体"/>
          <w:color w:val="auto"/>
          <w:kern w:val="0"/>
        </w:rPr>
        <w:t>3.</w:t>
      </w:r>
      <w:bookmarkEnd w:id="84"/>
      <w:bookmarkEnd w:id="85"/>
      <w:bookmarkEnd w:id="86"/>
      <w:r>
        <w:rPr>
          <w:rFonts w:cs="宋体"/>
          <w:color w:val="auto"/>
          <w:kern w:val="0"/>
        </w:rPr>
        <w:t>响应文件</w:t>
      </w:r>
    </w:p>
    <w:bookmarkStart w:id="87" w:name="_Toc300678018"/>
    <w:p>
      <w:pPr>
        <w:pStyle w:val="style0"/>
        <w:widowControl/>
        <w:spacing w:lineRule="auto" w:line="360"/>
        <w:jc w:val="left"/>
        <w:rPr>
          <w:rFonts w:cs="宋体" w:hint="default"/>
          <w:color w:val="auto"/>
          <w:kern w:val="0"/>
        </w:rPr>
      </w:pPr>
      <w:r>
        <w:rPr>
          <w:rFonts w:cs="宋体"/>
          <w:color w:val="auto"/>
          <w:kern w:val="0"/>
        </w:rPr>
        <w:t>3.1 响应文件的组成</w:t>
      </w:r>
      <w:bookmarkEnd w:id="87"/>
    </w:p>
    <w:p>
      <w:pPr>
        <w:pStyle w:val="style0"/>
        <w:widowControl/>
        <w:spacing w:lineRule="auto" w:line="360"/>
        <w:jc w:val="left"/>
        <w:rPr>
          <w:rFonts w:cs="宋体" w:hint="default"/>
          <w:color w:val="auto"/>
          <w:kern w:val="0"/>
        </w:rPr>
      </w:pPr>
      <w:r>
        <w:rPr>
          <w:rFonts w:cs="宋体"/>
          <w:color w:val="auto"/>
          <w:kern w:val="0"/>
        </w:rPr>
        <w:t>3.1.1  响应文件具体内容详见第六章响应文件格式。</w:t>
      </w:r>
    </w:p>
    <w:p>
      <w:pPr>
        <w:pStyle w:val="style0"/>
        <w:widowControl/>
        <w:spacing w:lineRule="auto" w:line="360"/>
        <w:jc w:val="left"/>
        <w:rPr>
          <w:rFonts w:cs="宋体" w:hint="default"/>
          <w:color w:val="auto"/>
          <w:kern w:val="0"/>
        </w:rPr>
      </w:pPr>
      <w:r>
        <w:rPr>
          <w:rFonts w:cs="宋体"/>
          <w:color w:val="auto"/>
          <w:kern w:val="0"/>
        </w:rPr>
        <w:t>3.1.2  投标人须知前附表规定不接受联合体投标的，或投标人没有组成联合体的，响应文件不包括联合体协议书。</w:t>
      </w:r>
    </w:p>
    <w:bookmarkStart w:id="88" w:name="_Toc300678019"/>
    <w:p>
      <w:pPr>
        <w:pStyle w:val="style0"/>
        <w:widowControl/>
        <w:spacing w:lineRule="auto" w:line="360"/>
        <w:jc w:val="left"/>
        <w:rPr>
          <w:rFonts w:cs="宋体" w:hint="default"/>
          <w:color w:val="auto"/>
          <w:kern w:val="0"/>
        </w:rPr>
      </w:pPr>
      <w:r>
        <w:rPr>
          <w:rFonts w:cs="宋体"/>
          <w:color w:val="auto"/>
          <w:kern w:val="0"/>
        </w:rPr>
        <w:t>3.2 投标报价</w:t>
      </w:r>
      <w:bookmarkEnd w:id="88"/>
    </w:p>
    <w:p>
      <w:pPr>
        <w:pStyle w:val="style0"/>
        <w:widowControl/>
        <w:spacing w:lineRule="auto" w:line="360"/>
        <w:jc w:val="left"/>
        <w:rPr>
          <w:rFonts w:cs="宋体" w:hint="default"/>
          <w:color w:val="auto"/>
          <w:kern w:val="0"/>
        </w:rPr>
      </w:pPr>
      <w:r>
        <w:rPr>
          <w:rFonts w:cs="宋体"/>
          <w:color w:val="auto"/>
          <w:kern w:val="0"/>
        </w:rPr>
        <w:t>3.2.1 投标报价应包括国家规定的增值税税金，除投标人须知前附表另有规定外，增值税税金按一般计税方法计算。投标人应按第六章“响应文件格式”的要求在投标函中进行报价。</w:t>
      </w:r>
    </w:p>
    <w:p>
      <w:pPr>
        <w:pStyle w:val="style0"/>
        <w:widowControl/>
        <w:spacing w:lineRule="auto" w:line="360"/>
        <w:jc w:val="left"/>
        <w:rPr>
          <w:rFonts w:cs="宋体" w:hint="default"/>
          <w:color w:val="auto"/>
          <w:kern w:val="0"/>
        </w:rPr>
      </w:pPr>
      <w:r>
        <w:rPr>
          <w:rFonts w:cs="宋体"/>
          <w:color w:val="auto"/>
          <w:kern w:val="0"/>
        </w:rPr>
        <w:t>3.2.2 投标人应充分了解该项目的总体情况以及影响投标报价的其他要素。</w:t>
      </w:r>
    </w:p>
    <w:p>
      <w:pPr>
        <w:pStyle w:val="style0"/>
        <w:widowControl/>
        <w:spacing w:lineRule="auto" w:line="360"/>
        <w:jc w:val="left"/>
        <w:rPr>
          <w:rFonts w:cs="宋体" w:hint="default"/>
          <w:color w:val="auto"/>
          <w:kern w:val="0"/>
        </w:rPr>
      </w:pPr>
      <w:r>
        <w:rPr>
          <w:rFonts w:cs="宋体"/>
          <w:color w:val="auto"/>
          <w:kern w:val="0"/>
        </w:rPr>
        <w:t>3.2.3  本项目的报价方式见投标人须知前附表。</w:t>
      </w:r>
    </w:p>
    <w:p>
      <w:pPr>
        <w:pStyle w:val="style0"/>
        <w:widowControl/>
        <w:spacing w:lineRule="auto" w:line="360"/>
        <w:jc w:val="left"/>
        <w:rPr>
          <w:rFonts w:cs="宋体" w:hint="default"/>
          <w:color w:val="auto"/>
          <w:kern w:val="0"/>
        </w:rPr>
      </w:pPr>
      <w:r>
        <w:rPr>
          <w:rFonts w:cs="宋体"/>
          <w:color w:val="auto"/>
          <w:kern w:val="0"/>
        </w:rPr>
        <w:t>3.2.4 招标人设有最高投标限价的，投标人的投标报价不得超过最高投标限价，最高投标限价在投标人须知前附表中载明。</w:t>
      </w:r>
    </w:p>
    <w:p>
      <w:pPr>
        <w:pStyle w:val="style0"/>
        <w:widowControl/>
        <w:spacing w:lineRule="auto" w:line="360"/>
        <w:jc w:val="left"/>
        <w:rPr>
          <w:rFonts w:cs="宋体" w:hint="default"/>
          <w:color w:val="auto"/>
          <w:kern w:val="0"/>
        </w:rPr>
      </w:pPr>
      <w:r>
        <w:rPr>
          <w:rFonts w:cs="宋体"/>
          <w:color w:val="auto"/>
          <w:kern w:val="0"/>
        </w:rPr>
        <w:t>3.2.5 投标报价的其他要求见投标人须知前附表。</w:t>
      </w:r>
    </w:p>
    <w:bookmarkStart w:id="89" w:name="_Toc300678020"/>
    <w:p>
      <w:pPr>
        <w:pStyle w:val="style0"/>
        <w:widowControl/>
        <w:spacing w:lineRule="auto" w:line="360"/>
        <w:jc w:val="left"/>
        <w:rPr>
          <w:rFonts w:cs="宋体" w:hint="default"/>
          <w:color w:val="auto"/>
          <w:kern w:val="0"/>
        </w:rPr>
      </w:pPr>
      <w:r>
        <w:rPr>
          <w:rFonts w:cs="宋体"/>
          <w:color w:val="auto"/>
          <w:kern w:val="0"/>
        </w:rPr>
        <w:t>3.3 投标有效期</w:t>
      </w:r>
      <w:bookmarkEnd w:id="89"/>
    </w:p>
    <w:p>
      <w:pPr>
        <w:pStyle w:val="style0"/>
        <w:widowControl/>
        <w:spacing w:lineRule="auto" w:line="360"/>
        <w:jc w:val="left"/>
        <w:rPr>
          <w:rFonts w:cs="宋体" w:hint="default"/>
          <w:color w:val="auto"/>
          <w:kern w:val="0"/>
        </w:rPr>
      </w:pPr>
      <w:r>
        <w:rPr>
          <w:rFonts w:cs="宋体"/>
          <w:color w:val="auto"/>
          <w:kern w:val="0"/>
        </w:rPr>
        <w:t>3.3.1  在投标人须知前附表规定的投标有效期内，投标人不得要求撤销或修改其响应文件。</w:t>
      </w:r>
    </w:p>
    <w:p>
      <w:pPr>
        <w:pStyle w:val="style0"/>
        <w:widowControl/>
        <w:spacing w:lineRule="auto" w:line="360"/>
        <w:jc w:val="left"/>
        <w:rPr>
          <w:rFonts w:cs="宋体" w:hint="default"/>
          <w:color w:val="auto"/>
          <w:kern w:val="0"/>
        </w:rPr>
      </w:pPr>
      <w:r>
        <w:rPr>
          <w:rFonts w:cs="宋体"/>
          <w:color w:val="auto"/>
          <w:kern w:val="0"/>
        </w:rPr>
        <w:t>3.3.2  出现特殊情况需要延长投标有效期的，招标人通知所有投标人延长投标有效期。投标人同意延长的，应相应延长其投标保证的有效期，且不得要求或被允许修改或撤销其响应文件；投标人拒绝延长的，其投标失效，投标人有权收回其投标保证。</w:t>
      </w:r>
    </w:p>
    <w:bookmarkStart w:id="90" w:name="_Toc300678021"/>
    <w:p>
      <w:pPr>
        <w:pStyle w:val="style0"/>
        <w:widowControl/>
        <w:spacing w:lineRule="auto" w:line="360"/>
        <w:jc w:val="left"/>
        <w:rPr>
          <w:rFonts w:cs="宋体" w:hint="default"/>
          <w:color w:val="auto"/>
          <w:kern w:val="0"/>
        </w:rPr>
      </w:pPr>
      <w:r>
        <w:rPr>
          <w:rFonts w:cs="宋体"/>
          <w:color w:val="auto"/>
          <w:kern w:val="0"/>
        </w:rPr>
        <w:t>3.4 投标保证</w:t>
      </w:r>
      <w:bookmarkEnd w:id="90"/>
    </w:p>
    <w:p>
      <w:pPr>
        <w:pStyle w:val="style0"/>
        <w:widowControl/>
        <w:spacing w:lineRule="auto" w:line="360"/>
        <w:jc w:val="left"/>
        <w:rPr>
          <w:rFonts w:cs="宋体" w:hint="default"/>
          <w:color w:val="auto"/>
          <w:kern w:val="0"/>
        </w:rPr>
      </w:pPr>
      <w:r>
        <w:rPr>
          <w:rFonts w:cs="宋体"/>
          <w:color w:val="auto"/>
          <w:kern w:val="0"/>
        </w:rPr>
        <w:t>3.4.1 采用承诺的形式，格式详见第六章响应文件格式五。</w:t>
      </w:r>
    </w:p>
    <w:p>
      <w:pPr>
        <w:pStyle w:val="style0"/>
        <w:widowControl/>
        <w:spacing w:lineRule="auto" w:line="360"/>
        <w:jc w:val="left"/>
        <w:rPr>
          <w:rFonts w:cs="宋体" w:hint="default"/>
          <w:color w:val="auto"/>
          <w:kern w:val="0"/>
        </w:rPr>
      </w:pPr>
      <w:r>
        <w:rPr>
          <w:rFonts w:cs="宋体"/>
          <w:color w:val="auto"/>
          <w:kern w:val="0"/>
        </w:rPr>
        <w:t>3.4.2未按要求承诺的，评标委员会应否决其投标。</w:t>
      </w:r>
    </w:p>
    <w:p>
      <w:pPr>
        <w:pStyle w:val="style0"/>
        <w:widowControl/>
        <w:spacing w:lineRule="auto" w:line="360"/>
        <w:jc w:val="left"/>
        <w:rPr>
          <w:rFonts w:cs="宋体" w:hint="default"/>
          <w:color w:val="auto"/>
          <w:kern w:val="0"/>
        </w:rPr>
      </w:pPr>
      <w:r>
        <w:rPr>
          <w:rFonts w:cs="宋体"/>
          <w:color w:val="auto"/>
          <w:kern w:val="0"/>
        </w:rPr>
        <w:t>3.4.3有下列情形之一的，将提请住房城乡建设主管部门给予投标人不良行为记录</w:t>
      </w:r>
    </w:p>
    <w:p>
      <w:pPr>
        <w:pStyle w:val="style0"/>
        <w:widowControl/>
        <w:spacing w:lineRule="auto" w:line="360"/>
        <w:jc w:val="left"/>
        <w:rPr>
          <w:rFonts w:cs="宋体" w:hint="default"/>
          <w:color w:val="auto"/>
          <w:kern w:val="0"/>
        </w:rPr>
      </w:pPr>
      <w:r>
        <w:rPr>
          <w:rFonts w:cs="宋体"/>
          <w:color w:val="auto"/>
          <w:kern w:val="0"/>
        </w:rPr>
        <w:t>（1）投标人在规定的投标有效期内撤销或修改其响应文件；</w:t>
      </w:r>
    </w:p>
    <w:p>
      <w:pPr>
        <w:pStyle w:val="style0"/>
        <w:widowControl/>
        <w:spacing w:lineRule="auto" w:line="360"/>
        <w:jc w:val="left"/>
        <w:rPr>
          <w:rFonts w:cs="宋体" w:hint="default"/>
          <w:color w:val="auto"/>
          <w:kern w:val="0"/>
        </w:rPr>
      </w:pPr>
      <w:r>
        <w:rPr>
          <w:rFonts w:cs="宋体"/>
          <w:color w:val="auto"/>
          <w:kern w:val="0"/>
        </w:rPr>
        <w:t>（2）投标人被确定为中标人后，无正当理由不与招标人订立合同，或者在签订合同时向招标人提出附加条件，或者不按招标文件要求提交履约担保。</w:t>
      </w:r>
    </w:p>
    <w:bookmarkStart w:id="91" w:name="_Toc300678022"/>
    <w:p>
      <w:pPr>
        <w:pStyle w:val="style0"/>
        <w:widowControl/>
        <w:spacing w:lineRule="auto" w:line="360"/>
        <w:jc w:val="left"/>
        <w:rPr>
          <w:rFonts w:cs="宋体" w:hint="default"/>
          <w:color w:val="auto"/>
          <w:kern w:val="0"/>
        </w:rPr>
      </w:pPr>
      <w:r>
        <w:rPr>
          <w:rFonts w:cs="宋体"/>
          <w:color w:val="auto"/>
          <w:kern w:val="0"/>
        </w:rPr>
        <w:t>3.5资格审查资料</w:t>
      </w:r>
    </w:p>
    <w:bookmarkEnd w:id="91"/>
    <w:p>
      <w:pPr>
        <w:pStyle w:val="style0"/>
        <w:widowControl/>
        <w:spacing w:lineRule="auto" w:line="360"/>
        <w:jc w:val="left"/>
        <w:rPr>
          <w:rFonts w:cs="宋体" w:hint="default"/>
          <w:color w:val="auto"/>
          <w:kern w:val="0"/>
        </w:rPr>
      </w:pPr>
      <w:r>
        <w:rPr>
          <w:rFonts w:cs="宋体"/>
          <w:color w:val="auto"/>
          <w:kern w:val="0"/>
        </w:rPr>
        <w:t>按照本须知第1.4.1项的规定提交资格审查资料，具体要求详见第六章“响应文件格式”。</w:t>
      </w:r>
    </w:p>
    <w:p>
      <w:pPr>
        <w:pStyle w:val="style0"/>
        <w:widowControl/>
        <w:spacing w:lineRule="auto" w:line="360"/>
        <w:jc w:val="left"/>
        <w:rPr>
          <w:rFonts w:cs="宋体" w:hint="default"/>
          <w:color w:val="auto"/>
          <w:kern w:val="0"/>
        </w:rPr>
      </w:pPr>
      <w:r>
        <w:rPr>
          <w:rFonts w:cs="宋体"/>
          <w:color w:val="auto"/>
          <w:kern w:val="0"/>
        </w:rPr>
        <w:t>3.6 备选投标方案</w:t>
      </w:r>
    </w:p>
    <w:p>
      <w:pPr>
        <w:pStyle w:val="style0"/>
        <w:widowControl/>
        <w:spacing w:lineRule="auto" w:line="360"/>
        <w:jc w:val="left"/>
        <w:rPr>
          <w:rFonts w:cs="宋体" w:hint="default"/>
          <w:color w:val="auto"/>
          <w:kern w:val="0"/>
        </w:rPr>
      </w:pPr>
      <w:r>
        <w:rPr>
          <w:rFonts w:cs="宋体"/>
          <w:color w:val="auto"/>
          <w:kern w:val="0"/>
        </w:rPr>
        <w:t>除投标人须知前附表另有规定外，投标人不得递交备选投标方案。</w:t>
      </w:r>
      <w:bookmarkStart w:id="92" w:name="_Toc300678025"/>
    </w:p>
    <w:p>
      <w:pPr>
        <w:pStyle w:val="style0"/>
        <w:widowControl/>
        <w:spacing w:lineRule="auto" w:line="360"/>
        <w:jc w:val="left"/>
        <w:rPr>
          <w:rFonts w:cs="宋体" w:hint="default"/>
          <w:color w:val="auto"/>
          <w:kern w:val="0"/>
        </w:rPr>
      </w:pPr>
      <w:r>
        <w:rPr>
          <w:rFonts w:cs="宋体"/>
          <w:color w:val="auto"/>
          <w:kern w:val="0"/>
        </w:rPr>
        <w:t>3.7 响应文件的编制</w:t>
      </w:r>
      <w:bookmarkEnd w:id="92"/>
    </w:p>
    <w:p>
      <w:pPr>
        <w:pStyle w:val="style0"/>
        <w:widowControl/>
        <w:spacing w:lineRule="auto" w:line="360"/>
        <w:jc w:val="left"/>
        <w:rPr>
          <w:rFonts w:cs="宋体" w:hint="default"/>
          <w:color w:val="auto"/>
          <w:kern w:val="0"/>
        </w:rPr>
      </w:pPr>
      <w:r>
        <w:rPr>
          <w:rFonts w:cs="宋体"/>
          <w:color w:val="auto"/>
          <w:kern w:val="0"/>
        </w:rPr>
        <w:t>3.7.1  响应文件应按第六章“响应文件格式”编写。可以增加附页，作为响应文件的组成部分。其中，投标函附录在满足招标文件实质性要求的基础上，可以提出比招标文件要求更有利于招标人的承诺。</w:t>
      </w:r>
    </w:p>
    <w:p>
      <w:pPr>
        <w:pStyle w:val="style0"/>
        <w:widowControl/>
        <w:spacing w:lineRule="auto" w:line="360"/>
        <w:jc w:val="left"/>
        <w:rPr>
          <w:rFonts w:cs="宋体" w:hint="default"/>
          <w:color w:val="auto"/>
          <w:kern w:val="0"/>
        </w:rPr>
      </w:pPr>
      <w:r>
        <w:rPr>
          <w:rFonts w:cs="宋体"/>
          <w:color w:val="auto"/>
          <w:kern w:val="0"/>
        </w:rPr>
        <w:t>3.7.2  响应文件应当对招标文件有关监理服务期、投标有效期、委托人要求、招标范围等内容作出实质性响应。</w:t>
      </w:r>
    </w:p>
    <w:p>
      <w:pPr>
        <w:pStyle w:val="style0"/>
        <w:widowControl/>
        <w:spacing w:lineRule="auto" w:line="360"/>
        <w:jc w:val="left"/>
        <w:rPr>
          <w:rFonts w:cs="宋体" w:hint="default"/>
          <w:color w:val="auto"/>
          <w:kern w:val="0"/>
        </w:rPr>
      </w:pPr>
      <w:r>
        <w:rPr>
          <w:rFonts w:cs="宋体"/>
          <w:color w:val="auto"/>
          <w:kern w:val="0"/>
        </w:rPr>
        <w:t>3.7.4响应文件份数见投标人须知前附表。</w:t>
      </w:r>
    </w:p>
    <w:bookmarkStart w:id="93" w:name="_Toc9178521"/>
    <w:bookmarkStart w:id="94" w:name="_Toc300678026"/>
    <w:bookmarkStart w:id="95" w:name="_Toc27550597"/>
    <w:p>
      <w:pPr>
        <w:pStyle w:val="style0"/>
        <w:widowControl/>
        <w:spacing w:lineRule="auto" w:line="360"/>
        <w:jc w:val="left"/>
        <w:rPr>
          <w:rFonts w:cs="宋体" w:hint="default"/>
          <w:color w:val="auto"/>
          <w:kern w:val="0"/>
        </w:rPr>
      </w:pPr>
      <w:r>
        <w:rPr>
          <w:rFonts w:cs="宋体"/>
          <w:color w:val="auto"/>
          <w:kern w:val="0"/>
        </w:rPr>
        <w:t>4.投标</w:t>
      </w:r>
      <w:bookmarkEnd w:id="93"/>
      <w:bookmarkEnd w:id="94"/>
      <w:bookmarkEnd w:id="95"/>
    </w:p>
    <w:bookmarkStart w:id="96" w:name="_Toc300678027"/>
    <w:p>
      <w:pPr>
        <w:pStyle w:val="style0"/>
        <w:widowControl/>
        <w:spacing w:lineRule="auto" w:line="360"/>
        <w:jc w:val="left"/>
        <w:rPr>
          <w:rFonts w:cs="宋体" w:hint="default"/>
          <w:color w:val="auto"/>
          <w:kern w:val="0"/>
        </w:rPr>
      </w:pPr>
      <w:r>
        <w:rPr>
          <w:rFonts w:cs="宋体"/>
          <w:color w:val="auto"/>
          <w:kern w:val="0"/>
        </w:rPr>
        <w:t>4.1 响应文件的密封和标记</w:t>
      </w:r>
      <w:bookmarkEnd w:id="96"/>
    </w:p>
    <w:p>
      <w:pPr>
        <w:pStyle w:val="style0"/>
        <w:widowControl/>
        <w:spacing w:lineRule="auto" w:line="360"/>
        <w:jc w:val="left"/>
        <w:rPr>
          <w:rFonts w:cs="宋体" w:hint="default"/>
          <w:color w:val="auto"/>
          <w:kern w:val="0"/>
        </w:rPr>
      </w:pPr>
      <w:r>
        <w:rPr>
          <w:rFonts w:cs="宋体"/>
          <w:color w:val="auto"/>
          <w:kern w:val="0"/>
        </w:rPr>
        <w:t>4.1.1 投标人应当按照投标人须知前附表的规定。</w:t>
      </w:r>
    </w:p>
    <w:bookmarkStart w:id="97" w:name="_Toc300678028"/>
    <w:p>
      <w:pPr>
        <w:pStyle w:val="style0"/>
        <w:widowControl/>
        <w:spacing w:lineRule="auto" w:line="360"/>
        <w:jc w:val="left"/>
        <w:rPr>
          <w:rFonts w:cs="宋体" w:hint="default"/>
          <w:color w:val="auto"/>
          <w:kern w:val="0"/>
        </w:rPr>
      </w:pPr>
      <w:r>
        <w:rPr>
          <w:rFonts w:cs="宋体"/>
          <w:color w:val="auto"/>
          <w:kern w:val="0"/>
        </w:rPr>
        <w:t>4.2 响应文件的递交</w:t>
      </w:r>
      <w:bookmarkEnd w:id="97"/>
    </w:p>
    <w:p>
      <w:pPr>
        <w:pStyle w:val="style0"/>
        <w:widowControl/>
        <w:spacing w:lineRule="auto" w:line="360"/>
        <w:jc w:val="left"/>
        <w:rPr>
          <w:rFonts w:cs="宋体" w:hint="default"/>
          <w:color w:val="auto"/>
          <w:kern w:val="0"/>
        </w:rPr>
      </w:pPr>
      <w:r>
        <w:rPr>
          <w:rFonts w:cs="宋体"/>
          <w:color w:val="auto"/>
          <w:kern w:val="0"/>
        </w:rPr>
        <w:t>4.2.1投标人应当在投标人须知前附表规定的投标截止时间前递交响应文件。</w:t>
      </w:r>
    </w:p>
    <w:p>
      <w:pPr>
        <w:pStyle w:val="style0"/>
        <w:widowControl/>
        <w:spacing w:lineRule="auto" w:line="360"/>
        <w:jc w:val="left"/>
        <w:rPr>
          <w:rFonts w:cs="宋体" w:hint="default"/>
          <w:color w:val="auto"/>
          <w:kern w:val="0"/>
        </w:rPr>
      </w:pPr>
      <w:r>
        <w:rPr>
          <w:rFonts w:cs="宋体"/>
          <w:color w:val="auto"/>
          <w:kern w:val="0"/>
        </w:rPr>
        <w:t>4.3 响应文件的修改与撤回</w:t>
      </w:r>
    </w:p>
    <w:p>
      <w:pPr>
        <w:pStyle w:val="style0"/>
        <w:widowControl/>
        <w:spacing w:lineRule="auto" w:line="360"/>
        <w:jc w:val="left"/>
        <w:rPr>
          <w:rFonts w:cs="宋体" w:hint="default"/>
          <w:color w:val="auto"/>
          <w:kern w:val="0"/>
        </w:rPr>
      </w:pPr>
      <w:r>
        <w:rPr>
          <w:rFonts w:cs="宋体"/>
          <w:color w:val="auto"/>
          <w:kern w:val="0"/>
        </w:rPr>
        <w:t>4.3.1  在投标人须知前附表规定的投标截止时间前，投标人可以修改或撤回已递交响应文件。</w:t>
      </w:r>
    </w:p>
    <w:bookmarkStart w:id="98" w:name="_Toc9178522"/>
    <w:bookmarkStart w:id="99" w:name="_Toc300678029"/>
    <w:bookmarkStart w:id="100" w:name="_Toc27550598"/>
    <w:p>
      <w:pPr>
        <w:pStyle w:val="style0"/>
        <w:widowControl/>
        <w:spacing w:lineRule="auto" w:line="360"/>
        <w:jc w:val="left"/>
        <w:rPr>
          <w:rFonts w:cs="宋体" w:hint="default"/>
          <w:color w:val="auto"/>
          <w:kern w:val="0"/>
        </w:rPr>
      </w:pPr>
      <w:r>
        <w:rPr>
          <w:rFonts w:cs="宋体"/>
          <w:color w:val="auto"/>
          <w:kern w:val="0"/>
        </w:rPr>
        <w:t>5.开标</w:t>
      </w:r>
      <w:bookmarkEnd w:id="98"/>
      <w:bookmarkEnd w:id="99"/>
      <w:bookmarkEnd w:id="100"/>
    </w:p>
    <w:bookmarkStart w:id="101" w:name="_Toc300678030"/>
    <w:p>
      <w:pPr>
        <w:pStyle w:val="style0"/>
        <w:widowControl/>
        <w:spacing w:lineRule="auto" w:line="360"/>
        <w:jc w:val="left"/>
        <w:rPr>
          <w:rFonts w:cs="宋体" w:hint="default"/>
          <w:color w:val="auto"/>
          <w:kern w:val="0"/>
        </w:rPr>
      </w:pPr>
      <w:r>
        <w:rPr>
          <w:rFonts w:cs="宋体"/>
          <w:color w:val="auto"/>
          <w:kern w:val="0"/>
        </w:rPr>
        <w:t>5.1 开标时间和地点</w:t>
      </w:r>
      <w:bookmarkEnd w:id="101"/>
    </w:p>
    <w:bookmarkStart w:id="102" w:name="_Toc300678031"/>
    <w:p>
      <w:pPr>
        <w:pStyle w:val="style0"/>
        <w:widowControl/>
        <w:spacing w:lineRule="auto" w:line="360"/>
        <w:jc w:val="left"/>
        <w:rPr>
          <w:rFonts w:cs="宋体" w:hint="default"/>
          <w:color w:val="auto"/>
          <w:kern w:val="0"/>
        </w:rPr>
      </w:pPr>
      <w:r>
        <w:rPr>
          <w:rFonts w:cs="宋体"/>
          <w:color w:val="auto"/>
          <w:kern w:val="0"/>
        </w:rPr>
        <w:t>所有投标人的法定代表人或其委托代理人（授权委托代理人必须为拟任本项目的总监理工程师）应当准时参加，同时招标人在投标人须知前附表规定的地点设立开标会场。</w:t>
      </w:r>
    </w:p>
    <w:p>
      <w:pPr>
        <w:pStyle w:val="style0"/>
        <w:widowControl/>
        <w:spacing w:lineRule="auto" w:line="360"/>
        <w:jc w:val="left"/>
        <w:rPr>
          <w:rFonts w:cs="宋体" w:hint="default"/>
          <w:color w:val="auto"/>
          <w:kern w:val="0"/>
        </w:rPr>
      </w:pPr>
      <w:r>
        <w:rPr>
          <w:rFonts w:cs="宋体"/>
          <w:color w:val="auto"/>
          <w:kern w:val="0"/>
        </w:rPr>
        <w:t>5.2 开标程序</w:t>
      </w:r>
      <w:bookmarkEnd w:id="102"/>
    </w:p>
    <w:p>
      <w:pPr>
        <w:pStyle w:val="style0"/>
        <w:widowControl/>
        <w:spacing w:lineRule="auto" w:line="360"/>
        <w:jc w:val="left"/>
        <w:rPr>
          <w:rFonts w:cs="宋体" w:hint="default"/>
          <w:color w:val="auto"/>
          <w:kern w:val="0"/>
        </w:rPr>
      </w:pPr>
      <w:r>
        <w:rPr>
          <w:rFonts w:cs="宋体"/>
          <w:color w:val="auto"/>
          <w:kern w:val="0"/>
        </w:rPr>
        <w:t>主持人按下列程序进行开标：</w:t>
      </w:r>
    </w:p>
    <w:p>
      <w:pPr>
        <w:pStyle w:val="style0"/>
        <w:widowControl/>
        <w:spacing w:lineRule="auto" w:line="360"/>
        <w:jc w:val="left"/>
        <w:rPr>
          <w:rFonts w:cs="宋体" w:hint="default"/>
          <w:color w:val="auto"/>
          <w:kern w:val="0"/>
        </w:rPr>
      </w:pPr>
      <w:r>
        <w:rPr>
          <w:rFonts w:cs="宋体"/>
          <w:color w:val="auto"/>
          <w:kern w:val="0"/>
        </w:rPr>
        <w:t>（l）公布在投标截止时间前递交响应文件的投标人名称；</w:t>
      </w:r>
    </w:p>
    <w:p>
      <w:pPr>
        <w:pStyle w:val="style0"/>
        <w:widowControl/>
        <w:spacing w:lineRule="auto" w:line="360"/>
        <w:jc w:val="left"/>
        <w:rPr>
          <w:rFonts w:cs="宋体" w:hint="default"/>
          <w:color w:val="auto"/>
          <w:kern w:val="0"/>
        </w:rPr>
      </w:pPr>
      <w:r>
        <w:rPr>
          <w:rFonts w:cs="宋体"/>
          <w:color w:val="auto"/>
          <w:kern w:val="0"/>
        </w:rPr>
        <w:t>（2）宣布开标人、监督人等有关人员姓名；</w:t>
      </w:r>
    </w:p>
    <w:p>
      <w:pPr>
        <w:pStyle w:val="style0"/>
        <w:widowControl/>
        <w:spacing w:lineRule="auto" w:line="360"/>
        <w:jc w:val="left"/>
        <w:rPr>
          <w:rFonts w:cs="宋体" w:hint="default"/>
          <w:color w:val="auto"/>
          <w:kern w:val="0"/>
        </w:rPr>
      </w:pPr>
      <w:r>
        <w:rPr>
          <w:rFonts w:cs="宋体"/>
          <w:color w:val="auto"/>
          <w:kern w:val="0"/>
        </w:rPr>
        <w:t>（3）投标人文件密封情况及身份验证；</w:t>
      </w:r>
    </w:p>
    <w:p>
      <w:pPr>
        <w:pStyle w:val="style0"/>
        <w:widowControl/>
        <w:spacing w:lineRule="auto" w:line="360"/>
        <w:jc w:val="left"/>
        <w:rPr>
          <w:rFonts w:cs="宋体" w:hint="default"/>
          <w:color w:val="auto"/>
          <w:kern w:val="0"/>
        </w:rPr>
      </w:pPr>
      <w:r>
        <w:rPr>
          <w:rFonts w:cs="宋体"/>
          <w:color w:val="auto"/>
          <w:kern w:val="0"/>
        </w:rPr>
        <w:t>（4）公布投标人名称、标段名称、投标报价、总监理工程师、监理服务期限及其他内容；</w:t>
      </w:r>
    </w:p>
    <w:p>
      <w:pPr>
        <w:pStyle w:val="style0"/>
        <w:widowControl/>
        <w:spacing w:lineRule="auto" w:line="360"/>
        <w:jc w:val="left"/>
        <w:rPr>
          <w:rFonts w:cs="宋体" w:hint="default"/>
          <w:color w:val="auto"/>
          <w:kern w:val="0"/>
        </w:rPr>
      </w:pPr>
      <w:r>
        <w:rPr>
          <w:rFonts w:cs="宋体"/>
          <w:color w:val="auto"/>
          <w:kern w:val="0"/>
        </w:rPr>
        <w:t>（5）投标人确认开标结果；</w:t>
      </w:r>
    </w:p>
    <w:p>
      <w:pPr>
        <w:pStyle w:val="style0"/>
        <w:widowControl/>
        <w:spacing w:lineRule="auto" w:line="360"/>
        <w:jc w:val="left"/>
        <w:rPr>
          <w:rFonts w:cs="宋体" w:hint="default"/>
          <w:color w:val="auto"/>
          <w:kern w:val="0"/>
        </w:rPr>
      </w:pPr>
      <w:r>
        <w:rPr>
          <w:rFonts w:cs="宋体"/>
          <w:color w:val="auto"/>
          <w:kern w:val="0"/>
        </w:rPr>
        <w:t>（6）招标人在开标记录上确认；</w:t>
      </w:r>
    </w:p>
    <w:p>
      <w:pPr>
        <w:pStyle w:val="style0"/>
        <w:widowControl/>
        <w:spacing w:lineRule="auto" w:line="360"/>
        <w:jc w:val="left"/>
        <w:rPr>
          <w:rFonts w:cs="宋体" w:hint="default"/>
          <w:color w:val="auto"/>
          <w:kern w:val="0"/>
        </w:rPr>
      </w:pPr>
      <w:r>
        <w:rPr>
          <w:rFonts w:cs="宋体"/>
          <w:color w:val="auto"/>
          <w:kern w:val="0"/>
        </w:rPr>
        <w:t>（7）开标记录表，开标结束。</w:t>
      </w:r>
    </w:p>
    <w:bookmarkStart w:id="103" w:name="_Toc9178523"/>
    <w:bookmarkStart w:id="104" w:name="_Toc27550599"/>
    <w:bookmarkStart w:id="105" w:name="_Toc300678032"/>
    <w:p>
      <w:pPr>
        <w:pStyle w:val="style0"/>
        <w:widowControl/>
        <w:spacing w:lineRule="auto" w:line="360"/>
        <w:jc w:val="left"/>
        <w:rPr>
          <w:rFonts w:cs="宋体" w:hint="default"/>
          <w:color w:val="auto"/>
          <w:kern w:val="0"/>
        </w:rPr>
      </w:pPr>
      <w:r>
        <w:rPr>
          <w:rFonts w:cs="宋体"/>
          <w:color w:val="auto"/>
          <w:kern w:val="0"/>
        </w:rPr>
        <w:t>6.评标</w:t>
      </w:r>
      <w:bookmarkEnd w:id="103"/>
      <w:bookmarkEnd w:id="104"/>
      <w:bookmarkEnd w:id="105"/>
    </w:p>
    <w:bookmarkStart w:id="106" w:name="_Toc300678033"/>
    <w:p>
      <w:pPr>
        <w:pStyle w:val="style0"/>
        <w:widowControl/>
        <w:spacing w:lineRule="auto" w:line="360"/>
        <w:jc w:val="left"/>
        <w:rPr>
          <w:rFonts w:cs="宋体" w:hint="default"/>
          <w:color w:val="auto"/>
          <w:kern w:val="0"/>
        </w:rPr>
      </w:pPr>
      <w:r>
        <w:rPr>
          <w:rFonts w:cs="宋体"/>
          <w:color w:val="auto"/>
          <w:kern w:val="0"/>
        </w:rPr>
        <w:t>6.1 评标委员会</w:t>
      </w:r>
      <w:bookmarkEnd w:id="106"/>
    </w:p>
    <w:p>
      <w:pPr>
        <w:pStyle w:val="style0"/>
        <w:widowControl/>
        <w:spacing w:lineRule="auto" w:line="360"/>
        <w:jc w:val="left"/>
        <w:rPr>
          <w:rFonts w:cs="宋体" w:hint="default"/>
          <w:color w:val="auto"/>
          <w:kern w:val="0"/>
        </w:rPr>
      </w:pPr>
      <w:r>
        <w:rPr>
          <w:rFonts w:cs="宋体"/>
          <w:color w:val="auto"/>
          <w:kern w:val="0"/>
        </w:rPr>
        <w:t>6.1.1  评标由招标人依法组建的评标委员会负责。评标委员会成员人数以及技术、经济等方面专家的确定方式见投标人须知前附表。</w:t>
      </w:r>
    </w:p>
    <w:p>
      <w:pPr>
        <w:pStyle w:val="style0"/>
        <w:widowControl/>
        <w:spacing w:lineRule="auto" w:line="360"/>
        <w:jc w:val="left"/>
        <w:rPr>
          <w:rFonts w:cs="宋体" w:hint="default"/>
          <w:color w:val="auto"/>
          <w:kern w:val="0"/>
        </w:rPr>
      </w:pPr>
      <w:r>
        <w:rPr>
          <w:rFonts w:cs="宋体"/>
          <w:color w:val="auto"/>
          <w:kern w:val="0"/>
        </w:rPr>
        <w:t>6.1.2  有下列情形之一的，应当回避：</w:t>
      </w:r>
    </w:p>
    <w:p>
      <w:pPr>
        <w:pStyle w:val="style0"/>
        <w:widowControl/>
        <w:spacing w:lineRule="auto" w:line="360"/>
        <w:jc w:val="left"/>
        <w:rPr>
          <w:rFonts w:cs="宋体" w:hint="default"/>
          <w:color w:val="auto"/>
          <w:kern w:val="0"/>
        </w:rPr>
      </w:pPr>
      <w:r>
        <w:rPr>
          <w:rFonts w:cs="宋体"/>
          <w:color w:val="auto"/>
          <w:kern w:val="0"/>
        </w:rPr>
        <w:t>（1）评标委员会成员是投标人或投标人的主要负责人或拟任总监理工程师的近亲属；</w:t>
      </w:r>
    </w:p>
    <w:p>
      <w:pPr>
        <w:pStyle w:val="style0"/>
        <w:widowControl/>
        <w:spacing w:lineRule="auto" w:line="360"/>
        <w:jc w:val="left"/>
        <w:rPr>
          <w:rFonts w:cs="宋体" w:hint="default"/>
          <w:color w:val="auto"/>
          <w:kern w:val="0"/>
        </w:rPr>
      </w:pPr>
      <w:r>
        <w:rPr>
          <w:rFonts w:cs="宋体"/>
          <w:color w:val="auto"/>
          <w:kern w:val="0"/>
        </w:rPr>
        <w:t>（2）评标委员会成员是本项目招标投标行政监督部门的人员；</w:t>
      </w:r>
    </w:p>
    <w:p>
      <w:pPr>
        <w:pStyle w:val="style0"/>
        <w:widowControl/>
        <w:spacing w:lineRule="auto" w:line="360"/>
        <w:jc w:val="left"/>
        <w:rPr>
          <w:rFonts w:cs="宋体" w:hint="default"/>
          <w:color w:val="auto"/>
          <w:kern w:val="0"/>
        </w:rPr>
      </w:pPr>
      <w:r>
        <w:rPr>
          <w:rFonts w:cs="宋体"/>
          <w:color w:val="auto"/>
          <w:kern w:val="0"/>
        </w:rPr>
        <w:t>（3）评标委员会成员是招标人或者其下属单位或者招标项目上级主管部门的人员，但招标人代表除外；</w:t>
      </w:r>
    </w:p>
    <w:p>
      <w:pPr>
        <w:pStyle w:val="style0"/>
        <w:widowControl/>
        <w:spacing w:lineRule="auto" w:line="360"/>
        <w:jc w:val="left"/>
        <w:rPr>
          <w:rFonts w:cs="宋体" w:hint="default"/>
          <w:color w:val="auto"/>
          <w:kern w:val="0"/>
        </w:rPr>
      </w:pPr>
      <w:r>
        <w:rPr>
          <w:rFonts w:cs="宋体"/>
          <w:color w:val="auto"/>
          <w:kern w:val="0"/>
        </w:rPr>
        <w:t>（4）评标委员会成员曾参与投标人的响应文件编制或者对响应文件的编制实施指导；</w:t>
      </w:r>
    </w:p>
    <w:p>
      <w:pPr>
        <w:pStyle w:val="style0"/>
        <w:widowControl/>
        <w:spacing w:lineRule="auto" w:line="360"/>
        <w:jc w:val="left"/>
        <w:rPr>
          <w:rFonts w:cs="宋体" w:hint="default"/>
          <w:color w:val="auto"/>
          <w:kern w:val="0"/>
        </w:rPr>
      </w:pPr>
      <w:r>
        <w:rPr>
          <w:rFonts w:cs="宋体"/>
          <w:color w:val="auto"/>
          <w:kern w:val="0"/>
        </w:rPr>
        <w:t>（5）评标委员会成员与投标人有经济利益关系，可能影响对投标公正评审的。</w:t>
      </w:r>
    </w:p>
    <w:p>
      <w:pPr>
        <w:pStyle w:val="style0"/>
        <w:widowControl/>
        <w:spacing w:lineRule="auto" w:line="360"/>
        <w:jc w:val="left"/>
        <w:rPr>
          <w:rFonts w:cs="宋体" w:hint="default"/>
          <w:color w:val="auto"/>
          <w:kern w:val="0"/>
        </w:rPr>
      </w:pPr>
      <w:r>
        <w:rPr>
          <w:rFonts w:cs="宋体"/>
          <w:color w:val="auto"/>
          <w:kern w:val="0"/>
        </w:rPr>
        <w:t>（6）评标委员会成员被住房城乡建设主管部门禁止参加本地区依法必须招标项目评标或者取消担任评标委员会成员资格；</w:t>
      </w:r>
    </w:p>
    <w:p>
      <w:pPr>
        <w:pStyle w:val="style0"/>
        <w:widowControl/>
        <w:spacing w:lineRule="auto" w:line="360"/>
        <w:jc w:val="left"/>
        <w:rPr>
          <w:rFonts w:cs="宋体" w:hint="default"/>
          <w:color w:val="auto"/>
          <w:kern w:val="0"/>
        </w:rPr>
      </w:pPr>
      <w:r>
        <w:rPr>
          <w:rFonts w:cs="宋体"/>
          <w:color w:val="auto"/>
          <w:kern w:val="0"/>
        </w:rPr>
        <w:t xml:space="preserve">（7）评标委员会成员被列入湖南省房屋建筑和市政基础设施工程施工监理招标投标失信黑名单并在有效期内的； </w:t>
      </w:r>
    </w:p>
    <w:bookmarkStart w:id="107" w:name="_Toc300678034"/>
    <w:p>
      <w:pPr>
        <w:pStyle w:val="style0"/>
        <w:widowControl/>
        <w:spacing w:lineRule="auto" w:line="360"/>
        <w:jc w:val="left"/>
        <w:rPr>
          <w:rFonts w:cs="宋体" w:hint="default"/>
          <w:color w:val="auto"/>
          <w:kern w:val="0"/>
        </w:rPr>
      </w:pPr>
      <w:r>
        <w:rPr>
          <w:rFonts w:cs="宋体"/>
          <w:color w:val="auto"/>
          <w:kern w:val="0"/>
        </w:rPr>
        <w:t>6.2 评标原则</w:t>
      </w:r>
      <w:bookmarkEnd w:id="107"/>
    </w:p>
    <w:p>
      <w:pPr>
        <w:pStyle w:val="style0"/>
        <w:widowControl/>
        <w:spacing w:lineRule="auto" w:line="360"/>
        <w:jc w:val="left"/>
        <w:rPr>
          <w:rFonts w:cs="宋体" w:hint="default"/>
          <w:color w:val="auto"/>
          <w:kern w:val="0"/>
        </w:rPr>
      </w:pPr>
      <w:r>
        <w:rPr>
          <w:rFonts w:cs="宋体"/>
          <w:color w:val="auto"/>
          <w:kern w:val="0"/>
        </w:rPr>
        <w:t>评标活动遵循公平、公正、科学和择优的原则。</w:t>
      </w:r>
    </w:p>
    <w:bookmarkStart w:id="108" w:name="_Toc300678035"/>
    <w:p>
      <w:pPr>
        <w:pStyle w:val="style0"/>
        <w:widowControl/>
        <w:spacing w:lineRule="auto" w:line="360"/>
        <w:jc w:val="left"/>
        <w:rPr>
          <w:rFonts w:cs="宋体" w:hint="default"/>
          <w:color w:val="auto"/>
          <w:kern w:val="0"/>
        </w:rPr>
      </w:pPr>
      <w:r>
        <w:rPr>
          <w:rFonts w:cs="宋体"/>
          <w:color w:val="auto"/>
          <w:kern w:val="0"/>
        </w:rPr>
        <w:t>6.3 评标</w:t>
      </w:r>
      <w:bookmarkEnd w:id="108"/>
    </w:p>
    <w:p>
      <w:pPr>
        <w:pStyle w:val="style0"/>
        <w:widowControl/>
        <w:spacing w:lineRule="auto" w:line="360"/>
        <w:jc w:val="left"/>
        <w:rPr>
          <w:rFonts w:cs="宋体" w:hint="default"/>
          <w:color w:val="auto"/>
          <w:kern w:val="0"/>
        </w:rPr>
      </w:pPr>
      <w:r>
        <w:rPr>
          <w:rFonts w:cs="宋体"/>
          <w:color w:val="auto"/>
          <w:kern w:val="0"/>
        </w:rPr>
        <w:t>评标委员会按照第三章“评标办法”规定的评审标准和评审程序对响应文件进行评审。第三章“评标办法”没有规定的方法、评审因素和标准，不作为评标依据。</w:t>
      </w:r>
    </w:p>
    <w:bookmarkStart w:id="109" w:name="_Toc300678036"/>
    <w:bookmarkStart w:id="110" w:name="_Toc9178524"/>
    <w:bookmarkStart w:id="111" w:name="_Toc27550600"/>
    <w:p>
      <w:pPr>
        <w:pStyle w:val="style0"/>
        <w:widowControl/>
        <w:spacing w:lineRule="auto" w:line="360"/>
        <w:jc w:val="left"/>
        <w:rPr>
          <w:rFonts w:cs="宋体" w:hint="default"/>
          <w:color w:val="auto"/>
          <w:kern w:val="0"/>
        </w:rPr>
      </w:pPr>
      <w:r>
        <w:rPr>
          <w:rFonts w:cs="宋体"/>
          <w:color w:val="auto"/>
          <w:kern w:val="0"/>
        </w:rPr>
        <w:t>7.合同授予</w:t>
      </w:r>
      <w:bookmarkEnd w:id="109"/>
      <w:bookmarkEnd w:id="110"/>
      <w:bookmarkEnd w:id="111"/>
    </w:p>
    <w:bookmarkStart w:id="112" w:name="_Toc300678037"/>
    <w:p>
      <w:pPr>
        <w:pStyle w:val="style0"/>
        <w:widowControl/>
        <w:spacing w:lineRule="auto" w:line="360"/>
        <w:jc w:val="left"/>
        <w:rPr>
          <w:rFonts w:cs="宋体" w:hint="default"/>
          <w:color w:val="auto"/>
          <w:kern w:val="0"/>
        </w:rPr>
      </w:pPr>
      <w:r>
        <w:rPr>
          <w:rFonts w:cs="宋体"/>
          <w:color w:val="auto"/>
          <w:kern w:val="0"/>
        </w:rPr>
        <w:t>7.1 定标方式</w:t>
      </w:r>
      <w:bookmarkEnd w:id="112"/>
    </w:p>
    <w:p>
      <w:pPr>
        <w:pStyle w:val="style0"/>
        <w:widowControl/>
        <w:spacing w:lineRule="auto" w:line="360"/>
        <w:jc w:val="left"/>
        <w:rPr>
          <w:rFonts w:cs="宋体" w:hint="default"/>
          <w:color w:val="auto"/>
          <w:kern w:val="0"/>
        </w:rPr>
      </w:pPr>
      <w:r>
        <w:rPr>
          <w:rFonts w:cs="宋体"/>
          <w:color w:val="auto"/>
          <w:kern w:val="0"/>
        </w:rPr>
        <w:t>招标人依据评标委员会推荐的中标候选人确定中标人。评标委员会推荐中标候选人的数量以及招标人确定中标人的方式见投标人须知前附表。</w:t>
      </w:r>
    </w:p>
    <w:bookmarkStart w:id="113" w:name="_Toc300678038"/>
    <w:p>
      <w:pPr>
        <w:pStyle w:val="style0"/>
        <w:widowControl/>
        <w:spacing w:lineRule="auto" w:line="360"/>
        <w:jc w:val="left"/>
        <w:rPr>
          <w:rFonts w:cs="宋体" w:hint="default"/>
          <w:color w:val="auto"/>
          <w:kern w:val="0"/>
        </w:rPr>
      </w:pPr>
      <w:r>
        <w:rPr>
          <w:rFonts w:cs="宋体"/>
          <w:color w:val="auto"/>
          <w:kern w:val="0"/>
        </w:rPr>
        <w:t>7.2 中标通知</w:t>
      </w:r>
      <w:bookmarkEnd w:id="113"/>
    </w:p>
    <w:p>
      <w:pPr>
        <w:pStyle w:val="style0"/>
        <w:widowControl/>
        <w:spacing w:lineRule="auto" w:line="360"/>
        <w:jc w:val="left"/>
        <w:rPr>
          <w:rFonts w:cs="宋体" w:hint="default"/>
          <w:color w:val="auto"/>
          <w:kern w:val="0"/>
        </w:rPr>
      </w:pPr>
      <w:r>
        <w:rPr>
          <w:rFonts w:cs="宋体"/>
          <w:color w:val="auto"/>
          <w:kern w:val="0"/>
        </w:rPr>
        <w:t>在规定的投标有效期内，招标人以书面形式向中标人发出中标通知书，同时将中标结果通知未中标的投标人。</w:t>
      </w:r>
    </w:p>
    <w:bookmarkStart w:id="114" w:name="_Toc300678039"/>
    <w:p>
      <w:pPr>
        <w:pStyle w:val="style0"/>
        <w:widowControl/>
        <w:spacing w:lineRule="auto" w:line="360"/>
        <w:jc w:val="left"/>
        <w:rPr>
          <w:rFonts w:cs="宋体" w:hint="default"/>
          <w:color w:val="auto"/>
          <w:kern w:val="0"/>
        </w:rPr>
      </w:pPr>
      <w:r>
        <w:rPr>
          <w:rFonts w:cs="宋体"/>
          <w:color w:val="auto"/>
          <w:kern w:val="0"/>
        </w:rPr>
        <w:t>7.3 履约担保</w:t>
      </w:r>
      <w:bookmarkEnd w:id="114"/>
    </w:p>
    <w:p>
      <w:pPr>
        <w:pStyle w:val="style0"/>
        <w:widowControl/>
        <w:spacing w:lineRule="auto" w:line="360"/>
        <w:jc w:val="left"/>
        <w:rPr>
          <w:rFonts w:cs="宋体" w:hint="default"/>
          <w:color w:val="auto"/>
          <w:kern w:val="0"/>
        </w:rPr>
      </w:pPr>
      <w:r>
        <w:rPr>
          <w:rFonts w:cs="宋体"/>
          <w:color w:val="auto"/>
          <w:kern w:val="0"/>
        </w:rPr>
        <w:t>7.3.1  在签订合同前，中标人应按投标人须知前附表规定的金额和招标文件第四章“合同条款及格式”规定的担保形式、履约担保格式向招标人提交履约担保。联合体中标的，履约担保由牵头人递交。</w:t>
      </w:r>
    </w:p>
    <w:p>
      <w:pPr>
        <w:pStyle w:val="style0"/>
        <w:widowControl/>
        <w:spacing w:lineRule="auto" w:line="360"/>
        <w:jc w:val="left"/>
        <w:rPr>
          <w:rFonts w:cs="宋体" w:hint="default"/>
          <w:color w:val="auto"/>
          <w:kern w:val="0"/>
        </w:rPr>
      </w:pPr>
      <w:r>
        <w:rPr>
          <w:rFonts w:cs="宋体"/>
          <w:color w:val="auto"/>
          <w:kern w:val="0"/>
        </w:rPr>
        <w:t>7.3.2  中标人不能按本须知第7.3.1 项要求提交履约担保的，视为放弃中标。给招标人造成的损失超过投标保证数额的，中标人应当对超过部分予以赔偿。</w:t>
      </w:r>
    </w:p>
    <w:bookmarkStart w:id="115" w:name="_Toc300678040"/>
    <w:p>
      <w:pPr>
        <w:pStyle w:val="style0"/>
        <w:widowControl/>
        <w:spacing w:lineRule="auto" w:line="360"/>
        <w:jc w:val="left"/>
        <w:rPr>
          <w:rFonts w:cs="宋体" w:hint="default"/>
          <w:color w:val="auto"/>
          <w:kern w:val="0"/>
        </w:rPr>
      </w:pPr>
      <w:r>
        <w:rPr>
          <w:rFonts w:cs="宋体"/>
          <w:color w:val="auto"/>
          <w:kern w:val="0"/>
        </w:rPr>
        <w:t>7.4 签订合同</w:t>
      </w:r>
      <w:bookmarkEnd w:id="115"/>
    </w:p>
    <w:p>
      <w:pPr>
        <w:pStyle w:val="style0"/>
        <w:widowControl/>
        <w:spacing w:lineRule="auto" w:line="360"/>
        <w:jc w:val="left"/>
        <w:rPr>
          <w:rFonts w:cs="宋体" w:hint="default"/>
          <w:color w:val="auto"/>
          <w:kern w:val="0"/>
        </w:rPr>
      </w:pPr>
      <w:r>
        <w:rPr>
          <w:rFonts w:cs="宋体"/>
          <w:color w:val="auto"/>
          <w:kern w:val="0"/>
        </w:rPr>
        <w:t>7.4.1  自中标通知书发出之日起30 天内，招标人和中标人根据招标文件和中标人的响应文件订立书面合同。中标人无正当理由拒签合同的，招标人取消其中标资格；给招标人造成的损失超过投标保证数额的，中标人应当对超过部分予以赔偿。</w:t>
      </w:r>
    </w:p>
    <w:p>
      <w:pPr>
        <w:pStyle w:val="style0"/>
        <w:widowControl/>
        <w:spacing w:lineRule="auto" w:line="360"/>
        <w:jc w:val="left"/>
        <w:rPr>
          <w:rFonts w:cs="宋体" w:hint="default"/>
          <w:color w:val="auto"/>
          <w:kern w:val="0"/>
        </w:rPr>
      </w:pPr>
      <w:r>
        <w:rPr>
          <w:rFonts w:cs="宋体"/>
          <w:color w:val="auto"/>
          <w:kern w:val="0"/>
        </w:rPr>
        <w:t>7.4.2  发出中标通知书后，招标人无正当理由拒签合同的，招标人向中标人退还投标保证；给中标人造成损失的，还应当赔偿损失。</w:t>
      </w:r>
    </w:p>
    <w:bookmarkStart w:id="116" w:name="_Toc27550601"/>
    <w:bookmarkStart w:id="117" w:name="_Toc300678041"/>
    <w:bookmarkStart w:id="118" w:name="_Toc9178525"/>
    <w:p>
      <w:pPr>
        <w:pStyle w:val="style0"/>
        <w:widowControl/>
        <w:spacing w:lineRule="auto" w:line="360"/>
        <w:jc w:val="left"/>
        <w:rPr>
          <w:rFonts w:cs="宋体" w:hint="default"/>
          <w:color w:val="auto"/>
          <w:kern w:val="0"/>
        </w:rPr>
      </w:pPr>
      <w:r>
        <w:rPr>
          <w:rFonts w:cs="宋体"/>
          <w:color w:val="auto"/>
          <w:kern w:val="0"/>
        </w:rPr>
        <w:t>8.重新招标和不再招标</w:t>
      </w:r>
      <w:bookmarkEnd w:id="116"/>
      <w:bookmarkEnd w:id="117"/>
      <w:bookmarkEnd w:id="118"/>
    </w:p>
    <w:bookmarkStart w:id="119" w:name="_Toc300678042"/>
    <w:p>
      <w:pPr>
        <w:pStyle w:val="style0"/>
        <w:widowControl/>
        <w:spacing w:lineRule="auto" w:line="360"/>
        <w:jc w:val="left"/>
        <w:rPr>
          <w:rFonts w:cs="宋体" w:hint="default"/>
          <w:color w:val="auto"/>
          <w:kern w:val="0"/>
        </w:rPr>
      </w:pPr>
      <w:r>
        <w:rPr>
          <w:rFonts w:cs="宋体"/>
          <w:color w:val="auto"/>
          <w:kern w:val="0"/>
        </w:rPr>
        <w:t>8.1 重新招标</w:t>
      </w:r>
      <w:bookmarkEnd w:id="119"/>
    </w:p>
    <w:p>
      <w:pPr>
        <w:pStyle w:val="style0"/>
        <w:widowControl/>
        <w:spacing w:lineRule="auto" w:line="360"/>
        <w:jc w:val="left"/>
        <w:rPr>
          <w:rFonts w:cs="宋体" w:hint="default"/>
          <w:color w:val="auto"/>
          <w:kern w:val="0"/>
        </w:rPr>
      </w:pPr>
      <w:r>
        <w:rPr>
          <w:rFonts w:cs="宋体"/>
          <w:color w:val="auto"/>
          <w:kern w:val="0"/>
        </w:rPr>
        <w:t>有下列情形之一的，招标人将重新招标：</w:t>
      </w:r>
    </w:p>
    <w:p>
      <w:pPr>
        <w:pStyle w:val="style0"/>
        <w:widowControl/>
        <w:spacing w:lineRule="auto" w:line="360"/>
        <w:jc w:val="left"/>
        <w:rPr>
          <w:rFonts w:cs="宋体" w:hint="default"/>
          <w:color w:val="auto"/>
          <w:kern w:val="0"/>
        </w:rPr>
      </w:pPr>
      <w:r>
        <w:rPr>
          <w:rFonts w:cs="宋体"/>
          <w:color w:val="auto"/>
          <w:kern w:val="0"/>
        </w:rPr>
        <w:t>（l）投标截止时间止，投标人少于3 个的；</w:t>
      </w:r>
    </w:p>
    <w:p>
      <w:pPr>
        <w:pStyle w:val="style0"/>
        <w:widowControl/>
        <w:spacing w:lineRule="auto" w:line="360"/>
        <w:jc w:val="left"/>
        <w:rPr>
          <w:rFonts w:cs="宋体" w:hint="default"/>
          <w:color w:val="auto"/>
          <w:kern w:val="0"/>
        </w:rPr>
      </w:pPr>
      <w:r>
        <w:rPr>
          <w:rFonts w:cs="宋体"/>
          <w:color w:val="auto"/>
          <w:kern w:val="0"/>
        </w:rPr>
        <w:t>（2）经评标委员会评审后否决所有投标的。</w:t>
      </w:r>
    </w:p>
    <w:bookmarkStart w:id="120" w:name="_Toc300678043"/>
    <w:p>
      <w:pPr>
        <w:pStyle w:val="style0"/>
        <w:widowControl/>
        <w:spacing w:lineRule="auto" w:line="360"/>
        <w:jc w:val="left"/>
        <w:rPr>
          <w:rFonts w:cs="宋体" w:hint="default"/>
          <w:color w:val="auto"/>
          <w:kern w:val="0"/>
        </w:rPr>
      </w:pPr>
      <w:r>
        <w:rPr>
          <w:rFonts w:cs="宋体"/>
          <w:color w:val="auto"/>
          <w:kern w:val="0"/>
        </w:rPr>
        <w:t>8.2 不再招标</w:t>
      </w:r>
      <w:bookmarkEnd w:id="120"/>
    </w:p>
    <w:p>
      <w:pPr>
        <w:pStyle w:val="style0"/>
        <w:widowControl/>
        <w:spacing w:lineRule="auto" w:line="360"/>
        <w:jc w:val="left"/>
        <w:rPr>
          <w:rFonts w:cs="宋体" w:hint="default"/>
          <w:color w:val="auto"/>
          <w:kern w:val="0"/>
        </w:rPr>
      </w:pPr>
      <w:r>
        <w:rPr>
          <w:rFonts w:cs="宋体"/>
          <w:color w:val="auto"/>
          <w:kern w:val="0"/>
        </w:rPr>
        <w:t>重新招标后投标人仍少于3 个或者所有投标被否决的，属于必须审批或核准的工程建设项目，经原审批或核准部门批准后不再进行招标。</w:t>
      </w:r>
    </w:p>
    <w:bookmarkStart w:id="121" w:name="_Toc27550602"/>
    <w:bookmarkStart w:id="122" w:name="_Toc9178526"/>
    <w:bookmarkStart w:id="123" w:name="_Toc300678044"/>
    <w:p>
      <w:pPr>
        <w:pStyle w:val="style0"/>
        <w:widowControl/>
        <w:spacing w:lineRule="auto" w:line="360"/>
        <w:jc w:val="left"/>
        <w:rPr>
          <w:rFonts w:cs="宋体" w:hint="default"/>
          <w:color w:val="auto"/>
          <w:kern w:val="0"/>
        </w:rPr>
      </w:pPr>
      <w:r>
        <w:rPr>
          <w:rFonts w:cs="宋体"/>
          <w:color w:val="auto"/>
          <w:kern w:val="0"/>
        </w:rPr>
        <w:t>9.纪律和监督</w:t>
      </w:r>
      <w:bookmarkEnd w:id="121"/>
      <w:bookmarkEnd w:id="122"/>
      <w:bookmarkEnd w:id="123"/>
    </w:p>
    <w:bookmarkStart w:id="124" w:name="_Toc300678046"/>
    <w:p>
      <w:pPr>
        <w:pStyle w:val="style0"/>
        <w:widowControl/>
        <w:spacing w:lineRule="auto" w:line="360"/>
        <w:jc w:val="left"/>
        <w:rPr>
          <w:rFonts w:cs="宋体" w:hint="default"/>
          <w:color w:val="auto"/>
          <w:kern w:val="0"/>
        </w:rPr>
      </w:pPr>
      <w:r>
        <w:rPr>
          <w:rFonts w:cs="宋体"/>
          <w:color w:val="auto"/>
          <w:kern w:val="0"/>
        </w:rPr>
        <w:t>9.1对投标人的纪律要求</w:t>
      </w:r>
      <w:bookmarkEnd w:id="124"/>
    </w:p>
    <w:p>
      <w:pPr>
        <w:pStyle w:val="style0"/>
        <w:widowControl/>
        <w:spacing w:lineRule="auto" w:line="360"/>
        <w:jc w:val="left"/>
        <w:rPr>
          <w:rFonts w:cs="宋体" w:hint="default"/>
          <w:color w:val="auto"/>
          <w:kern w:val="0"/>
        </w:rPr>
      </w:pPr>
      <w:r>
        <w:rPr>
          <w:rFonts w:cs="宋体"/>
          <w:color w:val="auto"/>
          <w:kern w:val="0"/>
        </w:rPr>
        <w:t>投标人不得相互串通投标或者与招标人串通投标，不得向招标人或者评标委员会成员行贿谋取中标，不得以他人名义投标或者以其他方式弄虚作假骗取中标；投标人不得以任何方式干扰、影响评标工作。</w:t>
      </w:r>
    </w:p>
    <w:bookmarkStart w:id="125" w:name="_Toc300678047"/>
    <w:p>
      <w:pPr>
        <w:pStyle w:val="style0"/>
        <w:widowControl/>
        <w:spacing w:lineRule="auto" w:line="360"/>
        <w:jc w:val="left"/>
        <w:rPr>
          <w:rFonts w:cs="宋体" w:hint="default"/>
          <w:color w:val="auto"/>
          <w:kern w:val="0"/>
        </w:rPr>
      </w:pPr>
      <w:r>
        <w:rPr>
          <w:rFonts w:cs="宋体"/>
          <w:color w:val="auto"/>
          <w:kern w:val="0"/>
        </w:rPr>
        <w:t>9.2对评标委员会成员的纪律要求</w:t>
      </w:r>
      <w:bookmarkEnd w:id="125"/>
    </w:p>
    <w:p>
      <w:pPr>
        <w:pStyle w:val="style0"/>
        <w:widowControl/>
        <w:spacing w:lineRule="auto" w:line="360"/>
        <w:jc w:val="left"/>
        <w:rPr>
          <w:rFonts w:cs="宋体" w:hint="default"/>
          <w:color w:val="auto"/>
          <w:kern w:val="0"/>
        </w:rPr>
      </w:pPr>
      <w:r>
        <w:rPr>
          <w:rFonts w:cs="宋体"/>
          <w:color w:val="auto"/>
          <w:kern w:val="0"/>
        </w:rPr>
        <w:t>评标委员会成员不得收受他人的财物或者其他好处，不得向他人透漏对响应文件的评审和比较、中标候选人的推荐情况以及评标有关的其他情况。在评标活动中，评标委员会成员不得擅离职守，影响评标程序正常进行。</w:t>
      </w:r>
    </w:p>
    <w:bookmarkStart w:id="126" w:name="_Toc300678048"/>
    <w:p>
      <w:pPr>
        <w:pStyle w:val="style0"/>
        <w:widowControl/>
        <w:spacing w:lineRule="auto" w:line="360"/>
        <w:jc w:val="left"/>
        <w:rPr>
          <w:rFonts w:cs="宋体" w:hint="default"/>
          <w:color w:val="auto"/>
          <w:kern w:val="0"/>
        </w:rPr>
      </w:pPr>
      <w:r>
        <w:rPr>
          <w:rFonts w:cs="宋体"/>
          <w:color w:val="auto"/>
          <w:kern w:val="0"/>
        </w:rPr>
        <w:t>9.3 对与评标活动有关的工作人员的纪律要求</w:t>
      </w:r>
      <w:bookmarkEnd w:id="126"/>
    </w:p>
    <w:p>
      <w:pPr>
        <w:pStyle w:val="style0"/>
        <w:widowControl/>
        <w:spacing w:lineRule="auto" w:line="360"/>
        <w:jc w:val="left"/>
        <w:rPr>
          <w:rFonts w:cs="宋体" w:hint="default"/>
          <w:color w:val="auto"/>
          <w:kern w:val="0"/>
        </w:rPr>
      </w:pPr>
      <w:r>
        <w:rPr>
          <w:rFonts w:cs="宋体"/>
          <w:color w:val="auto"/>
          <w:kern w:val="0"/>
        </w:rPr>
        <w:t>与评标活动有关的工作人员不得收受他人的财物或者其他好处，不得向他人透露对响应文件的评审和比较、中标候选人的推荐情况以及评标有关的其他情况。在评标活动中，与评标活动有关的工作人员不得擅离职守，影响评标程序正常进行。</w:t>
      </w:r>
    </w:p>
    <w:bookmarkStart w:id="127" w:name="_Toc300678049"/>
    <w:p>
      <w:pPr>
        <w:pStyle w:val="style0"/>
        <w:widowControl/>
        <w:spacing w:lineRule="auto" w:line="360"/>
        <w:jc w:val="left"/>
        <w:rPr>
          <w:rFonts w:cs="宋体" w:hint="default"/>
          <w:color w:val="auto"/>
          <w:kern w:val="0"/>
        </w:rPr>
      </w:pPr>
      <w:r>
        <w:rPr>
          <w:rFonts w:cs="宋体"/>
          <w:color w:val="auto"/>
          <w:kern w:val="0"/>
        </w:rPr>
        <w:t>9.4 异议和投诉</w:t>
      </w:r>
      <w:bookmarkEnd w:id="127"/>
    </w:p>
    <w:p>
      <w:pPr>
        <w:pStyle w:val="style0"/>
        <w:widowControl/>
        <w:spacing w:lineRule="auto" w:line="360"/>
        <w:jc w:val="left"/>
        <w:rPr>
          <w:rFonts w:cs="宋体" w:hint="default"/>
          <w:color w:val="auto"/>
          <w:kern w:val="0"/>
        </w:rPr>
      </w:pPr>
      <w:r>
        <w:rPr>
          <w:rFonts w:cs="宋体"/>
          <w:color w:val="auto"/>
          <w:kern w:val="0"/>
        </w:rPr>
        <w:t>9.4.1投标人或者其他利害关系人就下列事项投诉的，应当按照相关规定向招标人提出异议：</w:t>
      </w:r>
    </w:p>
    <w:p>
      <w:pPr>
        <w:pStyle w:val="style0"/>
        <w:widowControl/>
        <w:spacing w:lineRule="auto" w:line="360"/>
        <w:jc w:val="left"/>
        <w:rPr>
          <w:rFonts w:cs="宋体" w:hint="default"/>
          <w:color w:val="auto"/>
          <w:kern w:val="0"/>
        </w:rPr>
      </w:pPr>
      <w:r>
        <w:rPr>
          <w:rFonts w:cs="宋体"/>
          <w:color w:val="auto"/>
          <w:kern w:val="0"/>
        </w:rPr>
        <w:t>(1)认为招标文件不符合相关法律法规规范性文件规定，应当在投标截止时间10日前向招标人提出异议；</w:t>
      </w:r>
    </w:p>
    <w:p>
      <w:pPr>
        <w:pStyle w:val="style0"/>
        <w:widowControl/>
        <w:spacing w:lineRule="auto" w:line="360"/>
        <w:jc w:val="left"/>
        <w:rPr>
          <w:rFonts w:cs="宋体" w:hint="default"/>
          <w:color w:val="auto"/>
          <w:kern w:val="0"/>
        </w:rPr>
      </w:pPr>
      <w:r>
        <w:rPr>
          <w:rFonts w:cs="宋体"/>
          <w:color w:val="auto"/>
          <w:kern w:val="0"/>
        </w:rPr>
        <w:t>(2)认为开标活动不符合相关法律法规规范性文件规定的，应当在开标时提出异议；</w:t>
      </w:r>
    </w:p>
    <w:p>
      <w:pPr>
        <w:pStyle w:val="style0"/>
        <w:widowControl/>
        <w:spacing w:lineRule="auto" w:line="360"/>
        <w:jc w:val="left"/>
        <w:rPr>
          <w:rFonts w:cs="宋体" w:hint="default"/>
          <w:color w:val="auto"/>
          <w:kern w:val="0"/>
        </w:rPr>
      </w:pPr>
      <w:r>
        <w:rPr>
          <w:rFonts w:cs="宋体"/>
          <w:color w:val="auto"/>
          <w:kern w:val="0"/>
        </w:rPr>
        <w:t>(3)对评标结果有异议的，在中标候选人公示期以书面形式向招标人提出；</w:t>
      </w:r>
    </w:p>
    <w:p>
      <w:pPr>
        <w:pStyle w:val="style0"/>
        <w:widowControl/>
        <w:spacing w:lineRule="auto" w:line="360"/>
        <w:jc w:val="left"/>
        <w:rPr>
          <w:rFonts w:cs="宋体" w:hint="default"/>
          <w:color w:val="auto"/>
          <w:kern w:val="0"/>
        </w:rPr>
      </w:pPr>
      <w:r>
        <w:rPr>
          <w:rFonts w:cs="宋体"/>
          <w:color w:val="auto"/>
          <w:kern w:val="0"/>
        </w:rPr>
        <w:t>投标人或利害关系人不满意招标人的答复或者认为招标人处理不当的，可以向本项目的招标投标行政监督部门投诉。</w:t>
      </w:r>
      <w:bookmarkStart w:id="128" w:name="_Toc300678050"/>
    </w:p>
    <w:p>
      <w:pPr>
        <w:pStyle w:val="style0"/>
        <w:widowControl/>
        <w:spacing w:lineRule="auto" w:line="360"/>
        <w:jc w:val="left"/>
        <w:rPr>
          <w:rFonts w:cs="宋体" w:hint="default"/>
          <w:color w:val="auto"/>
          <w:kern w:val="0"/>
        </w:rPr>
      </w:pPr>
      <w:r>
        <w:rPr>
          <w:rFonts w:cs="宋体"/>
          <w:color w:val="auto"/>
          <w:kern w:val="0"/>
        </w:rPr>
        <w:t>9.4.2投标人或者其他利害关系人认为本次招标活动违反法律法规规范性文件规定的，可以在知道或者应当知道之日起10日内向本项目的招标投标行政监督部门投诉。</w:t>
      </w:r>
    </w:p>
    <w:p>
      <w:pPr>
        <w:pStyle w:val="style0"/>
        <w:widowControl/>
        <w:spacing w:lineRule="auto" w:line="360"/>
        <w:jc w:val="left"/>
        <w:rPr>
          <w:rFonts w:cs="宋体" w:hint="default"/>
          <w:color w:val="auto"/>
          <w:kern w:val="0"/>
        </w:rPr>
      </w:pPr>
      <w:r>
        <w:rPr>
          <w:rFonts w:cs="宋体"/>
          <w:color w:val="auto"/>
          <w:kern w:val="0"/>
        </w:rPr>
        <w:t>9.4.3有关信用评价信息弄虚作假的异议，经核实后影响到中标结果的，依法取消其中标资格；不影响到中标结果的，其信用评价弄虚作假行为按《湖南省房屋建筑和市政基础设施工程监理招标投标信用评价实施细则》（湘建监督〔2019〕161号）处理。</w:t>
      </w:r>
    </w:p>
    <w:bookmarkStart w:id="129" w:name="_Toc27550603"/>
    <w:bookmarkStart w:id="130" w:name="_Toc9178527"/>
    <w:p>
      <w:pPr>
        <w:pStyle w:val="style0"/>
        <w:widowControl/>
        <w:spacing w:lineRule="auto" w:line="360"/>
        <w:jc w:val="left"/>
        <w:rPr>
          <w:rFonts w:cs="宋体" w:hint="default"/>
          <w:color w:val="auto"/>
          <w:kern w:val="0"/>
        </w:rPr>
      </w:pPr>
      <w:r>
        <w:rPr>
          <w:rFonts w:cs="宋体"/>
          <w:color w:val="auto"/>
          <w:kern w:val="0"/>
        </w:rPr>
        <w:t>10.需要补充的其他内容</w:t>
      </w:r>
      <w:bookmarkEnd w:id="128"/>
      <w:bookmarkEnd w:id="129"/>
      <w:bookmarkEnd w:id="130"/>
    </w:p>
    <w:p>
      <w:pPr>
        <w:pStyle w:val="style0"/>
        <w:widowControl/>
        <w:spacing w:lineRule="auto" w:line="360"/>
        <w:jc w:val="left"/>
        <w:rPr>
          <w:rFonts w:cs="宋体" w:hint="default"/>
          <w:color w:val="auto"/>
          <w:kern w:val="0"/>
        </w:rPr>
      </w:pPr>
      <w:r>
        <w:rPr>
          <w:rFonts w:cs="宋体"/>
          <w:color w:val="auto"/>
          <w:kern w:val="0"/>
        </w:rPr>
        <w:t>需要补充的其他内容：见投标人须知前附表。</w:t>
      </w:r>
      <w:bookmarkStart w:id="131" w:name="_Toc300678051"/>
    </w:p>
    <w:p>
      <w:pPr>
        <w:pStyle w:val="style0"/>
        <w:widowControl/>
        <w:spacing w:lineRule="auto" w:line="360"/>
        <w:jc w:val="left"/>
        <w:rPr>
          <w:rFonts w:cs="宋体" w:hint="default"/>
          <w:color w:val="auto"/>
          <w:kern w:val="0"/>
        </w:rPr>
      </w:pPr>
      <w:r>
        <w:rPr>
          <w:rFonts w:cs="宋体"/>
          <w:color w:val="auto"/>
          <w:kern w:val="0"/>
        </w:rPr>
        <w:br w:type="page"/>
      </w:r>
      <w:bookmarkStart w:id="132" w:name="_Toc300678057"/>
      <w:bookmarkEnd w:id="131"/>
      <w:r>
        <w:rPr>
          <w:rFonts w:cs="宋体"/>
          <w:color w:val="auto"/>
          <w:kern w:val="0"/>
        </w:rPr>
        <w:t>附件2-1：电子响应文件编制及报送要求</w:t>
      </w:r>
      <w:bookmarkEnd w:id="132"/>
    </w:p>
    <w:p>
      <w:pPr>
        <w:pStyle w:val="style0"/>
        <w:widowControl/>
        <w:spacing w:lineRule="auto" w:line="360"/>
        <w:jc w:val="left"/>
        <w:rPr>
          <w:rFonts w:cs="宋体" w:hint="default"/>
          <w:color w:val="auto"/>
          <w:kern w:val="0"/>
        </w:rPr>
      </w:pPr>
      <w:r>
        <w:rPr>
          <w:rFonts w:cs="宋体"/>
          <w:color w:val="auto"/>
          <w:kern w:val="0"/>
        </w:rPr>
        <w:t>电子响应文件编制及报送要求</w:t>
      </w:r>
    </w:p>
    <w:p>
      <w:pPr>
        <w:pStyle w:val="style0"/>
        <w:widowControl/>
        <w:spacing w:lineRule="auto" w:line="360"/>
        <w:jc w:val="left"/>
        <w:rPr>
          <w:rFonts w:cs="宋体" w:hint="default"/>
          <w:color w:val="auto"/>
          <w:kern w:val="0"/>
        </w:rPr>
      </w:pPr>
      <w:r>
        <w:rPr>
          <w:rFonts w:cs="宋体"/>
          <w:color w:val="auto"/>
          <w:kern w:val="0"/>
        </w:rPr>
        <w:t>说明：本附表应当作为“投标人须知”的附件，并根据招标项目的具体情况给予规定。</w:t>
      </w:r>
    </w:p>
    <w:p>
      <w:pPr>
        <w:pStyle w:val="style0"/>
        <w:widowControl/>
        <w:spacing w:lineRule="auto" w:line="360"/>
        <w:jc w:val="left"/>
        <w:rPr>
          <w:rFonts w:cs="宋体" w:hint="default"/>
          <w:color w:val="auto"/>
          <w:kern w:val="0"/>
        </w:rPr>
      </w:pPr>
      <w:r>
        <w:rPr>
          <w:rFonts w:cs="宋体"/>
          <w:color w:val="auto"/>
          <w:kern w:val="0"/>
        </w:rPr>
        <w:br w:type="page"/>
      </w:r>
      <w:bookmarkStart w:id="133" w:name="_Toc300678058"/>
    </w:p>
    <w:p>
      <w:pPr>
        <w:pStyle w:val="style4"/>
        <w:keepNext w:val="false"/>
        <w:keepLines w:val="false"/>
        <w:rPr>
          <w:rFonts w:ascii="宋体" w:cs="宋体" w:hAnsi="宋体" w:hint="default"/>
          <w:b w:val="false"/>
          <w:bCs w:val="false"/>
          <w:color w:val="auto"/>
          <w:kern w:val="0"/>
          <w:szCs w:val="24"/>
        </w:rPr>
      </w:pPr>
      <w:r>
        <w:rPr>
          <w:rFonts w:ascii="宋体" w:cs="宋体" w:hAnsi="宋体"/>
          <w:b w:val="false"/>
          <w:bCs w:val="false"/>
          <w:color w:val="auto"/>
          <w:kern w:val="0"/>
          <w:szCs w:val="24"/>
        </w:rPr>
        <w:t>附件2-2：否决投标的情形</w:t>
      </w:r>
    </w:p>
    <w:p>
      <w:pPr>
        <w:pStyle w:val="style0"/>
        <w:rPr>
          <w:rFonts w:cs="宋体" w:hint="default"/>
          <w:color w:val="auto"/>
          <w:kern w:val="0"/>
        </w:rPr>
      </w:pPr>
    </w:p>
    <w:p>
      <w:pPr>
        <w:pStyle w:val="style4"/>
        <w:keepNext w:val="false"/>
        <w:keepLines w:val="false"/>
        <w:ind w:firstLine="3093" w:firstLineChars="1289"/>
        <w:rPr>
          <w:rFonts w:ascii="宋体" w:cs="宋体" w:hAnsi="宋体" w:hint="default"/>
          <w:b w:val="false"/>
          <w:bCs w:val="false"/>
          <w:color w:val="auto"/>
          <w:kern w:val="0"/>
          <w:szCs w:val="24"/>
        </w:rPr>
      </w:pPr>
      <w:r>
        <w:rPr>
          <w:rFonts w:ascii="宋体" w:cs="宋体" w:hAnsi="宋体"/>
          <w:b w:val="false"/>
          <w:bCs w:val="false"/>
          <w:color w:val="auto"/>
          <w:kern w:val="0"/>
          <w:szCs w:val="24"/>
        </w:rPr>
        <w:t>否决投标的情形</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本附件所集中列示的否决投标情形，是“评标办法”的组成部分，是对“投标人须知”和评标办法规定的否决投标情形的总结和补充，如果出现相互矛盾的情况，以“投标人须知”和评标办法正文部分的规定为准。</w:t>
      </w:r>
    </w:p>
    <w:p>
      <w:pPr>
        <w:pStyle w:val="style179"/>
        <w:adjustRightInd w:val="false"/>
        <w:snapToGrid w:val="false"/>
        <w:spacing w:lineRule="auto" w:line="360"/>
        <w:ind w:firstLineChars="0"/>
        <w:rPr>
          <w:rFonts w:ascii="宋体" w:cs="宋体" w:hAnsi="宋体" w:hint="default"/>
          <w:color w:val="auto"/>
          <w:kern w:val="0"/>
          <w:szCs w:val="24"/>
        </w:rPr>
      </w:pPr>
      <w:r>
        <w:rPr>
          <w:rFonts w:ascii="宋体" w:cs="宋体" w:hAnsi="宋体"/>
          <w:color w:val="auto"/>
          <w:kern w:val="0"/>
          <w:szCs w:val="24"/>
        </w:rPr>
        <w:t>投标人或其响应文件有下列情形之一的，其投标应当予以否决：</w:t>
      </w:r>
    </w:p>
    <w:p>
      <w:pPr>
        <w:pStyle w:val="style0"/>
        <w:adjustRightInd w:val="false"/>
        <w:snapToGrid w:val="false"/>
        <w:spacing w:lineRule="auto" w:line="360"/>
        <w:ind w:left="404"/>
        <w:rPr>
          <w:rFonts w:cs="宋体" w:hint="default"/>
          <w:color w:val="auto"/>
          <w:kern w:val="0"/>
        </w:rPr>
      </w:pPr>
      <w:r>
        <w:rPr>
          <w:rFonts w:cs="宋体"/>
          <w:color w:val="auto"/>
          <w:kern w:val="0"/>
        </w:rPr>
        <w:t>1.1 有本章“投标人须知”第1.4.3项规定的任何一种情形的；</w:t>
      </w:r>
    </w:p>
    <w:p>
      <w:pPr>
        <w:pStyle w:val="style0"/>
        <w:adjustRightInd w:val="false"/>
        <w:snapToGrid w:val="false"/>
        <w:spacing w:lineRule="auto" w:line="360"/>
        <w:ind w:left="404"/>
        <w:rPr>
          <w:rFonts w:cs="宋体" w:hint="default"/>
          <w:color w:val="auto"/>
          <w:kern w:val="0"/>
        </w:rPr>
      </w:pPr>
      <w:r>
        <w:rPr>
          <w:rFonts w:cs="宋体"/>
          <w:color w:val="auto"/>
          <w:kern w:val="0"/>
        </w:rPr>
        <w:t>1.2 投标人以他人名义投标、串通投标、以行贿手段谋取中标的；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1.3 资格评审时，投标人资格条件不符合国家有关规定或者招标文件要求的，或者拒不按照要求对响应文件进行澄清、说明或补正，或者其说明补正无法证明其为合格投标人的；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1.4 在形式评审、资格评审、响应性评审中，评标委员会认定响应文件不符合评标办法前附表规定的任何一项评审标准的；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1.5评标委员会认定投标人以低于成本报价竞标的；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1.6投标人未按照“投标人须知前附表”规定出席开标会的；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1.7省外入湘企业未按照“投标人须知前附表”第10.1.9条规定进行入湘登记的。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1.8投标报价有错误的，评标委员会按评标办法“附件3-1评标详细程序”的有关规定对投标报价进行修正，并要求投标人作出澄清说明和系统确认，投标人拒不作出澄清说明和系统确认的；</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1.9 响应文件存在弄虚作假或者隐瞒事实，或者未按照招标文件要求如实提供有关情况和文件，以及证明资料且对投标人有利的，应当否决其投标。被列为中标候选人的，应当取消其中标候选人资格。</w:t>
      </w: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1.10投标截止之日起1080天内（以建设单位签字同意变更时间为准），拟任总监理工程师发生过变更撤换未在响应文件中如实注明，或没有发生过变更撤换但未在响应文件中提供未发生变更撤换承诺书的，按不合格投标人处理。</w:t>
      </w:r>
    </w:p>
    <w:p>
      <w:pPr>
        <w:pStyle w:val="style0"/>
        <w:adjustRightInd w:val="false"/>
        <w:snapToGrid w:val="false"/>
        <w:spacing w:lineRule="auto" w:line="360"/>
        <w:ind w:firstLine="480" w:firstLineChars="200"/>
        <w:rPr>
          <w:rFonts w:eastAsia="仿宋_GB2312" w:hint="default"/>
          <w:color w:val="auto"/>
        </w:rPr>
      </w:pPr>
      <w:r>
        <w:rPr>
          <w:rFonts w:eastAsia="仿宋_GB2312"/>
          <w:color w:val="auto"/>
        </w:rPr>
        <w:br w:type="page"/>
      </w:r>
      <w:bookmarkStart w:id="134" w:name="_Toc300678059"/>
      <w:bookmarkEnd w:id="133"/>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附件2-3：计算机辅助评标办法</w:t>
      </w:r>
    </w:p>
    <w:p>
      <w:pPr>
        <w:pStyle w:val="style0"/>
        <w:adjustRightInd w:val="false"/>
        <w:snapToGrid w:val="false"/>
        <w:spacing w:lineRule="auto" w:line="360"/>
        <w:ind w:firstLine="480" w:firstLineChars="200"/>
        <w:rPr>
          <w:rFonts w:cs="宋体" w:hint="default"/>
          <w:color w:val="auto"/>
          <w:kern w:val="0"/>
        </w:rPr>
      </w:pP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计算机辅助评标办法</w:t>
      </w:r>
    </w:p>
    <w:p>
      <w:pPr>
        <w:pStyle w:val="style0"/>
        <w:adjustRightInd w:val="false"/>
        <w:snapToGrid w:val="false"/>
        <w:spacing w:lineRule="auto" w:line="360"/>
        <w:ind w:firstLine="480" w:firstLineChars="200"/>
        <w:rPr>
          <w:rFonts w:cs="宋体" w:hint="default"/>
          <w:color w:val="auto"/>
          <w:kern w:val="0"/>
        </w:rPr>
      </w:pPr>
    </w:p>
    <w:p>
      <w:pPr>
        <w:pStyle w:val="style0"/>
        <w:adjustRightInd w:val="false"/>
        <w:snapToGrid w:val="false"/>
        <w:spacing w:lineRule="auto" w:line="360"/>
        <w:ind w:firstLine="480" w:firstLineChars="200"/>
        <w:rPr>
          <w:rFonts w:cs="宋体" w:hint="default"/>
          <w:color w:val="auto"/>
          <w:kern w:val="0"/>
        </w:rPr>
      </w:pPr>
      <w:r>
        <w:rPr>
          <w:rFonts w:cs="宋体"/>
          <w:color w:val="auto"/>
          <w:kern w:val="0"/>
        </w:rPr>
        <w:t>说明：本附件的具体内容应根据招标项目的具体情况自行编写。</w:t>
      </w:r>
    </w:p>
    <w:bookmarkEnd w:id="134"/>
    <w:p>
      <w:pPr>
        <w:pStyle w:val="style0"/>
        <w:adjustRightInd w:val="false"/>
        <w:snapToGrid w:val="false"/>
        <w:spacing w:lineRule="auto" w:line="360"/>
        <w:ind w:firstLine="480" w:firstLineChars="200"/>
        <w:rPr>
          <w:rFonts w:cs="宋体" w:hint="default"/>
          <w:color w:val="auto"/>
          <w:kern w:val="0"/>
          <w:lang w:val="zh-CN"/>
        </w:rPr>
      </w:pPr>
      <w:r>
        <w:rPr>
          <w:rFonts w:cs="宋体"/>
          <w:color w:val="auto"/>
          <w:kern w:val="0"/>
        </w:rPr>
        <w:br w:type="page"/>
      </w:r>
    </w:p>
    <w:bookmarkStart w:id="135" w:name="_Toc27550604"/>
    <w:p>
      <w:pPr>
        <w:pStyle w:val="style1"/>
        <w:keepNext w:val="false"/>
        <w:spacing w:before="0" w:after="0"/>
        <w:jc w:val="center"/>
        <w:rPr>
          <w:rFonts w:ascii="宋体" w:cs="宋体" w:hAnsi="宋体" w:hint="default"/>
          <w:b w:val="false"/>
          <w:bCs w:val="false"/>
          <w:color w:val="auto"/>
          <w:kern w:val="0"/>
          <w:sz w:val="24"/>
          <w:szCs w:val="24"/>
        </w:rPr>
      </w:pPr>
      <w:r>
        <w:rPr>
          <w:rFonts w:ascii="宋体" w:cs="宋体" w:hAnsi="宋体"/>
          <w:b w:val="false"/>
          <w:bCs w:val="false"/>
          <w:color w:val="auto"/>
          <w:kern w:val="0"/>
          <w:sz w:val="24"/>
          <w:szCs w:val="24"/>
        </w:rPr>
        <w:t>第三章  评标办法（综合评估法I）</w:t>
      </w:r>
      <w:bookmarkEnd w:id="135"/>
    </w:p>
    <w:p>
      <w:pPr>
        <w:pStyle w:val="style0"/>
        <w:spacing w:before="156" w:beforeLines="50" w:after="156" w:afterLines="50" w:lineRule="auto" w:line="360"/>
        <w:jc w:val="center"/>
        <w:rPr>
          <w:rFonts w:cs="宋体" w:hint="default"/>
          <w:color w:val="auto"/>
          <w:kern w:val="0"/>
        </w:rPr>
      </w:pPr>
      <w:r>
        <w:rPr>
          <w:rFonts w:cs="宋体"/>
          <w:color w:val="auto"/>
          <w:kern w:val="0"/>
        </w:rPr>
        <w:t>评标办法前附表</w:t>
      </w:r>
    </w:p>
    <w:tbl>
      <w:tblPr>
        <w:tblStyle w:val="style105"/>
        <w:tblW w:w="97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187"/>
        <w:gridCol w:w="1010"/>
        <w:gridCol w:w="1420"/>
        <w:gridCol w:w="6107"/>
      </w:tblGrid>
      <w:tr>
        <w:trPr>
          <w:trHeight w:val="397" w:hRule="atLeast"/>
          <w:jc w:val="center"/>
        </w:trPr>
        <w:tc>
          <w:tcPr>
            <w:tcW w:w="1187" w:type="dxa"/>
            <w:tcBorders/>
            <w:vAlign w:val="center"/>
          </w:tcPr>
          <w:p>
            <w:pPr>
              <w:pStyle w:val="style0"/>
              <w:spacing w:lineRule="auto" w:line="360"/>
              <w:jc w:val="center"/>
              <w:rPr>
                <w:rFonts w:cs="宋体" w:hint="default"/>
                <w:color w:val="auto"/>
                <w:kern w:val="0"/>
              </w:rPr>
            </w:pPr>
            <w:r>
              <w:rPr>
                <w:rFonts w:cs="宋体"/>
                <w:color w:val="auto"/>
                <w:kern w:val="0"/>
              </w:rPr>
              <w:t>条款号</w:t>
            </w: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评审因素</w:t>
            </w:r>
          </w:p>
        </w:tc>
        <w:tc>
          <w:tcPr>
            <w:tcW w:w="6107" w:type="dxa"/>
            <w:tcBorders/>
            <w:vAlign w:val="center"/>
          </w:tcPr>
          <w:p>
            <w:pPr>
              <w:pStyle w:val="style0"/>
              <w:spacing w:lineRule="auto" w:line="360"/>
              <w:jc w:val="center"/>
              <w:rPr>
                <w:rFonts w:cs="宋体" w:hint="default"/>
                <w:color w:val="auto"/>
                <w:kern w:val="0"/>
              </w:rPr>
            </w:pPr>
            <w:r>
              <w:rPr>
                <w:rFonts w:cs="宋体"/>
                <w:color w:val="auto"/>
                <w:kern w:val="0"/>
              </w:rPr>
              <w:t>评审标准</w:t>
            </w:r>
          </w:p>
        </w:tc>
      </w:tr>
      <w:tr>
        <w:tblPrEx/>
        <w:trPr>
          <w:trHeight w:val="397" w:hRule="atLeast"/>
          <w:jc w:val="center"/>
        </w:trPr>
        <w:tc>
          <w:tcPr>
            <w:tcW w:w="1187" w:type="dxa"/>
            <w:vMerge w:val="restart"/>
            <w:tcBorders/>
            <w:vAlign w:val="center"/>
          </w:tcPr>
          <w:p>
            <w:pPr>
              <w:pStyle w:val="style0"/>
              <w:spacing w:lineRule="auto" w:line="360"/>
              <w:jc w:val="center"/>
              <w:rPr>
                <w:rFonts w:cs="宋体" w:hint="default"/>
                <w:color w:val="auto"/>
                <w:kern w:val="0"/>
              </w:rPr>
            </w:pPr>
            <w:r>
              <w:rPr>
                <w:rFonts w:cs="宋体"/>
                <w:color w:val="auto"/>
                <w:kern w:val="0"/>
              </w:rPr>
              <w:t>1.1.1</w:t>
            </w:r>
          </w:p>
        </w:tc>
        <w:tc>
          <w:tcPr>
            <w:tcW w:w="8537" w:type="dxa"/>
            <w:gridSpan w:val="3"/>
            <w:tcBorders/>
            <w:vAlign w:val="center"/>
          </w:tcPr>
          <w:p>
            <w:pPr>
              <w:pStyle w:val="style0"/>
              <w:spacing w:lineRule="auto" w:line="360"/>
              <w:jc w:val="center"/>
              <w:rPr>
                <w:rFonts w:cs="宋体" w:hint="default"/>
                <w:color w:val="auto"/>
                <w:kern w:val="0"/>
              </w:rPr>
            </w:pPr>
            <w:r>
              <w:rPr>
                <w:rFonts w:cs="宋体"/>
                <w:color w:val="auto"/>
                <w:kern w:val="0"/>
              </w:rPr>
              <w:t>形式评审</w:t>
            </w:r>
          </w:p>
        </w:tc>
      </w:tr>
      <w:tr>
        <w:tblPrEx/>
        <w:trPr>
          <w:trHeight w:val="72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投标人名称</w:t>
            </w:r>
          </w:p>
        </w:tc>
        <w:tc>
          <w:tcPr>
            <w:tcW w:w="6107" w:type="dxa"/>
            <w:tcBorders/>
            <w:vAlign w:val="center"/>
          </w:tcPr>
          <w:p>
            <w:pPr>
              <w:pStyle w:val="style0"/>
              <w:spacing w:lineRule="auto" w:line="360"/>
              <w:rPr>
                <w:rFonts w:cs="宋体" w:hint="default"/>
                <w:color w:val="auto"/>
                <w:kern w:val="0"/>
              </w:rPr>
            </w:pPr>
            <w:r>
              <w:rPr>
                <w:rFonts w:cs="宋体"/>
                <w:color w:val="auto"/>
                <w:kern w:val="0"/>
              </w:rPr>
              <w:t>与营业执照上的名称一致；省外企业名称与在“湖南省住房和城乡建设网”登记的一致</w:t>
            </w:r>
          </w:p>
        </w:tc>
      </w:tr>
      <w:tr>
        <w:tblPrEx/>
        <w:trPr>
          <w:trHeight w:val="115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响应文件签字盖章</w:t>
            </w:r>
          </w:p>
        </w:tc>
        <w:tc>
          <w:tcPr>
            <w:tcW w:w="6107" w:type="dxa"/>
            <w:tcBorders/>
            <w:vAlign w:val="center"/>
          </w:tcPr>
          <w:p>
            <w:pPr>
              <w:pStyle w:val="style0"/>
              <w:spacing w:lineRule="auto" w:line="360"/>
              <w:rPr>
                <w:rFonts w:cs="宋体" w:hint="default"/>
                <w:color w:val="auto"/>
                <w:kern w:val="0"/>
              </w:rPr>
            </w:pPr>
            <w:r>
              <w:rPr>
                <w:rFonts w:cs="宋体"/>
                <w:color w:val="auto"/>
                <w:kern w:val="0"/>
              </w:rPr>
              <w:t>由法定代表人（或其委托代理人）签名（或加盖印章），并加盖投标人的单位公章。投标人加盖的单位公章与其营业执照的单位名称应当一致。委托代理人为本招标项目的拟任总监理工程师。</w:t>
            </w:r>
          </w:p>
        </w:tc>
      </w:tr>
      <w:tr>
        <w:tblPrEx/>
        <w:trPr>
          <w:trHeight w:val="761"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响应文件</w:t>
            </w:r>
          </w:p>
        </w:tc>
        <w:tc>
          <w:tcPr>
            <w:tcW w:w="6107" w:type="dxa"/>
            <w:tcBorders/>
            <w:vAlign w:val="center"/>
          </w:tcPr>
          <w:p>
            <w:pPr>
              <w:pStyle w:val="style0"/>
              <w:spacing w:lineRule="auto" w:line="360"/>
              <w:rPr>
                <w:rFonts w:cs="宋体" w:hint="default"/>
                <w:color w:val="auto"/>
                <w:kern w:val="0"/>
              </w:rPr>
            </w:pPr>
            <w:r>
              <w:rPr>
                <w:rFonts w:cs="宋体"/>
                <w:color w:val="auto"/>
                <w:kern w:val="0"/>
              </w:rPr>
              <w:t>同一投标人未提交两份及以上不同内容的响应文件，但招标文件要求提交备选投标的除外</w:t>
            </w:r>
          </w:p>
        </w:tc>
      </w:tr>
      <w:tr>
        <w:tblPrEx/>
        <w:trPr>
          <w:trHeight w:val="843"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投标报价</w:t>
            </w:r>
          </w:p>
        </w:tc>
        <w:tc>
          <w:tcPr>
            <w:tcW w:w="6107" w:type="dxa"/>
            <w:tcBorders/>
            <w:vAlign w:val="center"/>
          </w:tcPr>
          <w:p>
            <w:pPr>
              <w:pStyle w:val="style0"/>
              <w:spacing w:lineRule="auto" w:line="360"/>
              <w:rPr>
                <w:rFonts w:cs="宋体" w:hint="default"/>
                <w:color w:val="auto"/>
                <w:kern w:val="0"/>
              </w:rPr>
            </w:pPr>
            <w:r>
              <w:rPr>
                <w:rFonts w:cs="宋体"/>
                <w:color w:val="auto"/>
                <w:kern w:val="0"/>
              </w:rPr>
              <w:t>同一投标人未提交两份及以上不同内容的投标报价，但招标文件要求提交备选投标的除外</w:t>
            </w:r>
          </w:p>
        </w:tc>
      </w:tr>
      <w:tr>
        <w:tblPrEx/>
        <w:trPr>
          <w:trHeight w:val="397"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联合体投标人</w:t>
            </w:r>
          </w:p>
        </w:tc>
        <w:tc>
          <w:tcPr>
            <w:tcW w:w="6107" w:type="dxa"/>
            <w:tcBorders/>
            <w:vAlign w:val="center"/>
          </w:tcPr>
          <w:p>
            <w:pPr>
              <w:pStyle w:val="style0"/>
              <w:spacing w:lineRule="auto" w:line="360"/>
              <w:ind w:left="-240" w:leftChars="-100" w:firstLine="240" w:firstLineChars="100"/>
              <w:rPr>
                <w:rFonts w:cs="宋体" w:hint="default"/>
                <w:color w:val="auto"/>
                <w:kern w:val="0"/>
              </w:rPr>
            </w:pPr>
            <w:r>
              <w:rPr>
                <w:rFonts w:cs="宋体"/>
                <w:color w:val="auto"/>
                <w:kern w:val="0"/>
              </w:rPr>
              <w:t xml:space="preserve"> 提交共同投标协议，且明确了牵头人</w:t>
            </w:r>
          </w:p>
        </w:tc>
      </w:tr>
      <w:tr>
        <w:tblPrEx/>
        <w:trPr>
          <w:trHeight w:val="397" w:hRule="atLeast"/>
          <w:jc w:val="center"/>
        </w:trPr>
        <w:tc>
          <w:tcPr>
            <w:tcW w:w="1187" w:type="dxa"/>
            <w:vMerge w:val="restart"/>
            <w:tcBorders/>
            <w:vAlign w:val="center"/>
          </w:tcPr>
          <w:p>
            <w:pPr>
              <w:pStyle w:val="style0"/>
              <w:spacing w:lineRule="auto" w:line="360"/>
              <w:jc w:val="center"/>
              <w:rPr>
                <w:rFonts w:cs="宋体" w:hint="default"/>
                <w:color w:val="auto"/>
                <w:kern w:val="0"/>
              </w:rPr>
            </w:pPr>
            <w:r>
              <w:rPr>
                <w:rFonts w:cs="宋体"/>
                <w:color w:val="auto"/>
                <w:kern w:val="0"/>
              </w:rPr>
              <w:t xml:space="preserve">1.1.2 </w:t>
            </w:r>
          </w:p>
        </w:tc>
        <w:tc>
          <w:tcPr>
            <w:tcW w:w="8537" w:type="dxa"/>
            <w:gridSpan w:val="3"/>
            <w:tcBorders/>
            <w:vAlign w:val="center"/>
          </w:tcPr>
          <w:p>
            <w:pPr>
              <w:pStyle w:val="style0"/>
              <w:spacing w:lineRule="auto" w:line="360"/>
              <w:jc w:val="center"/>
              <w:rPr>
                <w:rFonts w:cs="宋体" w:hint="default"/>
                <w:color w:val="auto"/>
                <w:kern w:val="0"/>
              </w:rPr>
            </w:pPr>
            <w:r>
              <w:rPr>
                <w:rFonts w:cs="宋体"/>
                <w:color w:val="auto"/>
                <w:kern w:val="0"/>
              </w:rPr>
              <w:t>资格评审</w:t>
            </w:r>
          </w:p>
        </w:tc>
      </w:tr>
      <w:tr>
        <w:tblPrEx/>
        <w:trPr>
          <w:trHeight w:val="553"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营业执照</w:t>
            </w:r>
          </w:p>
        </w:tc>
        <w:tc>
          <w:tcPr>
            <w:tcW w:w="6107" w:type="dxa"/>
            <w:tcBorders/>
            <w:vAlign w:val="center"/>
          </w:tcPr>
          <w:p>
            <w:pPr>
              <w:pStyle w:val="style0"/>
              <w:spacing w:lineRule="auto" w:line="360"/>
              <w:rPr>
                <w:rFonts w:cs="宋体" w:hint="default"/>
                <w:color w:val="auto"/>
                <w:kern w:val="0"/>
              </w:rPr>
            </w:pPr>
            <w:r>
              <w:rPr>
                <w:rFonts w:cs="宋体"/>
                <w:color w:val="auto"/>
                <w:kern w:val="0"/>
              </w:rPr>
              <w:t>具备有效的营业执照</w:t>
            </w:r>
          </w:p>
        </w:tc>
      </w:tr>
      <w:tr>
        <w:tblPrEx/>
        <w:trPr>
          <w:trHeight w:val="621"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资质等级</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454"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企业信用评价分值</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721"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1010" w:type="dxa"/>
            <w:vMerge w:val="restart"/>
            <w:tcBorders/>
            <w:vAlign w:val="center"/>
          </w:tcPr>
          <w:p>
            <w:pPr>
              <w:pStyle w:val="style0"/>
              <w:spacing w:lineRule="auto" w:line="360"/>
              <w:jc w:val="center"/>
              <w:rPr>
                <w:rFonts w:cs="宋体" w:hint="default"/>
                <w:color w:val="auto"/>
                <w:kern w:val="0"/>
              </w:rPr>
            </w:pPr>
            <w:r>
              <w:rPr>
                <w:rFonts w:cs="宋体"/>
                <w:color w:val="auto"/>
                <w:kern w:val="0"/>
              </w:rPr>
              <w:t>类似工程业绩</w:t>
            </w:r>
          </w:p>
        </w:tc>
        <w:tc>
          <w:tcPr>
            <w:tcW w:w="1420" w:type="dxa"/>
            <w:tcBorders/>
            <w:vAlign w:val="center"/>
          </w:tcPr>
          <w:p>
            <w:pPr>
              <w:pStyle w:val="style0"/>
              <w:spacing w:lineRule="auto" w:line="360"/>
              <w:rPr>
                <w:rFonts w:cs="宋体" w:hint="default"/>
                <w:color w:val="auto"/>
                <w:kern w:val="0"/>
              </w:rPr>
            </w:pPr>
            <w:r>
              <w:rPr>
                <w:rFonts w:cs="宋体"/>
                <w:color w:val="auto"/>
                <w:kern w:val="0"/>
              </w:rPr>
              <w:t>□企业</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62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1010" w:type="dxa"/>
            <w:vMerge w:val="continue"/>
            <w:tcBorders/>
            <w:vAlign w:val="center"/>
          </w:tcPr>
          <w:p>
            <w:pPr>
              <w:pStyle w:val="style0"/>
              <w:spacing w:lineRule="auto" w:line="360"/>
              <w:rPr>
                <w:rFonts w:cs="宋体" w:hint="default"/>
                <w:color w:val="auto"/>
                <w:kern w:val="0"/>
              </w:rPr>
            </w:pPr>
          </w:p>
        </w:tc>
        <w:tc>
          <w:tcPr>
            <w:tcW w:w="1420" w:type="dxa"/>
            <w:tcBorders/>
            <w:vAlign w:val="center"/>
          </w:tcPr>
          <w:p>
            <w:pPr>
              <w:pStyle w:val="style0"/>
              <w:spacing w:lineRule="auto" w:line="360"/>
              <w:jc w:val="center"/>
              <w:rPr>
                <w:rFonts w:cs="宋体" w:hint="default"/>
                <w:color w:val="auto"/>
                <w:kern w:val="0"/>
              </w:rPr>
            </w:pPr>
            <w:r>
              <w:rPr>
                <w:rFonts w:cs="宋体"/>
                <w:color w:val="auto"/>
                <w:kern w:val="0"/>
              </w:rPr>
              <w:t>☑拟任总监理工程师</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62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1010" w:type="dxa"/>
            <w:vMerge w:val="continue"/>
            <w:tcBorders/>
            <w:vAlign w:val="center"/>
          </w:tcPr>
          <w:p>
            <w:pPr>
              <w:pStyle w:val="style0"/>
              <w:spacing w:lineRule="auto" w:line="360"/>
              <w:rPr>
                <w:rFonts w:cs="宋体" w:hint="default"/>
                <w:color w:val="auto"/>
                <w:kern w:val="0"/>
              </w:rPr>
            </w:pPr>
          </w:p>
        </w:tc>
        <w:tc>
          <w:tcPr>
            <w:tcW w:w="1420" w:type="dxa"/>
            <w:tcBorders/>
            <w:vAlign w:val="center"/>
          </w:tcPr>
          <w:p>
            <w:pPr>
              <w:pStyle w:val="style0"/>
              <w:spacing w:lineRule="auto" w:line="360"/>
              <w:jc w:val="center"/>
              <w:rPr>
                <w:rFonts w:cs="宋体" w:hint="default"/>
                <w:color w:val="auto"/>
                <w:kern w:val="0"/>
              </w:rPr>
            </w:pPr>
            <w:r>
              <w:rPr>
                <w:rFonts w:cs="宋体"/>
                <w:color w:val="auto"/>
                <w:kern w:val="0"/>
              </w:rPr>
              <w:t>□拟任专业监理工程师</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654"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拟任总监理工程师资格</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654"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拟任专业监理工程师的资格</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503"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其他要求</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符合第二章“投标人须知”的规定</w:t>
            </w:r>
          </w:p>
        </w:tc>
      </w:tr>
      <w:tr>
        <w:tblPrEx/>
        <w:trPr>
          <w:trHeight w:val="52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投标保证</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符合第二章“投标人须知”第3.4.1项规定</w:t>
            </w:r>
          </w:p>
        </w:tc>
      </w:tr>
      <w:tr>
        <w:tblPrEx/>
        <w:trPr>
          <w:trHeight w:val="1006"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8537" w:type="dxa"/>
            <w:gridSpan w:val="3"/>
            <w:tcBorders/>
            <w:vAlign w:val="center"/>
          </w:tcPr>
          <w:p>
            <w:pPr>
              <w:pStyle w:val="style0"/>
              <w:spacing w:lineRule="auto" w:line="360"/>
              <w:rPr>
                <w:rFonts w:cs="宋体" w:hint="default"/>
                <w:color w:val="auto"/>
                <w:kern w:val="0"/>
              </w:rPr>
            </w:pPr>
            <w:r>
              <w:rPr>
                <w:rFonts w:cs="宋体"/>
                <w:color w:val="auto"/>
                <w:kern w:val="0"/>
              </w:rPr>
              <w:t>1.由评标委员会根据评审标准，对投标人资格进行评审；</w:t>
            </w:r>
          </w:p>
          <w:p>
            <w:pPr>
              <w:pStyle w:val="style0"/>
              <w:spacing w:lineRule="auto" w:line="360"/>
              <w:rPr>
                <w:rFonts w:cs="宋体" w:hint="default"/>
                <w:color w:val="auto"/>
                <w:kern w:val="0"/>
              </w:rPr>
            </w:pPr>
            <w:r>
              <w:rPr>
                <w:rFonts w:cs="宋体"/>
                <w:color w:val="auto"/>
                <w:kern w:val="0"/>
              </w:rPr>
              <w:t xml:space="preserve">2.资格评审过程中，评标委员会发现投标人提交的资格审查资料不全时，应当听取该投标人的说明。  </w:t>
            </w:r>
          </w:p>
        </w:tc>
      </w:tr>
      <w:tr>
        <w:tblPrEx/>
        <w:trPr>
          <w:trHeight w:val="397" w:hRule="atLeast"/>
          <w:jc w:val="center"/>
        </w:trPr>
        <w:tc>
          <w:tcPr>
            <w:tcW w:w="1187" w:type="dxa"/>
            <w:vMerge w:val="restart"/>
            <w:tcBorders/>
            <w:vAlign w:val="center"/>
          </w:tcPr>
          <w:p>
            <w:pPr>
              <w:pStyle w:val="style0"/>
              <w:spacing w:lineRule="auto" w:line="360"/>
              <w:jc w:val="center"/>
              <w:rPr>
                <w:rFonts w:cs="宋体" w:hint="default"/>
                <w:color w:val="auto"/>
                <w:kern w:val="0"/>
              </w:rPr>
            </w:pPr>
            <w:r>
              <w:rPr>
                <w:rFonts w:cs="宋体"/>
                <w:color w:val="auto"/>
                <w:kern w:val="0"/>
              </w:rPr>
              <w:t>1.1.3</w:t>
            </w:r>
          </w:p>
        </w:tc>
        <w:tc>
          <w:tcPr>
            <w:tcW w:w="8537" w:type="dxa"/>
            <w:gridSpan w:val="3"/>
            <w:tcBorders/>
            <w:vAlign w:val="center"/>
          </w:tcPr>
          <w:p>
            <w:pPr>
              <w:pStyle w:val="style0"/>
              <w:spacing w:lineRule="auto" w:line="360"/>
              <w:jc w:val="center"/>
              <w:rPr>
                <w:rFonts w:cs="宋体" w:hint="default"/>
                <w:color w:val="auto"/>
                <w:kern w:val="0"/>
              </w:rPr>
            </w:pPr>
            <w:r>
              <w:rPr>
                <w:rFonts w:cs="宋体"/>
                <w:color w:val="auto"/>
                <w:kern w:val="0"/>
              </w:rPr>
              <w:t>响应性评审</w:t>
            </w:r>
          </w:p>
        </w:tc>
      </w:tr>
      <w:tr>
        <w:tblPrEx/>
        <w:trPr>
          <w:trHeight w:val="803"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投标内容</w:t>
            </w:r>
          </w:p>
        </w:tc>
        <w:tc>
          <w:tcPr>
            <w:tcW w:w="6107" w:type="dxa"/>
            <w:tcBorders/>
            <w:vAlign w:val="center"/>
          </w:tcPr>
          <w:p>
            <w:pPr>
              <w:pStyle w:val="style0"/>
              <w:spacing w:lineRule="auto" w:line="360"/>
              <w:rPr>
                <w:rFonts w:cs="宋体" w:hint="default"/>
                <w:color w:val="auto"/>
                <w:kern w:val="0"/>
              </w:rPr>
            </w:pPr>
            <w:r>
              <w:rPr>
                <w:rFonts w:cs="宋体"/>
                <w:color w:val="auto"/>
                <w:kern w:val="0"/>
              </w:rPr>
              <w:t>响应文件载明的投标范围不小于招标文件规定的招标范围</w:t>
            </w:r>
          </w:p>
        </w:tc>
      </w:tr>
      <w:tr>
        <w:tblPrEx/>
        <w:trPr>
          <w:trHeight w:val="62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监理服务期限</w:t>
            </w:r>
          </w:p>
        </w:tc>
        <w:tc>
          <w:tcPr>
            <w:tcW w:w="6107" w:type="dxa"/>
            <w:tcBorders/>
            <w:vAlign w:val="center"/>
          </w:tcPr>
          <w:p>
            <w:pPr>
              <w:pStyle w:val="style0"/>
              <w:spacing w:lineRule="auto" w:line="360"/>
              <w:rPr>
                <w:rFonts w:cs="宋体" w:hint="default"/>
                <w:color w:val="auto"/>
                <w:kern w:val="0"/>
              </w:rPr>
            </w:pPr>
            <w:r>
              <w:rPr>
                <w:rFonts w:cs="宋体"/>
                <w:color w:val="auto"/>
                <w:kern w:val="0"/>
              </w:rPr>
              <w:t>响应文件载明的监理服务期限不低于招标文件要求的期限</w:t>
            </w:r>
          </w:p>
        </w:tc>
      </w:tr>
      <w:tr>
        <w:tblPrEx/>
        <w:trPr>
          <w:trHeight w:val="614"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投标报价</w:t>
            </w:r>
          </w:p>
        </w:tc>
        <w:tc>
          <w:tcPr>
            <w:tcW w:w="6107" w:type="dxa"/>
            <w:tcBorders/>
            <w:vAlign w:val="center"/>
          </w:tcPr>
          <w:p>
            <w:pPr>
              <w:pStyle w:val="style0"/>
              <w:spacing w:lineRule="auto" w:line="360"/>
              <w:rPr>
                <w:rFonts w:cs="宋体" w:hint="default"/>
                <w:color w:val="auto"/>
                <w:kern w:val="0"/>
              </w:rPr>
            </w:pPr>
            <w:r>
              <w:rPr>
                <w:rFonts w:cs="宋体"/>
                <w:color w:val="auto"/>
                <w:kern w:val="0"/>
              </w:rPr>
              <w:t>投标人报价未超过招标文件规定的最高投标限价</w:t>
            </w:r>
          </w:p>
        </w:tc>
      </w:tr>
      <w:tr>
        <w:tblPrEx/>
        <w:trPr>
          <w:trHeight w:val="1036"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主要人员配备</w:t>
            </w:r>
          </w:p>
        </w:tc>
        <w:tc>
          <w:tcPr>
            <w:tcW w:w="6107" w:type="dxa"/>
            <w:tcBorders/>
            <w:vAlign w:val="center"/>
          </w:tcPr>
          <w:p>
            <w:pPr>
              <w:pStyle w:val="style0"/>
              <w:spacing w:lineRule="auto" w:line="360"/>
              <w:rPr>
                <w:rFonts w:cs="宋体" w:hint="default"/>
                <w:color w:val="auto"/>
                <w:kern w:val="0"/>
              </w:rPr>
            </w:pPr>
            <w:r>
              <w:rPr>
                <w:rFonts w:cs="宋体"/>
                <w:color w:val="auto"/>
                <w:kern w:val="0"/>
              </w:rPr>
              <w:t>拟任总监理工程师、专业监理工程师（招标阶段配备1人）的配备不低于国家或省有关规定及招标文件要求</w:t>
            </w:r>
          </w:p>
        </w:tc>
      </w:tr>
      <w:tr>
        <w:tblPrEx/>
        <w:trPr>
          <w:trHeight w:val="787"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投标有效期</w:t>
            </w:r>
          </w:p>
        </w:tc>
        <w:tc>
          <w:tcPr>
            <w:tcW w:w="6107" w:type="dxa"/>
            <w:tcBorders/>
            <w:vAlign w:val="center"/>
          </w:tcPr>
          <w:p>
            <w:pPr>
              <w:pStyle w:val="style0"/>
              <w:spacing w:lineRule="auto" w:line="360"/>
              <w:rPr>
                <w:rFonts w:cs="宋体" w:hint="default"/>
                <w:color w:val="auto"/>
                <w:kern w:val="0"/>
              </w:rPr>
            </w:pPr>
            <w:r>
              <w:rPr>
                <w:rFonts w:cs="宋体"/>
                <w:color w:val="auto"/>
                <w:kern w:val="0"/>
              </w:rPr>
              <w:t>投标有效期不短于投标人须知前附表的规定</w:t>
            </w:r>
          </w:p>
        </w:tc>
      </w:tr>
      <w:tr>
        <w:tblPrEx/>
        <w:trPr>
          <w:trHeight w:val="870"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2430" w:type="dxa"/>
            <w:gridSpan w:val="2"/>
            <w:tcBorders/>
            <w:vAlign w:val="center"/>
          </w:tcPr>
          <w:p>
            <w:pPr>
              <w:pStyle w:val="style0"/>
              <w:spacing w:lineRule="auto" w:line="360"/>
              <w:jc w:val="center"/>
              <w:rPr>
                <w:rFonts w:cs="宋体" w:hint="default"/>
                <w:color w:val="auto"/>
                <w:kern w:val="0"/>
              </w:rPr>
            </w:pPr>
            <w:r>
              <w:rPr>
                <w:rFonts w:cs="宋体"/>
                <w:color w:val="auto"/>
                <w:kern w:val="0"/>
              </w:rPr>
              <w:t>权利义务</w:t>
            </w:r>
          </w:p>
        </w:tc>
        <w:tc>
          <w:tcPr>
            <w:tcW w:w="6107" w:type="dxa"/>
            <w:tcBorders/>
            <w:vAlign w:val="center"/>
          </w:tcPr>
          <w:p>
            <w:pPr>
              <w:pStyle w:val="style0"/>
              <w:spacing w:lineRule="auto" w:line="360"/>
              <w:rPr>
                <w:rFonts w:cs="宋体" w:hint="default"/>
                <w:color w:val="auto"/>
                <w:kern w:val="0"/>
              </w:rPr>
            </w:pPr>
            <w:r>
              <w:rPr>
                <w:rFonts w:cs="宋体"/>
                <w:color w:val="auto"/>
                <w:kern w:val="0"/>
              </w:rPr>
              <w:t>符合第四章“合同条款及格式”规定</w:t>
            </w:r>
          </w:p>
        </w:tc>
      </w:tr>
      <w:tr>
        <w:tblPrEx/>
        <w:trPr>
          <w:trHeight w:val="1003" w:hRule="atLeast"/>
          <w:jc w:val="center"/>
        </w:trPr>
        <w:tc>
          <w:tcPr>
            <w:tcW w:w="1187" w:type="dxa"/>
            <w:vMerge w:val="continue"/>
            <w:tcBorders/>
            <w:vAlign w:val="center"/>
          </w:tcPr>
          <w:p>
            <w:pPr>
              <w:pStyle w:val="style0"/>
              <w:spacing w:lineRule="auto" w:line="360"/>
              <w:jc w:val="center"/>
              <w:rPr>
                <w:rFonts w:cs="宋体" w:hint="default"/>
                <w:color w:val="auto"/>
                <w:kern w:val="0"/>
              </w:rPr>
            </w:pPr>
          </w:p>
        </w:tc>
        <w:tc>
          <w:tcPr>
            <w:tcW w:w="8537" w:type="dxa"/>
            <w:gridSpan w:val="3"/>
            <w:tcBorders/>
            <w:vAlign w:val="center"/>
          </w:tcPr>
          <w:p>
            <w:pPr>
              <w:pStyle w:val="style0"/>
              <w:spacing w:lineRule="auto" w:line="360"/>
              <w:jc w:val="center"/>
              <w:rPr>
                <w:rFonts w:cs="宋体" w:hint="default"/>
                <w:color w:val="auto"/>
                <w:kern w:val="0"/>
              </w:rPr>
            </w:pPr>
            <w:r>
              <w:rPr>
                <w:rFonts w:cs="宋体"/>
                <w:color w:val="auto"/>
                <w:kern w:val="0"/>
              </w:rPr>
              <w:t>其他响应招标文件提出的实质性要求和条件</w:t>
            </w:r>
          </w:p>
        </w:tc>
      </w:tr>
      <w:tr>
        <w:tblPrEx/>
        <w:trPr>
          <w:trHeight w:val="887" w:hRule="atLeast"/>
          <w:jc w:val="center"/>
        </w:trPr>
        <w:tc>
          <w:tcPr>
            <w:tcW w:w="1187" w:type="dxa"/>
            <w:tcBorders/>
            <w:vAlign w:val="center"/>
          </w:tcPr>
          <w:p>
            <w:pPr>
              <w:pStyle w:val="style0"/>
              <w:spacing w:lineRule="auto" w:line="360"/>
              <w:jc w:val="center"/>
              <w:rPr>
                <w:rFonts w:cs="宋体" w:hint="default"/>
                <w:color w:val="auto"/>
                <w:kern w:val="0"/>
              </w:rPr>
            </w:pPr>
            <w:r>
              <w:rPr>
                <w:rFonts w:cs="宋体"/>
                <w:color w:val="auto"/>
                <w:kern w:val="0"/>
              </w:rPr>
              <w:t>条款号</w:t>
            </w:r>
          </w:p>
        </w:tc>
        <w:tc>
          <w:tcPr>
            <w:tcW w:w="2430" w:type="dxa"/>
            <w:gridSpan w:val="2"/>
            <w:tcBorders/>
            <w:vAlign w:val="center"/>
          </w:tcPr>
          <w:p>
            <w:pPr>
              <w:pStyle w:val="style0"/>
              <w:spacing w:lineRule="auto" w:line="360"/>
              <w:ind w:firstLine="960" w:firstLineChars="400"/>
              <w:rPr>
                <w:rFonts w:cs="宋体" w:hint="default"/>
                <w:color w:val="auto"/>
                <w:kern w:val="0"/>
              </w:rPr>
            </w:pPr>
            <w:r>
              <w:rPr>
                <w:rFonts w:cs="宋体"/>
                <w:color w:val="auto"/>
                <w:kern w:val="0"/>
              </w:rPr>
              <w:t>条款内容</w:t>
            </w:r>
          </w:p>
        </w:tc>
        <w:tc>
          <w:tcPr>
            <w:tcW w:w="6107" w:type="dxa"/>
            <w:tcBorders/>
            <w:vAlign w:val="center"/>
          </w:tcPr>
          <w:p>
            <w:pPr>
              <w:pStyle w:val="style0"/>
              <w:spacing w:lineRule="auto" w:line="360"/>
              <w:jc w:val="center"/>
              <w:rPr>
                <w:rFonts w:cs="宋体" w:hint="default"/>
                <w:color w:val="auto"/>
                <w:kern w:val="0"/>
              </w:rPr>
            </w:pPr>
            <w:r>
              <w:rPr>
                <w:rFonts w:cs="宋体"/>
                <w:color w:val="auto"/>
                <w:kern w:val="0"/>
              </w:rPr>
              <w:t>编列内容</w:t>
            </w:r>
          </w:p>
        </w:tc>
      </w:tr>
      <w:tr>
        <w:tblPrEx/>
        <w:trPr>
          <w:trHeight w:val="1687" w:hRule="atLeast"/>
          <w:jc w:val="center"/>
        </w:trPr>
        <w:tc>
          <w:tcPr>
            <w:tcW w:w="1187" w:type="dxa"/>
            <w:tcBorders/>
            <w:vAlign w:val="center"/>
          </w:tcPr>
          <w:p>
            <w:pPr>
              <w:pStyle w:val="style0"/>
              <w:spacing w:lineRule="auto" w:line="360"/>
              <w:jc w:val="center"/>
              <w:rPr>
                <w:rFonts w:cs="宋体" w:hint="default"/>
                <w:color w:val="auto"/>
                <w:kern w:val="0"/>
              </w:rPr>
            </w:pPr>
            <w:r>
              <w:rPr>
                <w:rFonts w:cs="宋体"/>
                <w:color w:val="auto"/>
                <w:kern w:val="0"/>
              </w:rPr>
              <w:t>1.2.2</w:t>
            </w:r>
          </w:p>
        </w:tc>
        <w:tc>
          <w:tcPr>
            <w:tcW w:w="2430" w:type="dxa"/>
            <w:gridSpan w:val="2"/>
            <w:tcBorders/>
            <w:vAlign w:val="center"/>
          </w:tcPr>
          <w:p>
            <w:pPr>
              <w:pStyle w:val="style0"/>
              <w:spacing w:lineRule="auto" w:line="360"/>
              <w:jc w:val="center"/>
              <w:rPr>
                <w:rFonts w:cs="宋体" w:hint="default"/>
                <w:b/>
                <w:color w:val="auto"/>
                <w:kern w:val="0"/>
              </w:rPr>
            </w:pPr>
            <w:r>
              <w:rPr>
                <w:rFonts w:cs="宋体"/>
                <w:b/>
                <w:color w:val="auto"/>
                <w:kern w:val="0"/>
              </w:rPr>
              <w:t>权值构成</w:t>
            </w:r>
          </w:p>
          <w:p>
            <w:pPr>
              <w:pStyle w:val="style0"/>
              <w:spacing w:lineRule="auto" w:line="360"/>
              <w:jc w:val="center"/>
              <w:rPr>
                <w:rFonts w:cs="宋体" w:hint="default"/>
                <w:b/>
                <w:color w:val="auto"/>
                <w:kern w:val="0"/>
              </w:rPr>
            </w:pPr>
            <w:r>
              <w:rPr>
                <w:rFonts w:cs="宋体"/>
                <w:b/>
                <w:color w:val="auto"/>
                <w:kern w:val="0"/>
              </w:rPr>
              <w:t>（总权值为1）</w:t>
            </w:r>
          </w:p>
        </w:tc>
        <w:tc>
          <w:tcPr>
            <w:tcW w:w="6107" w:type="dxa"/>
            <w:tcBorders/>
            <w:vAlign w:val="center"/>
          </w:tcPr>
          <w:p>
            <w:pPr>
              <w:pStyle w:val="style0"/>
              <w:spacing w:lineRule="auto" w:line="360"/>
              <w:rPr>
                <w:rFonts w:cs="宋体" w:hint="default"/>
                <w:b/>
                <w:color w:val="auto"/>
                <w:kern w:val="0"/>
              </w:rPr>
            </w:pPr>
            <w:r>
              <w:rPr>
                <w:rFonts w:cs="宋体"/>
                <w:b/>
                <w:color w:val="auto"/>
                <w:kern w:val="0"/>
              </w:rPr>
              <w:t>项目监理机构权重（取值范围：0.45-0.55）：0.5</w:t>
            </w:r>
            <w:r>
              <w:rPr>
                <w:rFonts w:cs="宋体" w:hint="eastAsia"/>
                <w:b/>
                <w:color w:val="auto"/>
                <w:kern w:val="0"/>
                <w:lang w:val="en-US" w:eastAsia="zh-CN"/>
              </w:rPr>
              <w:t>0</w:t>
            </w:r>
            <w:r>
              <w:rPr>
                <w:rFonts w:cs="宋体"/>
                <w:b/>
                <w:color w:val="auto"/>
                <w:kern w:val="0"/>
              </w:rPr>
              <w:t xml:space="preserve"> </w:t>
            </w:r>
          </w:p>
          <w:p>
            <w:pPr>
              <w:pStyle w:val="style0"/>
              <w:spacing w:lineRule="auto" w:line="360"/>
              <w:rPr>
                <w:rFonts w:cs="宋体" w:hint="default"/>
                <w:b/>
                <w:color w:val="auto"/>
                <w:kern w:val="0"/>
              </w:rPr>
            </w:pPr>
            <w:r>
              <w:rPr>
                <w:rFonts w:cs="宋体"/>
                <w:b/>
                <w:color w:val="auto"/>
                <w:kern w:val="0"/>
              </w:rPr>
              <w:t>现场安全质量管理评价权重（取值范围0.20 -0.30）： 0.2</w:t>
            </w:r>
            <w:r>
              <w:rPr>
                <w:rFonts w:cs="宋体" w:hint="eastAsia"/>
                <w:b/>
                <w:color w:val="auto"/>
                <w:kern w:val="0"/>
                <w:lang w:val="en-US" w:eastAsia="zh-CN"/>
              </w:rPr>
              <w:t>0</w:t>
            </w:r>
            <w:r>
              <w:rPr>
                <w:rFonts w:cs="宋体"/>
                <w:b/>
                <w:color w:val="auto"/>
                <w:kern w:val="0"/>
              </w:rPr>
              <w:t xml:space="preserve">  </w:t>
            </w:r>
          </w:p>
          <w:p>
            <w:pPr>
              <w:pStyle w:val="style0"/>
              <w:spacing w:lineRule="auto" w:line="360"/>
              <w:rPr>
                <w:rFonts w:cs="宋体" w:hint="default"/>
                <w:b/>
                <w:color w:val="auto"/>
                <w:kern w:val="0"/>
              </w:rPr>
            </w:pPr>
            <w:r>
              <w:rPr>
                <w:rFonts w:cs="宋体"/>
                <w:b/>
                <w:color w:val="auto"/>
                <w:kern w:val="0"/>
              </w:rPr>
              <w:t>投标报价权重（取值范围：0.20-0.30）：0.3</w:t>
            </w:r>
            <w:r>
              <w:rPr>
                <w:rFonts w:cs="宋体" w:hint="eastAsia"/>
                <w:b/>
                <w:color w:val="auto"/>
                <w:kern w:val="0"/>
                <w:lang w:val="en-US" w:eastAsia="zh-CN"/>
              </w:rPr>
              <w:t>0</w:t>
            </w:r>
            <w:r>
              <w:rPr>
                <w:rFonts w:cs="宋体"/>
                <w:b/>
                <w:color w:val="auto"/>
                <w:kern w:val="0"/>
              </w:rPr>
              <w:t xml:space="preserve">      </w:t>
            </w:r>
          </w:p>
        </w:tc>
      </w:tr>
    </w:tbl>
    <w:p>
      <w:pPr>
        <w:pStyle w:val="style0"/>
        <w:spacing w:lineRule="auto" w:line="360"/>
        <w:rPr>
          <w:rFonts w:cs="宋体" w:hint="default"/>
          <w:color w:val="auto"/>
          <w:kern w:val="0"/>
        </w:rPr>
      </w:pPr>
      <w:r>
        <w:rPr>
          <w:rFonts w:cs="宋体"/>
          <w:color w:val="auto"/>
          <w:kern w:val="0"/>
        </w:rPr>
        <w:br w:type="page"/>
      </w:r>
      <w:r>
        <w:rPr>
          <w:rFonts w:cs="宋体"/>
          <w:color w:val="auto"/>
          <w:kern w:val="0"/>
        </w:rPr>
        <w:t xml:space="preserve">承前页： </w:t>
      </w:r>
    </w:p>
    <w:tbl>
      <w:tblPr>
        <w:tblStyle w:val="style105"/>
        <w:tblW w:w="98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471"/>
        <w:gridCol w:w="611"/>
        <w:gridCol w:w="2592"/>
        <w:gridCol w:w="484"/>
        <w:gridCol w:w="1196"/>
        <w:gridCol w:w="1824"/>
        <w:gridCol w:w="753"/>
        <w:gridCol w:w="709"/>
        <w:gridCol w:w="567"/>
        <w:gridCol w:w="645"/>
      </w:tblGrid>
      <w:tr>
        <w:trPr>
          <w:trHeight w:val="277" w:hRule="atLeast"/>
          <w:jc w:val="center"/>
        </w:trPr>
        <w:tc>
          <w:tcPr>
            <w:tcW w:w="471" w:type="dxa"/>
            <w:vMerge w:val="restart"/>
            <w:tcBorders/>
            <w:vAlign w:val="center"/>
          </w:tcPr>
          <w:p>
            <w:pPr>
              <w:pStyle w:val="style0"/>
              <w:spacing w:lineRule="auto" w:line="360"/>
              <w:rPr>
                <w:rFonts w:cs="宋体" w:hint="default"/>
                <w:color w:val="auto"/>
                <w:kern w:val="0"/>
              </w:rPr>
            </w:pPr>
            <w:r>
              <w:rPr>
                <w:rFonts w:cs="宋体"/>
                <w:color w:val="auto"/>
                <w:kern w:val="0"/>
              </w:rPr>
              <w:t>条款号</w:t>
            </w:r>
          </w:p>
        </w:tc>
        <w:tc>
          <w:tcPr>
            <w:tcW w:w="3203" w:type="dxa"/>
            <w:gridSpan w:val="2"/>
            <w:vMerge w:val="restart"/>
            <w:tcBorders/>
            <w:vAlign w:val="center"/>
          </w:tcPr>
          <w:p>
            <w:pPr>
              <w:pStyle w:val="style0"/>
              <w:spacing w:lineRule="auto" w:line="360"/>
              <w:rPr>
                <w:rFonts w:cs="宋体" w:hint="default"/>
                <w:color w:val="auto"/>
                <w:kern w:val="0"/>
              </w:rPr>
            </w:pPr>
            <w:r>
              <w:rPr>
                <w:rFonts w:cs="宋体"/>
                <w:color w:val="auto"/>
                <w:kern w:val="0"/>
              </w:rPr>
              <w:t>评审因素</w:t>
            </w:r>
          </w:p>
        </w:tc>
        <w:tc>
          <w:tcPr>
            <w:tcW w:w="484" w:type="dxa"/>
            <w:vMerge w:val="restart"/>
            <w:tcBorders/>
            <w:vAlign w:val="center"/>
          </w:tcPr>
          <w:p>
            <w:pPr>
              <w:pStyle w:val="style0"/>
              <w:spacing w:lineRule="auto" w:line="360"/>
              <w:rPr>
                <w:rFonts w:cs="宋体" w:hint="default"/>
                <w:color w:val="auto"/>
                <w:kern w:val="0"/>
              </w:rPr>
            </w:pPr>
            <w:r>
              <w:rPr>
                <w:rFonts w:cs="宋体"/>
                <w:color w:val="auto"/>
                <w:kern w:val="0"/>
              </w:rPr>
              <w:t>最高</w:t>
            </w:r>
          </w:p>
          <w:p>
            <w:pPr>
              <w:pStyle w:val="style0"/>
              <w:spacing w:lineRule="auto" w:line="360"/>
              <w:rPr>
                <w:rFonts w:cs="宋体" w:hint="default"/>
                <w:color w:val="auto"/>
                <w:kern w:val="0"/>
              </w:rPr>
            </w:pPr>
            <w:r>
              <w:rPr>
                <w:rFonts w:cs="宋体"/>
                <w:color w:val="auto"/>
                <w:kern w:val="0"/>
              </w:rPr>
              <w:t>分值</w:t>
            </w: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评审标准</w:t>
            </w:r>
          </w:p>
        </w:tc>
        <w:tc>
          <w:tcPr>
            <w:tcW w:w="1921" w:type="dxa"/>
            <w:gridSpan w:val="3"/>
            <w:tcBorders/>
            <w:vAlign w:val="center"/>
          </w:tcPr>
          <w:p>
            <w:pPr>
              <w:pStyle w:val="style0"/>
              <w:spacing w:lineRule="auto" w:line="360"/>
              <w:rPr>
                <w:rFonts w:cs="宋体" w:hint="default"/>
                <w:color w:val="auto"/>
                <w:kern w:val="0"/>
              </w:rPr>
            </w:pPr>
            <w:r>
              <w:rPr>
                <w:rFonts w:cs="宋体"/>
                <w:color w:val="auto"/>
                <w:kern w:val="0"/>
              </w:rPr>
              <w:t>计分方式</w:t>
            </w:r>
          </w:p>
        </w:tc>
      </w:tr>
      <w:tr>
        <w:tblPrEx/>
        <w:trPr>
          <w:trHeight w:val="90"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3203" w:type="dxa"/>
            <w:gridSpan w:val="2"/>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1196" w:type="dxa"/>
            <w:tcBorders/>
            <w:vAlign w:val="center"/>
          </w:tcPr>
          <w:p>
            <w:pPr>
              <w:pStyle w:val="style0"/>
              <w:spacing w:lineRule="auto" w:line="360"/>
              <w:rPr>
                <w:rFonts w:cs="宋体" w:hint="default"/>
                <w:color w:val="auto"/>
                <w:kern w:val="0"/>
              </w:rPr>
            </w:pPr>
            <w:r>
              <w:rPr>
                <w:rFonts w:cs="宋体"/>
                <w:color w:val="auto"/>
                <w:kern w:val="0"/>
              </w:rPr>
              <w:t>名称</w:t>
            </w:r>
          </w:p>
        </w:tc>
        <w:tc>
          <w:tcPr>
            <w:tcW w:w="2577" w:type="dxa"/>
            <w:gridSpan w:val="2"/>
            <w:tcBorders/>
            <w:vAlign w:val="center"/>
          </w:tcPr>
          <w:p>
            <w:pPr>
              <w:pStyle w:val="style0"/>
              <w:spacing w:lineRule="auto" w:line="360"/>
              <w:rPr>
                <w:rFonts w:cs="宋体" w:hint="default"/>
                <w:color w:val="auto"/>
                <w:kern w:val="0"/>
              </w:rPr>
            </w:pPr>
            <w:r>
              <w:rPr>
                <w:rFonts w:cs="宋体"/>
                <w:color w:val="auto"/>
                <w:kern w:val="0"/>
              </w:rPr>
              <w:t>数量和分值</w:t>
            </w:r>
          </w:p>
        </w:tc>
        <w:tc>
          <w:tcPr>
            <w:tcW w:w="709" w:type="dxa"/>
            <w:tcBorders/>
            <w:vAlign w:val="center"/>
          </w:tcPr>
          <w:p>
            <w:pPr>
              <w:pStyle w:val="style0"/>
              <w:spacing w:lineRule="auto" w:line="360"/>
              <w:rPr>
                <w:rFonts w:cs="宋体" w:hint="default"/>
                <w:color w:val="auto"/>
                <w:kern w:val="0"/>
              </w:rPr>
            </w:pPr>
          </w:p>
        </w:tc>
        <w:tc>
          <w:tcPr>
            <w:tcW w:w="567" w:type="dxa"/>
            <w:tcBorders/>
            <w:vAlign w:val="center"/>
          </w:tcPr>
          <w:p>
            <w:pPr>
              <w:pStyle w:val="style0"/>
              <w:spacing w:lineRule="auto" w:line="360"/>
              <w:rPr>
                <w:rFonts w:cs="宋体" w:hint="default"/>
                <w:color w:val="auto"/>
                <w:kern w:val="0"/>
              </w:rPr>
            </w:pPr>
            <w:r>
              <w:rPr>
                <w:rFonts w:cs="宋体"/>
                <w:color w:val="auto"/>
                <w:kern w:val="0"/>
              </w:rPr>
              <w:t>最低分</w:t>
            </w:r>
          </w:p>
        </w:tc>
        <w:tc>
          <w:tcPr>
            <w:tcW w:w="645" w:type="dxa"/>
            <w:tcBorders/>
            <w:vAlign w:val="center"/>
          </w:tcPr>
          <w:p>
            <w:pPr>
              <w:pStyle w:val="style0"/>
              <w:spacing w:lineRule="auto" w:line="360"/>
              <w:rPr>
                <w:rFonts w:cs="宋体" w:hint="default"/>
                <w:color w:val="auto"/>
                <w:kern w:val="0"/>
              </w:rPr>
            </w:pPr>
            <w:r>
              <w:rPr>
                <w:rFonts w:cs="宋体"/>
                <w:color w:val="auto"/>
                <w:kern w:val="0"/>
              </w:rPr>
              <w:t>最高分</w:t>
            </w:r>
          </w:p>
        </w:tc>
      </w:tr>
      <w:tr>
        <w:tblPrEx/>
        <w:trPr>
          <w:trHeight w:val="349" w:hRule="atLeast"/>
          <w:jc w:val="center"/>
        </w:trPr>
        <w:tc>
          <w:tcPr>
            <w:tcW w:w="9852" w:type="dxa"/>
            <w:gridSpan w:val="10"/>
            <w:tcBorders/>
            <w:vAlign w:val="center"/>
          </w:tcPr>
          <w:p>
            <w:pPr>
              <w:pStyle w:val="style0"/>
              <w:spacing w:lineRule="auto" w:line="360"/>
              <w:rPr>
                <w:rFonts w:cs="宋体" w:hint="default"/>
                <w:color w:val="auto"/>
                <w:kern w:val="0"/>
              </w:rPr>
            </w:pPr>
            <w:r>
              <w:rPr>
                <w:rFonts w:cs="宋体"/>
                <w:color w:val="auto"/>
                <w:kern w:val="0"/>
              </w:rPr>
              <w:t>项目监理机构评审</w:t>
            </w:r>
          </w:p>
        </w:tc>
      </w:tr>
      <w:tr>
        <w:tblPrEx/>
        <w:trPr>
          <w:trHeight w:val="1074" w:hRule="atLeast"/>
          <w:jc w:val="center"/>
        </w:trPr>
        <w:tc>
          <w:tcPr>
            <w:tcW w:w="471" w:type="dxa"/>
            <w:vMerge w:val="restart"/>
            <w:tcBorders/>
            <w:vAlign w:val="center"/>
          </w:tcPr>
          <w:p>
            <w:pPr>
              <w:pStyle w:val="style0"/>
              <w:spacing w:lineRule="auto" w:line="360"/>
              <w:rPr>
                <w:rFonts w:cs="宋体" w:hint="default"/>
                <w:color w:val="auto"/>
                <w:kern w:val="0"/>
              </w:rPr>
            </w:pPr>
            <w:r>
              <w:rPr>
                <w:rFonts w:cs="宋体"/>
                <w:color w:val="auto"/>
                <w:kern w:val="0"/>
              </w:rPr>
              <w:t>1.2.1(1)</w:t>
            </w:r>
          </w:p>
        </w:tc>
        <w:tc>
          <w:tcPr>
            <w:tcW w:w="611" w:type="dxa"/>
            <w:vMerge w:val="restart"/>
            <w:tcBorders/>
            <w:vAlign w:val="center"/>
          </w:tcPr>
          <w:p>
            <w:pPr>
              <w:pStyle w:val="style0"/>
              <w:spacing w:lineRule="auto" w:line="360"/>
              <w:rPr>
                <w:rFonts w:cs="宋体" w:hint="default"/>
                <w:color w:val="auto"/>
                <w:kern w:val="0"/>
              </w:rPr>
            </w:pPr>
            <w:r>
              <w:rPr>
                <w:rFonts w:cs="宋体"/>
                <w:color w:val="auto"/>
                <w:kern w:val="0"/>
              </w:rPr>
              <w:t>拟任总监</w:t>
            </w:r>
          </w:p>
        </w:tc>
        <w:tc>
          <w:tcPr>
            <w:tcW w:w="2592"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质量管理</w:t>
            </w:r>
          </w:p>
          <w:p>
            <w:pPr>
              <w:pStyle w:val="style0"/>
              <w:spacing w:lineRule="auto" w:line="360"/>
              <w:rPr>
                <w:rFonts w:cs="宋体" w:hint="default"/>
                <w:color w:val="auto"/>
                <w:kern w:val="0"/>
              </w:rPr>
            </w:pPr>
            <w:r>
              <w:rPr>
                <w:rFonts w:cs="宋体"/>
                <w:color w:val="auto"/>
                <w:kern w:val="0"/>
              </w:rPr>
              <w:t>奖项</w:t>
            </w:r>
          </w:p>
        </w:tc>
        <w:tc>
          <w:tcPr>
            <w:tcW w:w="484" w:type="dxa"/>
            <w:vMerge w:val="restart"/>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3</w:t>
            </w:r>
          </w:p>
        </w:tc>
        <w:tc>
          <w:tcPr>
            <w:tcW w:w="1196"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国家级、省级、市州级</w:t>
            </w:r>
          </w:p>
        </w:tc>
        <w:tc>
          <w:tcPr>
            <w:tcW w:w="1824"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省级及其它国家级奖项，每个2分；市州级奖项，每个1分</w:t>
            </w:r>
          </w:p>
        </w:tc>
        <w:tc>
          <w:tcPr>
            <w:tcW w:w="753" w:type="dxa"/>
            <w:vMerge w:val="restart"/>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获得奖项超过1个的，最多 计1个</w:t>
            </w:r>
          </w:p>
        </w:tc>
        <w:tc>
          <w:tcPr>
            <w:tcW w:w="709" w:type="dxa"/>
            <w:vMerge w:val="restart"/>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加分制</w:t>
            </w:r>
          </w:p>
        </w:tc>
        <w:tc>
          <w:tcPr>
            <w:tcW w:w="567" w:type="dxa"/>
            <w:vMerge w:val="restart"/>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0</w:t>
            </w:r>
          </w:p>
        </w:tc>
        <w:tc>
          <w:tcPr>
            <w:tcW w:w="645" w:type="dxa"/>
            <w:vMerge w:val="restart"/>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3</w:t>
            </w:r>
          </w:p>
        </w:tc>
      </w:tr>
      <w:tr>
        <w:tblPrEx/>
        <w:trPr>
          <w:trHeight w:val="510"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建筑施工质量管理标准化年度项目考评优良工地</w:t>
            </w:r>
          </w:p>
        </w:tc>
        <w:tc>
          <w:tcPr>
            <w:tcW w:w="484" w:type="dxa"/>
            <w:vMerge w:val="continue"/>
            <w:tcBorders>
              <w:bottom w:val="single" w:sz="4" w:space="0" w:color="auto"/>
            </w:tcBorders>
            <w:vAlign w:val="center"/>
          </w:tcPr>
          <w:p>
            <w:pPr>
              <w:pStyle w:val="style0"/>
              <w:spacing w:lineRule="auto" w:line="360"/>
              <w:rPr>
                <w:rFonts w:cs="宋体" w:hint="default"/>
                <w:color w:val="auto"/>
                <w:kern w:val="0"/>
              </w:rPr>
            </w:pPr>
          </w:p>
        </w:tc>
        <w:tc>
          <w:tcPr>
            <w:tcW w:w="1196"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省级、市州级</w:t>
            </w:r>
          </w:p>
        </w:tc>
        <w:tc>
          <w:tcPr>
            <w:tcW w:w="1824"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省级，每个1分；市州级，每个0.5分</w:t>
            </w:r>
          </w:p>
        </w:tc>
        <w:tc>
          <w:tcPr>
            <w:tcW w:w="753" w:type="dxa"/>
            <w:vMerge w:val="continue"/>
            <w:tcBorders>
              <w:bottom w:val="single" w:sz="4" w:space="0" w:color="auto"/>
            </w:tcBorders>
            <w:vAlign w:val="center"/>
          </w:tcPr>
          <w:p>
            <w:pPr>
              <w:pStyle w:val="style0"/>
              <w:spacing w:lineRule="auto" w:line="360"/>
              <w:rPr>
                <w:rFonts w:cs="宋体" w:hint="default"/>
                <w:color w:val="auto"/>
                <w:kern w:val="0"/>
              </w:rPr>
            </w:pPr>
          </w:p>
        </w:tc>
        <w:tc>
          <w:tcPr>
            <w:tcW w:w="709" w:type="dxa"/>
            <w:vMerge w:val="continue"/>
            <w:tcBorders>
              <w:bottom w:val="single" w:sz="4" w:space="0" w:color="auto"/>
            </w:tcBorders>
            <w:vAlign w:val="center"/>
          </w:tcPr>
          <w:p>
            <w:pPr>
              <w:pStyle w:val="style0"/>
              <w:spacing w:lineRule="auto" w:line="360"/>
              <w:rPr>
                <w:rFonts w:cs="宋体" w:hint="default"/>
                <w:color w:val="auto"/>
                <w:kern w:val="0"/>
              </w:rPr>
            </w:pPr>
          </w:p>
        </w:tc>
        <w:tc>
          <w:tcPr>
            <w:tcW w:w="567" w:type="dxa"/>
            <w:vMerge w:val="continue"/>
            <w:tcBorders>
              <w:bottom w:val="single" w:sz="4" w:space="0" w:color="auto"/>
            </w:tcBorders>
            <w:vAlign w:val="center"/>
          </w:tcPr>
          <w:p>
            <w:pPr>
              <w:pStyle w:val="style0"/>
              <w:spacing w:lineRule="auto" w:line="360"/>
              <w:rPr>
                <w:rFonts w:cs="宋体" w:hint="default"/>
                <w:color w:val="auto"/>
                <w:kern w:val="0"/>
              </w:rPr>
            </w:pPr>
          </w:p>
        </w:tc>
        <w:tc>
          <w:tcPr>
            <w:tcW w:w="645" w:type="dxa"/>
            <w:vMerge w:val="continue"/>
            <w:tcBorders>
              <w:bottom w:val="single" w:sz="4" w:space="0" w:color="auto"/>
            </w:tcBorders>
            <w:vAlign w:val="center"/>
          </w:tcPr>
          <w:p>
            <w:pPr>
              <w:pStyle w:val="style0"/>
              <w:spacing w:lineRule="auto" w:line="360"/>
              <w:rPr>
                <w:rFonts w:cs="宋体" w:hint="default"/>
                <w:color w:val="auto"/>
                <w:kern w:val="0"/>
              </w:rPr>
            </w:pPr>
          </w:p>
        </w:tc>
      </w:tr>
      <w:tr>
        <w:tblPrEx/>
        <w:trPr>
          <w:trHeight w:val="480"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建筑施工安全生产标准化年度项目考评优良工地</w:t>
            </w:r>
          </w:p>
        </w:tc>
        <w:tc>
          <w:tcPr>
            <w:tcW w:w="484" w:type="dxa"/>
            <w:vMerge w:val="continue"/>
            <w:tcBorders>
              <w:bottom w:val="single" w:sz="4" w:space="0" w:color="auto"/>
            </w:tcBorders>
            <w:vAlign w:val="center"/>
          </w:tcPr>
          <w:p>
            <w:pPr>
              <w:pStyle w:val="style0"/>
              <w:spacing w:lineRule="auto" w:line="360"/>
              <w:rPr>
                <w:rFonts w:cs="宋体" w:hint="default"/>
                <w:color w:val="auto"/>
                <w:kern w:val="0"/>
              </w:rPr>
            </w:pPr>
          </w:p>
        </w:tc>
        <w:tc>
          <w:tcPr>
            <w:tcW w:w="1196"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省级、市州级</w:t>
            </w:r>
          </w:p>
        </w:tc>
        <w:tc>
          <w:tcPr>
            <w:tcW w:w="1824" w:type="dxa"/>
            <w:tcBorders>
              <w:bottom w:val="single" w:sz="4" w:space="0" w:color="auto"/>
            </w:tcBorders>
            <w:vAlign w:val="center"/>
          </w:tcPr>
          <w:p>
            <w:pPr>
              <w:pStyle w:val="style0"/>
              <w:spacing w:lineRule="auto" w:line="360"/>
              <w:rPr>
                <w:rFonts w:cs="宋体" w:hint="default"/>
                <w:color w:val="auto"/>
                <w:kern w:val="0"/>
              </w:rPr>
            </w:pPr>
            <w:r>
              <w:rPr>
                <w:rFonts w:cs="宋体"/>
                <w:color w:val="auto"/>
                <w:kern w:val="0"/>
              </w:rPr>
              <w:t>省级，每个1分；市州级，每个0.5分</w:t>
            </w:r>
          </w:p>
        </w:tc>
        <w:tc>
          <w:tcPr>
            <w:tcW w:w="753" w:type="dxa"/>
            <w:vMerge w:val="continue"/>
            <w:tcBorders>
              <w:bottom w:val="single" w:sz="4" w:space="0" w:color="auto"/>
            </w:tcBorders>
            <w:vAlign w:val="center"/>
          </w:tcPr>
          <w:p>
            <w:pPr>
              <w:pStyle w:val="style0"/>
              <w:spacing w:lineRule="auto" w:line="360"/>
              <w:rPr>
                <w:rFonts w:cs="宋体" w:hint="default"/>
                <w:color w:val="auto"/>
                <w:kern w:val="0"/>
              </w:rPr>
            </w:pPr>
          </w:p>
        </w:tc>
        <w:tc>
          <w:tcPr>
            <w:tcW w:w="709" w:type="dxa"/>
            <w:vMerge w:val="continue"/>
            <w:tcBorders>
              <w:bottom w:val="single" w:sz="4" w:space="0" w:color="auto"/>
            </w:tcBorders>
            <w:vAlign w:val="center"/>
          </w:tcPr>
          <w:p>
            <w:pPr>
              <w:pStyle w:val="style0"/>
              <w:spacing w:lineRule="auto" w:line="360"/>
              <w:rPr>
                <w:rFonts w:cs="宋体" w:hint="default"/>
                <w:color w:val="auto"/>
                <w:kern w:val="0"/>
              </w:rPr>
            </w:pPr>
          </w:p>
        </w:tc>
        <w:tc>
          <w:tcPr>
            <w:tcW w:w="567" w:type="dxa"/>
            <w:vMerge w:val="continue"/>
            <w:tcBorders>
              <w:bottom w:val="single" w:sz="4" w:space="0" w:color="auto"/>
            </w:tcBorders>
            <w:vAlign w:val="center"/>
          </w:tcPr>
          <w:p>
            <w:pPr>
              <w:pStyle w:val="style0"/>
              <w:spacing w:lineRule="auto" w:line="360"/>
              <w:rPr>
                <w:rFonts w:cs="宋体" w:hint="default"/>
                <w:color w:val="auto"/>
                <w:kern w:val="0"/>
              </w:rPr>
            </w:pPr>
          </w:p>
        </w:tc>
        <w:tc>
          <w:tcPr>
            <w:tcW w:w="645" w:type="dxa"/>
            <w:vMerge w:val="continue"/>
            <w:tcBorders>
              <w:bottom w:val="single" w:sz="4" w:space="0" w:color="auto"/>
            </w:tcBorders>
            <w:vAlign w:val="center"/>
          </w:tcPr>
          <w:p>
            <w:pPr>
              <w:pStyle w:val="style0"/>
              <w:spacing w:lineRule="auto" w:line="360"/>
              <w:rPr>
                <w:rFonts w:cs="宋体" w:hint="default"/>
                <w:color w:val="auto"/>
                <w:kern w:val="0"/>
              </w:rPr>
            </w:pPr>
          </w:p>
        </w:tc>
      </w:tr>
      <w:tr>
        <w:tblPrEx/>
        <w:trPr>
          <w:trHeight w:val="145"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vAlign w:val="center"/>
          </w:tcPr>
          <w:p>
            <w:pPr>
              <w:pStyle w:val="style0"/>
              <w:spacing w:lineRule="auto" w:line="360"/>
              <w:rPr>
                <w:rFonts w:cs="宋体" w:hint="default"/>
                <w:color w:val="auto"/>
                <w:kern w:val="0"/>
              </w:rPr>
            </w:pPr>
            <w:r>
              <w:rPr>
                <w:rFonts w:cs="宋体"/>
                <w:color w:val="auto"/>
                <w:kern w:val="0"/>
              </w:rPr>
              <w:t>建筑工程监理质量安全生产标准化年度项目考评优良工地</w:t>
            </w:r>
          </w:p>
        </w:tc>
        <w:tc>
          <w:tcPr>
            <w:tcW w:w="484" w:type="dxa"/>
            <w:vMerge w:val="continue"/>
            <w:tcBorders/>
            <w:vAlign w:val="center"/>
          </w:tcPr>
          <w:p>
            <w:pPr>
              <w:pStyle w:val="style0"/>
              <w:spacing w:lineRule="auto" w:line="360"/>
              <w:rPr>
                <w:rFonts w:cs="宋体" w:hint="default"/>
                <w:color w:val="auto"/>
                <w:kern w:val="0"/>
              </w:rPr>
            </w:pPr>
          </w:p>
        </w:tc>
        <w:tc>
          <w:tcPr>
            <w:tcW w:w="1196" w:type="dxa"/>
            <w:tcBorders/>
            <w:vAlign w:val="center"/>
          </w:tcPr>
          <w:p>
            <w:pPr>
              <w:pStyle w:val="style0"/>
              <w:spacing w:lineRule="auto" w:line="360"/>
              <w:rPr>
                <w:rFonts w:cs="宋体" w:hint="default"/>
                <w:color w:val="auto"/>
                <w:kern w:val="0"/>
              </w:rPr>
            </w:pPr>
            <w:r>
              <w:rPr>
                <w:rFonts w:cs="宋体"/>
                <w:color w:val="auto"/>
                <w:kern w:val="0"/>
              </w:rPr>
              <w:t>省级</w:t>
            </w:r>
          </w:p>
        </w:tc>
        <w:tc>
          <w:tcPr>
            <w:tcW w:w="1824" w:type="dxa"/>
            <w:tcBorders/>
            <w:vAlign w:val="center"/>
          </w:tcPr>
          <w:p>
            <w:pPr>
              <w:pStyle w:val="style0"/>
              <w:spacing w:lineRule="auto" w:line="360"/>
              <w:rPr>
                <w:rFonts w:cs="宋体" w:hint="default"/>
                <w:color w:val="auto"/>
                <w:kern w:val="0"/>
              </w:rPr>
            </w:pPr>
            <w:r>
              <w:rPr>
                <w:rFonts w:cs="宋体"/>
                <w:color w:val="auto"/>
                <w:kern w:val="0"/>
              </w:rPr>
              <w:t>省级，每个1分</w:t>
            </w:r>
          </w:p>
        </w:tc>
        <w:tc>
          <w:tcPr>
            <w:tcW w:w="753" w:type="dxa"/>
            <w:vMerge w:val="continue"/>
            <w:tcBorders/>
            <w:vAlign w:val="center"/>
          </w:tcPr>
          <w:p>
            <w:pPr>
              <w:pStyle w:val="style0"/>
              <w:spacing w:lineRule="auto" w:line="360"/>
              <w:rPr>
                <w:rFonts w:cs="宋体" w:hint="default"/>
                <w:color w:val="auto"/>
                <w:kern w:val="0"/>
              </w:rPr>
            </w:pP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145"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vAlign w:val="center"/>
          </w:tcPr>
          <w:p>
            <w:pPr>
              <w:pStyle w:val="style0"/>
              <w:spacing w:lineRule="auto" w:line="360"/>
              <w:rPr>
                <w:rFonts w:cs="宋体" w:hint="default"/>
                <w:color w:val="auto"/>
                <w:kern w:val="0"/>
              </w:rPr>
            </w:pPr>
            <w:r>
              <w:rPr>
                <w:rFonts w:cs="宋体"/>
                <w:color w:val="auto"/>
                <w:kern w:val="0"/>
              </w:rPr>
              <w:t>优秀总监</w:t>
            </w:r>
          </w:p>
        </w:tc>
        <w:tc>
          <w:tcPr>
            <w:tcW w:w="484" w:type="dxa"/>
            <w:tcBorders/>
            <w:vAlign w:val="center"/>
          </w:tcPr>
          <w:p>
            <w:pPr>
              <w:pStyle w:val="style0"/>
              <w:spacing w:lineRule="auto" w:line="360"/>
              <w:rPr>
                <w:rFonts w:cs="宋体" w:hint="default"/>
                <w:color w:val="auto"/>
                <w:kern w:val="0"/>
              </w:rPr>
            </w:pPr>
            <w:r>
              <w:rPr>
                <w:rFonts w:cs="宋体"/>
                <w:color w:val="auto"/>
                <w:kern w:val="0"/>
              </w:rPr>
              <w:t>3</w:t>
            </w:r>
          </w:p>
        </w:tc>
        <w:tc>
          <w:tcPr>
            <w:tcW w:w="1196" w:type="dxa"/>
            <w:tcBorders/>
            <w:vAlign w:val="center"/>
          </w:tcPr>
          <w:p>
            <w:pPr>
              <w:pStyle w:val="style0"/>
              <w:spacing w:lineRule="auto" w:line="360"/>
              <w:rPr>
                <w:rFonts w:cs="宋体" w:hint="default"/>
                <w:color w:val="auto"/>
                <w:kern w:val="0"/>
              </w:rPr>
            </w:pPr>
            <w:r>
              <w:rPr>
                <w:rFonts w:cs="宋体"/>
                <w:color w:val="auto"/>
                <w:kern w:val="0"/>
              </w:rPr>
              <w:t>国家级、省级</w:t>
            </w:r>
          </w:p>
        </w:tc>
        <w:tc>
          <w:tcPr>
            <w:tcW w:w="2577" w:type="dxa"/>
            <w:gridSpan w:val="2"/>
            <w:tcBorders/>
            <w:vAlign w:val="center"/>
          </w:tcPr>
          <w:p>
            <w:pPr>
              <w:pStyle w:val="style0"/>
              <w:spacing w:lineRule="auto" w:line="360"/>
              <w:rPr>
                <w:rFonts w:cs="宋体" w:hint="default"/>
                <w:color w:val="auto"/>
                <w:kern w:val="0"/>
              </w:rPr>
            </w:pPr>
            <w:r>
              <w:rPr>
                <w:rFonts w:cs="宋体"/>
                <w:color w:val="auto"/>
                <w:kern w:val="0"/>
              </w:rPr>
              <w:t>0-1个，其中：国家级，每个3分；省级，每个2分。</w:t>
            </w:r>
          </w:p>
        </w:tc>
        <w:tc>
          <w:tcPr>
            <w:tcW w:w="709" w:type="dxa"/>
            <w:tcBorders/>
            <w:vAlign w:val="center"/>
          </w:tcPr>
          <w:p>
            <w:pPr>
              <w:pStyle w:val="style0"/>
              <w:spacing w:lineRule="auto" w:line="360"/>
              <w:rPr>
                <w:rFonts w:cs="宋体" w:hint="default"/>
                <w:color w:val="auto"/>
                <w:kern w:val="0"/>
              </w:rPr>
            </w:pPr>
            <w:r>
              <w:rPr>
                <w:rFonts w:cs="宋体"/>
                <w:color w:val="auto"/>
                <w:kern w:val="0"/>
              </w:rPr>
              <w:t>加分制</w:t>
            </w:r>
          </w:p>
        </w:tc>
        <w:tc>
          <w:tcPr>
            <w:tcW w:w="567" w:type="dxa"/>
            <w:tcBorders/>
            <w:vAlign w:val="center"/>
          </w:tcPr>
          <w:p>
            <w:pPr>
              <w:pStyle w:val="style0"/>
              <w:spacing w:lineRule="auto" w:line="360"/>
              <w:rPr>
                <w:rFonts w:cs="宋体" w:hint="default"/>
                <w:color w:val="auto"/>
                <w:kern w:val="0"/>
              </w:rPr>
            </w:pPr>
            <w:r>
              <w:rPr>
                <w:rFonts w:cs="宋体"/>
                <w:color w:val="auto"/>
                <w:kern w:val="0"/>
              </w:rPr>
              <w:t>0</w:t>
            </w:r>
          </w:p>
        </w:tc>
        <w:tc>
          <w:tcPr>
            <w:tcW w:w="645" w:type="dxa"/>
            <w:tcBorders/>
            <w:vAlign w:val="center"/>
          </w:tcPr>
          <w:p>
            <w:pPr>
              <w:pStyle w:val="style0"/>
              <w:spacing w:lineRule="auto" w:line="360"/>
              <w:rPr>
                <w:rFonts w:cs="宋体" w:hint="default"/>
                <w:color w:val="auto"/>
                <w:kern w:val="0"/>
              </w:rPr>
            </w:pPr>
            <w:r>
              <w:rPr>
                <w:rFonts w:cs="宋体"/>
                <w:color w:val="auto"/>
                <w:kern w:val="0"/>
              </w:rPr>
              <w:t>3</w:t>
            </w:r>
          </w:p>
        </w:tc>
      </w:tr>
      <w:tr>
        <w:tblPrEx/>
        <w:trPr>
          <w:trHeight w:val="323"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restart"/>
            <w:tcBorders/>
            <w:vAlign w:val="center"/>
          </w:tcPr>
          <w:p>
            <w:pPr>
              <w:pStyle w:val="style0"/>
              <w:spacing w:lineRule="auto" w:line="360"/>
              <w:rPr>
                <w:rFonts w:cs="宋体" w:hint="default"/>
                <w:color w:val="auto"/>
                <w:kern w:val="0"/>
              </w:rPr>
            </w:pPr>
            <w:r>
              <w:rPr>
                <w:rFonts w:cs="宋体"/>
                <w:color w:val="auto"/>
                <w:kern w:val="0"/>
              </w:rPr>
              <w:t>不良行为</w:t>
            </w:r>
          </w:p>
        </w:tc>
        <w:tc>
          <w:tcPr>
            <w:tcW w:w="484" w:type="dxa"/>
            <w:vMerge w:val="restart"/>
            <w:tcBorders/>
            <w:vAlign w:val="center"/>
          </w:tcPr>
          <w:p>
            <w:pPr>
              <w:pStyle w:val="style0"/>
              <w:spacing w:lineRule="auto" w:line="360"/>
              <w:rPr>
                <w:rFonts w:cs="宋体" w:hint="default"/>
                <w:color w:val="auto"/>
                <w:kern w:val="0"/>
              </w:rPr>
            </w:pPr>
            <w:r>
              <w:rPr>
                <w:rFonts w:cs="宋体"/>
                <w:color w:val="auto"/>
                <w:kern w:val="0"/>
              </w:rPr>
              <w:t>20</w:t>
            </w: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严重不良行为，每条 4 分</w:t>
            </w:r>
          </w:p>
        </w:tc>
        <w:tc>
          <w:tcPr>
            <w:tcW w:w="709" w:type="dxa"/>
            <w:vMerge w:val="restart"/>
            <w:tcBorders/>
            <w:vAlign w:val="center"/>
          </w:tcPr>
          <w:p>
            <w:pPr>
              <w:pStyle w:val="style0"/>
              <w:spacing w:lineRule="auto" w:line="360"/>
              <w:rPr>
                <w:rFonts w:cs="宋体" w:hint="default"/>
                <w:color w:val="auto"/>
                <w:kern w:val="0"/>
              </w:rPr>
            </w:pPr>
            <w:r>
              <w:rPr>
                <w:rFonts w:cs="宋体"/>
                <w:color w:val="auto"/>
                <w:kern w:val="0"/>
              </w:rPr>
              <w:t>扣分制</w:t>
            </w:r>
          </w:p>
        </w:tc>
        <w:tc>
          <w:tcPr>
            <w:tcW w:w="567" w:type="dxa"/>
            <w:vMerge w:val="restart"/>
            <w:tcBorders/>
            <w:vAlign w:val="center"/>
          </w:tcPr>
          <w:p>
            <w:pPr>
              <w:pStyle w:val="style0"/>
              <w:spacing w:lineRule="auto" w:line="360"/>
              <w:rPr>
                <w:rFonts w:cs="宋体" w:hint="default"/>
                <w:color w:val="auto"/>
                <w:kern w:val="0"/>
              </w:rPr>
            </w:pPr>
            <w:r>
              <w:rPr>
                <w:rFonts w:cs="宋体"/>
                <w:color w:val="auto"/>
                <w:kern w:val="0"/>
              </w:rPr>
              <w:t>0</w:t>
            </w:r>
          </w:p>
        </w:tc>
        <w:tc>
          <w:tcPr>
            <w:tcW w:w="645" w:type="dxa"/>
            <w:vMerge w:val="restart"/>
            <w:tcBorders/>
            <w:vAlign w:val="center"/>
          </w:tcPr>
          <w:p>
            <w:pPr>
              <w:pStyle w:val="style0"/>
              <w:spacing w:lineRule="auto" w:line="360"/>
              <w:rPr>
                <w:rFonts w:cs="宋体" w:hint="default"/>
                <w:color w:val="auto"/>
                <w:kern w:val="0"/>
              </w:rPr>
            </w:pPr>
            <w:r>
              <w:rPr>
                <w:rFonts w:cs="宋体"/>
                <w:color w:val="auto"/>
                <w:kern w:val="0"/>
              </w:rPr>
              <w:t>20</w:t>
            </w:r>
          </w:p>
        </w:tc>
      </w:tr>
      <w:tr>
        <w:tblPrEx/>
        <w:trPr>
          <w:trHeight w:val="100"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一般不良行为，每条 2 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515"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vAlign w:val="center"/>
          </w:tcPr>
          <w:p>
            <w:pPr>
              <w:pStyle w:val="style0"/>
              <w:spacing w:lineRule="auto" w:line="360"/>
              <w:rPr>
                <w:rFonts w:cs="宋体" w:hint="default"/>
                <w:color w:val="auto"/>
                <w:kern w:val="0"/>
              </w:rPr>
            </w:pPr>
            <w:r>
              <w:rPr>
                <w:rFonts w:cs="宋体"/>
                <w:color w:val="auto"/>
                <w:kern w:val="0"/>
              </w:rPr>
              <w:t>建筑施工质量管理标准化季度项目考评不合格项目</w:t>
            </w:r>
          </w:p>
        </w:tc>
        <w:tc>
          <w:tcPr>
            <w:tcW w:w="484" w:type="dxa"/>
            <w:vMerge w:val="continue"/>
            <w:tcBorders/>
            <w:vAlign w:val="center"/>
          </w:tcPr>
          <w:p>
            <w:pPr>
              <w:pStyle w:val="style0"/>
              <w:spacing w:lineRule="auto" w:line="360"/>
              <w:rPr>
                <w:rFonts w:cs="宋体" w:hint="default"/>
                <w:color w:val="auto"/>
                <w:kern w:val="0"/>
              </w:rPr>
            </w:pPr>
          </w:p>
        </w:tc>
        <w:tc>
          <w:tcPr>
            <w:tcW w:w="1196" w:type="dxa"/>
            <w:tcBorders/>
            <w:vAlign w:val="center"/>
          </w:tcPr>
          <w:p>
            <w:pPr>
              <w:pStyle w:val="style0"/>
              <w:spacing w:lineRule="auto" w:line="360"/>
              <w:rPr>
                <w:rFonts w:cs="宋体" w:hint="default"/>
                <w:color w:val="auto"/>
                <w:kern w:val="0"/>
              </w:rPr>
            </w:pPr>
            <w:r>
              <w:rPr>
                <w:rFonts w:cs="宋体"/>
                <w:color w:val="auto"/>
                <w:kern w:val="0"/>
              </w:rPr>
              <w:t>省级</w:t>
            </w:r>
          </w:p>
        </w:tc>
        <w:tc>
          <w:tcPr>
            <w:tcW w:w="2577" w:type="dxa"/>
            <w:gridSpan w:val="2"/>
            <w:tcBorders/>
            <w:vAlign w:val="center"/>
          </w:tcPr>
          <w:p>
            <w:pPr>
              <w:pStyle w:val="style0"/>
              <w:spacing w:lineRule="auto" w:line="360"/>
              <w:rPr>
                <w:rFonts w:cs="宋体" w:hint="default"/>
                <w:color w:val="auto"/>
                <w:kern w:val="0"/>
              </w:rPr>
            </w:pPr>
            <w:r>
              <w:rPr>
                <w:rFonts w:cs="宋体"/>
                <w:color w:val="auto"/>
                <w:kern w:val="0"/>
              </w:rPr>
              <w:t>每个2分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515"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vAlign w:val="center"/>
          </w:tcPr>
          <w:p>
            <w:pPr>
              <w:pStyle w:val="style0"/>
              <w:spacing w:lineRule="auto" w:line="360"/>
              <w:rPr>
                <w:rFonts w:cs="宋体" w:hint="default"/>
                <w:color w:val="auto"/>
                <w:kern w:val="0"/>
              </w:rPr>
            </w:pPr>
            <w:r>
              <w:rPr>
                <w:rFonts w:cs="宋体"/>
                <w:color w:val="auto"/>
                <w:kern w:val="0"/>
              </w:rPr>
              <w:t>建筑施工安全生产标准化季度项目考评不合格项目</w:t>
            </w:r>
          </w:p>
        </w:tc>
        <w:tc>
          <w:tcPr>
            <w:tcW w:w="484" w:type="dxa"/>
            <w:vMerge w:val="continue"/>
            <w:tcBorders/>
            <w:vAlign w:val="center"/>
          </w:tcPr>
          <w:p>
            <w:pPr>
              <w:pStyle w:val="style0"/>
              <w:spacing w:lineRule="auto" w:line="360"/>
              <w:rPr>
                <w:rFonts w:cs="宋体" w:hint="default"/>
                <w:color w:val="auto"/>
                <w:kern w:val="0"/>
              </w:rPr>
            </w:pPr>
          </w:p>
        </w:tc>
        <w:tc>
          <w:tcPr>
            <w:tcW w:w="1196" w:type="dxa"/>
            <w:tcBorders/>
            <w:vAlign w:val="center"/>
          </w:tcPr>
          <w:p>
            <w:pPr>
              <w:pStyle w:val="style0"/>
              <w:spacing w:lineRule="auto" w:line="360"/>
              <w:rPr>
                <w:rFonts w:cs="宋体" w:hint="default"/>
                <w:color w:val="auto"/>
                <w:kern w:val="0"/>
              </w:rPr>
            </w:pPr>
            <w:r>
              <w:rPr>
                <w:rFonts w:cs="宋体"/>
                <w:color w:val="auto"/>
                <w:kern w:val="0"/>
              </w:rPr>
              <w:t>省级</w:t>
            </w:r>
          </w:p>
        </w:tc>
        <w:tc>
          <w:tcPr>
            <w:tcW w:w="2577" w:type="dxa"/>
            <w:gridSpan w:val="2"/>
            <w:tcBorders/>
            <w:vAlign w:val="center"/>
          </w:tcPr>
          <w:p>
            <w:pPr>
              <w:pStyle w:val="style0"/>
              <w:spacing w:lineRule="auto" w:line="360"/>
              <w:rPr>
                <w:rFonts w:cs="宋体" w:hint="default"/>
                <w:color w:val="auto"/>
                <w:kern w:val="0"/>
              </w:rPr>
            </w:pPr>
            <w:r>
              <w:rPr>
                <w:rFonts w:cs="宋体"/>
                <w:color w:val="auto"/>
                <w:kern w:val="0"/>
              </w:rPr>
              <w:t>每个2分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426"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vAlign w:val="center"/>
          </w:tcPr>
          <w:p>
            <w:pPr>
              <w:pStyle w:val="style0"/>
              <w:spacing w:lineRule="auto" w:line="360"/>
              <w:rPr>
                <w:rFonts w:cs="宋体" w:hint="default"/>
                <w:color w:val="auto"/>
                <w:kern w:val="0"/>
              </w:rPr>
            </w:pPr>
            <w:r>
              <w:rPr>
                <w:rFonts w:cs="宋体"/>
                <w:color w:val="auto"/>
                <w:kern w:val="0"/>
              </w:rPr>
              <w:t>建筑工程监理质量安全生产标准化季度项目考评不合格项目</w:t>
            </w:r>
          </w:p>
        </w:tc>
        <w:tc>
          <w:tcPr>
            <w:tcW w:w="484" w:type="dxa"/>
            <w:vMerge w:val="continue"/>
            <w:tcBorders/>
            <w:vAlign w:val="center"/>
          </w:tcPr>
          <w:p>
            <w:pPr>
              <w:pStyle w:val="style0"/>
              <w:spacing w:lineRule="auto" w:line="360"/>
              <w:rPr>
                <w:rFonts w:cs="宋体" w:hint="default"/>
                <w:color w:val="auto"/>
                <w:kern w:val="0"/>
              </w:rPr>
            </w:pPr>
          </w:p>
        </w:tc>
        <w:tc>
          <w:tcPr>
            <w:tcW w:w="1196" w:type="dxa"/>
            <w:tcBorders/>
            <w:vAlign w:val="center"/>
          </w:tcPr>
          <w:p>
            <w:pPr>
              <w:pStyle w:val="style0"/>
              <w:spacing w:lineRule="auto" w:line="360"/>
              <w:rPr>
                <w:rFonts w:cs="宋体" w:hint="default"/>
                <w:color w:val="auto"/>
                <w:kern w:val="0"/>
              </w:rPr>
            </w:pPr>
            <w:r>
              <w:rPr>
                <w:rFonts w:cs="宋体"/>
                <w:color w:val="auto"/>
                <w:kern w:val="0"/>
              </w:rPr>
              <w:t>省级</w:t>
            </w:r>
          </w:p>
        </w:tc>
        <w:tc>
          <w:tcPr>
            <w:tcW w:w="2577" w:type="dxa"/>
            <w:gridSpan w:val="2"/>
            <w:tcBorders/>
            <w:vAlign w:val="center"/>
          </w:tcPr>
          <w:p>
            <w:pPr>
              <w:pStyle w:val="style0"/>
              <w:spacing w:lineRule="auto" w:line="360"/>
              <w:rPr>
                <w:rFonts w:cs="宋体" w:hint="default"/>
                <w:color w:val="auto"/>
                <w:kern w:val="0"/>
              </w:rPr>
            </w:pPr>
            <w:r>
              <w:rPr>
                <w:rFonts w:cs="宋体"/>
                <w:color w:val="auto"/>
                <w:kern w:val="0"/>
              </w:rPr>
              <w:t>每个1分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273"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restart"/>
            <w:tcBorders/>
            <w:vAlign w:val="center"/>
          </w:tcPr>
          <w:p>
            <w:pPr>
              <w:pStyle w:val="style0"/>
              <w:spacing w:lineRule="auto" w:line="360"/>
              <w:rPr>
                <w:rFonts w:cs="宋体" w:hint="default"/>
                <w:color w:val="auto"/>
                <w:kern w:val="0"/>
              </w:rPr>
            </w:pPr>
            <w:r>
              <w:rPr>
                <w:rFonts w:cs="宋体"/>
                <w:color w:val="auto"/>
                <w:kern w:val="0"/>
              </w:rPr>
              <w:t>类似工程监理业绩</w:t>
            </w:r>
          </w:p>
        </w:tc>
        <w:tc>
          <w:tcPr>
            <w:tcW w:w="484" w:type="dxa"/>
            <w:vMerge w:val="restart"/>
            <w:tcBorders/>
            <w:vAlign w:val="center"/>
          </w:tcPr>
          <w:p>
            <w:pPr>
              <w:pStyle w:val="style0"/>
              <w:spacing w:lineRule="auto" w:line="360"/>
              <w:rPr>
                <w:rFonts w:cs="宋体" w:hint="default"/>
                <w:color w:val="auto"/>
                <w:kern w:val="0"/>
              </w:rPr>
            </w:pPr>
            <w:r>
              <w:rPr>
                <w:rFonts w:cs="宋体"/>
                <w:color w:val="auto"/>
                <w:kern w:val="0"/>
              </w:rPr>
              <w:t>3</w:t>
            </w: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数量和分值</w:t>
            </w:r>
          </w:p>
        </w:tc>
        <w:tc>
          <w:tcPr>
            <w:tcW w:w="709" w:type="dxa"/>
            <w:vMerge w:val="restart"/>
            <w:tcBorders/>
            <w:vAlign w:val="center"/>
          </w:tcPr>
          <w:p>
            <w:pPr>
              <w:pStyle w:val="style0"/>
              <w:spacing w:lineRule="auto" w:line="360"/>
              <w:rPr>
                <w:rFonts w:cs="宋体" w:hint="default"/>
                <w:color w:val="auto"/>
                <w:kern w:val="0"/>
              </w:rPr>
            </w:pPr>
            <w:r>
              <w:rPr>
                <w:rFonts w:cs="宋体"/>
                <w:color w:val="auto"/>
                <w:kern w:val="0"/>
              </w:rPr>
              <w:t>加分制</w:t>
            </w:r>
          </w:p>
        </w:tc>
        <w:tc>
          <w:tcPr>
            <w:tcW w:w="567" w:type="dxa"/>
            <w:vMerge w:val="restart"/>
            <w:tcBorders/>
            <w:vAlign w:val="center"/>
          </w:tcPr>
          <w:p>
            <w:pPr>
              <w:pStyle w:val="style0"/>
              <w:spacing w:lineRule="auto" w:line="360"/>
              <w:rPr>
                <w:rFonts w:cs="宋体" w:hint="default"/>
                <w:color w:val="auto"/>
                <w:kern w:val="0"/>
              </w:rPr>
            </w:pPr>
            <w:r>
              <w:rPr>
                <w:rFonts w:cs="宋体"/>
                <w:color w:val="auto"/>
                <w:kern w:val="0"/>
              </w:rPr>
              <w:t>0</w:t>
            </w:r>
          </w:p>
        </w:tc>
        <w:tc>
          <w:tcPr>
            <w:tcW w:w="645" w:type="dxa"/>
            <w:vMerge w:val="restart"/>
            <w:tcBorders/>
            <w:vAlign w:val="center"/>
          </w:tcPr>
          <w:p>
            <w:pPr>
              <w:pStyle w:val="style0"/>
              <w:spacing w:lineRule="auto" w:line="360"/>
              <w:rPr>
                <w:rFonts w:cs="宋体" w:hint="default"/>
                <w:color w:val="auto"/>
                <w:kern w:val="0"/>
              </w:rPr>
            </w:pPr>
            <w:r>
              <w:rPr>
                <w:rFonts w:cs="宋体"/>
                <w:color w:val="auto"/>
                <w:kern w:val="0"/>
              </w:rPr>
              <w:t>3</w:t>
            </w:r>
          </w:p>
        </w:tc>
      </w:tr>
      <w:tr>
        <w:tblPrEx/>
        <w:trPr>
          <w:trHeight w:val="431"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0-1 个，每个3 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508"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restart"/>
            <w:tcBorders/>
            <w:vAlign w:val="center"/>
          </w:tcPr>
          <w:p>
            <w:pPr>
              <w:pStyle w:val="style0"/>
              <w:spacing w:lineRule="auto" w:line="360"/>
              <w:rPr>
                <w:rFonts w:cs="宋体" w:hint="default"/>
                <w:color w:val="auto"/>
                <w:kern w:val="0"/>
              </w:rPr>
            </w:pPr>
            <w:r>
              <w:rPr>
                <w:rFonts w:cs="宋体"/>
                <w:color w:val="auto"/>
                <w:kern w:val="0"/>
              </w:rPr>
              <w:t>现场答辩</w:t>
            </w:r>
          </w:p>
          <w:p>
            <w:pPr>
              <w:pStyle w:val="style0"/>
              <w:spacing w:lineRule="auto" w:line="360"/>
              <w:rPr>
                <w:rFonts w:cs="宋体" w:hint="default"/>
                <w:color w:val="auto"/>
                <w:kern w:val="0"/>
              </w:rPr>
            </w:pPr>
            <w:r>
              <w:rPr>
                <w:rFonts w:cs="宋体"/>
                <w:color w:val="auto"/>
                <w:kern w:val="0"/>
              </w:rPr>
              <w:t>□纳入评审</w:t>
            </w:r>
          </w:p>
          <w:p>
            <w:pPr>
              <w:pStyle w:val="style0"/>
              <w:spacing w:lineRule="auto" w:line="360"/>
              <w:rPr>
                <w:rFonts w:cs="宋体" w:hint="default"/>
                <w:color w:val="auto"/>
                <w:kern w:val="0"/>
              </w:rPr>
            </w:pPr>
            <w:r>
              <w:rPr>
                <w:rFonts w:cs="宋体"/>
                <w:color w:val="auto"/>
                <w:kern w:val="0"/>
              </w:rPr>
              <w:t>☑不纳入评审</w:t>
            </w:r>
          </w:p>
        </w:tc>
        <w:tc>
          <w:tcPr>
            <w:tcW w:w="484" w:type="dxa"/>
            <w:vMerge w:val="restart"/>
            <w:tcBorders/>
            <w:vAlign w:val="center"/>
          </w:tcPr>
          <w:p>
            <w:pPr>
              <w:pStyle w:val="style0"/>
              <w:spacing w:lineRule="auto" w:line="360"/>
              <w:rPr>
                <w:rFonts w:cs="宋体" w:hint="default"/>
                <w:color w:val="auto"/>
                <w:kern w:val="0"/>
              </w:rPr>
            </w:pPr>
            <w:r>
              <w:rPr>
                <w:rFonts w:cs="宋体"/>
                <w:color w:val="auto"/>
                <w:kern w:val="0"/>
              </w:rPr>
              <w:t>10</w:t>
            </w: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阐述流畅、条理清晰、回答问题完整；现场答辩充分结合招标项目实际，具有较强的针对性。</w:t>
            </w:r>
          </w:p>
        </w:tc>
        <w:tc>
          <w:tcPr>
            <w:tcW w:w="709" w:type="dxa"/>
            <w:vMerge w:val="restart"/>
            <w:tcBorders/>
            <w:vAlign w:val="center"/>
          </w:tcPr>
          <w:p>
            <w:pPr>
              <w:pStyle w:val="style0"/>
              <w:spacing w:lineRule="auto" w:line="360"/>
              <w:rPr>
                <w:rFonts w:cs="宋体" w:hint="default"/>
                <w:color w:val="auto"/>
                <w:kern w:val="0"/>
              </w:rPr>
            </w:pPr>
            <w:r>
              <w:rPr>
                <w:rFonts w:cs="宋体"/>
                <w:color w:val="auto"/>
                <w:kern w:val="0"/>
              </w:rPr>
              <w:t>加分制</w:t>
            </w:r>
          </w:p>
        </w:tc>
        <w:tc>
          <w:tcPr>
            <w:tcW w:w="567" w:type="dxa"/>
            <w:tcBorders/>
            <w:vAlign w:val="center"/>
          </w:tcPr>
          <w:p>
            <w:pPr>
              <w:pStyle w:val="style0"/>
              <w:spacing w:lineRule="auto" w:line="360"/>
              <w:rPr>
                <w:rFonts w:cs="宋体" w:hint="default"/>
                <w:color w:val="auto"/>
                <w:kern w:val="0"/>
              </w:rPr>
            </w:pPr>
            <w:r>
              <w:rPr>
                <w:rFonts w:cs="宋体"/>
                <w:color w:val="auto"/>
                <w:kern w:val="0"/>
              </w:rPr>
              <w:t>8</w:t>
            </w:r>
          </w:p>
        </w:tc>
        <w:tc>
          <w:tcPr>
            <w:tcW w:w="645" w:type="dxa"/>
            <w:tcBorders/>
            <w:vAlign w:val="center"/>
          </w:tcPr>
          <w:p>
            <w:pPr>
              <w:pStyle w:val="style0"/>
              <w:spacing w:lineRule="auto" w:line="360"/>
              <w:rPr>
                <w:rFonts w:cs="宋体" w:hint="default"/>
                <w:color w:val="auto"/>
                <w:kern w:val="0"/>
              </w:rPr>
            </w:pPr>
            <w:r>
              <w:rPr>
                <w:rFonts w:cs="宋体"/>
                <w:color w:val="auto"/>
                <w:kern w:val="0"/>
              </w:rPr>
              <w:t>10</w:t>
            </w:r>
          </w:p>
        </w:tc>
      </w:tr>
      <w:tr>
        <w:tblPrEx/>
        <w:trPr>
          <w:trHeight w:val="508"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阐述流畅、条理清晰、回答问题基本完整；现场答辩基本结合招标项目实际，具有一定的针对性。</w:t>
            </w:r>
          </w:p>
        </w:tc>
        <w:tc>
          <w:tcPr>
            <w:tcW w:w="709" w:type="dxa"/>
            <w:vMerge w:val="continue"/>
            <w:tcBorders/>
            <w:vAlign w:val="center"/>
          </w:tcPr>
          <w:p>
            <w:pPr>
              <w:pStyle w:val="style0"/>
              <w:spacing w:lineRule="auto" w:line="360"/>
              <w:rPr>
                <w:rFonts w:cs="宋体" w:hint="default"/>
                <w:color w:val="auto"/>
                <w:kern w:val="0"/>
              </w:rPr>
            </w:pPr>
          </w:p>
        </w:tc>
        <w:tc>
          <w:tcPr>
            <w:tcW w:w="567" w:type="dxa"/>
            <w:tcBorders/>
            <w:vAlign w:val="center"/>
          </w:tcPr>
          <w:p>
            <w:pPr>
              <w:pStyle w:val="style0"/>
              <w:spacing w:lineRule="auto" w:line="360"/>
              <w:rPr>
                <w:rFonts w:cs="宋体" w:hint="default"/>
                <w:color w:val="auto"/>
                <w:kern w:val="0"/>
              </w:rPr>
            </w:pPr>
            <w:r>
              <w:rPr>
                <w:rFonts w:cs="宋体"/>
                <w:color w:val="auto"/>
                <w:kern w:val="0"/>
              </w:rPr>
              <w:t>6</w:t>
            </w:r>
          </w:p>
        </w:tc>
        <w:tc>
          <w:tcPr>
            <w:tcW w:w="645" w:type="dxa"/>
            <w:tcBorders/>
            <w:vAlign w:val="center"/>
          </w:tcPr>
          <w:p>
            <w:pPr>
              <w:pStyle w:val="style0"/>
              <w:spacing w:lineRule="auto" w:line="360"/>
              <w:rPr>
                <w:rFonts w:cs="宋体" w:hint="default"/>
                <w:color w:val="auto"/>
                <w:kern w:val="0"/>
              </w:rPr>
            </w:pPr>
            <w:r>
              <w:rPr>
                <w:rFonts w:cs="宋体"/>
                <w:color w:val="auto"/>
                <w:kern w:val="0"/>
              </w:rPr>
              <w:t>7</w:t>
            </w:r>
          </w:p>
        </w:tc>
      </w:tr>
      <w:tr>
        <w:tblPrEx/>
        <w:trPr>
          <w:trHeight w:val="195"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阐述流畅、条理欠清晰、回答问题欠完整；现场答辩未能结合招标项目实际，缺乏针对性。</w:t>
            </w:r>
          </w:p>
        </w:tc>
        <w:tc>
          <w:tcPr>
            <w:tcW w:w="709" w:type="dxa"/>
            <w:vMerge w:val="continue"/>
            <w:tcBorders/>
            <w:vAlign w:val="center"/>
          </w:tcPr>
          <w:p>
            <w:pPr>
              <w:pStyle w:val="style0"/>
              <w:spacing w:lineRule="auto" w:line="360"/>
              <w:rPr>
                <w:rFonts w:cs="宋体" w:hint="default"/>
                <w:color w:val="auto"/>
                <w:kern w:val="0"/>
              </w:rPr>
            </w:pPr>
          </w:p>
        </w:tc>
        <w:tc>
          <w:tcPr>
            <w:tcW w:w="567" w:type="dxa"/>
            <w:tcBorders/>
            <w:vAlign w:val="center"/>
          </w:tcPr>
          <w:p>
            <w:pPr>
              <w:pStyle w:val="style0"/>
              <w:spacing w:lineRule="auto" w:line="360"/>
              <w:rPr>
                <w:rFonts w:cs="宋体" w:hint="default"/>
                <w:color w:val="auto"/>
                <w:kern w:val="0"/>
              </w:rPr>
            </w:pPr>
            <w:r>
              <w:rPr>
                <w:rFonts w:cs="宋体"/>
                <w:color w:val="auto"/>
                <w:kern w:val="0"/>
              </w:rPr>
              <w:t>3</w:t>
            </w:r>
          </w:p>
        </w:tc>
        <w:tc>
          <w:tcPr>
            <w:tcW w:w="645" w:type="dxa"/>
            <w:tcBorders/>
            <w:vAlign w:val="center"/>
          </w:tcPr>
          <w:p>
            <w:pPr>
              <w:pStyle w:val="style0"/>
              <w:spacing w:lineRule="auto" w:line="360"/>
              <w:rPr>
                <w:rFonts w:cs="宋体" w:hint="default"/>
                <w:color w:val="auto"/>
                <w:kern w:val="0"/>
              </w:rPr>
            </w:pPr>
            <w:r>
              <w:rPr>
                <w:rFonts w:cs="宋体"/>
                <w:color w:val="auto"/>
                <w:kern w:val="0"/>
              </w:rPr>
              <w:t>4</w:t>
            </w:r>
          </w:p>
        </w:tc>
      </w:tr>
      <w:tr>
        <w:tblPrEx/>
        <w:trPr>
          <w:trHeight w:val="195"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tcBorders/>
            <w:vAlign w:val="center"/>
          </w:tcPr>
          <w:p>
            <w:pPr>
              <w:pStyle w:val="style0"/>
              <w:spacing w:lineRule="auto" w:line="360"/>
              <w:rPr>
                <w:rFonts w:cs="宋体" w:hint="default"/>
                <w:color w:val="auto"/>
                <w:kern w:val="0"/>
              </w:rPr>
            </w:pPr>
            <w:r>
              <w:rPr>
                <w:rFonts w:cs="宋体"/>
                <w:color w:val="auto"/>
                <w:kern w:val="0"/>
              </w:rPr>
              <w:t>基础分值</w:t>
            </w:r>
          </w:p>
        </w:tc>
        <w:tc>
          <w:tcPr>
            <w:tcW w:w="484" w:type="dxa"/>
            <w:tcBorders/>
            <w:vAlign w:val="center"/>
          </w:tcPr>
          <w:p>
            <w:pPr>
              <w:pStyle w:val="style0"/>
              <w:spacing w:lineRule="auto" w:line="360"/>
              <w:rPr>
                <w:rFonts w:cs="宋体" w:hint="default"/>
                <w:color w:val="auto"/>
                <w:kern w:val="0"/>
              </w:rPr>
            </w:pPr>
            <w:r>
              <w:rPr>
                <w:rFonts w:cs="宋体"/>
                <w:color w:val="auto"/>
                <w:kern w:val="0"/>
              </w:rPr>
              <w:t>35</w:t>
            </w:r>
          </w:p>
        </w:tc>
        <w:tc>
          <w:tcPr>
            <w:tcW w:w="5694" w:type="dxa"/>
            <w:gridSpan w:val="6"/>
            <w:tcBorders/>
            <w:vAlign w:val="center"/>
          </w:tcPr>
          <w:p>
            <w:pPr>
              <w:pStyle w:val="style0"/>
              <w:spacing w:lineRule="auto" w:line="360"/>
              <w:rPr>
                <w:rFonts w:cs="宋体" w:hint="default"/>
                <w:color w:val="auto"/>
                <w:kern w:val="0"/>
              </w:rPr>
            </w:pPr>
          </w:p>
        </w:tc>
      </w:tr>
      <w:tr>
        <w:tblPrEx/>
        <w:trPr>
          <w:trHeight w:val="268"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restart"/>
            <w:tcBorders/>
            <w:vAlign w:val="center"/>
          </w:tcPr>
          <w:p>
            <w:pPr>
              <w:pStyle w:val="style0"/>
              <w:spacing w:lineRule="auto" w:line="360"/>
              <w:rPr>
                <w:rFonts w:cs="宋体" w:hint="default"/>
                <w:color w:val="auto"/>
                <w:kern w:val="0"/>
              </w:rPr>
            </w:pPr>
            <w:r>
              <w:rPr>
                <w:rFonts w:cs="宋体"/>
                <w:color w:val="auto"/>
                <w:kern w:val="0"/>
              </w:rPr>
              <w:t>拟任专监</w:t>
            </w:r>
          </w:p>
        </w:tc>
        <w:tc>
          <w:tcPr>
            <w:tcW w:w="2592" w:type="dxa"/>
            <w:vMerge w:val="restart"/>
            <w:tcBorders/>
            <w:vAlign w:val="center"/>
          </w:tcPr>
          <w:p>
            <w:pPr>
              <w:pStyle w:val="style0"/>
              <w:spacing w:lineRule="auto" w:line="360"/>
              <w:rPr>
                <w:rFonts w:cs="宋体" w:hint="default"/>
                <w:color w:val="auto"/>
                <w:kern w:val="0"/>
              </w:rPr>
            </w:pPr>
            <w:r>
              <w:rPr>
                <w:rFonts w:cs="宋体"/>
                <w:color w:val="auto"/>
                <w:kern w:val="0"/>
              </w:rPr>
              <w:t>类似工程监理业绩</w:t>
            </w:r>
          </w:p>
        </w:tc>
        <w:tc>
          <w:tcPr>
            <w:tcW w:w="484" w:type="dxa"/>
            <w:vMerge w:val="restart"/>
            <w:tcBorders/>
            <w:vAlign w:val="center"/>
          </w:tcPr>
          <w:p>
            <w:pPr>
              <w:pStyle w:val="style0"/>
              <w:spacing w:lineRule="auto" w:line="360"/>
              <w:rPr>
                <w:rFonts w:cs="宋体" w:hint="default"/>
                <w:color w:val="auto"/>
                <w:kern w:val="0"/>
              </w:rPr>
            </w:pPr>
            <w:r>
              <w:rPr>
                <w:rFonts w:cs="宋体"/>
                <w:color w:val="auto"/>
                <w:kern w:val="0"/>
              </w:rPr>
              <w:t>2</w:t>
            </w: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数量和分值</w:t>
            </w:r>
          </w:p>
        </w:tc>
        <w:tc>
          <w:tcPr>
            <w:tcW w:w="709" w:type="dxa"/>
            <w:vMerge w:val="restart"/>
            <w:tcBorders/>
            <w:vAlign w:val="center"/>
          </w:tcPr>
          <w:p>
            <w:pPr>
              <w:pStyle w:val="style0"/>
              <w:spacing w:lineRule="auto" w:line="360"/>
              <w:rPr>
                <w:rFonts w:cs="宋体" w:hint="default"/>
                <w:color w:val="auto"/>
                <w:kern w:val="0"/>
              </w:rPr>
            </w:pPr>
            <w:r>
              <w:rPr>
                <w:rFonts w:cs="宋体"/>
                <w:color w:val="auto"/>
                <w:kern w:val="0"/>
              </w:rPr>
              <w:t>加分制</w:t>
            </w:r>
          </w:p>
        </w:tc>
        <w:tc>
          <w:tcPr>
            <w:tcW w:w="567" w:type="dxa"/>
            <w:vMerge w:val="restart"/>
            <w:tcBorders/>
            <w:vAlign w:val="center"/>
          </w:tcPr>
          <w:p>
            <w:pPr>
              <w:pStyle w:val="style0"/>
              <w:spacing w:lineRule="auto" w:line="360"/>
              <w:rPr>
                <w:rFonts w:cs="宋体" w:hint="default"/>
                <w:color w:val="auto"/>
                <w:kern w:val="0"/>
              </w:rPr>
            </w:pPr>
            <w:r>
              <w:rPr>
                <w:rFonts w:cs="宋体"/>
                <w:color w:val="auto"/>
                <w:kern w:val="0"/>
              </w:rPr>
              <w:t>0</w:t>
            </w:r>
          </w:p>
        </w:tc>
        <w:tc>
          <w:tcPr>
            <w:tcW w:w="645" w:type="dxa"/>
            <w:vMerge w:val="restart"/>
            <w:tcBorders/>
            <w:vAlign w:val="center"/>
          </w:tcPr>
          <w:p>
            <w:pPr>
              <w:pStyle w:val="style0"/>
              <w:spacing w:lineRule="auto" w:line="360"/>
              <w:rPr>
                <w:rFonts w:cs="宋体" w:hint="default"/>
                <w:color w:val="auto"/>
                <w:kern w:val="0"/>
              </w:rPr>
            </w:pPr>
            <w:r>
              <w:rPr>
                <w:rFonts w:cs="宋体"/>
                <w:color w:val="auto"/>
                <w:kern w:val="0"/>
              </w:rPr>
              <w:t>2</w:t>
            </w:r>
          </w:p>
        </w:tc>
      </w:tr>
      <w:tr>
        <w:tblPrEx/>
        <w:trPr>
          <w:trHeight w:val="312"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0-1个，每个2分。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312"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restart"/>
            <w:tcBorders/>
            <w:vAlign w:val="center"/>
          </w:tcPr>
          <w:p>
            <w:pPr>
              <w:pStyle w:val="style0"/>
              <w:spacing w:lineRule="auto" w:line="360"/>
              <w:rPr>
                <w:rFonts w:cs="宋体" w:hint="default"/>
                <w:color w:val="auto"/>
                <w:kern w:val="0"/>
              </w:rPr>
            </w:pPr>
            <w:r>
              <w:rPr>
                <w:rFonts w:cs="宋体"/>
                <w:color w:val="auto"/>
                <w:kern w:val="0"/>
              </w:rPr>
              <w:t>不良行为</w:t>
            </w:r>
          </w:p>
        </w:tc>
        <w:tc>
          <w:tcPr>
            <w:tcW w:w="484" w:type="dxa"/>
            <w:vMerge w:val="restart"/>
            <w:tcBorders/>
            <w:vAlign w:val="center"/>
          </w:tcPr>
          <w:p>
            <w:pPr>
              <w:pStyle w:val="style0"/>
              <w:spacing w:lineRule="auto" w:line="360"/>
              <w:rPr>
                <w:rFonts w:cs="宋体" w:hint="default"/>
                <w:color w:val="auto"/>
                <w:kern w:val="0"/>
              </w:rPr>
            </w:pPr>
            <w:r>
              <w:rPr>
                <w:rFonts w:cs="宋体"/>
                <w:color w:val="auto"/>
                <w:kern w:val="0"/>
              </w:rPr>
              <w:t>24</w:t>
            </w: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严重不良行为，每条 2 分</w:t>
            </w:r>
          </w:p>
        </w:tc>
        <w:tc>
          <w:tcPr>
            <w:tcW w:w="709" w:type="dxa"/>
            <w:vMerge w:val="restart"/>
            <w:tcBorders/>
            <w:vAlign w:val="center"/>
          </w:tcPr>
          <w:p>
            <w:pPr>
              <w:pStyle w:val="style0"/>
              <w:spacing w:lineRule="auto" w:line="360"/>
              <w:rPr>
                <w:rFonts w:cs="宋体" w:hint="default"/>
                <w:color w:val="auto"/>
                <w:kern w:val="0"/>
              </w:rPr>
            </w:pPr>
            <w:r>
              <w:rPr>
                <w:rFonts w:cs="宋体"/>
                <w:color w:val="auto"/>
                <w:kern w:val="0"/>
              </w:rPr>
              <w:t>扣分制</w:t>
            </w:r>
          </w:p>
        </w:tc>
        <w:tc>
          <w:tcPr>
            <w:tcW w:w="567" w:type="dxa"/>
            <w:vMerge w:val="restart"/>
            <w:tcBorders/>
            <w:vAlign w:val="center"/>
          </w:tcPr>
          <w:p>
            <w:pPr>
              <w:pStyle w:val="style0"/>
              <w:spacing w:lineRule="auto" w:line="360"/>
              <w:rPr>
                <w:rFonts w:cs="宋体" w:hint="default"/>
                <w:color w:val="auto"/>
                <w:kern w:val="0"/>
              </w:rPr>
            </w:pPr>
            <w:r>
              <w:rPr>
                <w:rFonts w:cs="宋体"/>
                <w:color w:val="auto"/>
                <w:kern w:val="0"/>
              </w:rPr>
              <w:t>0</w:t>
            </w:r>
          </w:p>
        </w:tc>
        <w:tc>
          <w:tcPr>
            <w:tcW w:w="645" w:type="dxa"/>
            <w:vMerge w:val="restart"/>
            <w:tcBorders/>
            <w:vAlign w:val="center"/>
          </w:tcPr>
          <w:p>
            <w:pPr>
              <w:pStyle w:val="style0"/>
              <w:spacing w:lineRule="auto" w:line="360"/>
              <w:rPr>
                <w:rFonts w:cs="宋体" w:hint="default"/>
                <w:color w:val="auto"/>
                <w:kern w:val="0"/>
              </w:rPr>
            </w:pPr>
            <w:r>
              <w:rPr>
                <w:rFonts w:cs="宋体"/>
                <w:color w:val="auto"/>
                <w:kern w:val="0"/>
              </w:rPr>
              <w:t>24</w:t>
            </w:r>
          </w:p>
        </w:tc>
      </w:tr>
      <w:tr>
        <w:tblPrEx/>
        <w:trPr>
          <w:trHeight w:val="312"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611" w:type="dxa"/>
            <w:vMerge w:val="continue"/>
            <w:tcBorders/>
            <w:vAlign w:val="center"/>
          </w:tcPr>
          <w:p>
            <w:pPr>
              <w:pStyle w:val="style0"/>
              <w:spacing w:lineRule="auto" w:line="360"/>
              <w:rPr>
                <w:rFonts w:cs="宋体" w:hint="default"/>
                <w:color w:val="auto"/>
                <w:kern w:val="0"/>
              </w:rPr>
            </w:pPr>
          </w:p>
        </w:tc>
        <w:tc>
          <w:tcPr>
            <w:tcW w:w="2592" w:type="dxa"/>
            <w:vMerge w:val="continue"/>
            <w:tcBorders/>
            <w:vAlign w:val="center"/>
          </w:tcPr>
          <w:p>
            <w:pPr>
              <w:pStyle w:val="style0"/>
              <w:spacing w:lineRule="auto" w:line="360"/>
              <w:rPr>
                <w:rFonts w:cs="宋体" w:hint="default"/>
                <w:color w:val="auto"/>
                <w:kern w:val="0"/>
              </w:rPr>
            </w:pPr>
          </w:p>
        </w:tc>
        <w:tc>
          <w:tcPr>
            <w:tcW w:w="484" w:type="dxa"/>
            <w:vMerge w:val="continue"/>
            <w:tcBorders/>
            <w:vAlign w:val="center"/>
          </w:tcPr>
          <w:p>
            <w:pPr>
              <w:pStyle w:val="style0"/>
              <w:spacing w:lineRule="auto" w:line="360"/>
              <w:rPr>
                <w:rFonts w:cs="宋体" w:hint="default"/>
                <w:color w:val="auto"/>
                <w:kern w:val="0"/>
              </w:rPr>
            </w:pPr>
          </w:p>
        </w:tc>
        <w:tc>
          <w:tcPr>
            <w:tcW w:w="3773" w:type="dxa"/>
            <w:gridSpan w:val="3"/>
            <w:tcBorders/>
            <w:vAlign w:val="center"/>
          </w:tcPr>
          <w:p>
            <w:pPr>
              <w:pStyle w:val="style0"/>
              <w:spacing w:lineRule="auto" w:line="360"/>
              <w:rPr>
                <w:rFonts w:cs="宋体" w:hint="default"/>
                <w:color w:val="auto"/>
                <w:kern w:val="0"/>
              </w:rPr>
            </w:pPr>
            <w:r>
              <w:rPr>
                <w:rFonts w:cs="宋体"/>
                <w:color w:val="auto"/>
                <w:kern w:val="0"/>
              </w:rPr>
              <w:t>一般不良行为，每条 1分</w:t>
            </w:r>
          </w:p>
        </w:tc>
        <w:tc>
          <w:tcPr>
            <w:tcW w:w="709" w:type="dxa"/>
            <w:vMerge w:val="continue"/>
            <w:tcBorders/>
            <w:vAlign w:val="center"/>
          </w:tcPr>
          <w:p>
            <w:pPr>
              <w:pStyle w:val="style0"/>
              <w:spacing w:lineRule="auto" w:line="360"/>
              <w:rPr>
                <w:rFonts w:cs="宋体" w:hint="default"/>
                <w:color w:val="auto"/>
                <w:kern w:val="0"/>
              </w:rPr>
            </w:pPr>
          </w:p>
        </w:tc>
        <w:tc>
          <w:tcPr>
            <w:tcW w:w="567" w:type="dxa"/>
            <w:vMerge w:val="continue"/>
            <w:tcBorders/>
            <w:vAlign w:val="center"/>
          </w:tcPr>
          <w:p>
            <w:pPr>
              <w:pStyle w:val="style0"/>
              <w:spacing w:lineRule="auto" w:line="360"/>
              <w:rPr>
                <w:rFonts w:cs="宋体" w:hint="default"/>
                <w:color w:val="auto"/>
                <w:kern w:val="0"/>
              </w:rPr>
            </w:pPr>
          </w:p>
        </w:tc>
        <w:tc>
          <w:tcPr>
            <w:tcW w:w="645" w:type="dxa"/>
            <w:vMerge w:val="continue"/>
            <w:tcBorders/>
            <w:vAlign w:val="center"/>
          </w:tcPr>
          <w:p>
            <w:pPr>
              <w:pStyle w:val="style0"/>
              <w:spacing w:lineRule="auto" w:line="360"/>
              <w:rPr>
                <w:rFonts w:cs="宋体" w:hint="default"/>
                <w:color w:val="auto"/>
                <w:kern w:val="0"/>
              </w:rPr>
            </w:pPr>
          </w:p>
        </w:tc>
      </w:tr>
      <w:tr>
        <w:tblPrEx/>
        <w:trPr>
          <w:trHeight w:val="1481" w:hRule="atLeast"/>
          <w:jc w:val="center"/>
        </w:trPr>
        <w:tc>
          <w:tcPr>
            <w:tcW w:w="471" w:type="dxa"/>
            <w:vMerge w:val="continue"/>
            <w:tcBorders/>
            <w:vAlign w:val="center"/>
          </w:tcPr>
          <w:p>
            <w:pPr>
              <w:pStyle w:val="style0"/>
              <w:spacing w:lineRule="auto" w:line="360"/>
              <w:rPr>
                <w:rFonts w:cs="宋体" w:hint="default"/>
                <w:color w:val="auto"/>
                <w:kern w:val="0"/>
              </w:rPr>
            </w:pPr>
          </w:p>
        </w:tc>
        <w:tc>
          <w:tcPr>
            <w:tcW w:w="9381" w:type="dxa"/>
            <w:gridSpan w:val="9"/>
            <w:tcBorders/>
            <w:vAlign w:val="center"/>
          </w:tcPr>
          <w:p>
            <w:pPr>
              <w:pStyle w:val="style0"/>
              <w:spacing w:lineRule="auto" w:line="360"/>
              <w:rPr>
                <w:rFonts w:cs="宋体" w:hint="default"/>
                <w:color w:val="auto"/>
                <w:kern w:val="0"/>
              </w:rPr>
            </w:pPr>
            <w:r>
              <w:rPr>
                <w:rFonts w:cs="宋体"/>
                <w:color w:val="auto"/>
                <w:kern w:val="0"/>
              </w:rPr>
              <w:t>1.类似工程监理业绩考核期限1080天，自监理业务手册中建设单位签字之日起至提交响应文件截止之日止。投标人提供的类似工程监理业绩的相关指标应当大于或等于投标人须知前附表第10.1.1项的规定。</w:t>
            </w:r>
          </w:p>
          <w:p>
            <w:pPr>
              <w:pStyle w:val="style0"/>
              <w:spacing w:lineRule="auto" w:line="360"/>
              <w:rPr>
                <w:rFonts w:cs="宋体" w:hint="default"/>
                <w:color w:val="auto"/>
                <w:kern w:val="0"/>
              </w:rPr>
            </w:pPr>
            <w:r>
              <w:rPr>
                <w:rFonts w:cs="宋体"/>
                <w:color w:val="auto"/>
                <w:kern w:val="0"/>
              </w:rPr>
              <w:t>2. 拟任本招标项目的总监理工程师和专业监理工程师在其他项目担任总监理工程师并发生过变更撤换，如果在本招标项目投标截止时间前，该项目未取得竣工验收资料的，不对该总监理工程师和专业监理工程师的类似工程业绩和优良信息计分。</w:t>
            </w:r>
          </w:p>
          <w:p>
            <w:pPr>
              <w:pStyle w:val="style0"/>
              <w:spacing w:lineRule="auto" w:line="360"/>
              <w:rPr>
                <w:rFonts w:cs="宋体" w:hint="default"/>
                <w:color w:val="auto"/>
                <w:kern w:val="0"/>
              </w:rPr>
            </w:pPr>
            <w:r>
              <w:rPr>
                <w:rFonts w:cs="宋体"/>
                <w:color w:val="auto"/>
                <w:kern w:val="0"/>
              </w:rPr>
              <w:t>3.优良信息：①国家级奖项有效期720天，省级、市州级奖项有效期360天，自相关表彰文件发布之日起至提交响应文件截止之日止；②建筑施工质量管理标准化年度项目考评优良工地、建筑施工安全生产标准化年度项目考评优良工地、建筑工程监理质量安全生产标准化年度项目考评优良工地有效期360天，自湖南省厅及市、州建设局（建委、规划建设局）相关文件公布之日起至提交招标文件截止之日止。投标人未提供证明资料或证明资料提供不全或证明资料不符合要求的，不计分。</w:t>
            </w:r>
          </w:p>
          <w:p>
            <w:pPr>
              <w:pStyle w:val="style0"/>
              <w:spacing w:lineRule="auto" w:line="360"/>
              <w:rPr>
                <w:rFonts w:cs="宋体" w:hint="default"/>
                <w:color w:val="auto"/>
                <w:kern w:val="0"/>
              </w:rPr>
            </w:pPr>
            <w:r>
              <w:rPr>
                <w:rFonts w:cs="宋体"/>
                <w:color w:val="auto"/>
                <w:kern w:val="0"/>
              </w:rPr>
              <w:t>4.不良信息：①不良行为扣分有效期为200天，自省厅公布之日起至提交响应文件截止之日止。外省区市公布的不良行为不予扣分；②建筑施工质量管理标准化季度项目考评不合格项目 、 建筑施工安全生产标准化季度考评不合格项目、建筑工程监理质量安全生产标准化季度项目考评不合格项目有效期90天，自湖南省厅相关文件公布之日起至提交响应文件截止之日止。</w:t>
            </w:r>
          </w:p>
          <w:p>
            <w:pPr>
              <w:pStyle w:val="style0"/>
              <w:spacing w:lineRule="auto" w:line="360"/>
              <w:rPr>
                <w:rFonts w:cs="宋体" w:hint="default"/>
                <w:color w:val="auto"/>
                <w:kern w:val="0"/>
              </w:rPr>
            </w:pPr>
            <w:r>
              <w:rPr>
                <w:rFonts w:cs="宋体"/>
                <w:color w:val="auto"/>
                <w:kern w:val="0"/>
              </w:rPr>
              <w:t>5.相关文件是指《湖南省房屋建筑和市政基础设施工程监理招标投标信用评价实施细则》（湘建监督[2019]161号）附件列示的文件。建筑工程监理质量安全生产标准化年度项目考评优良工地以湖南省住房城乡建设厅公布文件为准。</w:t>
            </w:r>
          </w:p>
          <w:p>
            <w:pPr>
              <w:pStyle w:val="style0"/>
              <w:spacing w:lineRule="auto" w:line="360"/>
              <w:rPr>
                <w:rFonts w:cs="宋体" w:hint="default"/>
                <w:color w:val="auto"/>
                <w:kern w:val="0"/>
              </w:rPr>
            </w:pPr>
            <w:r>
              <w:rPr>
                <w:rFonts w:cs="宋体"/>
                <w:color w:val="auto"/>
                <w:kern w:val="0"/>
              </w:rPr>
              <w:t>6.现场答辩由评标委员会成员独立计分，现场答辩得分为评委个人评审计分去掉一个最高分和一个最低分后的算术平均值。其他评审因素由评标委员会集体评议计分。</w:t>
            </w:r>
          </w:p>
          <w:p>
            <w:pPr>
              <w:pStyle w:val="style0"/>
              <w:spacing w:lineRule="auto" w:line="360"/>
              <w:rPr>
                <w:rFonts w:cs="宋体" w:hint="default"/>
                <w:color w:val="auto"/>
                <w:kern w:val="0"/>
              </w:rPr>
            </w:pPr>
          </w:p>
        </w:tc>
      </w:tr>
    </w:tbl>
    <w:p>
      <w:pPr>
        <w:pStyle w:val="style0"/>
        <w:spacing w:lineRule="auto" w:line="360"/>
        <w:rPr>
          <w:rFonts w:cs="宋体" w:hint="default"/>
          <w:color w:val="auto"/>
          <w:kern w:val="0"/>
        </w:rPr>
      </w:pPr>
      <w:r>
        <w:rPr>
          <w:rFonts w:eastAsia="仿宋_GB2312"/>
          <w:color w:val="auto"/>
        </w:rPr>
        <w:br w:type="page"/>
      </w:r>
      <w:r>
        <w:rPr>
          <w:rFonts w:cs="宋体"/>
          <w:color w:val="auto"/>
          <w:kern w:val="0"/>
        </w:rPr>
        <w:t>承前页：</w:t>
      </w:r>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751"/>
        <w:gridCol w:w="3827"/>
        <w:gridCol w:w="1843"/>
        <w:gridCol w:w="3245"/>
      </w:tblGrid>
      <w:tr>
        <w:trPr>
          <w:trHeight w:val="397" w:hRule="atLeast"/>
          <w:jc w:val="center"/>
        </w:trPr>
        <w:tc>
          <w:tcPr>
            <w:tcW w:w="751" w:type="dxa"/>
            <w:tcBorders/>
            <w:vAlign w:val="center"/>
          </w:tcPr>
          <w:p>
            <w:pPr>
              <w:pStyle w:val="style0"/>
              <w:spacing w:lineRule="auto" w:line="360"/>
              <w:rPr>
                <w:rFonts w:cs="宋体" w:hint="default"/>
                <w:color w:val="auto"/>
                <w:kern w:val="0"/>
              </w:rPr>
            </w:pPr>
            <w:r>
              <w:rPr>
                <w:rFonts w:cs="宋体"/>
                <w:color w:val="auto"/>
                <w:kern w:val="0"/>
              </w:rPr>
              <w:t>条款号</w:t>
            </w:r>
          </w:p>
        </w:tc>
        <w:tc>
          <w:tcPr>
            <w:tcW w:w="3827" w:type="dxa"/>
            <w:tcBorders/>
            <w:vAlign w:val="center"/>
          </w:tcPr>
          <w:p>
            <w:pPr>
              <w:pStyle w:val="style0"/>
              <w:spacing w:lineRule="auto" w:line="360"/>
              <w:rPr>
                <w:rFonts w:cs="宋体" w:hint="default"/>
                <w:color w:val="auto"/>
                <w:kern w:val="0"/>
              </w:rPr>
            </w:pPr>
            <w:r>
              <w:rPr>
                <w:rFonts w:cs="宋体"/>
                <w:color w:val="auto"/>
                <w:kern w:val="0"/>
              </w:rPr>
              <w:t>评审因素</w:t>
            </w:r>
          </w:p>
        </w:tc>
        <w:tc>
          <w:tcPr>
            <w:tcW w:w="5088" w:type="dxa"/>
            <w:gridSpan w:val="2"/>
            <w:tcBorders/>
            <w:vAlign w:val="center"/>
          </w:tcPr>
          <w:p>
            <w:pPr>
              <w:pStyle w:val="style0"/>
              <w:spacing w:lineRule="auto" w:line="360"/>
              <w:rPr>
                <w:rFonts w:cs="宋体" w:hint="default"/>
                <w:color w:val="auto"/>
                <w:kern w:val="0"/>
              </w:rPr>
            </w:pPr>
            <w:r>
              <w:rPr>
                <w:rFonts w:cs="宋体"/>
                <w:color w:val="auto"/>
                <w:kern w:val="0"/>
              </w:rPr>
              <w:t>评审标准</w:t>
            </w:r>
          </w:p>
        </w:tc>
      </w:tr>
      <w:tr>
        <w:tblPrEx/>
        <w:trPr>
          <w:trHeight w:val="387" w:hRule="atLeast"/>
          <w:jc w:val="center"/>
        </w:trPr>
        <w:tc>
          <w:tcPr>
            <w:tcW w:w="9666" w:type="dxa"/>
            <w:gridSpan w:val="4"/>
            <w:tcBorders/>
            <w:vAlign w:val="center"/>
          </w:tcPr>
          <w:p>
            <w:pPr>
              <w:pStyle w:val="style0"/>
              <w:spacing w:lineRule="auto" w:line="360"/>
              <w:rPr>
                <w:rFonts w:cs="宋体" w:hint="default"/>
                <w:color w:val="auto"/>
                <w:kern w:val="0"/>
              </w:rPr>
            </w:pPr>
            <w:r>
              <w:rPr>
                <w:rFonts w:cs="宋体"/>
                <w:color w:val="auto"/>
                <w:kern w:val="0"/>
              </w:rPr>
              <w:t>现场安全质量管理评价</w:t>
            </w:r>
          </w:p>
        </w:tc>
      </w:tr>
      <w:tr>
        <w:tblPrEx/>
        <w:trPr>
          <w:trHeight w:val="1678" w:hRule="atLeast"/>
          <w:jc w:val="center"/>
        </w:trPr>
        <w:tc>
          <w:tcPr>
            <w:tcW w:w="751" w:type="dxa"/>
            <w:tcBorders/>
            <w:vAlign w:val="center"/>
          </w:tcPr>
          <w:p>
            <w:pPr>
              <w:pStyle w:val="style0"/>
              <w:spacing w:lineRule="auto" w:line="360"/>
              <w:rPr>
                <w:rFonts w:cs="宋体" w:hint="default"/>
                <w:color w:val="auto"/>
                <w:kern w:val="0"/>
              </w:rPr>
            </w:pPr>
            <w:r>
              <w:rPr>
                <w:rFonts w:cs="宋体"/>
                <w:color w:val="auto"/>
                <w:kern w:val="0"/>
              </w:rPr>
              <w:t>1.2.1(2)</w:t>
            </w:r>
          </w:p>
        </w:tc>
        <w:tc>
          <w:tcPr>
            <w:tcW w:w="8915" w:type="dxa"/>
            <w:gridSpan w:val="3"/>
            <w:tcBorders/>
            <w:vAlign w:val="center"/>
          </w:tcPr>
          <w:p>
            <w:pPr>
              <w:pStyle w:val="style0"/>
              <w:spacing w:lineRule="auto" w:line="360"/>
              <w:rPr>
                <w:rFonts w:cs="宋体" w:hint="default"/>
                <w:color w:val="auto"/>
                <w:kern w:val="0"/>
              </w:rPr>
            </w:pPr>
            <w:r>
              <w:rPr>
                <w:rFonts w:cs="宋体"/>
                <w:color w:val="auto"/>
                <w:kern w:val="0"/>
              </w:rPr>
              <w:t>采用提交响应文件截止之时最新公布的现场安全质量管理评价结果。其中：</w:t>
            </w:r>
          </w:p>
          <w:p>
            <w:pPr>
              <w:pStyle w:val="style0"/>
              <w:spacing w:lineRule="auto" w:line="360"/>
              <w:rPr>
                <w:rFonts w:cs="宋体" w:hint="default"/>
                <w:color w:val="auto"/>
                <w:kern w:val="0"/>
              </w:rPr>
            </w:pPr>
            <w:r>
              <w:rPr>
                <w:rFonts w:cs="宋体"/>
                <w:color w:val="auto"/>
                <w:kern w:val="0"/>
              </w:rPr>
              <w:t>（一）以联合体方式投标的，按照联合投标协议约定的各自工作量所占比例加权折算的原则确定联合体的现场安全质量管理评价分值；</w:t>
            </w:r>
          </w:p>
          <w:p>
            <w:pPr>
              <w:pStyle w:val="style0"/>
              <w:spacing w:lineRule="auto" w:line="360"/>
              <w:rPr>
                <w:rFonts w:cs="宋体" w:hint="default"/>
                <w:color w:val="auto"/>
                <w:kern w:val="0"/>
              </w:rPr>
            </w:pPr>
            <w:r>
              <w:rPr>
                <w:rFonts w:cs="宋体"/>
                <w:color w:val="auto"/>
                <w:kern w:val="0"/>
              </w:rPr>
              <w:t>（二）没有在监工程的投标人，按照现场安全质量管理评价处于末位的合格投标人的分值计取，但取得监理企业资质证书不满720天的投标人按全省现场安全质量管理评价分值的平均值计取。如果取得监理企业资质证书不满720天的投标人现场安全质量管理评价分值高于全省平均值的，按其现场安全质量管理评价分值计取。</w:t>
            </w:r>
          </w:p>
        </w:tc>
      </w:tr>
      <w:tr>
        <w:tblPrEx/>
        <w:trPr>
          <w:trHeight w:val="459" w:hRule="atLeast"/>
          <w:jc w:val="center"/>
        </w:trPr>
        <w:tc>
          <w:tcPr>
            <w:tcW w:w="9666" w:type="dxa"/>
            <w:gridSpan w:val="4"/>
            <w:tcBorders/>
            <w:vAlign w:val="center"/>
          </w:tcPr>
          <w:p>
            <w:pPr>
              <w:pStyle w:val="style0"/>
              <w:spacing w:lineRule="auto" w:line="360"/>
              <w:rPr>
                <w:rFonts w:cs="宋体" w:hint="default"/>
                <w:color w:val="auto"/>
                <w:kern w:val="0"/>
              </w:rPr>
            </w:pPr>
            <w:r>
              <w:rPr>
                <w:rFonts w:cs="宋体"/>
                <w:color w:val="auto"/>
                <w:kern w:val="0"/>
              </w:rPr>
              <w:t>投标报价评审</w:t>
            </w:r>
          </w:p>
        </w:tc>
      </w:tr>
      <w:tr>
        <w:tblPrEx/>
        <w:trPr>
          <w:trHeight w:val="2372" w:hRule="atLeast"/>
          <w:jc w:val="center"/>
        </w:trPr>
        <w:tc>
          <w:tcPr>
            <w:tcW w:w="751" w:type="dxa"/>
            <w:vMerge w:val="restart"/>
            <w:tcBorders/>
            <w:vAlign w:val="center"/>
          </w:tcPr>
          <w:p>
            <w:pPr>
              <w:pStyle w:val="style0"/>
              <w:spacing w:lineRule="auto" w:line="360"/>
              <w:rPr>
                <w:rFonts w:cs="宋体" w:hint="default"/>
                <w:color w:val="auto"/>
                <w:kern w:val="0"/>
              </w:rPr>
            </w:pPr>
            <w:r>
              <w:rPr>
                <w:rFonts w:cs="宋体"/>
                <w:color w:val="auto"/>
                <w:kern w:val="0"/>
              </w:rPr>
              <w:t>1.2.1(3)</w:t>
            </w:r>
          </w:p>
        </w:tc>
        <w:tc>
          <w:tcPr>
            <w:tcW w:w="8915" w:type="dxa"/>
            <w:gridSpan w:val="3"/>
            <w:tcBorders/>
            <w:vAlign w:val="center"/>
          </w:tcPr>
          <w:p>
            <w:pPr>
              <w:pStyle w:val="style0"/>
              <w:spacing w:lineRule="auto" w:line="360"/>
              <w:rPr>
                <w:rFonts w:cs="宋体" w:hint="default"/>
                <w:color w:val="auto"/>
                <w:kern w:val="0"/>
              </w:rPr>
            </w:pPr>
            <w:r>
              <w:rPr>
                <w:rFonts w:cs="宋体"/>
                <w:color w:val="auto"/>
                <w:kern w:val="0"/>
              </w:rPr>
              <w:t>1. 投标报价得分，基本分100分。</w:t>
            </w:r>
          </w:p>
          <w:p>
            <w:pPr>
              <w:pStyle w:val="style0"/>
              <w:spacing w:lineRule="auto" w:line="360"/>
              <w:rPr>
                <w:rFonts w:cs="宋体" w:hint="default"/>
                <w:color w:val="auto"/>
                <w:kern w:val="0"/>
              </w:rPr>
            </w:pPr>
            <w:r>
              <w:rPr>
                <w:rFonts w:cs="宋体"/>
                <w:color w:val="auto"/>
                <w:kern w:val="0"/>
              </w:rPr>
              <w:t>2. 基准价的计算：Y=A</w:t>
            </w:r>
          </w:p>
          <w:p>
            <w:pPr>
              <w:pStyle w:val="style0"/>
              <w:spacing w:lineRule="auto" w:line="360"/>
              <w:rPr>
                <w:rFonts w:cs="宋体" w:hint="default"/>
                <w:color w:val="auto"/>
                <w:kern w:val="0"/>
              </w:rPr>
            </w:pPr>
            <w:r>
              <w:rPr>
                <w:rFonts w:cs="宋体"/>
                <w:color w:val="auto"/>
                <w:kern w:val="0"/>
              </w:rPr>
              <w:t>其中：A——进入详细评审的有效投标报价中，大于或等于X（1-5%）的报价的算术平均值</w:t>
            </w:r>
          </w:p>
          <w:p>
            <w:pPr>
              <w:pStyle w:val="style0"/>
              <w:spacing w:lineRule="auto" w:line="360"/>
              <w:rPr>
                <w:rFonts w:cs="宋体" w:hint="default"/>
                <w:color w:val="auto"/>
                <w:kern w:val="0"/>
              </w:rPr>
            </w:pPr>
            <w:r>
              <w:rPr>
                <w:rFonts w:cs="宋体"/>
                <w:color w:val="auto"/>
                <w:kern w:val="0"/>
              </w:rPr>
              <w:t>X——进入详细评审的有效投标报价的算术平均值</w:t>
            </w:r>
          </w:p>
          <w:p>
            <w:pPr>
              <w:pStyle w:val="style0"/>
              <w:spacing w:lineRule="auto" w:line="360"/>
              <w:rPr>
                <w:rFonts w:cs="宋体" w:hint="default"/>
                <w:color w:val="auto"/>
                <w:kern w:val="0"/>
              </w:rPr>
            </w:pPr>
            <w:r>
              <w:rPr>
                <w:rFonts w:cs="宋体"/>
                <w:color w:val="auto"/>
                <w:kern w:val="0"/>
              </w:rPr>
              <w:t>X=（X1+X2+……Xn-1+Xn）／n</w:t>
            </w:r>
          </w:p>
          <w:p>
            <w:pPr>
              <w:pStyle w:val="style0"/>
              <w:spacing w:lineRule="auto" w:line="360"/>
              <w:rPr>
                <w:rFonts w:cs="宋体" w:hint="default"/>
                <w:color w:val="auto"/>
                <w:kern w:val="0"/>
              </w:rPr>
            </w:pPr>
            <w:r>
              <w:rPr>
                <w:rFonts w:cs="宋体"/>
                <w:color w:val="auto"/>
                <w:kern w:val="0"/>
              </w:rPr>
              <w:t>n——进入详细评审的有效投标报价个数</w:t>
            </w:r>
          </w:p>
          <w:p>
            <w:pPr>
              <w:pStyle w:val="style0"/>
              <w:spacing w:lineRule="auto" w:line="360"/>
              <w:rPr>
                <w:rFonts w:cs="宋体" w:hint="default"/>
                <w:color w:val="auto"/>
                <w:kern w:val="0"/>
              </w:rPr>
            </w:pPr>
            <w:r>
              <w:rPr>
                <w:rFonts w:cs="宋体"/>
                <w:color w:val="auto"/>
                <w:kern w:val="0"/>
              </w:rPr>
              <w:t>X1、X2、Xn-1、Xn——进入详细评审的有效投标报价</w:t>
            </w:r>
          </w:p>
        </w:tc>
      </w:tr>
      <w:tr>
        <w:tblPrEx/>
        <w:trPr>
          <w:trHeight w:val="377" w:hRule="atLeast"/>
          <w:jc w:val="center"/>
        </w:trPr>
        <w:tc>
          <w:tcPr>
            <w:tcW w:w="751" w:type="dxa"/>
            <w:vMerge w:val="continue"/>
            <w:tcBorders/>
            <w:vAlign w:val="center"/>
          </w:tcPr>
          <w:p>
            <w:pPr>
              <w:pStyle w:val="style0"/>
              <w:spacing w:lineRule="auto" w:line="360"/>
              <w:rPr>
                <w:rFonts w:cs="宋体" w:hint="default"/>
                <w:color w:val="auto"/>
                <w:kern w:val="0"/>
              </w:rPr>
            </w:pPr>
          </w:p>
        </w:tc>
        <w:tc>
          <w:tcPr>
            <w:tcW w:w="3827" w:type="dxa"/>
            <w:tcBorders/>
            <w:vAlign w:val="center"/>
          </w:tcPr>
          <w:p>
            <w:pPr>
              <w:pStyle w:val="style0"/>
              <w:spacing w:lineRule="auto" w:line="360"/>
              <w:rPr>
                <w:rFonts w:cs="宋体" w:hint="default"/>
                <w:color w:val="auto"/>
                <w:kern w:val="0"/>
              </w:rPr>
            </w:pPr>
            <w:r>
              <w:rPr>
                <w:rFonts w:cs="宋体"/>
                <w:color w:val="auto"/>
                <w:kern w:val="0"/>
              </w:rPr>
              <w:t>评审标准</w:t>
            </w:r>
          </w:p>
        </w:tc>
        <w:tc>
          <w:tcPr>
            <w:tcW w:w="1843" w:type="dxa"/>
            <w:tcBorders/>
            <w:vAlign w:val="center"/>
          </w:tcPr>
          <w:p>
            <w:pPr>
              <w:pStyle w:val="style0"/>
              <w:spacing w:lineRule="auto" w:line="360"/>
              <w:rPr>
                <w:rFonts w:cs="宋体" w:hint="default"/>
                <w:color w:val="auto"/>
                <w:kern w:val="0"/>
              </w:rPr>
            </w:pPr>
            <w:r>
              <w:rPr>
                <w:rFonts w:cs="宋体"/>
                <w:color w:val="auto"/>
                <w:kern w:val="0"/>
              </w:rPr>
              <w:t>计分方式</w:t>
            </w:r>
          </w:p>
        </w:tc>
        <w:tc>
          <w:tcPr>
            <w:tcW w:w="3245" w:type="dxa"/>
            <w:tcBorders/>
            <w:vAlign w:val="center"/>
          </w:tcPr>
          <w:p>
            <w:pPr>
              <w:pStyle w:val="style0"/>
              <w:spacing w:lineRule="auto" w:line="360"/>
              <w:rPr>
                <w:rFonts w:cs="宋体" w:hint="default"/>
                <w:color w:val="auto"/>
                <w:kern w:val="0"/>
              </w:rPr>
            </w:pPr>
            <w:r>
              <w:rPr>
                <w:rFonts w:cs="宋体"/>
                <w:color w:val="auto"/>
                <w:kern w:val="0"/>
              </w:rPr>
              <w:t>偏差率</w:t>
            </w:r>
          </w:p>
        </w:tc>
      </w:tr>
      <w:tr>
        <w:tblPrEx/>
        <w:trPr>
          <w:trHeight w:val="1057" w:hRule="atLeast"/>
          <w:jc w:val="center"/>
        </w:trPr>
        <w:tc>
          <w:tcPr>
            <w:tcW w:w="751" w:type="dxa"/>
            <w:vMerge w:val="continue"/>
            <w:tcBorders/>
            <w:vAlign w:val="center"/>
          </w:tcPr>
          <w:p>
            <w:pPr>
              <w:pStyle w:val="style0"/>
              <w:spacing w:lineRule="auto" w:line="360"/>
              <w:rPr>
                <w:rFonts w:cs="宋体" w:hint="default"/>
                <w:color w:val="auto"/>
                <w:kern w:val="0"/>
              </w:rPr>
            </w:pPr>
          </w:p>
        </w:tc>
        <w:tc>
          <w:tcPr>
            <w:tcW w:w="3827" w:type="dxa"/>
            <w:tcBorders/>
            <w:vAlign w:val="center"/>
          </w:tcPr>
          <w:p>
            <w:pPr>
              <w:pStyle w:val="style0"/>
              <w:spacing w:lineRule="auto" w:line="360"/>
              <w:rPr>
                <w:rFonts w:cs="宋体" w:hint="default"/>
                <w:color w:val="auto"/>
                <w:kern w:val="0"/>
              </w:rPr>
            </w:pPr>
            <w:r>
              <w:rPr>
                <w:rFonts w:cs="宋体"/>
                <w:color w:val="auto"/>
                <w:kern w:val="0"/>
              </w:rPr>
              <w:t xml:space="preserve">   投标报价-基准价</w:t>
            </w:r>
          </w:p>
          <w:p>
            <w:pPr>
              <w:pStyle w:val="style0"/>
              <w:spacing w:lineRule="auto" w:line="360"/>
              <w:rPr>
                <w:rFonts w:cs="宋体" w:hint="default"/>
                <w:color w:val="auto"/>
                <w:kern w:val="0"/>
              </w:rPr>
            </w:pPr>
            <w:r>
              <w:rPr>
                <w:rFonts w:cs="宋体"/>
                <w:color w:val="auto"/>
                <w:kern w:val="0"/>
              </w:rPr>
              <mc:AlternateContent>
                <mc:Choice Requires="wps">
                  <w:drawing>
                    <wp:anchor distT="0" distB="0" distL="0" distR="0" simplePos="false" relativeHeight="3" behindDoc="false" locked="false" layoutInCell="true" allowOverlap="true">
                      <wp:simplePos x="0" y="0"/>
                      <wp:positionH relativeFrom="column">
                        <wp:posOffset>279400</wp:posOffset>
                      </wp:positionH>
                      <wp:positionV relativeFrom="paragraph">
                        <wp:posOffset>79375</wp:posOffset>
                      </wp:positionV>
                      <wp:extent cx="1075690" cy="635"/>
                      <wp:effectExtent l="0" t="0" r="0" b="0"/>
                      <wp:wrapNone/>
                      <wp:docPr id="1026" name="直接箭头连接符 8"/>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075690" cy="635"/>
                              </a:xfrm>
                              <a:prstGeom prst="straightConnector1"/>
                              <a:ln cmpd="sng" cap="flat" w="9525">
                                <a:solidFill>
                                  <a:srgbClr val="000000"/>
                                </a:solidFill>
                                <a:prstDash val="solid"/>
                                <a:round/>
                                <a:headEnd/>
                                <a:tailEnd/>
                              </a:ln>
                            </wps:spPr>
                            <wps:bodyPr>
                              <a:prstTxWarp prst="textNoShape"/>
                            </wps:bodyPr>
                          </wps:wsp>
                        </a:graphicData>
                      </a:graphic>
                    </wp:anchor>
                  </w:drawing>
                </mc:Choice>
                <mc:Fallback>
                  <w:pict>
                    <v:shapetype id="_x0000_t32" coordsize="21600,21600" o:spt="32" o:oned="t" path="m,l21600,21600e">
                      <v:path arrowok="t" fillok="f" o:connecttype="none"/>
                      <o:lock v:ext="edit" shapetype="t"/>
                    </v:shapetype>
                    <v:shape id="1026" type="#_x0000_t32" filled="f" style="position:absolute;margin-left:22.0pt;margin-top:6.25pt;width:84.7pt;height:0.05pt;z-index:3;mso-position-horizontal-relative:text;mso-position-vertical-relative:text;mso-width-relative:page;mso-height-relative:page;mso-wrap-distance-left:0.0pt;mso-wrap-distance-right:0.0pt;visibility:visible;">
                      <v:fill/>
                    </v:shape>
                  </w:pict>
                </mc:Fallback>
              </mc:AlternateContent>
            </w:r>
            <w:r>
              <w:rPr>
                <w:rFonts w:cs="宋体"/>
                <w:color w:val="auto"/>
                <w:kern w:val="0"/>
              </w:rPr>
              <w:t xml:space="preserve">                     ×100%＞1%</w:t>
            </w:r>
          </w:p>
          <w:p>
            <w:pPr>
              <w:pStyle w:val="style0"/>
              <w:spacing w:lineRule="auto" w:line="360"/>
              <w:rPr>
                <w:rFonts w:cs="宋体" w:hint="default"/>
                <w:color w:val="auto"/>
                <w:kern w:val="0"/>
              </w:rPr>
            </w:pPr>
            <w:r>
              <w:rPr>
                <w:rFonts w:cs="宋体"/>
                <w:color w:val="auto"/>
                <w:kern w:val="0"/>
              </w:rPr>
              <w:t>基准价</w:t>
            </w:r>
          </w:p>
        </w:tc>
        <w:tc>
          <w:tcPr>
            <w:tcW w:w="1843" w:type="dxa"/>
            <w:tcBorders/>
            <w:vAlign w:val="center"/>
          </w:tcPr>
          <w:p>
            <w:pPr>
              <w:pStyle w:val="style0"/>
              <w:spacing w:lineRule="auto" w:line="360"/>
              <w:rPr>
                <w:rFonts w:cs="宋体" w:hint="default"/>
                <w:color w:val="auto"/>
                <w:kern w:val="0"/>
              </w:rPr>
            </w:pPr>
            <w:r>
              <w:rPr>
                <w:rFonts w:cs="宋体"/>
                <w:color w:val="auto"/>
                <w:kern w:val="0"/>
              </w:rPr>
              <w:t>100-1×(100×L-1)</w:t>
            </w:r>
          </w:p>
        </w:tc>
        <w:tc>
          <w:tcPr>
            <w:tcW w:w="3245" w:type="dxa"/>
            <w:vMerge w:val="restart"/>
            <w:tcBorders/>
          </w:tcPr>
          <w:p>
            <w:pPr>
              <w:pStyle w:val="style0"/>
              <w:spacing w:lineRule="auto" w:line="360"/>
              <w:rPr>
                <w:rFonts w:cs="宋体" w:hint="default"/>
                <w:color w:val="auto"/>
                <w:kern w:val="0"/>
              </w:rPr>
            </w:pPr>
          </w:p>
          <w:p>
            <w:pPr>
              <w:pStyle w:val="style0"/>
              <w:spacing w:lineRule="auto" w:line="360"/>
              <w:rPr>
                <w:rFonts w:cs="宋体" w:hint="default"/>
                <w:color w:val="auto"/>
                <w:kern w:val="0"/>
              </w:rPr>
            </w:pPr>
          </w:p>
          <w:p>
            <w:pPr>
              <w:pStyle w:val="style0"/>
              <w:spacing w:lineRule="auto" w:line="360"/>
              <w:rPr>
                <w:rFonts w:cs="宋体" w:hint="default"/>
                <w:color w:val="auto"/>
                <w:kern w:val="0"/>
              </w:rPr>
            </w:pPr>
            <w:r>
              <w:rPr>
                <w:rFonts w:cs="宋体"/>
                <w:color w:val="auto"/>
                <w:kern w:val="0"/>
              </w:rPr>
              <w:t xml:space="preserve">   投标报价-基准价</w:t>
            </w:r>
          </w:p>
          <w:p>
            <w:pPr>
              <w:pStyle w:val="style0"/>
              <w:spacing w:lineRule="auto" w:line="360"/>
              <w:rPr>
                <w:rFonts w:cs="宋体" w:hint="default"/>
                <w:color w:val="auto"/>
                <w:kern w:val="0"/>
              </w:rPr>
            </w:pPr>
            <w:r>
              <w:rPr>
                <w:rFonts w:cs="宋体"/>
                <w:color w:val="auto"/>
                <w:kern w:val="0"/>
              </w:rPr>
              <mc:AlternateContent>
                <mc:Choice Requires="wps">
                  <w:drawing>
                    <wp:anchor distT="0" distB="0" distL="0" distR="0" simplePos="false" relativeHeight="2" behindDoc="false" locked="false" layoutInCell="true" allowOverlap="true">
                      <wp:simplePos x="0" y="0"/>
                      <wp:positionH relativeFrom="column">
                        <wp:posOffset>279400</wp:posOffset>
                      </wp:positionH>
                      <wp:positionV relativeFrom="paragraph">
                        <wp:posOffset>79375</wp:posOffset>
                      </wp:positionV>
                      <wp:extent cx="1075690" cy="635"/>
                      <wp:effectExtent l="0" t="0" r="0" b="0"/>
                      <wp:wrapNone/>
                      <wp:docPr id="1027" name="直接箭头连接符 1"/>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075690" cy="635"/>
                              </a:xfrm>
                              <a:prstGeom prst="straightConnector1"/>
                              <a:ln cmpd="sng" cap="flat" w="9525">
                                <a:solidFill>
                                  <a:srgbClr val="000000"/>
                                </a:solidFill>
                                <a:prstDash val="solid"/>
                                <a:round/>
                                <a:headEnd/>
                                <a:tailEnd/>
                              </a:ln>
                            </wps:spPr>
                            <wps:bodyPr>
                              <a:prstTxWarp prst="textNoShape"/>
                            </wps:bodyPr>
                          </wps:wsp>
                        </a:graphicData>
                      </a:graphic>
                    </wp:anchor>
                  </w:drawing>
                </mc:Choice>
                <mc:Fallback>
                  <w:pict>
                    <v:shape id="1027" type="#_x0000_t32" filled="f" style="position:absolute;margin-left:22.0pt;margin-top:6.25pt;width:84.7pt;height:0.05pt;z-index:2;mso-position-horizontal-relative:text;mso-position-vertical-relative:text;mso-width-relative:page;mso-height-relative:page;mso-wrap-distance-left:0.0pt;mso-wrap-distance-right:0.0pt;visibility:visible;">
                      <v:fill/>
                    </v:shape>
                  </w:pict>
                </mc:Fallback>
              </mc:AlternateContent>
            </w:r>
            <w:r>
              <w:rPr>
                <w:rFonts w:cs="宋体"/>
                <w:color w:val="auto"/>
                <w:kern w:val="0"/>
              </w:rPr>
              <w:t>L= |                 |×100%</w:t>
            </w:r>
          </w:p>
          <w:p>
            <w:pPr>
              <w:pStyle w:val="style0"/>
              <w:spacing w:lineRule="auto" w:line="360"/>
              <w:rPr>
                <w:rFonts w:cs="宋体" w:hint="default"/>
                <w:color w:val="auto"/>
                <w:kern w:val="0"/>
              </w:rPr>
            </w:pPr>
            <w:r>
              <w:rPr>
                <w:rFonts w:cs="宋体"/>
                <w:color w:val="auto"/>
                <w:kern w:val="0"/>
              </w:rPr>
              <w:t>基准价</w:t>
            </w:r>
          </w:p>
        </w:tc>
      </w:tr>
      <w:tr>
        <w:tblPrEx/>
        <w:trPr>
          <w:trHeight w:val="987" w:hRule="atLeast"/>
          <w:jc w:val="center"/>
        </w:trPr>
        <w:tc>
          <w:tcPr>
            <w:tcW w:w="751" w:type="dxa"/>
            <w:vMerge w:val="continue"/>
            <w:tcBorders/>
            <w:vAlign w:val="center"/>
          </w:tcPr>
          <w:p>
            <w:pPr>
              <w:pStyle w:val="style0"/>
              <w:spacing w:lineRule="auto" w:line="360"/>
              <w:rPr>
                <w:rFonts w:cs="宋体" w:hint="default"/>
                <w:color w:val="auto"/>
                <w:kern w:val="0"/>
              </w:rPr>
            </w:pPr>
          </w:p>
        </w:tc>
        <w:tc>
          <w:tcPr>
            <w:tcW w:w="3827" w:type="dxa"/>
            <w:tcBorders/>
            <w:vAlign w:val="center"/>
          </w:tcPr>
          <w:p>
            <w:pPr>
              <w:pStyle w:val="style0"/>
              <w:spacing w:lineRule="auto" w:line="360"/>
              <w:rPr>
                <w:rFonts w:cs="宋体" w:hint="default"/>
                <w:color w:val="auto"/>
                <w:kern w:val="0"/>
              </w:rPr>
            </w:pPr>
            <w:r>
              <w:rPr>
                <w:rFonts w:cs="宋体"/>
                <w:color w:val="auto"/>
                <w:kern w:val="0"/>
              </w:rPr>
              <w:t xml:space="preserve">    投标报价-基准价</w:t>
            </w:r>
          </w:p>
          <w:p>
            <w:pPr>
              <w:pStyle w:val="style0"/>
              <w:spacing w:lineRule="auto" w:line="360"/>
              <w:rPr>
                <w:rFonts w:cs="宋体" w:hint="default"/>
                <w:color w:val="auto"/>
                <w:kern w:val="0"/>
              </w:rPr>
            </w:pPr>
            <w:r>
              <w:rPr>
                <w:rFonts w:cs="宋体"/>
                <w:color w:val="auto"/>
                <w:kern w:val="0"/>
              </w:rPr>
              <w:t>-2%≤</w:t>
            </w:r>
            <w:r>
              <w:rPr>
                <w:rFonts w:cs="宋体"/>
                <w:color w:val="auto"/>
                <w:kern w:val="0"/>
              </w:rPr>
              <mc:AlternateContent>
                <mc:Choice Requires="wps">
                  <w:drawing>
                    <wp:anchor distT="0" distB="0" distL="0" distR="0" simplePos="false" relativeHeight="5" behindDoc="false" locked="false" layoutInCell="true" allowOverlap="true">
                      <wp:simplePos x="0" y="0"/>
                      <wp:positionH relativeFrom="column">
                        <wp:posOffset>279400</wp:posOffset>
                      </wp:positionH>
                      <wp:positionV relativeFrom="paragraph">
                        <wp:posOffset>79375</wp:posOffset>
                      </wp:positionV>
                      <wp:extent cx="1075690" cy="635"/>
                      <wp:effectExtent l="0" t="0" r="0" b="0"/>
                      <wp:wrapNone/>
                      <wp:docPr id="1028" name="直接箭头连接符 4"/>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075690" cy="635"/>
                              </a:xfrm>
                              <a:prstGeom prst="straightConnector1"/>
                              <a:ln cmpd="sng" cap="flat" w="9525">
                                <a:solidFill>
                                  <a:srgbClr val="000000"/>
                                </a:solidFill>
                                <a:prstDash val="solid"/>
                                <a:round/>
                                <a:headEnd/>
                                <a:tailEnd/>
                              </a:ln>
                            </wps:spPr>
                            <wps:bodyPr>
                              <a:prstTxWarp prst="textNoShape"/>
                            </wps:bodyPr>
                          </wps:wsp>
                        </a:graphicData>
                      </a:graphic>
                    </wp:anchor>
                  </w:drawing>
                </mc:Choice>
                <mc:Fallback>
                  <w:pict>
                    <v:shape id="1028" type="#_x0000_t32" filled="f" style="position:absolute;margin-left:22.0pt;margin-top:6.25pt;width:84.7pt;height:0.05pt;z-index:5;mso-position-horizontal-relative:text;mso-position-vertical-relative:text;mso-width-relative:page;mso-height-relative:page;mso-wrap-distance-left:0.0pt;mso-wrap-distance-right:0.0pt;visibility:visible;">
                      <v:fill/>
                    </v:shape>
                  </w:pict>
                </mc:Fallback>
              </mc:AlternateContent>
            </w:r>
            <w:r>
              <w:rPr>
                <w:rFonts w:cs="宋体"/>
                <w:color w:val="auto"/>
                <w:kern w:val="0"/>
              </w:rPr>
              <w:t xml:space="preserve">                 ×100%≤1%</w:t>
            </w:r>
          </w:p>
          <w:p>
            <w:pPr>
              <w:pStyle w:val="style0"/>
              <w:spacing w:lineRule="auto" w:line="360"/>
              <w:rPr>
                <w:rFonts w:cs="宋体" w:hint="default"/>
                <w:color w:val="auto"/>
                <w:kern w:val="0"/>
              </w:rPr>
            </w:pPr>
            <w:r>
              <w:rPr>
                <w:rFonts w:cs="宋体"/>
                <w:color w:val="auto"/>
                <w:kern w:val="0"/>
              </w:rPr>
              <w:t>基准价</w:t>
            </w:r>
          </w:p>
        </w:tc>
        <w:tc>
          <w:tcPr>
            <w:tcW w:w="1843" w:type="dxa"/>
            <w:tcBorders/>
            <w:vAlign w:val="center"/>
          </w:tcPr>
          <w:p>
            <w:pPr>
              <w:pStyle w:val="style0"/>
              <w:spacing w:lineRule="auto" w:line="360"/>
              <w:rPr>
                <w:rFonts w:cs="宋体" w:hint="default"/>
                <w:color w:val="auto"/>
                <w:kern w:val="0"/>
              </w:rPr>
            </w:pPr>
            <w:r>
              <w:rPr>
                <w:rFonts w:cs="宋体"/>
                <w:color w:val="auto"/>
                <w:kern w:val="0"/>
              </w:rPr>
              <w:t>100</w:t>
            </w:r>
          </w:p>
        </w:tc>
        <w:tc>
          <w:tcPr>
            <w:tcW w:w="3245" w:type="dxa"/>
            <w:vMerge w:val="continue"/>
            <w:tcBorders/>
            <w:vAlign w:val="center"/>
          </w:tcPr>
          <w:p>
            <w:pPr>
              <w:pStyle w:val="style0"/>
              <w:spacing w:lineRule="auto" w:line="360"/>
              <w:rPr>
                <w:rFonts w:cs="宋体" w:hint="default"/>
                <w:color w:val="auto"/>
                <w:kern w:val="0"/>
              </w:rPr>
            </w:pPr>
          </w:p>
        </w:tc>
      </w:tr>
      <w:tr>
        <w:tblPrEx/>
        <w:trPr>
          <w:trHeight w:val="975" w:hRule="atLeast"/>
          <w:jc w:val="center"/>
        </w:trPr>
        <w:tc>
          <w:tcPr>
            <w:tcW w:w="751" w:type="dxa"/>
            <w:vMerge w:val="continue"/>
            <w:tcBorders/>
            <w:vAlign w:val="center"/>
          </w:tcPr>
          <w:p>
            <w:pPr>
              <w:pStyle w:val="style0"/>
              <w:spacing w:lineRule="auto" w:line="360"/>
              <w:rPr>
                <w:rFonts w:cs="宋体" w:hint="default"/>
                <w:color w:val="auto"/>
                <w:kern w:val="0"/>
              </w:rPr>
            </w:pPr>
          </w:p>
        </w:tc>
        <w:tc>
          <w:tcPr>
            <w:tcW w:w="3827" w:type="dxa"/>
            <w:tcBorders/>
            <w:vAlign w:val="center"/>
          </w:tcPr>
          <w:p>
            <w:pPr>
              <w:pStyle w:val="style0"/>
              <w:spacing w:lineRule="auto" w:line="360"/>
              <w:rPr>
                <w:rFonts w:cs="宋体" w:hint="default"/>
                <w:color w:val="auto"/>
                <w:kern w:val="0"/>
              </w:rPr>
            </w:pPr>
            <w:r>
              <w:rPr>
                <w:rFonts w:cs="宋体"/>
                <w:color w:val="auto"/>
                <w:kern w:val="0"/>
              </w:rPr>
              <w:t xml:space="preserve">   投标报价-基准价</w:t>
            </w:r>
          </w:p>
          <w:p>
            <w:pPr>
              <w:pStyle w:val="style0"/>
              <w:spacing w:lineRule="auto" w:line="360"/>
              <w:rPr>
                <w:rFonts w:cs="宋体" w:hint="default"/>
                <w:color w:val="auto"/>
                <w:kern w:val="0"/>
              </w:rPr>
            </w:pPr>
            <w:r>
              <w:rPr>
                <w:rFonts w:cs="宋体"/>
                <w:color w:val="auto"/>
                <w:kern w:val="0"/>
              </w:rPr>
              <mc:AlternateContent>
                <mc:Choice Requires="wps">
                  <w:drawing>
                    <wp:anchor distT="0" distB="0" distL="0" distR="0" simplePos="false" relativeHeight="4" behindDoc="false" locked="false" layoutInCell="true" allowOverlap="true">
                      <wp:simplePos x="0" y="0"/>
                      <wp:positionH relativeFrom="column">
                        <wp:posOffset>279400</wp:posOffset>
                      </wp:positionH>
                      <wp:positionV relativeFrom="paragraph">
                        <wp:posOffset>79375</wp:posOffset>
                      </wp:positionV>
                      <wp:extent cx="1075690" cy="635"/>
                      <wp:effectExtent l="0" t="0" r="0" b="0"/>
                      <wp:wrapNone/>
                      <wp:docPr id="1029" name="直接箭头连接符 6"/>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075690" cy="635"/>
                              </a:xfrm>
                              <a:prstGeom prst="straightConnector1"/>
                              <a:ln cmpd="sng" cap="flat" w="9525">
                                <a:solidFill>
                                  <a:srgbClr val="000000"/>
                                </a:solidFill>
                                <a:prstDash val="solid"/>
                                <a:round/>
                                <a:headEnd/>
                                <a:tailEnd/>
                              </a:ln>
                            </wps:spPr>
                            <wps:bodyPr>
                              <a:prstTxWarp prst="textNoShape"/>
                            </wps:bodyPr>
                          </wps:wsp>
                        </a:graphicData>
                      </a:graphic>
                    </wp:anchor>
                  </w:drawing>
                </mc:Choice>
                <mc:Fallback>
                  <w:pict>
                    <v:shape id="1029" type="#_x0000_t32" filled="f" style="position:absolute;margin-left:22.0pt;margin-top:6.25pt;width:84.7pt;height:0.05pt;z-index:4;mso-position-horizontal-relative:text;mso-position-vertical-relative:text;mso-width-relative:page;mso-height-relative:page;mso-wrap-distance-left:0.0pt;mso-wrap-distance-right:0.0pt;visibility:visible;">
                      <v:fill/>
                    </v:shape>
                  </w:pict>
                </mc:Fallback>
              </mc:AlternateContent>
            </w:r>
            <w:r>
              <w:rPr>
                <w:rFonts w:cs="宋体"/>
                <w:color w:val="auto"/>
                <w:kern w:val="0"/>
              </w:rPr>
              <w:t xml:space="preserve">                     ×100%＜-2%</w:t>
            </w:r>
          </w:p>
          <w:p>
            <w:pPr>
              <w:pStyle w:val="style0"/>
              <w:spacing w:lineRule="auto" w:line="360"/>
              <w:rPr>
                <w:rFonts w:cs="宋体" w:hint="default"/>
                <w:color w:val="auto"/>
                <w:kern w:val="0"/>
              </w:rPr>
            </w:pPr>
            <w:r>
              <w:rPr>
                <w:rFonts w:cs="宋体"/>
                <w:color w:val="auto"/>
                <w:kern w:val="0"/>
              </w:rPr>
              <w:t>基准价</w:t>
            </w:r>
          </w:p>
        </w:tc>
        <w:tc>
          <w:tcPr>
            <w:tcW w:w="1843" w:type="dxa"/>
            <w:tcBorders/>
            <w:vAlign w:val="center"/>
          </w:tcPr>
          <w:p>
            <w:pPr>
              <w:pStyle w:val="style0"/>
              <w:spacing w:lineRule="auto" w:line="360"/>
              <w:rPr>
                <w:rFonts w:cs="宋体" w:hint="default"/>
                <w:color w:val="auto"/>
                <w:kern w:val="0"/>
              </w:rPr>
            </w:pPr>
            <w:r>
              <w:rPr>
                <w:rFonts w:cs="宋体"/>
                <w:color w:val="auto"/>
                <w:kern w:val="0"/>
              </w:rPr>
              <w:t>100-2×(100×L-2)</w:t>
            </w:r>
          </w:p>
        </w:tc>
        <w:tc>
          <w:tcPr>
            <w:tcW w:w="3245" w:type="dxa"/>
            <w:vMerge w:val="continue"/>
            <w:tcBorders/>
            <w:vAlign w:val="center"/>
          </w:tcPr>
          <w:p>
            <w:pPr>
              <w:pStyle w:val="style0"/>
              <w:spacing w:lineRule="auto" w:line="360"/>
              <w:rPr>
                <w:rFonts w:cs="宋体" w:hint="default"/>
                <w:color w:val="auto"/>
                <w:kern w:val="0"/>
              </w:rPr>
            </w:pPr>
          </w:p>
        </w:tc>
      </w:tr>
      <w:tr>
        <w:tblPrEx/>
        <w:trPr>
          <w:trHeight w:val="407" w:hRule="atLeast"/>
          <w:jc w:val="center"/>
        </w:trPr>
        <w:tc>
          <w:tcPr>
            <w:tcW w:w="4578" w:type="dxa"/>
            <w:gridSpan w:val="2"/>
            <w:tcBorders/>
            <w:vAlign w:val="center"/>
          </w:tcPr>
          <w:p>
            <w:pPr>
              <w:pStyle w:val="style0"/>
              <w:spacing w:lineRule="auto" w:line="360"/>
              <w:rPr>
                <w:rFonts w:cs="宋体" w:hint="default"/>
                <w:color w:val="auto"/>
                <w:kern w:val="0"/>
              </w:rPr>
            </w:pPr>
            <w:r>
              <w:rPr>
                <w:rFonts w:cs="宋体"/>
                <w:color w:val="auto"/>
                <w:kern w:val="0"/>
              </w:rPr>
              <w:t>条款号</w:t>
            </w:r>
          </w:p>
        </w:tc>
        <w:tc>
          <w:tcPr>
            <w:tcW w:w="5088" w:type="dxa"/>
            <w:gridSpan w:val="2"/>
            <w:tcBorders/>
            <w:vAlign w:val="center"/>
          </w:tcPr>
          <w:p>
            <w:pPr>
              <w:pStyle w:val="style0"/>
              <w:spacing w:lineRule="auto" w:line="360"/>
              <w:rPr>
                <w:rFonts w:cs="宋体" w:hint="default"/>
                <w:color w:val="auto"/>
                <w:kern w:val="0"/>
              </w:rPr>
            </w:pPr>
            <w:r>
              <w:rPr>
                <w:rFonts w:cs="宋体"/>
                <w:color w:val="auto"/>
                <w:kern w:val="0"/>
              </w:rPr>
              <w:t>编列内容</w:t>
            </w:r>
          </w:p>
        </w:tc>
      </w:tr>
      <w:tr>
        <w:tblPrEx/>
        <w:trPr>
          <w:trHeight w:val="402" w:hRule="atLeast"/>
          <w:jc w:val="center"/>
        </w:trPr>
        <w:tc>
          <w:tcPr>
            <w:tcW w:w="751" w:type="dxa"/>
            <w:tcBorders/>
            <w:vAlign w:val="center"/>
          </w:tcPr>
          <w:p>
            <w:pPr>
              <w:pStyle w:val="style0"/>
              <w:spacing w:lineRule="auto" w:line="360"/>
              <w:rPr>
                <w:rFonts w:cs="宋体" w:hint="default"/>
                <w:color w:val="auto"/>
                <w:kern w:val="0"/>
              </w:rPr>
            </w:pPr>
            <w:r>
              <w:rPr>
                <w:rFonts w:cs="宋体"/>
                <w:color w:val="auto"/>
                <w:kern w:val="0"/>
              </w:rPr>
              <w:t>2.2</w:t>
            </w:r>
          </w:p>
        </w:tc>
        <w:tc>
          <w:tcPr>
            <w:tcW w:w="3827" w:type="dxa"/>
            <w:tcBorders/>
            <w:vAlign w:val="center"/>
          </w:tcPr>
          <w:p>
            <w:pPr>
              <w:pStyle w:val="style0"/>
              <w:spacing w:lineRule="auto" w:line="360"/>
              <w:rPr>
                <w:rFonts w:cs="宋体" w:hint="default"/>
                <w:color w:val="auto"/>
                <w:kern w:val="0"/>
              </w:rPr>
            </w:pPr>
            <w:r>
              <w:rPr>
                <w:rFonts w:cs="宋体"/>
                <w:color w:val="auto"/>
                <w:kern w:val="0"/>
              </w:rPr>
              <w:t>评标详细程序</w:t>
            </w:r>
          </w:p>
        </w:tc>
        <w:tc>
          <w:tcPr>
            <w:tcW w:w="5088" w:type="dxa"/>
            <w:gridSpan w:val="2"/>
            <w:tcBorders/>
            <w:vAlign w:val="center"/>
          </w:tcPr>
          <w:p>
            <w:pPr>
              <w:pStyle w:val="style0"/>
              <w:spacing w:lineRule="auto" w:line="360"/>
              <w:rPr>
                <w:rFonts w:cs="宋体" w:hint="default"/>
                <w:color w:val="auto"/>
                <w:kern w:val="0"/>
              </w:rPr>
            </w:pPr>
            <w:r>
              <w:rPr>
                <w:rFonts w:cs="宋体"/>
                <w:color w:val="auto"/>
                <w:kern w:val="0"/>
              </w:rPr>
              <w:t>详见本章附件3-1</w:t>
            </w:r>
          </w:p>
        </w:tc>
      </w:tr>
      <w:tr>
        <w:tblPrEx/>
        <w:trPr>
          <w:trHeight w:val="650" w:hRule="atLeast"/>
          <w:jc w:val="center"/>
        </w:trPr>
        <w:tc>
          <w:tcPr>
            <w:tcW w:w="751" w:type="dxa"/>
            <w:tcBorders/>
            <w:vAlign w:val="center"/>
          </w:tcPr>
          <w:p>
            <w:pPr>
              <w:pStyle w:val="style0"/>
              <w:spacing w:lineRule="auto" w:line="360"/>
              <w:rPr>
                <w:rFonts w:cs="宋体" w:hint="default"/>
                <w:color w:val="auto"/>
                <w:kern w:val="0"/>
              </w:rPr>
            </w:pPr>
            <w:r>
              <w:rPr>
                <w:rFonts w:cs="宋体"/>
                <w:color w:val="auto"/>
                <w:kern w:val="0"/>
              </w:rPr>
              <w:t>附件3-1</w:t>
            </w:r>
          </w:p>
          <w:p>
            <w:pPr>
              <w:pStyle w:val="style0"/>
              <w:spacing w:lineRule="auto" w:line="360"/>
              <w:rPr>
                <w:rFonts w:cs="宋体" w:hint="default"/>
                <w:color w:val="auto"/>
                <w:kern w:val="0"/>
              </w:rPr>
            </w:pPr>
            <w:r>
              <w:rPr>
                <w:rFonts w:cs="宋体"/>
                <w:color w:val="auto"/>
                <w:kern w:val="0"/>
              </w:rPr>
              <w:t>3.6</w:t>
            </w:r>
          </w:p>
        </w:tc>
        <w:tc>
          <w:tcPr>
            <w:tcW w:w="3827" w:type="dxa"/>
            <w:tcBorders/>
            <w:vAlign w:val="center"/>
          </w:tcPr>
          <w:p>
            <w:pPr>
              <w:pStyle w:val="style0"/>
              <w:spacing w:lineRule="auto" w:line="360"/>
              <w:rPr>
                <w:rFonts w:cs="宋体" w:hint="default"/>
                <w:color w:val="auto"/>
                <w:kern w:val="0"/>
              </w:rPr>
            </w:pPr>
            <w:r>
              <w:rPr>
                <w:rFonts w:cs="宋体"/>
                <w:color w:val="auto"/>
                <w:kern w:val="0"/>
              </w:rPr>
              <w:t>否决投标情形</w:t>
            </w:r>
          </w:p>
        </w:tc>
        <w:tc>
          <w:tcPr>
            <w:tcW w:w="5088" w:type="dxa"/>
            <w:gridSpan w:val="2"/>
            <w:tcBorders/>
            <w:vAlign w:val="center"/>
          </w:tcPr>
          <w:p>
            <w:pPr>
              <w:pStyle w:val="style0"/>
              <w:spacing w:lineRule="auto" w:line="360"/>
              <w:rPr>
                <w:rFonts w:cs="宋体" w:hint="default"/>
                <w:color w:val="auto"/>
                <w:kern w:val="0"/>
              </w:rPr>
            </w:pPr>
            <w:r>
              <w:rPr>
                <w:rFonts w:cs="宋体"/>
                <w:color w:val="auto"/>
                <w:kern w:val="0"/>
              </w:rPr>
              <w:t>详见第二章附件2-2</w:t>
            </w:r>
          </w:p>
        </w:tc>
      </w:tr>
    </w:tbl>
    <w:p>
      <w:pPr>
        <w:pStyle w:val="style0"/>
        <w:spacing w:lineRule="auto" w:line="360"/>
        <w:rPr>
          <w:rFonts w:cs="宋体" w:hint="default"/>
          <w:color w:val="auto"/>
          <w:kern w:val="0"/>
        </w:rPr>
      </w:pPr>
    </w:p>
    <w:p>
      <w:pPr>
        <w:pStyle w:val="style0"/>
        <w:spacing w:lineRule="auto" w:line="360"/>
        <w:rPr>
          <w:rFonts w:cs="宋体" w:hint="default"/>
          <w:color w:val="auto"/>
          <w:kern w:val="0"/>
        </w:rPr>
      </w:pPr>
      <w:r>
        <w:rPr>
          <w:rFonts w:eastAsia="黑体"/>
          <w:bCs/>
          <w:color w:val="auto"/>
          <w:sz w:val="30"/>
        </w:rPr>
        <w:br w:type="page"/>
      </w:r>
      <w:r>
        <w:rPr>
          <w:rFonts w:cs="宋体"/>
          <w:color w:val="auto"/>
          <w:kern w:val="0"/>
        </w:rPr>
        <w:t>评标办法（综合评估法I）</w:t>
      </w:r>
    </w:p>
    <w:p>
      <w:pPr>
        <w:pStyle w:val="style0"/>
        <w:spacing w:lineRule="auto" w:line="360"/>
        <w:rPr>
          <w:rFonts w:cs="宋体" w:hint="default"/>
          <w:color w:val="auto"/>
          <w:kern w:val="0"/>
        </w:rPr>
      </w:pPr>
      <w:r>
        <w:rPr>
          <w:rFonts w:cs="宋体"/>
          <w:color w:val="auto"/>
          <w:kern w:val="0"/>
        </w:rPr>
        <w:t xml:space="preserve">    本次评标采用综合评估法I。评标委员会对满足招标文件实质要求的响应文件，根据规定的评分标准进行评审计分，并按评标总得分由高到低的顺序推荐中标候选人。</w:t>
      </w:r>
    </w:p>
    <w:bookmarkStart w:id="136" w:name="_Toc27550605"/>
    <w:bookmarkStart w:id="137" w:name="_Toc9178532"/>
    <w:p>
      <w:pPr>
        <w:pStyle w:val="style0"/>
        <w:spacing w:lineRule="auto" w:line="360"/>
        <w:rPr>
          <w:rFonts w:cs="宋体" w:hint="default"/>
          <w:color w:val="auto"/>
          <w:kern w:val="0"/>
        </w:rPr>
      </w:pPr>
      <w:r>
        <w:rPr>
          <w:rFonts w:cs="宋体"/>
          <w:color w:val="auto"/>
          <w:kern w:val="0"/>
        </w:rPr>
        <w:t>1.评审标准</w:t>
      </w:r>
      <w:bookmarkEnd w:id="136"/>
      <w:bookmarkEnd w:id="137"/>
    </w:p>
    <w:p>
      <w:pPr>
        <w:pStyle w:val="style0"/>
        <w:spacing w:lineRule="auto" w:line="360"/>
        <w:rPr>
          <w:rFonts w:cs="宋体" w:hint="default"/>
          <w:color w:val="auto"/>
          <w:kern w:val="0"/>
        </w:rPr>
      </w:pPr>
      <w:r>
        <w:rPr>
          <w:rFonts w:cs="宋体"/>
          <w:color w:val="auto"/>
          <w:kern w:val="0"/>
        </w:rPr>
        <w:t>1.1 初步评审标准</w:t>
      </w:r>
    </w:p>
    <w:p>
      <w:pPr>
        <w:pStyle w:val="style0"/>
        <w:spacing w:lineRule="auto" w:line="360"/>
        <w:rPr>
          <w:rFonts w:cs="宋体" w:hint="default"/>
          <w:color w:val="auto"/>
          <w:kern w:val="0"/>
        </w:rPr>
      </w:pPr>
      <w:r>
        <w:rPr>
          <w:rFonts w:cs="宋体"/>
          <w:color w:val="auto"/>
          <w:kern w:val="0"/>
        </w:rPr>
        <w:t>1.1.1 形式评审标准：见评标办法前附表。</w:t>
      </w:r>
    </w:p>
    <w:p>
      <w:pPr>
        <w:pStyle w:val="style0"/>
        <w:spacing w:lineRule="auto" w:line="360"/>
        <w:rPr>
          <w:rFonts w:cs="宋体" w:hint="default"/>
          <w:color w:val="auto"/>
          <w:kern w:val="0"/>
        </w:rPr>
      </w:pPr>
      <w:r>
        <w:rPr>
          <w:rFonts w:cs="宋体"/>
          <w:color w:val="auto"/>
          <w:kern w:val="0"/>
        </w:rPr>
        <w:t xml:space="preserve">1.1.2 资格评审标准： 见评标办法前附表。 </w:t>
      </w:r>
    </w:p>
    <w:p>
      <w:pPr>
        <w:pStyle w:val="style0"/>
        <w:spacing w:lineRule="auto" w:line="360"/>
        <w:rPr>
          <w:rFonts w:cs="宋体" w:hint="default"/>
          <w:color w:val="auto"/>
          <w:kern w:val="0"/>
        </w:rPr>
      </w:pPr>
      <w:r>
        <w:rPr>
          <w:rFonts w:cs="宋体"/>
          <w:color w:val="auto"/>
          <w:kern w:val="0"/>
        </w:rPr>
        <w:t>1.1.3 响应性评审标准：见评标办法前附表。</w:t>
      </w:r>
    </w:p>
    <w:bookmarkStart w:id="138" w:name="_Toc300678096"/>
    <w:p>
      <w:pPr>
        <w:pStyle w:val="style0"/>
        <w:spacing w:lineRule="auto" w:line="360"/>
        <w:rPr>
          <w:rFonts w:cs="宋体" w:hint="default"/>
          <w:color w:val="auto"/>
          <w:kern w:val="0"/>
        </w:rPr>
      </w:pPr>
      <w:r>
        <w:rPr>
          <w:rFonts w:cs="宋体"/>
          <w:color w:val="auto"/>
          <w:kern w:val="0"/>
        </w:rPr>
        <w:t>1.2评分标准</w:t>
      </w:r>
      <w:bookmarkEnd w:id="138"/>
      <w:r>
        <w:rPr>
          <w:rFonts w:cs="宋体"/>
          <w:color w:val="auto"/>
          <w:kern w:val="0"/>
        </w:rPr>
        <w:t>与权值构成</w:t>
      </w:r>
    </w:p>
    <w:p>
      <w:pPr>
        <w:pStyle w:val="style0"/>
        <w:spacing w:lineRule="auto" w:line="360"/>
        <w:rPr>
          <w:rFonts w:cs="宋体" w:hint="default"/>
          <w:color w:val="auto"/>
          <w:kern w:val="0"/>
        </w:rPr>
      </w:pPr>
      <w:r>
        <w:rPr>
          <w:rFonts w:cs="宋体"/>
          <w:color w:val="auto"/>
          <w:kern w:val="0"/>
        </w:rPr>
        <w:t>1.2.1 评分标准</w:t>
      </w:r>
    </w:p>
    <w:p>
      <w:pPr>
        <w:pStyle w:val="style0"/>
        <w:spacing w:lineRule="auto" w:line="360"/>
        <w:rPr>
          <w:rFonts w:cs="宋体" w:hint="default"/>
          <w:color w:val="auto"/>
          <w:kern w:val="0"/>
        </w:rPr>
      </w:pPr>
      <w:r>
        <w:rPr>
          <w:rFonts w:cs="宋体"/>
          <w:color w:val="auto"/>
          <w:kern w:val="0"/>
        </w:rPr>
        <w:t>（1）项目监理机构：见评标办法前附表；</w:t>
      </w:r>
    </w:p>
    <w:p>
      <w:pPr>
        <w:pStyle w:val="style0"/>
        <w:spacing w:lineRule="auto" w:line="360"/>
        <w:rPr>
          <w:rFonts w:cs="宋体" w:hint="default"/>
          <w:color w:val="auto"/>
          <w:kern w:val="0"/>
        </w:rPr>
      </w:pPr>
      <w:r>
        <w:rPr>
          <w:rFonts w:cs="宋体"/>
          <w:color w:val="auto"/>
          <w:kern w:val="0"/>
        </w:rPr>
        <w:t>（2）现场安全质量管理评价：见评标办法前附表；</w:t>
      </w:r>
    </w:p>
    <w:p>
      <w:pPr>
        <w:pStyle w:val="style0"/>
        <w:spacing w:lineRule="auto" w:line="360"/>
        <w:rPr>
          <w:rFonts w:cs="宋体" w:hint="default"/>
          <w:color w:val="auto"/>
          <w:kern w:val="0"/>
        </w:rPr>
      </w:pPr>
      <w:r>
        <w:rPr>
          <w:rFonts w:cs="宋体"/>
          <w:color w:val="auto"/>
          <w:kern w:val="0"/>
        </w:rPr>
        <w:t>（3）投标报价：见评标办法前附表。</w:t>
      </w:r>
    </w:p>
    <w:p>
      <w:pPr>
        <w:pStyle w:val="style0"/>
        <w:spacing w:lineRule="auto" w:line="360"/>
        <w:rPr>
          <w:rFonts w:cs="宋体" w:hint="default"/>
          <w:color w:val="auto"/>
          <w:kern w:val="0"/>
        </w:rPr>
      </w:pPr>
      <w:r>
        <w:rPr>
          <w:rFonts w:cs="宋体"/>
          <w:color w:val="auto"/>
          <w:kern w:val="0"/>
        </w:rPr>
        <w:t>1.2.2 权值构成</w:t>
      </w:r>
    </w:p>
    <w:p>
      <w:pPr>
        <w:pStyle w:val="style0"/>
        <w:spacing w:lineRule="auto" w:line="360"/>
        <w:rPr>
          <w:rFonts w:cs="宋体" w:hint="default"/>
          <w:color w:val="auto"/>
          <w:kern w:val="0"/>
        </w:rPr>
      </w:pPr>
      <w:r>
        <w:rPr>
          <w:rFonts w:cs="宋体"/>
          <w:color w:val="auto"/>
          <w:kern w:val="0"/>
        </w:rPr>
        <w:t xml:space="preserve"> 见评标办法前附表。</w:t>
      </w:r>
    </w:p>
    <w:bookmarkStart w:id="139" w:name="_Toc27550606"/>
    <w:bookmarkStart w:id="140" w:name="_Toc9178533"/>
    <w:p>
      <w:pPr>
        <w:pStyle w:val="style0"/>
        <w:spacing w:lineRule="auto" w:line="360"/>
        <w:rPr>
          <w:rFonts w:cs="宋体" w:hint="default"/>
          <w:color w:val="auto"/>
          <w:kern w:val="0"/>
        </w:rPr>
      </w:pPr>
      <w:r>
        <w:rPr>
          <w:rFonts w:cs="宋体"/>
          <w:color w:val="auto"/>
          <w:kern w:val="0"/>
        </w:rPr>
        <w:t>2.评审程序</w:t>
      </w:r>
      <w:bookmarkEnd w:id="139"/>
      <w:bookmarkEnd w:id="140"/>
    </w:p>
    <w:p>
      <w:pPr>
        <w:pStyle w:val="style0"/>
        <w:spacing w:lineRule="auto" w:line="360"/>
        <w:rPr>
          <w:rFonts w:cs="宋体" w:hint="default"/>
          <w:color w:val="auto"/>
          <w:kern w:val="0"/>
        </w:rPr>
      </w:pPr>
      <w:r>
        <w:rPr>
          <w:rFonts w:cs="宋体"/>
          <w:color w:val="auto"/>
          <w:kern w:val="0"/>
        </w:rPr>
        <w:t>2.1 初步评审</w:t>
      </w:r>
    </w:p>
    <w:p>
      <w:pPr>
        <w:pStyle w:val="style0"/>
        <w:spacing w:lineRule="auto" w:line="360"/>
        <w:rPr>
          <w:rFonts w:cs="宋体" w:hint="default"/>
          <w:color w:val="auto"/>
          <w:kern w:val="0"/>
        </w:rPr>
      </w:pPr>
      <w:r>
        <w:rPr>
          <w:rFonts w:cs="宋体"/>
          <w:color w:val="auto"/>
          <w:kern w:val="0"/>
        </w:rPr>
        <w:t>评标委员会按评标办法第1.1项规定的标准对响应文件进行初步评审。有一项不符合评审标准的，应当予以否决。</w:t>
      </w:r>
    </w:p>
    <w:p>
      <w:pPr>
        <w:pStyle w:val="style0"/>
        <w:spacing w:lineRule="auto" w:line="360"/>
        <w:rPr>
          <w:rFonts w:cs="宋体" w:hint="default"/>
          <w:color w:val="auto"/>
          <w:kern w:val="0"/>
        </w:rPr>
      </w:pPr>
      <w:r>
        <w:rPr>
          <w:rFonts w:cs="宋体"/>
          <w:color w:val="auto"/>
          <w:kern w:val="0"/>
        </w:rPr>
        <w:t>2.2 详细评审</w:t>
      </w:r>
    </w:p>
    <w:p>
      <w:pPr>
        <w:pStyle w:val="style0"/>
        <w:spacing w:lineRule="auto" w:line="360"/>
        <w:rPr>
          <w:rFonts w:cs="宋体" w:hint="default"/>
          <w:color w:val="auto"/>
          <w:kern w:val="0"/>
        </w:rPr>
      </w:pPr>
      <w:r>
        <w:rPr>
          <w:rFonts w:cs="宋体"/>
          <w:color w:val="auto"/>
          <w:kern w:val="0"/>
        </w:rPr>
        <w:t>评标委员会按评标办法第1.2 项规定的评审因素和标准进行评审计分，并计算出投标人评标总得分。</w:t>
      </w:r>
    </w:p>
    <w:p>
      <w:pPr>
        <w:pStyle w:val="style0"/>
        <w:spacing w:lineRule="auto" w:line="360"/>
        <w:rPr>
          <w:rFonts w:cs="宋体" w:hint="default"/>
          <w:color w:val="auto"/>
          <w:kern w:val="0"/>
        </w:rPr>
      </w:pPr>
      <w:r>
        <w:rPr>
          <w:rFonts w:cs="宋体"/>
          <w:color w:val="auto"/>
          <w:kern w:val="0"/>
        </w:rPr>
        <w:t>2.3 响应文件的澄清和补正</w:t>
      </w:r>
    </w:p>
    <w:p>
      <w:pPr>
        <w:pStyle w:val="style0"/>
        <w:spacing w:lineRule="auto" w:line="360"/>
        <w:rPr>
          <w:rFonts w:cs="宋体" w:hint="default"/>
          <w:color w:val="auto"/>
          <w:kern w:val="0"/>
        </w:rPr>
      </w:pPr>
      <w:r>
        <w:rPr>
          <w:rFonts w:cs="宋体"/>
          <w:color w:val="auto"/>
          <w:kern w:val="0"/>
        </w:rPr>
        <w:t>2.3.1在评标过程中，评标委员会可以要求投标人对所提交的响应文件中不明确的内容进行澄清或说明，或者对细微偏差进行补正。评标委员会不接受投标人主动提出的澄清、说明或补正。</w:t>
      </w:r>
    </w:p>
    <w:p>
      <w:pPr>
        <w:pStyle w:val="style0"/>
        <w:spacing w:lineRule="auto" w:line="360"/>
        <w:rPr>
          <w:rFonts w:cs="宋体" w:hint="default"/>
          <w:color w:val="auto"/>
          <w:kern w:val="0"/>
        </w:rPr>
      </w:pPr>
      <w:r>
        <w:rPr>
          <w:rFonts w:cs="宋体"/>
          <w:color w:val="auto"/>
          <w:kern w:val="0"/>
        </w:rPr>
        <w:t>2.3.2 澄清、说明和补正不得改变响应文件的实质性内容（算术性错误修正的除外）。投标人的澄清、说明和补正属于响应文件的组成部分。</w:t>
      </w:r>
    </w:p>
    <w:p>
      <w:pPr>
        <w:pStyle w:val="style0"/>
        <w:spacing w:lineRule="auto" w:line="360"/>
        <w:rPr>
          <w:rFonts w:cs="宋体" w:hint="default"/>
          <w:color w:val="auto"/>
          <w:kern w:val="0"/>
        </w:rPr>
      </w:pPr>
      <w:r>
        <w:rPr>
          <w:rFonts w:cs="宋体"/>
          <w:color w:val="auto"/>
          <w:kern w:val="0"/>
        </w:rPr>
        <w:t>2.3.3 评标委员会对投标人提交的澄清、说明或补正有疑问的，可以要求投标人进一步澄清、说明或补正，直至满足评标委员会的要求。</w:t>
      </w:r>
    </w:p>
    <w:bookmarkStart w:id="141" w:name="_Toc27550607"/>
    <w:p>
      <w:pPr>
        <w:pStyle w:val="style0"/>
        <w:spacing w:lineRule="auto" w:line="360"/>
        <w:rPr>
          <w:rFonts w:cs="宋体" w:hint="default"/>
          <w:color w:val="auto"/>
          <w:kern w:val="0"/>
        </w:rPr>
      </w:pPr>
      <w:r>
        <w:rPr>
          <w:rFonts w:cs="宋体"/>
          <w:color w:val="auto"/>
          <w:kern w:val="0"/>
        </w:rPr>
        <w:t>3.评标结果</w:t>
      </w:r>
      <w:bookmarkEnd w:id="141"/>
    </w:p>
    <w:p>
      <w:pPr>
        <w:pStyle w:val="style0"/>
        <w:spacing w:lineRule="auto" w:line="360"/>
        <w:rPr>
          <w:rFonts w:cs="宋体" w:hint="default"/>
          <w:color w:val="auto"/>
          <w:kern w:val="0"/>
        </w:rPr>
      </w:pPr>
      <w:r>
        <w:rPr>
          <w:rFonts w:cs="宋体"/>
          <w:color w:val="auto"/>
          <w:kern w:val="0"/>
        </w:rPr>
        <w:t>3.1 评标委员会按照按评标总得分由高到低的顺序推荐中标候选人。投标人评标总得分相同时，依次按照其项目监理机构得分由高至低排序、评委票决顺序确定。</w:t>
      </w:r>
    </w:p>
    <w:p>
      <w:pPr>
        <w:pStyle w:val="style0"/>
        <w:spacing w:lineRule="auto" w:line="360"/>
        <w:rPr>
          <w:rFonts w:cs="宋体" w:hint="default"/>
          <w:color w:val="auto"/>
          <w:kern w:val="0"/>
        </w:rPr>
      </w:pPr>
      <w:r>
        <w:rPr>
          <w:rFonts w:cs="宋体"/>
          <w:color w:val="auto"/>
          <w:kern w:val="0"/>
        </w:rPr>
        <w:t>3.2 评标委员会完成评标后，系统提交书面评标报告。</w:t>
      </w:r>
    </w:p>
    <w:p>
      <w:pPr>
        <w:pStyle w:val="style0"/>
        <w:spacing w:lineRule="auto" w:line="360"/>
        <w:rPr>
          <w:rFonts w:cs="宋体" w:hint="default"/>
          <w:color w:val="auto"/>
          <w:kern w:val="0"/>
        </w:rPr>
      </w:pPr>
      <w:r>
        <w:rPr>
          <w:rFonts w:cs="宋体"/>
          <w:color w:val="auto"/>
          <w:kern w:val="0"/>
        </w:rPr>
        <w:br w:type="page"/>
      </w:r>
    </w:p>
    <w:bookmarkStart w:id="142" w:name="_Toc300678103"/>
    <w:p>
      <w:pPr>
        <w:pStyle w:val="style0"/>
        <w:spacing w:lineRule="auto" w:line="360"/>
        <w:rPr>
          <w:rFonts w:cs="宋体" w:hint="default"/>
          <w:color w:val="auto"/>
          <w:kern w:val="0"/>
        </w:rPr>
      </w:pPr>
      <w:r>
        <w:rPr>
          <w:rFonts w:cs="宋体"/>
          <w:color w:val="auto"/>
          <w:kern w:val="0"/>
        </w:rPr>
        <w:t>附件3-1：评标详细程序</w:t>
      </w:r>
    </w:p>
    <w:p>
      <w:pPr>
        <w:pStyle w:val="style0"/>
        <w:spacing w:lineRule="auto" w:line="360"/>
        <w:rPr>
          <w:rFonts w:cs="宋体" w:hint="default"/>
          <w:color w:val="auto"/>
          <w:kern w:val="0"/>
        </w:rPr>
      </w:pPr>
      <w:r>
        <w:rPr>
          <w:rFonts w:cs="宋体"/>
          <w:color w:val="auto"/>
          <w:kern w:val="0"/>
        </w:rPr>
        <w:t>评标详细程序</w:t>
      </w:r>
    </w:p>
    <w:p>
      <w:pPr>
        <w:pStyle w:val="style0"/>
        <w:spacing w:lineRule="auto" w:line="360"/>
        <w:rPr>
          <w:rFonts w:cs="宋体" w:hint="default"/>
          <w:color w:val="auto"/>
          <w:kern w:val="0"/>
        </w:rPr>
      </w:pPr>
      <w:r>
        <w:rPr>
          <w:rFonts w:cs="宋体"/>
          <w:color w:val="auto"/>
          <w:kern w:val="0"/>
        </w:rPr>
        <w:t>本附件是评标办法的组成部分，是对本评标办法规定的评审程序的进一步细化，评标委员会应当按照本附件规定开展评标工作。</w:t>
      </w:r>
    </w:p>
    <w:p>
      <w:pPr>
        <w:pStyle w:val="style0"/>
        <w:spacing w:lineRule="auto" w:line="360"/>
        <w:rPr>
          <w:rFonts w:cs="宋体" w:hint="default"/>
          <w:color w:val="auto"/>
          <w:kern w:val="0"/>
        </w:rPr>
      </w:pPr>
      <w:r>
        <w:rPr>
          <w:rFonts w:cs="宋体"/>
          <w:color w:val="auto"/>
          <w:kern w:val="0"/>
        </w:rPr>
        <w:t>1.基本程序</w:t>
      </w:r>
    </w:p>
    <w:p>
      <w:pPr>
        <w:pStyle w:val="style0"/>
        <w:spacing w:lineRule="auto" w:line="360"/>
        <w:rPr>
          <w:rFonts w:cs="宋体" w:hint="default"/>
          <w:color w:val="auto"/>
          <w:kern w:val="0"/>
        </w:rPr>
      </w:pPr>
      <w:r>
        <w:rPr>
          <w:rFonts w:cs="宋体"/>
          <w:color w:val="auto"/>
          <w:kern w:val="0"/>
        </w:rPr>
        <w:t>评标活动将按以下五个步骤进行：</w:t>
      </w:r>
    </w:p>
    <w:p>
      <w:pPr>
        <w:pStyle w:val="style0"/>
        <w:spacing w:lineRule="auto" w:line="360"/>
        <w:rPr>
          <w:rFonts w:cs="宋体" w:hint="default"/>
          <w:color w:val="auto"/>
          <w:kern w:val="0"/>
        </w:rPr>
      </w:pPr>
      <w:r>
        <w:rPr>
          <w:rFonts w:cs="宋体"/>
          <w:color w:val="auto"/>
          <w:kern w:val="0"/>
        </w:rPr>
        <w:t>（1）评标准备；</w:t>
      </w:r>
    </w:p>
    <w:p>
      <w:pPr>
        <w:pStyle w:val="style0"/>
        <w:spacing w:lineRule="auto" w:line="360"/>
        <w:rPr>
          <w:rFonts w:cs="宋体" w:hint="default"/>
          <w:color w:val="auto"/>
          <w:kern w:val="0"/>
        </w:rPr>
      </w:pPr>
      <w:r>
        <w:rPr>
          <w:rFonts w:cs="宋体"/>
          <w:color w:val="auto"/>
          <w:kern w:val="0"/>
        </w:rPr>
        <w:t>（2）初步评审：</w:t>
      </w:r>
    </w:p>
    <w:p>
      <w:pPr>
        <w:pStyle w:val="style0"/>
        <w:spacing w:lineRule="auto" w:line="360"/>
        <w:rPr>
          <w:rFonts w:cs="宋体" w:hint="default"/>
          <w:color w:val="auto"/>
          <w:kern w:val="0"/>
        </w:rPr>
      </w:pPr>
      <w:r>
        <w:rPr>
          <w:rFonts w:cs="宋体"/>
          <w:color w:val="auto"/>
          <w:kern w:val="0"/>
        </w:rPr>
        <w:t>（3）详细评审；</w:t>
      </w:r>
    </w:p>
    <w:p>
      <w:pPr>
        <w:pStyle w:val="style0"/>
        <w:spacing w:lineRule="auto" w:line="360"/>
        <w:rPr>
          <w:rFonts w:cs="宋体" w:hint="default"/>
          <w:color w:val="auto"/>
          <w:kern w:val="0"/>
        </w:rPr>
      </w:pPr>
      <w:r>
        <w:rPr>
          <w:rFonts w:cs="宋体"/>
          <w:color w:val="auto"/>
          <w:kern w:val="0"/>
        </w:rPr>
        <w:t>（4）澄清、说明或补正；</w:t>
      </w:r>
    </w:p>
    <w:p>
      <w:pPr>
        <w:pStyle w:val="style0"/>
        <w:spacing w:lineRule="auto" w:line="360"/>
        <w:rPr>
          <w:rFonts w:cs="宋体" w:hint="default"/>
          <w:color w:val="auto"/>
          <w:kern w:val="0"/>
        </w:rPr>
      </w:pPr>
      <w:r>
        <w:rPr>
          <w:rFonts w:cs="宋体"/>
          <w:color w:val="auto"/>
          <w:kern w:val="0"/>
        </w:rPr>
        <w:t>（5）推荐中标候选人及提交评标报告。</w:t>
      </w:r>
    </w:p>
    <w:p>
      <w:pPr>
        <w:pStyle w:val="style0"/>
        <w:spacing w:lineRule="auto" w:line="360"/>
        <w:rPr>
          <w:rFonts w:cs="宋体" w:hint="default"/>
          <w:color w:val="auto"/>
          <w:kern w:val="0"/>
        </w:rPr>
      </w:pPr>
      <w:r>
        <w:rPr>
          <w:rFonts w:cs="宋体"/>
          <w:color w:val="auto"/>
          <w:kern w:val="0"/>
        </w:rPr>
        <w:t>2.评标准备</w:t>
      </w:r>
    </w:p>
    <w:p>
      <w:pPr>
        <w:pStyle w:val="style0"/>
        <w:spacing w:lineRule="auto" w:line="360"/>
        <w:rPr>
          <w:rFonts w:cs="宋体" w:hint="default"/>
          <w:color w:val="auto"/>
          <w:kern w:val="0"/>
        </w:rPr>
      </w:pPr>
      <w:r>
        <w:rPr>
          <w:rFonts w:cs="宋体"/>
          <w:color w:val="auto"/>
          <w:kern w:val="0"/>
        </w:rPr>
        <w:t>2.1 评标委员会成员签到</w:t>
      </w:r>
    </w:p>
    <w:p>
      <w:pPr>
        <w:pStyle w:val="style0"/>
        <w:spacing w:lineRule="auto" w:line="360"/>
        <w:rPr>
          <w:rFonts w:cs="宋体" w:hint="default"/>
          <w:color w:val="auto"/>
          <w:kern w:val="0"/>
        </w:rPr>
      </w:pPr>
      <w:r>
        <w:rPr>
          <w:rFonts w:cs="宋体"/>
          <w:color w:val="auto"/>
          <w:kern w:val="0"/>
        </w:rPr>
        <w:t>评标委员会成员到达评标现场时应在签到表上签到以证明其出席。</w:t>
      </w:r>
    </w:p>
    <w:p>
      <w:pPr>
        <w:pStyle w:val="style0"/>
        <w:spacing w:lineRule="auto" w:line="360"/>
        <w:rPr>
          <w:rFonts w:cs="宋体" w:hint="default"/>
          <w:color w:val="auto"/>
          <w:kern w:val="0"/>
        </w:rPr>
      </w:pPr>
      <w:r>
        <w:rPr>
          <w:rFonts w:cs="宋体"/>
          <w:color w:val="auto"/>
          <w:kern w:val="0"/>
        </w:rPr>
        <w:t>2.2 评标委员会的分工</w:t>
      </w:r>
    </w:p>
    <w:p>
      <w:pPr>
        <w:pStyle w:val="style0"/>
        <w:spacing w:lineRule="auto" w:line="360"/>
        <w:rPr>
          <w:rFonts w:cs="宋体" w:hint="default"/>
          <w:color w:val="auto"/>
          <w:kern w:val="0"/>
        </w:rPr>
      </w:pPr>
      <w:r>
        <w:rPr>
          <w:rFonts w:cs="宋体"/>
          <w:color w:val="auto"/>
          <w:kern w:val="0"/>
        </w:rPr>
        <w:t>评标委员会首先推举一名评标委员会主任。评标委员会主任负责主持评标活动。评标委员会主任在与其他评标委员会成员协商的基础上，可以将评标委员会划分为技术组和商务组，但最终评审结果须全体评标委员会一致认可。</w:t>
      </w:r>
    </w:p>
    <w:p>
      <w:pPr>
        <w:pStyle w:val="style0"/>
        <w:spacing w:lineRule="auto" w:line="360"/>
        <w:rPr>
          <w:rFonts w:cs="宋体" w:hint="default"/>
          <w:color w:val="auto"/>
          <w:kern w:val="0"/>
        </w:rPr>
      </w:pPr>
      <w:r>
        <w:rPr>
          <w:rFonts w:cs="宋体"/>
          <w:color w:val="auto"/>
          <w:kern w:val="0"/>
        </w:rPr>
        <w:t>2.3 熟悉文件资料</w:t>
      </w:r>
    </w:p>
    <w:p>
      <w:pPr>
        <w:pStyle w:val="style0"/>
        <w:spacing w:lineRule="auto" w:line="360"/>
        <w:rPr>
          <w:rFonts w:cs="宋体" w:hint="default"/>
          <w:color w:val="auto"/>
          <w:kern w:val="0"/>
        </w:rPr>
      </w:pPr>
      <w:r>
        <w:rPr>
          <w:rFonts w:cs="宋体"/>
          <w:color w:val="auto"/>
          <w:kern w:val="0"/>
        </w:rPr>
        <w:t>2.3.1 评标委员会主任应组织评标委员会成员认真研究招标文件，了解和熟悉招标目的、招标范围、主要合同条件、监理服务期限、质量标准和建设周期等，掌握评标标准和方法。未在招标文件中规定的标准和方法不得作为评标的依据。</w:t>
      </w:r>
    </w:p>
    <w:p>
      <w:pPr>
        <w:pStyle w:val="style0"/>
        <w:spacing w:lineRule="auto" w:line="360"/>
        <w:rPr>
          <w:rFonts w:cs="宋体" w:hint="default"/>
          <w:color w:val="auto"/>
          <w:kern w:val="0"/>
        </w:rPr>
      </w:pPr>
      <w:r>
        <w:rPr>
          <w:rFonts w:cs="宋体"/>
          <w:color w:val="auto"/>
          <w:kern w:val="0"/>
        </w:rPr>
        <w:t>2.3.2 招标人或招标代理机构应向评标委员会提供评标所需的信息和数据，包括招标文件、未在开标会上当场拒绝的各响应文件、开标会记录、最高投标限价、有关的法律、法规、规章、国家标准以及招标人或评标委员会认为必要的其他信息和数据。</w:t>
      </w:r>
    </w:p>
    <w:p>
      <w:pPr>
        <w:pStyle w:val="style0"/>
        <w:spacing w:lineRule="auto" w:line="360"/>
        <w:rPr>
          <w:rFonts w:cs="宋体" w:hint="default"/>
          <w:color w:val="auto"/>
          <w:kern w:val="0"/>
        </w:rPr>
      </w:pPr>
      <w:r>
        <w:rPr>
          <w:rFonts w:cs="宋体"/>
          <w:color w:val="auto"/>
          <w:kern w:val="0"/>
        </w:rPr>
        <w:t>3.初步评审</w:t>
      </w:r>
    </w:p>
    <w:p>
      <w:pPr>
        <w:pStyle w:val="style0"/>
        <w:spacing w:lineRule="auto" w:line="360"/>
        <w:rPr>
          <w:rFonts w:cs="宋体" w:hint="default"/>
          <w:color w:val="auto"/>
          <w:kern w:val="0"/>
        </w:rPr>
      </w:pPr>
      <w:r>
        <w:rPr>
          <w:rFonts w:cs="宋体"/>
          <w:color w:val="auto"/>
          <w:kern w:val="0"/>
        </w:rPr>
        <w:t>评标委员会依据评标办法的规定对响应文件进行初步评审。有一项不符合评审标准的，应当予以否决。</w:t>
      </w:r>
    </w:p>
    <w:p>
      <w:pPr>
        <w:pStyle w:val="style0"/>
        <w:spacing w:lineRule="auto" w:line="360"/>
        <w:rPr>
          <w:rFonts w:cs="宋体" w:hint="default"/>
          <w:color w:val="auto"/>
          <w:kern w:val="0"/>
        </w:rPr>
      </w:pPr>
      <w:r>
        <w:rPr>
          <w:rFonts w:cs="宋体"/>
          <w:color w:val="auto"/>
          <w:kern w:val="0"/>
        </w:rPr>
        <w:t>3.1 形式评审</w:t>
      </w:r>
    </w:p>
    <w:p>
      <w:pPr>
        <w:pStyle w:val="style0"/>
        <w:spacing w:lineRule="auto" w:line="360"/>
        <w:rPr>
          <w:rFonts w:cs="宋体" w:hint="default"/>
          <w:color w:val="auto"/>
          <w:kern w:val="0"/>
        </w:rPr>
      </w:pPr>
      <w:r>
        <w:rPr>
          <w:rFonts w:cs="宋体"/>
          <w:color w:val="auto"/>
          <w:kern w:val="0"/>
        </w:rPr>
        <w:t>评标委员会根据评标办法前附表中规定的评审因素和评审标准，对投标人的响应文件进行形式评审。</w:t>
      </w:r>
    </w:p>
    <w:p>
      <w:pPr>
        <w:pStyle w:val="style0"/>
        <w:spacing w:lineRule="auto" w:line="360"/>
        <w:rPr>
          <w:rFonts w:cs="宋体" w:hint="default"/>
          <w:color w:val="auto"/>
          <w:kern w:val="0"/>
        </w:rPr>
      </w:pPr>
      <w:r>
        <w:rPr>
          <w:rFonts w:cs="宋体"/>
          <w:color w:val="auto"/>
          <w:kern w:val="0"/>
        </w:rPr>
        <w:t>3.2 资格评审</w:t>
      </w:r>
    </w:p>
    <w:p>
      <w:pPr>
        <w:pStyle w:val="style0"/>
        <w:spacing w:lineRule="auto" w:line="360"/>
        <w:rPr>
          <w:rFonts w:cs="宋体" w:hint="default"/>
          <w:color w:val="auto"/>
          <w:kern w:val="0"/>
        </w:rPr>
      </w:pPr>
      <w:r>
        <w:rPr>
          <w:rFonts w:cs="宋体"/>
          <w:color w:val="auto"/>
          <w:kern w:val="0"/>
        </w:rPr>
        <w:t>由评标委员会根据评标办法前附表规定的评审因素和评审标准，对投标人的响应文件进行资格评审。</w:t>
      </w:r>
    </w:p>
    <w:p>
      <w:pPr>
        <w:pStyle w:val="style0"/>
        <w:spacing w:lineRule="auto" w:line="360"/>
        <w:rPr>
          <w:rFonts w:cs="宋体" w:hint="default"/>
          <w:color w:val="auto"/>
          <w:kern w:val="0"/>
        </w:rPr>
      </w:pPr>
      <w:r>
        <w:rPr>
          <w:rFonts w:cs="宋体"/>
          <w:color w:val="auto"/>
          <w:kern w:val="0"/>
        </w:rPr>
        <w:t xml:space="preserve">3.2.1 资格评审过程中，评标委员会发现投标人提交的资格审查资料不全时，应当听取该投标人的说明。  </w:t>
      </w:r>
    </w:p>
    <w:p>
      <w:pPr>
        <w:pStyle w:val="style0"/>
        <w:spacing w:lineRule="auto" w:line="360"/>
        <w:rPr>
          <w:rFonts w:cs="宋体" w:hint="default"/>
          <w:color w:val="auto"/>
          <w:kern w:val="0"/>
        </w:rPr>
      </w:pPr>
      <w:r>
        <w:rPr>
          <w:rFonts w:cs="宋体"/>
          <w:color w:val="auto"/>
          <w:kern w:val="0"/>
        </w:rPr>
        <w:t>3.3 响应性评审</w:t>
      </w:r>
    </w:p>
    <w:p>
      <w:pPr>
        <w:pStyle w:val="style0"/>
        <w:spacing w:lineRule="auto" w:line="360"/>
        <w:rPr>
          <w:rFonts w:cs="宋体" w:hint="default"/>
          <w:color w:val="auto"/>
          <w:kern w:val="0"/>
        </w:rPr>
      </w:pPr>
      <w:r>
        <w:rPr>
          <w:rFonts w:cs="宋体"/>
          <w:color w:val="auto"/>
          <w:kern w:val="0"/>
        </w:rPr>
        <w:t>3.3.1 评标委员会根据评标办法前附表中规定的评审因素和评审标准，对投标人的响应文件进行响应性评审。</w:t>
      </w:r>
    </w:p>
    <w:p>
      <w:pPr>
        <w:pStyle w:val="style0"/>
        <w:spacing w:lineRule="auto" w:line="360"/>
        <w:rPr>
          <w:rFonts w:cs="宋体" w:hint="default"/>
          <w:color w:val="auto"/>
          <w:kern w:val="0"/>
        </w:rPr>
      </w:pPr>
      <w:r>
        <w:rPr>
          <w:rFonts w:cs="宋体"/>
          <w:color w:val="auto"/>
          <w:kern w:val="0"/>
        </w:rPr>
        <w:t>3.3.2 招标文件设定了最高投标限价的，投标人投标价格不得超出（不含等于）“投标人须知”前附表载明的最高投标限价。</w:t>
      </w:r>
    </w:p>
    <w:p>
      <w:pPr>
        <w:pStyle w:val="style0"/>
        <w:spacing w:lineRule="auto" w:line="360"/>
        <w:rPr>
          <w:rFonts w:cs="宋体" w:hint="default"/>
          <w:color w:val="auto"/>
          <w:kern w:val="0"/>
        </w:rPr>
      </w:pPr>
      <w:r>
        <w:rPr>
          <w:rFonts w:cs="宋体"/>
          <w:color w:val="auto"/>
          <w:kern w:val="0"/>
        </w:rPr>
        <w:t>3.4 算术错误修正</w:t>
      </w:r>
    </w:p>
    <w:p>
      <w:pPr>
        <w:pStyle w:val="style0"/>
        <w:spacing w:lineRule="auto" w:line="360"/>
        <w:rPr>
          <w:rFonts w:cs="宋体" w:hint="default"/>
          <w:color w:val="auto"/>
          <w:kern w:val="0"/>
        </w:rPr>
      </w:pPr>
      <w:r>
        <w:rPr>
          <w:rFonts w:cs="宋体"/>
          <w:color w:val="auto"/>
          <w:kern w:val="0"/>
        </w:rPr>
        <w:t>评标委员会检查投标人投标报价是否有算术错误，算术性错误分析和修正按以下原则进行，修正的价格经投标人系统确认后具有约束力。投标人不接受修正价格的，应当否决其投标。</w:t>
      </w:r>
    </w:p>
    <w:p>
      <w:pPr>
        <w:pStyle w:val="style0"/>
        <w:spacing w:lineRule="auto" w:line="360"/>
        <w:rPr>
          <w:rFonts w:cs="宋体" w:hint="default"/>
          <w:color w:val="auto"/>
          <w:kern w:val="0"/>
        </w:rPr>
      </w:pPr>
      <w:r>
        <w:rPr>
          <w:rFonts w:cs="宋体"/>
          <w:color w:val="auto"/>
          <w:kern w:val="0"/>
        </w:rPr>
        <w:t>（1）响应文件中的大写金额与小写金额不一致的，以大写金额为准；</w:t>
      </w:r>
    </w:p>
    <w:p>
      <w:pPr>
        <w:pStyle w:val="style0"/>
        <w:spacing w:lineRule="auto" w:line="360"/>
        <w:rPr>
          <w:rFonts w:cs="宋体" w:hint="default"/>
          <w:color w:val="auto"/>
          <w:kern w:val="0"/>
        </w:rPr>
      </w:pPr>
      <w:r>
        <w:rPr>
          <w:rFonts w:cs="宋体"/>
          <w:color w:val="auto"/>
          <w:kern w:val="0"/>
        </w:rPr>
        <w:t>（2）总价金额与依据单价计算出的结果不一致的，以单价金额为准修正总价，但单价金额小数点有明显错误的除外。</w:t>
      </w:r>
    </w:p>
    <w:p>
      <w:pPr>
        <w:pStyle w:val="style0"/>
        <w:spacing w:lineRule="auto" w:line="360"/>
        <w:rPr>
          <w:rFonts w:cs="宋体" w:hint="default"/>
          <w:color w:val="auto"/>
          <w:kern w:val="0"/>
        </w:rPr>
      </w:pPr>
      <w:r>
        <w:rPr>
          <w:rFonts w:cs="宋体"/>
          <w:color w:val="auto"/>
          <w:kern w:val="0"/>
        </w:rPr>
        <w:t>评标委员会根据算术错误修正结果计算评标价。评标委员会对算术错误的修正应向投标人作澄清。投标人对修正结果应系统确认。投标人对修正结果有不同意见或未作系统确认的，评标委员会应重新复核修正结果，再次按上述程序分别进行确认、复核。</w:t>
      </w:r>
    </w:p>
    <w:p>
      <w:pPr>
        <w:pStyle w:val="style0"/>
        <w:spacing w:lineRule="auto" w:line="360"/>
        <w:rPr>
          <w:rFonts w:cs="宋体" w:hint="default"/>
          <w:color w:val="auto"/>
          <w:kern w:val="0"/>
        </w:rPr>
      </w:pPr>
      <w:r>
        <w:rPr>
          <w:rFonts w:cs="宋体"/>
          <w:color w:val="auto"/>
          <w:kern w:val="0"/>
        </w:rPr>
        <w:t>3.5 澄清、说明或补正</w:t>
      </w:r>
    </w:p>
    <w:p>
      <w:pPr>
        <w:pStyle w:val="style0"/>
        <w:spacing w:lineRule="auto" w:line="360"/>
        <w:rPr>
          <w:rFonts w:cs="宋体" w:hint="default"/>
          <w:color w:val="auto"/>
          <w:kern w:val="0"/>
        </w:rPr>
      </w:pPr>
      <w:r>
        <w:rPr>
          <w:rFonts w:cs="宋体"/>
          <w:color w:val="auto"/>
          <w:kern w:val="0"/>
        </w:rPr>
        <w:t>在初步评审过程中，评标委员会应当就响应文件中不明确的内容要求投标人进行澄清、说明或者补正。投标人应当根据问题澄清通知要求，通过系统予以澄清、说明或者补正。澄清、说明或补正根据评标办法正文部分规定进行。</w:t>
      </w:r>
    </w:p>
    <w:p>
      <w:pPr>
        <w:pStyle w:val="style0"/>
        <w:spacing w:lineRule="auto" w:line="360"/>
        <w:rPr>
          <w:rFonts w:cs="宋体" w:hint="default"/>
          <w:color w:val="auto"/>
          <w:kern w:val="0"/>
        </w:rPr>
      </w:pPr>
      <w:r>
        <w:rPr>
          <w:rFonts w:cs="宋体"/>
          <w:color w:val="auto"/>
          <w:kern w:val="0"/>
        </w:rPr>
        <w:t>3.6是否予以否决投标</w:t>
      </w:r>
    </w:p>
    <w:p>
      <w:pPr>
        <w:pStyle w:val="style0"/>
        <w:spacing w:lineRule="auto" w:line="360"/>
        <w:rPr>
          <w:rFonts w:cs="宋体" w:hint="default"/>
          <w:color w:val="auto"/>
          <w:kern w:val="0"/>
        </w:rPr>
      </w:pPr>
      <w:r>
        <w:rPr>
          <w:rFonts w:cs="宋体"/>
          <w:color w:val="auto"/>
          <w:kern w:val="0"/>
        </w:rPr>
        <w:t>3.6.1评标委员会在评标过程中，依据第二章附件2-2中规定的否决投标情形，判断是否对投标人的投标予以否决。</w:t>
      </w:r>
    </w:p>
    <w:p>
      <w:pPr>
        <w:pStyle w:val="style0"/>
        <w:spacing w:lineRule="auto" w:line="360"/>
        <w:rPr>
          <w:rFonts w:cs="宋体" w:hint="default"/>
          <w:color w:val="auto"/>
          <w:kern w:val="0"/>
        </w:rPr>
      </w:pPr>
      <w:r>
        <w:rPr>
          <w:rFonts w:cs="宋体"/>
          <w:color w:val="auto"/>
          <w:kern w:val="0"/>
        </w:rPr>
        <w:t>3.6.2 第二章附件2-2集中列示的否决投标情形如果与第二章投标人须知和本章列示的否决投标条款相互抵触和矛盾时，以第二章投标人须知和本章的规定为准。</w:t>
      </w:r>
    </w:p>
    <w:p>
      <w:pPr>
        <w:pStyle w:val="style0"/>
        <w:spacing w:lineRule="auto" w:line="360"/>
        <w:rPr>
          <w:rFonts w:cs="宋体" w:hint="default"/>
          <w:color w:val="auto"/>
          <w:kern w:val="0"/>
        </w:rPr>
      </w:pPr>
      <w:r>
        <w:rPr>
          <w:rFonts w:cs="宋体"/>
          <w:color w:val="auto"/>
          <w:kern w:val="0"/>
        </w:rPr>
        <w:t>4.详细评审</w:t>
      </w:r>
    </w:p>
    <w:p>
      <w:pPr>
        <w:pStyle w:val="style0"/>
        <w:spacing w:lineRule="auto" w:line="360"/>
        <w:rPr>
          <w:rFonts w:cs="宋体" w:hint="default"/>
          <w:color w:val="auto"/>
          <w:kern w:val="0"/>
        </w:rPr>
      </w:pPr>
      <w:r>
        <w:rPr>
          <w:rFonts w:cs="宋体"/>
          <w:color w:val="auto"/>
          <w:kern w:val="0"/>
        </w:rPr>
        <w:t>初步评审合格的投标人进入详细评审。评标委员会按照规定的评审因素和标准进行评审计分，并计算出评标总得分。</w:t>
      </w:r>
    </w:p>
    <w:p>
      <w:pPr>
        <w:pStyle w:val="style0"/>
        <w:spacing w:lineRule="auto" w:line="360"/>
        <w:rPr>
          <w:rFonts w:cs="宋体" w:hint="default"/>
          <w:color w:val="auto"/>
          <w:kern w:val="0"/>
        </w:rPr>
      </w:pPr>
      <w:r>
        <w:rPr>
          <w:rFonts w:cs="宋体"/>
          <w:color w:val="auto"/>
          <w:kern w:val="0"/>
        </w:rPr>
        <w:t>4.1 详细评审的程序</w:t>
      </w:r>
    </w:p>
    <w:p>
      <w:pPr>
        <w:pStyle w:val="style0"/>
        <w:spacing w:lineRule="auto" w:line="360"/>
        <w:rPr>
          <w:rFonts w:cs="宋体" w:hint="default"/>
          <w:color w:val="auto"/>
          <w:kern w:val="0"/>
        </w:rPr>
      </w:pPr>
      <w:r>
        <w:rPr>
          <w:rFonts w:cs="宋体"/>
          <w:color w:val="auto"/>
          <w:kern w:val="0"/>
        </w:rPr>
        <w:t>4.1.1 评标委员会按照规定进行详细评审</w:t>
      </w:r>
    </w:p>
    <w:p>
      <w:pPr>
        <w:pStyle w:val="style0"/>
        <w:spacing w:lineRule="auto" w:line="360"/>
        <w:rPr>
          <w:rFonts w:cs="宋体" w:hint="default"/>
          <w:color w:val="auto"/>
          <w:kern w:val="0"/>
        </w:rPr>
      </w:pPr>
      <w:r>
        <w:rPr>
          <w:rFonts w:cs="宋体"/>
          <w:color w:val="auto"/>
          <w:kern w:val="0"/>
        </w:rPr>
        <w:t>（1）项目监理机构评审计分。现场答辩由评标委员会成员独立计分，现场答辩得分为评委个人评审计分去掉一个最高分和一个最低分后的算术平均值。其他评审因素由评标委员会集体评议计分。</w:t>
      </w:r>
    </w:p>
    <w:p>
      <w:pPr>
        <w:pStyle w:val="style0"/>
        <w:spacing w:lineRule="auto" w:line="360"/>
        <w:rPr>
          <w:rFonts w:cs="宋体" w:hint="default"/>
          <w:color w:val="auto"/>
          <w:kern w:val="0"/>
        </w:rPr>
      </w:pPr>
      <w:r>
        <w:rPr>
          <w:rFonts w:cs="宋体"/>
          <w:color w:val="auto"/>
          <w:kern w:val="0"/>
        </w:rPr>
        <w:t>（2）现场安全质量管理评价计分。</w:t>
      </w:r>
    </w:p>
    <w:p>
      <w:pPr>
        <w:pStyle w:val="style0"/>
        <w:spacing w:lineRule="auto" w:line="360"/>
        <w:rPr>
          <w:rFonts w:cs="宋体" w:hint="default"/>
          <w:color w:val="auto"/>
          <w:kern w:val="0"/>
        </w:rPr>
      </w:pPr>
      <w:r>
        <w:rPr>
          <w:rFonts w:cs="宋体"/>
          <w:color w:val="auto"/>
          <w:kern w:val="0"/>
        </w:rPr>
        <w:t xml:space="preserve">    （3）投标报价评审计分。</w:t>
      </w:r>
    </w:p>
    <w:p>
      <w:pPr>
        <w:pStyle w:val="style0"/>
        <w:spacing w:lineRule="auto" w:line="360"/>
        <w:rPr>
          <w:rFonts w:cs="宋体" w:hint="default"/>
          <w:color w:val="auto"/>
          <w:kern w:val="0"/>
        </w:rPr>
      </w:pPr>
      <w:r>
        <w:rPr>
          <w:rFonts w:cs="宋体"/>
          <w:color w:val="auto"/>
          <w:kern w:val="0"/>
        </w:rPr>
        <w:t>①经过初步评审合格的投标人的投标报价低于进入详细评审的有效投标报价算术平均值的95%的，由评标委员会对其投标报价成本进行评审比较，以判断投标报价是否低于其成本。对低于成本竞标的投标人予以否决。</w:t>
      </w:r>
    </w:p>
    <w:p>
      <w:pPr>
        <w:pStyle w:val="style0"/>
        <w:spacing w:lineRule="auto" w:line="360"/>
        <w:rPr>
          <w:rFonts w:cs="宋体" w:hint="default"/>
          <w:color w:val="auto"/>
          <w:kern w:val="0"/>
        </w:rPr>
      </w:pPr>
      <w:r>
        <w:rPr>
          <w:rFonts w:cs="宋体"/>
          <w:color w:val="auto"/>
          <w:kern w:val="0"/>
        </w:rPr>
        <w:t>有下列情形之一的，应当判定为以低于成本报价竞争，其报价为无效报价，应当否决其投标：</w:t>
      </w:r>
    </w:p>
    <w:p>
      <w:pPr>
        <w:pStyle w:val="style0"/>
        <w:spacing w:lineRule="auto" w:line="360"/>
        <w:rPr>
          <w:rFonts w:cs="宋体" w:hint="default"/>
          <w:color w:val="auto"/>
          <w:kern w:val="0"/>
        </w:rPr>
      </w:pPr>
      <w:r>
        <w:rPr>
          <w:rFonts w:cs="宋体"/>
          <w:color w:val="auto"/>
          <w:kern w:val="0"/>
        </w:rPr>
        <w:t>（一）经评审论证，认定该投标人的报价低于企业成本的；</w:t>
      </w:r>
    </w:p>
    <w:p>
      <w:pPr>
        <w:pStyle w:val="style0"/>
        <w:spacing w:lineRule="auto" w:line="360"/>
        <w:rPr>
          <w:rFonts w:cs="宋体" w:hint="default"/>
          <w:color w:val="auto"/>
          <w:kern w:val="0"/>
        </w:rPr>
      </w:pPr>
      <w:r>
        <w:rPr>
          <w:rFonts w:cs="宋体"/>
          <w:color w:val="auto"/>
          <w:kern w:val="0"/>
        </w:rPr>
        <w:t>（二）投标报价明显低于其他投标报价，有可能低于企业成本的，应当要求投标人作出说明并提供相关材料。投标人不能合理说明或者不能提供相关证明材料的。</w:t>
      </w:r>
    </w:p>
    <w:p>
      <w:pPr>
        <w:pStyle w:val="style0"/>
        <w:spacing w:lineRule="auto" w:line="360"/>
        <w:rPr>
          <w:rFonts w:cs="宋体" w:hint="default"/>
          <w:color w:val="auto"/>
          <w:kern w:val="0"/>
        </w:rPr>
      </w:pPr>
      <w:r>
        <w:rPr>
          <w:rFonts w:cs="宋体"/>
          <w:color w:val="auto"/>
          <w:kern w:val="0"/>
        </w:rPr>
        <w:t>评标委员会判定投标人以低于成本报价竞争的，应当提出情况说明。</w:t>
      </w:r>
    </w:p>
    <w:p>
      <w:pPr>
        <w:pStyle w:val="style0"/>
        <w:spacing w:lineRule="auto" w:line="360"/>
        <w:rPr>
          <w:rFonts w:cs="宋体" w:hint="default"/>
          <w:color w:val="auto"/>
          <w:kern w:val="0"/>
        </w:rPr>
      </w:pPr>
      <w:r>
        <w:rPr>
          <w:rFonts w:cs="宋体"/>
          <w:color w:val="auto"/>
          <w:kern w:val="0"/>
        </w:rPr>
        <w:t>②按照评标办法前附表中规定的方法，计算各个已通过了初步评审并且经过评审认定为不低于其成本的投标报价的“偏差率”。</w:t>
      </w:r>
    </w:p>
    <w:p>
      <w:pPr>
        <w:pStyle w:val="style0"/>
        <w:spacing w:lineRule="auto" w:line="360"/>
        <w:rPr>
          <w:rFonts w:cs="宋体" w:hint="default"/>
          <w:color w:val="auto"/>
          <w:kern w:val="0"/>
        </w:rPr>
      </w:pPr>
      <w:r>
        <w:rPr>
          <w:rFonts w:cs="宋体"/>
          <w:color w:val="auto"/>
          <w:kern w:val="0"/>
        </w:rPr>
        <w:t>按照评标办法前附表中规定的评分标准，对照投标报价的偏差率，分别对各个投标报价进行计分。</w:t>
      </w:r>
    </w:p>
    <w:p>
      <w:pPr>
        <w:pStyle w:val="style0"/>
        <w:spacing w:lineRule="auto" w:line="360"/>
        <w:rPr>
          <w:rFonts w:cs="宋体" w:hint="default"/>
          <w:color w:val="auto"/>
          <w:kern w:val="0"/>
        </w:rPr>
      </w:pPr>
      <w:r>
        <w:rPr>
          <w:rFonts w:cs="宋体"/>
          <w:color w:val="auto"/>
          <w:kern w:val="0"/>
        </w:rPr>
        <w:t>4.2 澄清、说明或补正</w:t>
      </w:r>
    </w:p>
    <w:p>
      <w:pPr>
        <w:pStyle w:val="style0"/>
        <w:spacing w:lineRule="auto" w:line="360"/>
        <w:rPr>
          <w:rFonts w:cs="宋体" w:hint="default"/>
          <w:color w:val="auto"/>
          <w:kern w:val="0"/>
        </w:rPr>
      </w:pPr>
      <w:r>
        <w:rPr>
          <w:rFonts w:cs="宋体"/>
          <w:color w:val="auto"/>
          <w:kern w:val="0"/>
        </w:rPr>
        <w:t>在详细评审过程中，评标委员会应当就响应文件中不明确的内容要求投标人进行澄清、说明或者补正。投标人应通过系统予以澄清、说明或者补正。澄清、说明或补正按照评标办法正文第2.3项执行。</w:t>
      </w:r>
    </w:p>
    <w:p>
      <w:pPr>
        <w:pStyle w:val="style0"/>
        <w:spacing w:lineRule="auto" w:line="360"/>
        <w:rPr>
          <w:rFonts w:cs="宋体" w:hint="default"/>
          <w:color w:val="auto"/>
          <w:kern w:val="0"/>
        </w:rPr>
      </w:pPr>
      <w:r>
        <w:rPr>
          <w:rFonts w:cs="宋体"/>
          <w:color w:val="auto"/>
          <w:kern w:val="0"/>
        </w:rPr>
        <w:t>4.3汇总评分结果</w:t>
      </w:r>
    </w:p>
    <w:p>
      <w:pPr>
        <w:pStyle w:val="style0"/>
        <w:spacing w:lineRule="auto" w:line="360"/>
        <w:rPr>
          <w:rFonts w:cs="宋体" w:hint="default"/>
          <w:color w:val="auto"/>
          <w:kern w:val="0"/>
        </w:rPr>
      </w:pPr>
      <w:r>
        <w:rPr>
          <w:rFonts w:cs="宋体"/>
          <w:color w:val="auto"/>
          <w:kern w:val="0"/>
        </w:rPr>
        <w:t>详细评审工作全部结束后，汇总评审计分结果，并按照评标总得分由高至低的次序对投标人进行排序。</w:t>
      </w:r>
    </w:p>
    <w:p>
      <w:pPr>
        <w:pStyle w:val="style0"/>
        <w:spacing w:lineRule="auto" w:line="360"/>
        <w:rPr>
          <w:rFonts w:cs="宋体" w:hint="default"/>
          <w:color w:val="auto"/>
          <w:kern w:val="0"/>
        </w:rPr>
      </w:pPr>
      <w:r>
        <w:rPr>
          <w:rFonts w:cs="宋体"/>
          <w:color w:val="auto"/>
          <w:kern w:val="0"/>
        </w:rPr>
        <w:t>4.4评分分值计算保留小数点后两位，小数点后第三位“四舍五入”。</w:t>
      </w:r>
    </w:p>
    <w:p>
      <w:pPr>
        <w:pStyle w:val="style0"/>
        <w:spacing w:lineRule="auto" w:line="360"/>
        <w:rPr>
          <w:rFonts w:cs="宋体" w:hint="default"/>
          <w:color w:val="auto"/>
          <w:kern w:val="0"/>
        </w:rPr>
      </w:pPr>
      <w:r>
        <w:rPr>
          <w:rFonts w:cs="宋体"/>
          <w:color w:val="auto"/>
          <w:kern w:val="0"/>
        </w:rPr>
        <w:t>5.中标人的确定</w:t>
      </w:r>
    </w:p>
    <w:p>
      <w:pPr>
        <w:pStyle w:val="style0"/>
        <w:spacing w:lineRule="auto" w:line="360"/>
        <w:rPr>
          <w:rFonts w:cs="宋体" w:hint="default"/>
          <w:color w:val="auto"/>
          <w:kern w:val="0"/>
        </w:rPr>
      </w:pPr>
      <w:r>
        <w:rPr>
          <w:rFonts w:cs="宋体"/>
          <w:color w:val="auto"/>
          <w:kern w:val="0"/>
        </w:rPr>
        <w:t>5.1 推荐中标候选人</w:t>
      </w:r>
    </w:p>
    <w:p>
      <w:pPr>
        <w:pStyle w:val="style0"/>
        <w:spacing w:lineRule="auto" w:line="360"/>
        <w:rPr>
          <w:rFonts w:cs="宋体" w:hint="default"/>
          <w:color w:val="auto"/>
          <w:kern w:val="0"/>
        </w:rPr>
      </w:pPr>
      <w:r>
        <w:rPr>
          <w:rFonts w:cs="宋体"/>
          <w:color w:val="auto"/>
          <w:kern w:val="0"/>
        </w:rPr>
        <w:t>5.1.1 评标委员会在推荐中标候选人时，应遵照以下原则:</w:t>
      </w:r>
    </w:p>
    <w:p>
      <w:pPr>
        <w:pStyle w:val="style0"/>
        <w:spacing w:lineRule="auto" w:line="360"/>
        <w:rPr>
          <w:rFonts w:cs="宋体" w:hint="default"/>
          <w:color w:val="auto"/>
          <w:kern w:val="0"/>
        </w:rPr>
      </w:pPr>
      <w:r>
        <w:rPr>
          <w:rFonts w:cs="宋体"/>
          <w:color w:val="auto"/>
          <w:kern w:val="0"/>
        </w:rPr>
        <w:t>（1） 评标委员会按照最终得分由高至低的次序排列，并根据第二章投标人须知前附表规定的中标候选人数量，将排序在前的投标人推荐为中标候选人。</w:t>
      </w:r>
    </w:p>
    <w:p>
      <w:pPr>
        <w:pStyle w:val="style0"/>
        <w:spacing w:lineRule="auto" w:line="360"/>
        <w:rPr>
          <w:rFonts w:cs="宋体" w:hint="default"/>
          <w:color w:val="auto"/>
          <w:kern w:val="0"/>
        </w:rPr>
      </w:pPr>
      <w:r>
        <w:rPr>
          <w:rFonts w:cs="宋体"/>
          <w:color w:val="auto"/>
          <w:kern w:val="0"/>
        </w:rPr>
        <w:t>（2） 评标委员会根据规定予以否决投标后，如果因有效投标不足3个使得投标明显缺乏竞争的，评标委员会可以建议招标人重新招标。</w:t>
      </w:r>
    </w:p>
    <w:p>
      <w:pPr>
        <w:pStyle w:val="style0"/>
        <w:spacing w:lineRule="auto" w:line="360"/>
        <w:rPr>
          <w:rFonts w:cs="宋体" w:hint="default"/>
          <w:color w:val="auto"/>
          <w:kern w:val="0"/>
        </w:rPr>
      </w:pPr>
      <w:r>
        <w:rPr>
          <w:rFonts w:cs="宋体"/>
          <w:color w:val="auto"/>
          <w:kern w:val="0"/>
        </w:rPr>
        <w:t>5.1.2 投标人数量少于3个或者所有投标被否决的，招标人应当依法重新招标。</w:t>
      </w:r>
    </w:p>
    <w:p>
      <w:pPr>
        <w:pStyle w:val="style0"/>
        <w:spacing w:lineRule="auto" w:line="360"/>
        <w:rPr>
          <w:rFonts w:cs="宋体" w:hint="default"/>
          <w:color w:val="auto"/>
          <w:kern w:val="0"/>
        </w:rPr>
      </w:pPr>
      <w:r>
        <w:rPr>
          <w:rFonts w:cs="宋体"/>
          <w:color w:val="auto"/>
          <w:kern w:val="0"/>
        </w:rPr>
        <w:t>5.2 确定中标人</w:t>
      </w:r>
    </w:p>
    <w:p>
      <w:pPr>
        <w:pStyle w:val="style0"/>
        <w:spacing w:lineRule="auto" w:line="360"/>
        <w:rPr>
          <w:rFonts w:cs="宋体" w:hint="default"/>
          <w:color w:val="auto"/>
          <w:kern w:val="0"/>
        </w:rPr>
      </w:pPr>
      <w:r>
        <w:rPr>
          <w:rFonts w:cs="宋体"/>
          <w:color w:val="auto"/>
          <w:kern w:val="0"/>
        </w:rPr>
        <w:t>招标人对评标委员会推荐的中标候选人进行公示。公示期满，按照相关规定确定中标人。</w:t>
      </w:r>
    </w:p>
    <w:p>
      <w:pPr>
        <w:pStyle w:val="style0"/>
        <w:spacing w:lineRule="auto" w:line="360"/>
        <w:rPr>
          <w:rFonts w:cs="宋体" w:hint="default"/>
          <w:color w:val="auto"/>
          <w:kern w:val="0"/>
        </w:rPr>
      </w:pPr>
      <w:r>
        <w:rPr>
          <w:rFonts w:cs="宋体"/>
          <w:color w:val="auto"/>
          <w:kern w:val="0"/>
        </w:rPr>
        <w:t>5.3 编制评标报告</w:t>
      </w:r>
    </w:p>
    <w:p>
      <w:pPr>
        <w:pStyle w:val="style0"/>
        <w:spacing w:lineRule="auto" w:line="360"/>
        <w:rPr>
          <w:rFonts w:cs="宋体" w:hint="default"/>
          <w:color w:val="auto"/>
          <w:kern w:val="0"/>
        </w:rPr>
      </w:pPr>
      <w:r>
        <w:rPr>
          <w:rFonts w:cs="宋体"/>
          <w:color w:val="auto"/>
          <w:kern w:val="0"/>
        </w:rPr>
        <w:t>评标委员会根据评标办法的规定向招标人提交评标报告。评标报告应当由全体评标委员会成员签字。评标报告应当包括以下内容：</w:t>
      </w:r>
    </w:p>
    <w:p>
      <w:pPr>
        <w:pStyle w:val="style0"/>
        <w:spacing w:lineRule="auto" w:line="360"/>
        <w:rPr>
          <w:rFonts w:cs="宋体" w:hint="default"/>
          <w:color w:val="auto"/>
          <w:kern w:val="0"/>
        </w:rPr>
      </w:pPr>
      <w:r>
        <w:rPr>
          <w:rFonts w:cs="宋体"/>
          <w:color w:val="auto"/>
          <w:kern w:val="0"/>
        </w:rPr>
        <w:t>（1）基本情况和数据表；</w:t>
      </w:r>
    </w:p>
    <w:p>
      <w:pPr>
        <w:pStyle w:val="style0"/>
        <w:spacing w:lineRule="auto" w:line="360"/>
        <w:rPr>
          <w:rFonts w:cs="宋体" w:hint="default"/>
          <w:color w:val="auto"/>
          <w:kern w:val="0"/>
        </w:rPr>
      </w:pPr>
      <w:r>
        <w:rPr>
          <w:rFonts w:cs="宋体"/>
          <w:color w:val="auto"/>
          <w:kern w:val="0"/>
        </w:rPr>
        <w:t>（2）评标委员会成员名单；</w:t>
      </w:r>
    </w:p>
    <w:p>
      <w:pPr>
        <w:pStyle w:val="style0"/>
        <w:spacing w:lineRule="auto" w:line="360"/>
        <w:rPr>
          <w:rFonts w:cs="宋体" w:hint="default"/>
          <w:color w:val="auto"/>
          <w:kern w:val="0"/>
        </w:rPr>
      </w:pPr>
      <w:r>
        <w:rPr>
          <w:rFonts w:cs="宋体"/>
          <w:color w:val="auto"/>
          <w:kern w:val="0"/>
        </w:rPr>
        <w:t>（3）开标记录；</w:t>
      </w:r>
    </w:p>
    <w:p>
      <w:pPr>
        <w:pStyle w:val="style0"/>
        <w:spacing w:lineRule="auto" w:line="360"/>
        <w:rPr>
          <w:rFonts w:cs="宋体" w:hint="default"/>
          <w:color w:val="auto"/>
          <w:kern w:val="0"/>
        </w:rPr>
      </w:pPr>
      <w:r>
        <w:rPr>
          <w:rFonts w:cs="宋体"/>
          <w:color w:val="auto"/>
          <w:kern w:val="0"/>
        </w:rPr>
        <w:t>（4）符合要求的投标一览表；</w:t>
      </w:r>
    </w:p>
    <w:p>
      <w:pPr>
        <w:pStyle w:val="style0"/>
        <w:spacing w:lineRule="auto" w:line="360"/>
        <w:rPr>
          <w:rFonts w:cs="宋体" w:hint="default"/>
          <w:color w:val="auto"/>
          <w:kern w:val="0"/>
        </w:rPr>
      </w:pPr>
      <w:r>
        <w:rPr>
          <w:rFonts w:cs="宋体"/>
          <w:color w:val="auto"/>
          <w:kern w:val="0"/>
        </w:rPr>
        <w:t>（5）否决投标情况说明；</w:t>
      </w:r>
    </w:p>
    <w:p>
      <w:pPr>
        <w:pStyle w:val="style0"/>
        <w:spacing w:lineRule="auto" w:line="360"/>
        <w:rPr>
          <w:rFonts w:cs="宋体" w:hint="default"/>
          <w:color w:val="auto"/>
          <w:kern w:val="0"/>
        </w:rPr>
      </w:pPr>
      <w:r>
        <w:rPr>
          <w:rFonts w:cs="宋体"/>
          <w:color w:val="auto"/>
          <w:kern w:val="0"/>
        </w:rPr>
        <w:t>（6）评标标准、评标方法或者评标因素一览表；</w:t>
      </w:r>
    </w:p>
    <w:p>
      <w:pPr>
        <w:pStyle w:val="style0"/>
        <w:spacing w:lineRule="auto" w:line="360"/>
        <w:rPr>
          <w:rFonts w:cs="宋体" w:hint="default"/>
          <w:color w:val="auto"/>
          <w:kern w:val="0"/>
        </w:rPr>
      </w:pPr>
      <w:r>
        <w:rPr>
          <w:rFonts w:cs="宋体"/>
          <w:color w:val="auto"/>
          <w:kern w:val="0"/>
        </w:rPr>
        <w:t>（7）评分比较一览表（包括评标委员会在评标过程中所形成的所有记载评标结果、结论的表格、说明、记录等文件）；</w:t>
      </w:r>
    </w:p>
    <w:p>
      <w:pPr>
        <w:pStyle w:val="style0"/>
        <w:spacing w:lineRule="auto" w:line="360"/>
        <w:rPr>
          <w:rFonts w:cs="宋体" w:hint="default"/>
          <w:color w:val="auto"/>
          <w:kern w:val="0"/>
        </w:rPr>
      </w:pPr>
      <w:r>
        <w:rPr>
          <w:rFonts w:cs="宋体"/>
          <w:color w:val="auto"/>
          <w:kern w:val="0"/>
        </w:rPr>
        <w:t>（8）经评审的投标人排序；</w:t>
      </w:r>
    </w:p>
    <w:p>
      <w:pPr>
        <w:pStyle w:val="style0"/>
        <w:spacing w:lineRule="auto" w:line="360"/>
        <w:rPr>
          <w:rFonts w:cs="宋体" w:hint="default"/>
          <w:color w:val="auto"/>
          <w:kern w:val="0"/>
        </w:rPr>
      </w:pPr>
      <w:r>
        <w:rPr>
          <w:rFonts w:cs="宋体"/>
          <w:color w:val="auto"/>
          <w:kern w:val="0"/>
        </w:rPr>
        <w:t>（9）推荐的中标候选人名单与签订合同前要处理的事宜；</w:t>
      </w:r>
    </w:p>
    <w:p>
      <w:pPr>
        <w:pStyle w:val="style0"/>
        <w:spacing w:lineRule="auto" w:line="360"/>
        <w:rPr>
          <w:rFonts w:cs="宋体" w:hint="default"/>
          <w:color w:val="auto"/>
          <w:kern w:val="0"/>
        </w:rPr>
      </w:pPr>
      <w:r>
        <w:rPr>
          <w:rFonts w:cs="宋体"/>
          <w:color w:val="auto"/>
          <w:kern w:val="0"/>
        </w:rPr>
        <w:t>（10）澄清、说明、补正事项纪要。</w:t>
      </w:r>
    </w:p>
    <w:p>
      <w:pPr>
        <w:pStyle w:val="style0"/>
        <w:spacing w:lineRule="auto" w:line="360"/>
        <w:rPr>
          <w:rFonts w:cs="宋体" w:hint="default"/>
          <w:color w:val="auto"/>
          <w:kern w:val="0"/>
        </w:rPr>
      </w:pPr>
      <w:r>
        <w:rPr>
          <w:rFonts w:cs="宋体"/>
          <w:color w:val="auto"/>
          <w:kern w:val="0"/>
        </w:rPr>
        <w:t>6．特殊情况的处置程序</w:t>
      </w:r>
    </w:p>
    <w:p>
      <w:pPr>
        <w:pStyle w:val="style0"/>
        <w:spacing w:lineRule="auto" w:line="360"/>
        <w:rPr>
          <w:rFonts w:cs="宋体" w:hint="default"/>
          <w:color w:val="auto"/>
          <w:kern w:val="0"/>
        </w:rPr>
      </w:pPr>
      <w:r>
        <w:rPr>
          <w:rFonts w:cs="宋体"/>
          <w:color w:val="auto"/>
          <w:kern w:val="0"/>
        </w:rPr>
        <w:t>6.1 关于评标活动暂停</w:t>
      </w:r>
    </w:p>
    <w:p>
      <w:pPr>
        <w:pStyle w:val="style0"/>
        <w:spacing w:lineRule="auto" w:line="360"/>
        <w:rPr>
          <w:rFonts w:cs="宋体" w:hint="default"/>
          <w:color w:val="auto"/>
          <w:kern w:val="0"/>
        </w:rPr>
      </w:pPr>
      <w:r>
        <w:rPr>
          <w:rFonts w:cs="宋体"/>
          <w:color w:val="auto"/>
          <w:kern w:val="0"/>
        </w:rPr>
        <w:t>6.1.1 评标委员会应当执行连续评标的原则，按评标办法中规定的程序、内容、方法、标准完成全部评标工作。除特殊情况外，评标活动不得暂停。</w:t>
      </w:r>
    </w:p>
    <w:p>
      <w:pPr>
        <w:pStyle w:val="style0"/>
        <w:spacing w:lineRule="auto" w:line="360"/>
        <w:rPr>
          <w:rFonts w:cs="宋体" w:hint="default"/>
          <w:color w:val="auto"/>
          <w:kern w:val="0"/>
        </w:rPr>
      </w:pPr>
      <w:r>
        <w:rPr>
          <w:rFonts w:cs="宋体"/>
          <w:color w:val="auto"/>
          <w:kern w:val="0"/>
        </w:rPr>
        <w:t>6.1.2 发生评标暂停情况时，评标委员会应当封存全部响应文件和评标记录，待特殊情况的影响结束且具备继续评标的条件时，由原评标委员会继续评标。</w:t>
      </w:r>
    </w:p>
    <w:p>
      <w:pPr>
        <w:pStyle w:val="style0"/>
        <w:spacing w:lineRule="auto" w:line="360"/>
        <w:rPr>
          <w:rFonts w:cs="宋体" w:hint="default"/>
          <w:color w:val="auto"/>
          <w:kern w:val="0"/>
        </w:rPr>
      </w:pPr>
      <w:r>
        <w:rPr>
          <w:rFonts w:cs="宋体"/>
          <w:color w:val="auto"/>
          <w:kern w:val="0"/>
        </w:rPr>
        <w:t>6.2 关于评标中途更换评委</w:t>
      </w:r>
    </w:p>
    <w:p>
      <w:pPr>
        <w:pStyle w:val="style0"/>
        <w:spacing w:lineRule="auto" w:line="360"/>
        <w:rPr>
          <w:rFonts w:cs="宋体" w:hint="default"/>
          <w:color w:val="auto"/>
          <w:kern w:val="0"/>
        </w:rPr>
      </w:pPr>
      <w:r>
        <w:rPr>
          <w:rFonts w:cs="宋体"/>
          <w:color w:val="auto"/>
          <w:kern w:val="0"/>
        </w:rPr>
        <w:t>6.2.1 除非发生下列情况之一，不得在评标中途更换评标委员会成员：</w:t>
      </w:r>
    </w:p>
    <w:p>
      <w:pPr>
        <w:pStyle w:val="style0"/>
        <w:spacing w:lineRule="auto" w:line="360"/>
        <w:rPr>
          <w:rFonts w:cs="宋体" w:hint="default"/>
          <w:color w:val="auto"/>
          <w:kern w:val="0"/>
        </w:rPr>
      </w:pPr>
      <w:r>
        <w:rPr>
          <w:rFonts w:cs="宋体"/>
          <w:color w:val="auto"/>
          <w:kern w:val="0"/>
        </w:rPr>
        <w:t>（1）因不可抗拒的原因，评标委员会成员不能到场或需在评标中途退出评标活动。</w:t>
      </w:r>
    </w:p>
    <w:p>
      <w:pPr>
        <w:pStyle w:val="style0"/>
        <w:spacing w:lineRule="auto" w:line="360"/>
        <w:rPr>
          <w:rFonts w:cs="宋体" w:hint="default"/>
          <w:color w:val="auto"/>
          <w:kern w:val="0"/>
        </w:rPr>
      </w:pPr>
      <w:r>
        <w:rPr>
          <w:rFonts w:cs="宋体"/>
          <w:color w:val="auto"/>
          <w:kern w:val="0"/>
        </w:rPr>
        <w:t>（2）根据法律法规规定，某个或某几个评标委员会成员需要回避。</w:t>
      </w:r>
    </w:p>
    <w:p>
      <w:pPr>
        <w:pStyle w:val="style0"/>
        <w:spacing w:lineRule="auto" w:line="360"/>
        <w:rPr>
          <w:rFonts w:cs="宋体" w:hint="default"/>
          <w:color w:val="auto"/>
          <w:kern w:val="0"/>
        </w:rPr>
      </w:pPr>
      <w:r>
        <w:rPr>
          <w:rFonts w:cs="宋体"/>
          <w:color w:val="auto"/>
          <w:kern w:val="0"/>
        </w:rPr>
        <w:t>6.2.2 退出评标的评标委员会成员，其已完成的评标行为无效。由招标人根据有关规定另行确定替代者进行评标。</w:t>
      </w:r>
    </w:p>
    <w:p>
      <w:pPr>
        <w:pStyle w:val="style0"/>
        <w:spacing w:lineRule="auto" w:line="360"/>
        <w:rPr>
          <w:rFonts w:cs="宋体" w:hint="default"/>
          <w:color w:val="auto"/>
          <w:kern w:val="0"/>
        </w:rPr>
      </w:pPr>
      <w:r>
        <w:rPr>
          <w:rFonts w:cs="宋体"/>
          <w:color w:val="auto"/>
          <w:kern w:val="0"/>
        </w:rPr>
        <w:t>6.3 记名投票</w:t>
      </w:r>
    </w:p>
    <w:p>
      <w:pPr>
        <w:pStyle w:val="style0"/>
        <w:spacing w:lineRule="auto" w:line="360"/>
        <w:rPr>
          <w:rFonts w:cs="宋体" w:hint="default"/>
          <w:color w:val="auto"/>
          <w:kern w:val="0"/>
        </w:rPr>
      </w:pPr>
      <w:r>
        <w:rPr>
          <w:rFonts w:cs="宋体"/>
          <w:color w:val="auto"/>
          <w:kern w:val="0"/>
        </w:rPr>
        <w:t>在任何评标环节中，需评标委员会就某项定性的评审结论做出表决的，由评标委员会全体成员按照少数服从多数的原则，以记名投票方式表决。</w:t>
      </w:r>
    </w:p>
    <w:p>
      <w:pPr>
        <w:pStyle w:val="style0"/>
        <w:spacing w:lineRule="auto" w:line="360"/>
        <w:rPr>
          <w:rFonts w:cs="宋体" w:hint="default"/>
          <w:color w:val="auto"/>
          <w:kern w:val="0"/>
        </w:rPr>
      </w:pPr>
      <w:r>
        <w:rPr>
          <w:rFonts w:cs="宋体"/>
          <w:color w:val="auto"/>
          <w:kern w:val="0"/>
        </w:rPr>
        <w:t>7.补充条款</w:t>
      </w:r>
    </w:p>
    <w:p>
      <w:pPr>
        <w:pStyle w:val="style0"/>
        <w:spacing w:lineRule="auto" w:line="360"/>
        <w:rPr>
          <w:rFonts w:cs="宋体" w:hint="default"/>
          <w:color w:val="auto"/>
          <w:kern w:val="0"/>
        </w:rPr>
      </w:pPr>
      <w:r>
        <w:rPr>
          <w:rFonts w:cs="宋体"/>
          <w:color w:val="auto"/>
          <w:kern w:val="0"/>
        </w:rPr>
        <w:t>7.1 拟任总监理工程师现场答辩顺序确定方法</w:t>
      </w:r>
    </w:p>
    <w:p>
      <w:pPr>
        <w:pStyle w:val="style0"/>
        <w:spacing w:lineRule="auto" w:line="360"/>
        <w:rPr>
          <w:rFonts w:cs="宋体" w:hint="default"/>
          <w:color w:val="auto"/>
          <w:kern w:val="0"/>
        </w:rPr>
      </w:pPr>
      <w:r>
        <w:rPr>
          <w:rFonts w:cs="宋体"/>
          <w:color w:val="auto"/>
          <w:kern w:val="0"/>
        </w:rPr>
        <w:t>由电子评标系统自动进行总监理工程师答辩顺序抽签并通过短信告知投标人，投标人应在规定的答辩时间达到指定地点参加答辩。联系不上、未留存联系方式的，均视为自动放弃答辩，总监理工程师答辩计0分。</w:t>
      </w:r>
    </w:p>
    <w:p>
      <w:pPr>
        <w:pStyle w:val="style0"/>
        <w:rPr>
          <w:rFonts w:eastAsia="仿宋_GB2312" w:hint="default"/>
          <w:color w:val="auto"/>
        </w:rPr>
      </w:pPr>
      <w:r>
        <w:rPr>
          <w:rFonts w:cs="宋体"/>
          <w:color w:val="auto"/>
          <w:kern w:val="0"/>
        </w:rPr>
        <w:br w:type="page"/>
      </w:r>
      <w:bookmarkEnd w:id="142"/>
    </w:p>
    <w:p>
      <w:pPr>
        <w:pStyle w:val="style1"/>
        <w:keepNext w:val="false"/>
        <w:spacing w:before="0" w:after="0"/>
        <w:jc w:val="center"/>
        <w:rPr>
          <w:rFonts w:ascii="Times New Roman" w:eastAsia="黑体" w:hAnsi="Times New Roman" w:hint="default"/>
          <w:b w:val="false"/>
          <w:bCs w:val="false"/>
          <w:color w:val="auto"/>
        </w:rPr>
      </w:pPr>
    </w:p>
    <w:p>
      <w:pPr>
        <w:pStyle w:val="style1"/>
        <w:keepNext w:val="false"/>
        <w:spacing w:before="0" w:after="0"/>
        <w:jc w:val="center"/>
        <w:rPr>
          <w:rFonts w:ascii="Times New Roman" w:eastAsia="黑体" w:hAnsi="Times New Roman" w:hint="default"/>
          <w:b w:val="false"/>
          <w:bCs w:val="false"/>
          <w:color w:val="auto"/>
        </w:rPr>
      </w:pPr>
    </w:p>
    <w:p>
      <w:pPr>
        <w:pStyle w:val="style1"/>
        <w:keepNext w:val="false"/>
        <w:spacing w:before="0" w:after="0"/>
        <w:jc w:val="center"/>
        <w:rPr>
          <w:rFonts w:ascii="Times New Roman" w:eastAsia="黑体" w:hAnsi="Times New Roman" w:hint="default"/>
          <w:b w:val="false"/>
          <w:bCs w:val="false"/>
          <w:color w:val="auto"/>
        </w:rPr>
      </w:pPr>
    </w:p>
    <w:bookmarkStart w:id="143" w:name="_Toc27550612"/>
    <w:p>
      <w:pPr>
        <w:pStyle w:val="style1"/>
        <w:keepNext w:val="false"/>
        <w:spacing w:before="0" w:after="0"/>
        <w:jc w:val="center"/>
        <w:rPr>
          <w:rFonts w:ascii="宋体" w:cs="宋体" w:hAnsi="宋体" w:hint="default"/>
          <w:b w:val="false"/>
          <w:bCs w:val="false"/>
          <w:color w:val="auto"/>
          <w:kern w:val="0"/>
          <w:sz w:val="24"/>
          <w:szCs w:val="24"/>
        </w:rPr>
      </w:pPr>
      <w:r>
        <w:rPr>
          <w:rFonts w:ascii="宋体" w:cs="宋体" w:hAnsi="宋体"/>
          <w:b w:val="false"/>
          <w:bCs w:val="false"/>
          <w:color w:val="auto"/>
          <w:kern w:val="0"/>
          <w:sz w:val="24"/>
          <w:szCs w:val="24"/>
        </w:rPr>
        <w:t>第四章  合同条款及格式</w:t>
      </w:r>
      <w:bookmarkStart w:id="144" w:name="_Toc337558727"/>
      <w:bookmarkEnd w:id="143"/>
      <w:r>
        <w:rPr>
          <w:rFonts w:ascii="宋体" w:cs="宋体" w:hAnsi="宋体"/>
          <w:b w:val="false"/>
          <w:bCs w:val="false"/>
          <w:color w:val="auto"/>
          <w:kern w:val="0"/>
          <w:sz w:val="24"/>
          <w:szCs w:val="24"/>
        </w:rPr>
        <w:t xml:space="preserve"> </w:t>
      </w:r>
    </w:p>
    <w:p>
      <w:pPr>
        <w:pStyle w:val="style0"/>
        <w:spacing w:lineRule="exact" w:line="480"/>
        <w:ind w:firstLine="360" w:firstLineChars="150"/>
        <w:rPr>
          <w:rFonts w:cs="宋体" w:hint="default"/>
          <w:color w:val="auto"/>
          <w:kern w:val="0"/>
          <w:lang w:val="zh-CN"/>
        </w:rPr>
      </w:pPr>
    </w:p>
    <w:p>
      <w:pPr>
        <w:pStyle w:val="style0"/>
        <w:spacing w:lineRule="exact" w:line="480"/>
        <w:ind w:firstLine="360" w:firstLineChars="150"/>
        <w:rPr>
          <w:rFonts w:cs="宋体" w:hint="default"/>
          <w:color w:val="auto"/>
          <w:kern w:val="0"/>
        </w:rPr>
      </w:pPr>
      <w:r>
        <w:rPr>
          <w:rFonts w:cs="宋体"/>
          <w:color w:val="auto"/>
          <w:kern w:val="0"/>
        </w:rPr>
        <w:t>说明：合同条款及格式应当作为招标文件的组成部分，合同条款及格式采用《建设工程监理合同（示范文本）》（GF-2012-0202）。</w:t>
      </w:r>
    </w:p>
    <w:bookmarkEnd w:id="144"/>
    <w:p>
      <w:pPr>
        <w:pStyle w:val="style0"/>
        <w:spacing w:lineRule="auto" w:line="360"/>
        <w:jc w:val="center"/>
        <w:rPr>
          <w:rFonts w:ascii="仿宋_GB2312" w:eastAsia="仿宋_GB2312" w:hint="default"/>
          <w:b/>
          <w:bCs/>
          <w:color w:val="auto"/>
          <w:sz w:val="32"/>
          <w:szCs w:val="32"/>
        </w:rPr>
      </w:pPr>
      <w:r>
        <w:rPr>
          <w:rFonts w:eastAsia="仿宋_GB2312"/>
          <w:color w:val="auto"/>
        </w:rPr>
        <w:br w:type="page"/>
      </w:r>
    </w:p>
    <w:p>
      <w:pPr>
        <w:pStyle w:val="style0"/>
        <w:tabs>
          <w:tab w:val="left" w:leader="none" w:pos="3120"/>
        </w:tabs>
        <w:spacing w:lineRule="auto" w:line="360"/>
        <w:jc w:val="center"/>
        <w:rPr>
          <w:rFonts w:ascii="华文中宋" w:eastAsia="华文中宋" w:hAnsi="华文中宋" w:hint="default"/>
          <w:b/>
          <w:bCs/>
          <w:color w:val="auto"/>
          <w:sz w:val="28"/>
          <w:szCs w:val="28"/>
        </w:rPr>
      </w:pPr>
      <w:r>
        <w:rPr>
          <w:rFonts w:ascii="华文中宋" w:eastAsia="华文中宋" w:hAnsi="华文中宋"/>
          <w:b/>
          <w:bCs/>
          <w:color w:val="auto"/>
          <w:sz w:val="28"/>
          <w:szCs w:val="28"/>
        </w:rPr>
        <w:t>第一部分  协议书</w:t>
      </w:r>
    </w:p>
    <w:p>
      <w:pPr>
        <w:pStyle w:val="style0"/>
        <w:adjustRightInd w:val="false"/>
        <w:snapToGrid w:val="false"/>
        <w:spacing w:lineRule="auto" w:line="360"/>
        <w:ind w:firstLine="602" w:firstLineChars="250"/>
        <w:rPr>
          <w:rFonts w:cs="宋体" w:hint="default"/>
          <w:b/>
          <w:color w:val="auto"/>
        </w:rPr>
      </w:pPr>
    </w:p>
    <w:p>
      <w:pPr>
        <w:pStyle w:val="style0"/>
        <w:adjustRightInd w:val="false"/>
        <w:snapToGrid w:val="false"/>
        <w:spacing w:lineRule="auto" w:line="360"/>
        <w:ind w:firstLine="482" w:firstLineChars="200"/>
        <w:rPr>
          <w:rFonts w:cs="宋体" w:hint="default"/>
          <w:b/>
          <w:color w:val="auto"/>
        </w:rPr>
      </w:pPr>
      <w:r>
        <w:rPr>
          <w:rFonts w:cs="宋体"/>
          <w:b/>
          <w:color w:val="auto"/>
        </w:rPr>
        <w:t>委托人（全称）：</w:t>
      </w:r>
      <w:r>
        <w:rPr>
          <w:rFonts w:cs="宋体"/>
          <w:b/>
          <w:color w:val="auto"/>
          <w:u w:val="single"/>
        </w:rPr>
        <w:t xml:space="preserve">                                      </w:t>
      </w:r>
    </w:p>
    <w:p>
      <w:pPr>
        <w:pStyle w:val="style0"/>
        <w:adjustRightInd w:val="false"/>
        <w:snapToGrid w:val="false"/>
        <w:spacing w:lineRule="auto" w:line="360"/>
        <w:ind w:firstLine="482" w:firstLineChars="200"/>
        <w:rPr>
          <w:rFonts w:cs="宋体" w:hint="default"/>
          <w:color w:val="auto"/>
        </w:rPr>
      </w:pPr>
      <w:r>
        <w:rPr>
          <w:rFonts w:cs="宋体"/>
          <w:b/>
          <w:color w:val="auto"/>
        </w:rPr>
        <w:t>监理人（全称）：</w:t>
      </w:r>
      <w:r>
        <w:rPr>
          <w:rFonts w:cs="宋体"/>
          <w:b/>
          <w:color w:val="auto"/>
          <w:u w:val="single"/>
        </w:rPr>
        <w:t xml:space="preserve">                                   </w:t>
      </w:r>
      <w:r>
        <w:rPr>
          <w:rFonts w:cs="宋体"/>
          <w:color w:val="auto"/>
          <w:u w:val="single"/>
        </w:rPr>
        <w:t xml:space="preserve">   </w:t>
      </w:r>
    </w:p>
    <w:p>
      <w:pPr>
        <w:pStyle w:val="style0"/>
        <w:adjustRightInd w:val="false"/>
        <w:snapToGrid w:val="false"/>
        <w:spacing w:lineRule="exact" w:line="400"/>
        <w:ind w:firstLine="480" w:firstLineChars="200"/>
        <w:rPr>
          <w:rFonts w:cs="宋体" w:hint="default"/>
          <w:color w:val="auto"/>
          <w:u w:val="single"/>
        </w:rPr>
      </w:pPr>
      <w:r>
        <w:rPr>
          <w:rFonts w:cs="宋体"/>
          <w:color w:val="auto"/>
        </w:rPr>
        <w:t>根据《中华人民共和国合同法》、《中华人民共和国建筑法》及其他有关法律、法规，遵循平等、自愿、公平和诚信的原则，双方就下述工程委托监理与相关服务事项协商一致，订立本合同。</w:t>
      </w:r>
    </w:p>
    <w:p>
      <w:pPr>
        <w:pStyle w:val="style0"/>
        <w:spacing w:lineRule="exact" w:line="400"/>
        <w:ind w:firstLine="482" w:firstLineChars="200"/>
        <w:rPr>
          <w:rFonts w:cs="宋体" w:hint="default"/>
          <w:b/>
          <w:color w:val="auto"/>
        </w:rPr>
      </w:pPr>
      <w:r>
        <w:rPr>
          <w:rFonts w:cs="宋体"/>
          <w:b/>
          <w:color w:val="auto"/>
        </w:rPr>
        <w:t>一、工程概况</w:t>
      </w:r>
    </w:p>
    <w:p>
      <w:pPr>
        <w:pStyle w:val="style0"/>
        <w:adjustRightInd w:val="false"/>
        <w:snapToGrid w:val="false"/>
        <w:spacing w:lineRule="exact" w:line="400"/>
        <w:ind w:firstLine="475" w:firstLineChars="198"/>
        <w:rPr>
          <w:rFonts w:cs="宋体" w:hint="default"/>
          <w:color w:val="auto"/>
        </w:rPr>
      </w:pPr>
      <w:r>
        <w:rPr>
          <w:rFonts w:cs="宋体"/>
          <w:color w:val="auto"/>
        </w:rPr>
        <w:t>1. 工程名称：</w:t>
      </w:r>
      <w:r>
        <w:rPr>
          <w:rFonts w:cs="宋体"/>
          <w:color w:val="auto"/>
          <w:u w:val="single"/>
        </w:rPr>
        <w:t xml:space="preserve">                                        </w:t>
      </w:r>
      <w:r>
        <w:rPr>
          <w:rFonts w:cs="宋体"/>
          <w:color w:val="auto"/>
        </w:rPr>
        <w:t>；</w:t>
      </w:r>
    </w:p>
    <w:p>
      <w:pPr>
        <w:pStyle w:val="style0"/>
        <w:adjustRightInd w:val="false"/>
        <w:snapToGrid w:val="false"/>
        <w:spacing w:lineRule="exact" w:line="400"/>
        <w:ind w:firstLine="475" w:firstLineChars="198"/>
        <w:rPr>
          <w:rFonts w:cs="宋体" w:hint="default"/>
          <w:color w:val="auto"/>
        </w:rPr>
      </w:pPr>
      <w:r>
        <w:rPr>
          <w:rFonts w:cs="宋体"/>
          <w:color w:val="auto"/>
        </w:rPr>
        <w:t>2. 工程地点：</w:t>
      </w:r>
      <w:r>
        <w:rPr>
          <w:rFonts w:cs="宋体"/>
          <w:color w:val="auto"/>
          <w:u w:val="single"/>
        </w:rPr>
        <w:t xml:space="preserve">                                        </w:t>
      </w:r>
      <w:r>
        <w:rPr>
          <w:rFonts w:cs="宋体"/>
          <w:color w:val="auto"/>
        </w:rPr>
        <w:t>；</w:t>
      </w:r>
    </w:p>
    <w:p>
      <w:pPr>
        <w:pStyle w:val="style0"/>
        <w:adjustRightInd w:val="false"/>
        <w:snapToGrid w:val="false"/>
        <w:spacing w:lineRule="exact" w:line="400"/>
        <w:ind w:firstLine="475" w:firstLineChars="198"/>
        <w:rPr>
          <w:rFonts w:cs="宋体" w:hint="default"/>
          <w:color w:val="auto"/>
        </w:rPr>
      </w:pPr>
      <w:r>
        <w:rPr>
          <w:rFonts w:cs="宋体"/>
          <w:color w:val="auto"/>
        </w:rPr>
        <w:t>3. 工程规模：</w:t>
      </w:r>
      <w:r>
        <w:rPr>
          <w:rFonts w:cs="宋体"/>
          <w:color w:val="auto"/>
          <w:u w:val="single"/>
        </w:rPr>
        <w:t xml:space="preserve">                                        </w:t>
      </w:r>
      <w:r>
        <w:rPr>
          <w:rFonts w:cs="宋体"/>
          <w:color w:val="auto"/>
        </w:rPr>
        <w:t>；</w:t>
      </w:r>
    </w:p>
    <w:p>
      <w:pPr>
        <w:pStyle w:val="style0"/>
        <w:adjustRightInd w:val="false"/>
        <w:snapToGrid w:val="false"/>
        <w:spacing w:lineRule="exact" w:line="400"/>
        <w:ind w:firstLine="475" w:firstLineChars="198"/>
        <w:jc w:val="left"/>
        <w:rPr>
          <w:rFonts w:cs="宋体" w:hint="default"/>
          <w:color w:val="auto"/>
        </w:rPr>
      </w:pPr>
      <w:r>
        <w:rPr>
          <w:rFonts w:cs="宋体"/>
          <w:color w:val="auto"/>
        </w:rPr>
        <w:t>4. 工程</w:t>
      </w:r>
      <w:r>
        <w:rPr>
          <w:rFonts w:cs="宋体"/>
          <w:color w:val="auto"/>
          <w:kern w:val="0"/>
        </w:rPr>
        <w:t>概算投资额或建筑安装工程费</w:t>
      </w:r>
      <w:r>
        <w:rPr>
          <w:rFonts w:cs="宋体"/>
          <w:color w:val="auto"/>
        </w:rPr>
        <w:t>：</w:t>
      </w:r>
      <w:r>
        <w:rPr>
          <w:rFonts w:cs="宋体"/>
          <w:color w:val="auto"/>
          <w:u w:val="single"/>
        </w:rPr>
        <w:t xml:space="preserve">           </w:t>
      </w:r>
      <w:r>
        <w:rPr>
          <w:rFonts w:cs="宋体"/>
          <w:color w:val="auto"/>
        </w:rPr>
        <w:t>。</w:t>
      </w:r>
    </w:p>
    <w:p>
      <w:pPr>
        <w:pStyle w:val="style0"/>
        <w:spacing w:lineRule="exact" w:line="400"/>
        <w:ind w:firstLine="482" w:firstLineChars="200"/>
        <w:rPr>
          <w:rFonts w:cs="宋体" w:hint="default"/>
          <w:b/>
          <w:color w:val="auto"/>
        </w:rPr>
      </w:pPr>
      <w:r>
        <w:rPr>
          <w:rFonts w:cs="宋体"/>
          <w:b/>
          <w:color w:val="auto"/>
        </w:rPr>
        <w:t>二、词语限定</w:t>
      </w:r>
    </w:p>
    <w:p>
      <w:pPr>
        <w:pStyle w:val="style0"/>
        <w:adjustRightInd w:val="false"/>
        <w:snapToGrid w:val="false"/>
        <w:spacing w:lineRule="exact" w:line="400"/>
        <w:ind w:firstLine="475" w:firstLineChars="198"/>
        <w:rPr>
          <w:rFonts w:cs="宋体" w:hint="default"/>
          <w:color w:val="auto"/>
        </w:rPr>
      </w:pPr>
      <w:r>
        <w:rPr>
          <w:rFonts w:cs="宋体"/>
          <w:color w:val="auto"/>
        </w:rPr>
        <w:t>协议书中相关词语的含义与通用条件中的定义与解释相同。</w:t>
      </w:r>
    </w:p>
    <w:p>
      <w:pPr>
        <w:pStyle w:val="style0"/>
        <w:spacing w:lineRule="exact" w:line="400"/>
        <w:ind w:firstLine="482" w:firstLineChars="200"/>
        <w:rPr>
          <w:rFonts w:cs="宋体" w:hint="default"/>
          <w:b/>
          <w:color w:val="auto"/>
        </w:rPr>
      </w:pPr>
      <w:r>
        <w:rPr>
          <w:rFonts w:cs="宋体"/>
          <w:b/>
          <w:color w:val="auto"/>
        </w:rPr>
        <w:t>三、组成本合同的文件</w:t>
      </w:r>
    </w:p>
    <w:p>
      <w:pPr>
        <w:pStyle w:val="style0"/>
        <w:adjustRightInd w:val="false"/>
        <w:snapToGrid w:val="false"/>
        <w:spacing w:lineRule="exact" w:line="400"/>
        <w:ind w:firstLine="475" w:firstLineChars="198"/>
        <w:rPr>
          <w:rFonts w:cs="宋体" w:hint="default"/>
          <w:color w:val="auto"/>
        </w:rPr>
      </w:pPr>
      <w:r>
        <w:rPr>
          <w:rFonts w:cs="宋体"/>
          <w:color w:val="auto"/>
        </w:rPr>
        <w:t>1. 协议书；</w:t>
      </w:r>
    </w:p>
    <w:p>
      <w:pPr>
        <w:pStyle w:val="style0"/>
        <w:adjustRightInd w:val="false"/>
        <w:snapToGrid w:val="false"/>
        <w:spacing w:lineRule="exact" w:line="400"/>
        <w:ind w:firstLine="475" w:firstLineChars="198"/>
        <w:rPr>
          <w:rFonts w:cs="宋体" w:hint="default"/>
          <w:color w:val="auto"/>
        </w:rPr>
      </w:pPr>
      <w:r>
        <w:rPr>
          <w:rFonts w:cs="宋体"/>
          <w:color w:val="auto"/>
        </w:rPr>
        <w:t>2. 中标通知书（适用于招标工程）或委托书（适用于非招标工程）；</w:t>
      </w:r>
    </w:p>
    <w:p>
      <w:pPr>
        <w:pStyle w:val="style0"/>
        <w:adjustRightInd w:val="false"/>
        <w:snapToGrid w:val="false"/>
        <w:spacing w:lineRule="exact" w:line="400"/>
        <w:ind w:firstLine="475" w:firstLineChars="198"/>
        <w:rPr>
          <w:rFonts w:cs="宋体" w:hint="default"/>
          <w:color w:val="auto"/>
        </w:rPr>
      </w:pPr>
      <w:r>
        <w:rPr>
          <w:rFonts w:cs="宋体"/>
          <w:color w:val="auto"/>
        </w:rPr>
        <w:t>3. 响应文件（适用于招标工程）或监理与相关服务建议书（适用于非招标工程）；</w:t>
      </w:r>
    </w:p>
    <w:p>
      <w:pPr>
        <w:pStyle w:val="style0"/>
        <w:adjustRightInd w:val="false"/>
        <w:snapToGrid w:val="false"/>
        <w:spacing w:lineRule="exact" w:line="400"/>
        <w:rPr>
          <w:rFonts w:cs="宋体" w:hint="default"/>
          <w:color w:val="auto"/>
        </w:rPr>
      </w:pPr>
      <w:r>
        <w:rPr>
          <w:rFonts w:cs="宋体"/>
          <w:color w:val="auto"/>
        </w:rPr>
        <w:t xml:space="preserve">    4. 专用条件；</w:t>
      </w:r>
    </w:p>
    <w:p>
      <w:pPr>
        <w:pStyle w:val="style0"/>
        <w:adjustRightInd w:val="false"/>
        <w:snapToGrid w:val="false"/>
        <w:spacing w:lineRule="exact" w:line="400"/>
        <w:ind w:firstLine="475" w:firstLineChars="198"/>
        <w:rPr>
          <w:rFonts w:cs="宋体" w:hint="default"/>
          <w:color w:val="auto"/>
        </w:rPr>
      </w:pPr>
      <w:r>
        <w:rPr>
          <w:rFonts w:cs="宋体"/>
          <w:color w:val="auto"/>
        </w:rPr>
        <w:t>5. 通用条件；</w:t>
      </w:r>
    </w:p>
    <w:p>
      <w:pPr>
        <w:pStyle w:val="style0"/>
        <w:adjustRightInd w:val="false"/>
        <w:snapToGrid w:val="false"/>
        <w:spacing w:lineRule="exact" w:line="400"/>
        <w:ind w:firstLine="475" w:firstLineChars="198"/>
        <w:rPr>
          <w:rFonts w:cs="宋体" w:hint="default"/>
          <w:color w:val="auto"/>
        </w:rPr>
      </w:pPr>
      <w:r>
        <w:rPr>
          <w:rFonts w:cs="宋体"/>
          <w:color w:val="auto"/>
        </w:rPr>
        <w:t>6. 附录，即：</w:t>
      </w:r>
    </w:p>
    <w:p>
      <w:pPr>
        <w:pStyle w:val="style0"/>
        <w:adjustRightInd w:val="false"/>
        <w:snapToGrid w:val="false"/>
        <w:spacing w:lineRule="exact" w:line="400"/>
        <w:ind w:firstLine="475" w:firstLineChars="198"/>
        <w:rPr>
          <w:rFonts w:cs="宋体" w:hint="default"/>
          <w:color w:val="auto"/>
        </w:rPr>
      </w:pPr>
      <w:r>
        <w:rPr>
          <w:rFonts w:cs="宋体"/>
          <w:color w:val="auto"/>
        </w:rPr>
        <w:t>附录A  相关服务的范围和内容</w:t>
      </w:r>
    </w:p>
    <w:p>
      <w:pPr>
        <w:pStyle w:val="style0"/>
        <w:adjustRightInd w:val="false"/>
        <w:snapToGrid w:val="false"/>
        <w:spacing w:lineRule="exact" w:line="400"/>
        <w:ind w:firstLine="480" w:firstLineChars="200"/>
        <w:rPr>
          <w:rFonts w:cs="宋体" w:hint="default"/>
          <w:color w:val="auto"/>
        </w:rPr>
      </w:pPr>
      <w:r>
        <w:rPr>
          <w:rFonts w:cs="宋体"/>
          <w:color w:val="auto"/>
        </w:rPr>
        <w:t>附录B  委托人派遣的人员和提供的</w:t>
      </w:r>
      <w:r>
        <w:rPr>
          <w:rFonts w:cs="宋体"/>
          <w:bCs/>
          <w:color w:val="auto"/>
        </w:rPr>
        <w:t>房屋、资料</w:t>
      </w:r>
      <w:r>
        <w:rPr>
          <w:rFonts w:cs="宋体"/>
          <w:color w:val="auto"/>
        </w:rPr>
        <w:t>、设备</w:t>
      </w:r>
    </w:p>
    <w:p>
      <w:pPr>
        <w:pStyle w:val="style0"/>
        <w:adjustRightInd w:val="false"/>
        <w:snapToGrid w:val="false"/>
        <w:spacing w:lineRule="exact" w:line="400"/>
        <w:ind w:firstLine="475" w:firstLineChars="198"/>
        <w:rPr>
          <w:rFonts w:cs="宋体" w:hint="default"/>
          <w:color w:val="auto"/>
        </w:rPr>
      </w:pPr>
      <w:r>
        <w:rPr>
          <w:rFonts w:cs="宋体"/>
          <w:color w:val="auto"/>
        </w:rPr>
        <w:t>本合同签订后，双方依法签订的补充协议也是本合同文件的组成部分。</w:t>
      </w:r>
    </w:p>
    <w:p>
      <w:pPr>
        <w:pStyle w:val="style0"/>
        <w:spacing w:lineRule="exact" w:line="400"/>
        <w:ind w:firstLine="482" w:firstLineChars="200"/>
        <w:rPr>
          <w:rFonts w:cs="宋体" w:hint="default"/>
          <w:b/>
          <w:color w:val="auto"/>
        </w:rPr>
      </w:pPr>
      <w:r>
        <w:rPr>
          <w:rFonts w:cs="宋体"/>
          <w:b/>
          <w:color w:val="auto"/>
        </w:rPr>
        <w:t>四、总监理工程师</w:t>
      </w:r>
    </w:p>
    <w:p>
      <w:pPr>
        <w:pStyle w:val="style0"/>
        <w:adjustRightInd w:val="false"/>
        <w:snapToGrid w:val="false"/>
        <w:spacing w:lineRule="exact" w:line="400"/>
        <w:ind w:firstLine="475" w:firstLineChars="198"/>
        <w:rPr>
          <w:rFonts w:cs="宋体" w:hint="default"/>
          <w:color w:val="auto"/>
          <w:kern w:val="0"/>
        </w:rPr>
      </w:pPr>
      <w:r>
        <w:rPr>
          <w:rFonts w:cs="宋体"/>
          <w:color w:val="auto"/>
          <w:kern w:val="0"/>
        </w:rPr>
        <w:t>总监理工程师姓名：</w:t>
      </w:r>
      <w:r>
        <w:rPr>
          <w:rFonts w:cs="宋体"/>
          <w:color w:val="auto"/>
          <w:kern w:val="0"/>
          <w:u w:val="single"/>
        </w:rPr>
        <w:t xml:space="preserve">           </w:t>
      </w:r>
      <w:r>
        <w:rPr>
          <w:rFonts w:cs="宋体"/>
          <w:color w:val="auto"/>
          <w:kern w:val="0"/>
        </w:rPr>
        <w:t>，身份证号码：</w:t>
      </w:r>
      <w:r>
        <w:rPr>
          <w:rFonts w:cs="宋体"/>
          <w:color w:val="auto"/>
          <w:kern w:val="0"/>
          <w:u w:val="single"/>
        </w:rPr>
        <w:t xml:space="preserve">            </w:t>
      </w:r>
      <w:r>
        <w:rPr>
          <w:rFonts w:cs="宋体"/>
          <w:color w:val="auto"/>
          <w:kern w:val="0"/>
        </w:rPr>
        <w:t>，注册号：</w:t>
      </w:r>
      <w:r>
        <w:rPr>
          <w:rFonts w:cs="宋体"/>
          <w:color w:val="auto"/>
          <w:kern w:val="0"/>
          <w:u w:val="single"/>
        </w:rPr>
        <w:t xml:space="preserve">                 </w:t>
      </w:r>
      <w:r>
        <w:rPr>
          <w:rFonts w:cs="宋体"/>
          <w:color w:val="auto"/>
          <w:kern w:val="0"/>
        </w:rPr>
        <w:t>。</w:t>
      </w:r>
    </w:p>
    <w:p>
      <w:pPr>
        <w:pStyle w:val="style0"/>
        <w:spacing w:lineRule="exact" w:line="400"/>
        <w:ind w:firstLine="482" w:firstLineChars="200"/>
        <w:rPr>
          <w:rFonts w:cs="宋体" w:hint="default"/>
          <w:b/>
          <w:color w:val="auto"/>
        </w:rPr>
      </w:pPr>
      <w:r>
        <w:rPr>
          <w:rFonts w:cs="宋体"/>
          <w:b/>
          <w:color w:val="auto"/>
        </w:rPr>
        <w:t>五、签约酬金</w:t>
      </w:r>
    </w:p>
    <w:p>
      <w:pPr>
        <w:pStyle w:val="style0"/>
        <w:adjustRightInd w:val="false"/>
        <w:snapToGrid w:val="false"/>
        <w:spacing w:lineRule="exact" w:line="400"/>
        <w:ind w:firstLine="475" w:firstLineChars="198"/>
        <w:rPr>
          <w:rFonts w:cs="宋体" w:hint="default"/>
          <w:color w:val="auto"/>
        </w:rPr>
      </w:pPr>
      <w:r>
        <w:rPr>
          <w:rFonts w:cs="宋体"/>
          <w:color w:val="auto"/>
        </w:rPr>
        <w:t>签约酬金（大写）：</w:t>
      </w:r>
      <w:r>
        <w:rPr>
          <w:rFonts w:cs="宋体"/>
          <w:color w:val="auto"/>
          <w:u w:val="single"/>
        </w:rPr>
        <w:t xml:space="preserve">                            </w:t>
      </w:r>
      <w:r>
        <w:rPr>
          <w:rFonts w:cs="宋体"/>
          <w:color w:val="auto"/>
        </w:rPr>
        <w:t>（¥        ）。</w:t>
      </w:r>
    </w:p>
    <w:p>
      <w:pPr>
        <w:pStyle w:val="style0"/>
        <w:adjustRightInd w:val="false"/>
        <w:snapToGrid w:val="false"/>
        <w:spacing w:lineRule="exact" w:line="400"/>
        <w:ind w:firstLine="475" w:firstLineChars="198"/>
        <w:rPr>
          <w:rFonts w:cs="宋体" w:hint="default"/>
          <w:color w:val="auto"/>
        </w:rPr>
      </w:pPr>
      <w:r>
        <w:rPr>
          <w:rFonts w:cs="宋体"/>
          <w:color w:val="auto"/>
        </w:rPr>
        <w:t>包括：</w:t>
      </w:r>
    </w:p>
    <w:p>
      <w:pPr>
        <w:pStyle w:val="style0"/>
        <w:adjustRightInd w:val="false"/>
        <w:snapToGrid w:val="false"/>
        <w:spacing w:lineRule="exact" w:line="400"/>
        <w:ind w:firstLine="600" w:firstLineChars="250"/>
        <w:rPr>
          <w:rFonts w:cs="宋体" w:hint="default"/>
          <w:color w:val="auto"/>
        </w:rPr>
      </w:pPr>
      <w:r>
        <w:rPr>
          <w:rFonts w:cs="宋体"/>
          <w:color w:val="auto"/>
        </w:rPr>
        <w:t>1. 监理酬金：</w:t>
      </w:r>
      <w:r>
        <w:rPr>
          <w:rFonts w:cs="宋体"/>
          <w:color w:val="auto"/>
          <w:u w:val="single"/>
        </w:rPr>
        <w:t xml:space="preserve">                                 </w:t>
      </w:r>
      <w:r>
        <w:rPr>
          <w:rFonts w:cs="宋体"/>
          <w:color w:val="auto"/>
        </w:rPr>
        <w:t>。</w:t>
      </w:r>
    </w:p>
    <w:p>
      <w:pPr>
        <w:pStyle w:val="style0"/>
        <w:adjustRightInd w:val="false"/>
        <w:snapToGrid w:val="false"/>
        <w:spacing w:lineRule="exact" w:line="400"/>
        <w:ind w:firstLine="600" w:firstLineChars="250"/>
        <w:rPr>
          <w:rFonts w:cs="宋体" w:hint="default"/>
          <w:color w:val="auto"/>
        </w:rPr>
      </w:pPr>
      <w:r>
        <w:rPr>
          <w:rFonts w:cs="宋体"/>
          <w:color w:val="auto"/>
        </w:rPr>
        <w:t>2. 相关服务酬金：</w:t>
      </w:r>
      <w:r>
        <w:rPr>
          <w:rFonts w:cs="宋体"/>
          <w:color w:val="auto"/>
          <w:u w:val="single"/>
        </w:rPr>
        <w:t xml:space="preserve">                            </w:t>
      </w:r>
      <w:r>
        <w:rPr>
          <w:rFonts w:cs="宋体"/>
          <w:color w:val="auto"/>
        </w:rPr>
        <w:t>。</w:t>
      </w:r>
    </w:p>
    <w:p>
      <w:pPr>
        <w:pStyle w:val="style0"/>
        <w:adjustRightInd w:val="false"/>
        <w:snapToGrid w:val="false"/>
        <w:spacing w:lineRule="exact" w:line="400"/>
        <w:ind w:firstLine="600" w:firstLineChars="250"/>
        <w:rPr>
          <w:rFonts w:cs="宋体" w:hint="default"/>
          <w:color w:val="auto"/>
        </w:rPr>
      </w:pPr>
      <w:r>
        <w:rPr>
          <w:rFonts w:cs="宋体"/>
          <w:color w:val="auto"/>
        </w:rPr>
        <w:t>其中：</w:t>
      </w:r>
    </w:p>
    <w:p>
      <w:pPr>
        <w:pStyle w:val="style0"/>
        <w:adjustRightInd w:val="false"/>
        <w:snapToGrid w:val="false"/>
        <w:spacing w:lineRule="exact" w:line="400"/>
        <w:ind w:firstLine="960" w:firstLineChars="400"/>
        <w:rPr>
          <w:rFonts w:cs="宋体" w:hint="default"/>
          <w:color w:val="auto"/>
        </w:rPr>
      </w:pPr>
      <w:r>
        <w:rPr>
          <w:rFonts w:cs="宋体"/>
          <w:color w:val="auto"/>
          <w:kern w:val="0"/>
        </w:rPr>
        <w:t>（1）勘察阶段服务</w:t>
      </w:r>
      <w:r>
        <w:rPr>
          <w:rFonts w:cs="宋体"/>
          <w:color w:val="auto"/>
        </w:rPr>
        <w:t>酬金：</w:t>
      </w:r>
      <w:r>
        <w:rPr>
          <w:rFonts w:cs="宋体"/>
          <w:color w:val="auto"/>
          <w:u w:val="single"/>
        </w:rPr>
        <w:t xml:space="preserve">                           </w:t>
      </w:r>
      <w:r>
        <w:rPr>
          <w:rFonts w:cs="宋体"/>
          <w:color w:val="auto"/>
        </w:rPr>
        <w:t>。</w:t>
      </w:r>
    </w:p>
    <w:p>
      <w:pPr>
        <w:pStyle w:val="style0"/>
        <w:adjustRightInd w:val="false"/>
        <w:snapToGrid w:val="false"/>
        <w:spacing w:lineRule="exact" w:line="400"/>
        <w:ind w:firstLine="960" w:firstLineChars="400"/>
        <w:rPr>
          <w:rFonts w:cs="宋体" w:hint="default"/>
          <w:color w:val="auto"/>
        </w:rPr>
      </w:pPr>
      <w:r>
        <w:rPr>
          <w:rFonts w:cs="宋体"/>
          <w:color w:val="auto"/>
          <w:kern w:val="0"/>
        </w:rPr>
        <w:t>（2）设计阶段服务</w:t>
      </w:r>
      <w:r>
        <w:rPr>
          <w:rFonts w:cs="宋体"/>
          <w:color w:val="auto"/>
        </w:rPr>
        <w:t>酬金：</w:t>
      </w:r>
      <w:r>
        <w:rPr>
          <w:rFonts w:cs="宋体"/>
          <w:color w:val="auto"/>
          <w:u w:val="single"/>
        </w:rPr>
        <w:t xml:space="preserve">                           </w:t>
      </w:r>
      <w:r>
        <w:rPr>
          <w:rFonts w:cs="宋体"/>
          <w:color w:val="auto"/>
        </w:rPr>
        <w:t>。</w:t>
      </w:r>
    </w:p>
    <w:p>
      <w:pPr>
        <w:pStyle w:val="style0"/>
        <w:adjustRightInd w:val="false"/>
        <w:snapToGrid w:val="false"/>
        <w:spacing w:lineRule="exact" w:line="400"/>
        <w:ind w:firstLine="960" w:firstLineChars="400"/>
        <w:rPr>
          <w:rFonts w:cs="宋体" w:hint="default"/>
          <w:color w:val="auto"/>
        </w:rPr>
      </w:pPr>
      <w:r>
        <w:rPr>
          <w:rFonts w:cs="宋体"/>
          <w:color w:val="auto"/>
          <w:kern w:val="0"/>
        </w:rPr>
        <w:t>（3）保修阶段服务</w:t>
      </w:r>
      <w:r>
        <w:rPr>
          <w:rFonts w:cs="宋体"/>
          <w:color w:val="auto"/>
        </w:rPr>
        <w:t>酬金：</w:t>
      </w:r>
      <w:r>
        <w:rPr>
          <w:rFonts w:cs="宋体"/>
          <w:color w:val="auto"/>
          <w:u w:val="single"/>
        </w:rPr>
        <w:t xml:space="preserve">                           </w:t>
      </w:r>
      <w:r>
        <w:rPr>
          <w:rFonts w:cs="宋体"/>
          <w:color w:val="auto"/>
        </w:rPr>
        <w:t>。</w:t>
      </w:r>
    </w:p>
    <w:p>
      <w:pPr>
        <w:pStyle w:val="style0"/>
        <w:adjustRightInd w:val="false"/>
        <w:snapToGrid w:val="false"/>
        <w:spacing w:lineRule="exact" w:line="400"/>
        <w:ind w:firstLine="960" w:firstLineChars="400"/>
        <w:rPr>
          <w:rFonts w:cs="宋体" w:hint="default"/>
          <w:color w:val="auto"/>
        </w:rPr>
      </w:pPr>
      <w:r>
        <w:rPr>
          <w:rFonts w:cs="宋体"/>
          <w:color w:val="auto"/>
          <w:kern w:val="0"/>
        </w:rPr>
        <w:t>（4）</w:t>
      </w:r>
      <w:r>
        <w:rPr>
          <w:rFonts w:cs="宋体"/>
          <w:color w:val="auto"/>
        </w:rPr>
        <w:t>其他相关服务酬金：</w:t>
      </w:r>
      <w:r>
        <w:rPr>
          <w:rFonts w:cs="宋体"/>
          <w:color w:val="auto"/>
          <w:u w:val="single"/>
        </w:rPr>
        <w:t xml:space="preserve">                           </w:t>
      </w:r>
      <w:r>
        <w:rPr>
          <w:rFonts w:cs="宋体"/>
          <w:color w:val="auto"/>
        </w:rPr>
        <w:t>。</w:t>
      </w:r>
    </w:p>
    <w:p>
      <w:pPr>
        <w:pStyle w:val="style0"/>
        <w:spacing w:lineRule="exact" w:line="400"/>
        <w:ind w:firstLine="482" w:firstLineChars="200"/>
        <w:rPr>
          <w:rFonts w:cs="宋体" w:hint="default"/>
          <w:b/>
          <w:color w:val="auto"/>
        </w:rPr>
      </w:pPr>
      <w:r>
        <w:rPr>
          <w:rFonts w:cs="宋体"/>
          <w:b/>
          <w:color w:val="auto"/>
        </w:rPr>
        <w:t>六、期限</w:t>
      </w:r>
    </w:p>
    <w:p>
      <w:pPr>
        <w:pStyle w:val="style0"/>
        <w:adjustRightInd w:val="false"/>
        <w:snapToGrid w:val="false"/>
        <w:spacing w:lineRule="exact" w:line="400"/>
        <w:ind w:firstLine="600" w:firstLineChars="250"/>
        <w:jc w:val="left"/>
        <w:rPr>
          <w:rFonts w:cs="宋体" w:hint="default"/>
          <w:color w:val="auto"/>
        </w:rPr>
      </w:pPr>
      <w:r>
        <w:rPr>
          <w:rFonts w:cs="宋体"/>
          <w:color w:val="auto"/>
          <w:kern w:val="0"/>
        </w:rPr>
        <w:t xml:space="preserve">1. </w:t>
      </w:r>
      <w:r>
        <w:rPr>
          <w:rFonts w:cs="宋体"/>
          <w:color w:val="auto"/>
        </w:rPr>
        <w:t>监理期限：</w:t>
      </w:r>
    </w:p>
    <w:p>
      <w:pPr>
        <w:pStyle w:val="style0"/>
        <w:adjustRightInd w:val="false"/>
        <w:snapToGrid w:val="false"/>
        <w:spacing w:lineRule="exact" w:line="400"/>
        <w:ind w:firstLine="600" w:firstLineChars="250"/>
        <w:jc w:val="left"/>
        <w:rPr>
          <w:rFonts w:cs="宋体" w:hint="default"/>
          <w:color w:val="auto"/>
        </w:rPr>
      </w:pPr>
      <w:r>
        <w:rPr>
          <w:rFonts w:cs="宋体"/>
          <w:color w:val="auto"/>
        </w:rPr>
        <w:t>自</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日始，至</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日止。</w:t>
      </w:r>
    </w:p>
    <w:p>
      <w:pPr>
        <w:pStyle w:val="style0"/>
        <w:adjustRightInd w:val="false"/>
        <w:snapToGrid w:val="false"/>
        <w:spacing w:lineRule="exact" w:line="400"/>
        <w:ind w:firstLine="600" w:firstLineChars="250"/>
        <w:rPr>
          <w:rFonts w:cs="宋体" w:hint="default"/>
          <w:color w:val="auto"/>
        </w:rPr>
      </w:pPr>
      <w:r>
        <w:rPr>
          <w:rFonts w:cs="宋体"/>
          <w:color w:val="auto"/>
          <w:kern w:val="0"/>
        </w:rPr>
        <w:t xml:space="preserve">2. </w:t>
      </w:r>
      <w:r>
        <w:rPr>
          <w:rFonts w:cs="宋体"/>
          <w:color w:val="auto"/>
        </w:rPr>
        <w:t>相关服务期限：</w:t>
      </w:r>
    </w:p>
    <w:p>
      <w:pPr>
        <w:pStyle w:val="style0"/>
        <w:adjustRightInd w:val="false"/>
        <w:snapToGrid w:val="false"/>
        <w:spacing w:lineRule="exact" w:line="400"/>
        <w:ind w:firstLine="600" w:firstLineChars="250"/>
        <w:rPr>
          <w:rFonts w:cs="宋体" w:hint="default"/>
          <w:color w:val="auto"/>
        </w:rPr>
      </w:pPr>
      <w:r>
        <w:rPr>
          <w:rFonts w:cs="宋体"/>
          <w:color w:val="auto"/>
          <w:kern w:val="0"/>
        </w:rPr>
        <w:t>（1）勘察阶段</w:t>
      </w:r>
      <w:r>
        <w:rPr>
          <w:rFonts w:cs="宋体"/>
          <w:color w:val="auto"/>
        </w:rPr>
        <w:t>服务期限自</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日始，至</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日止。</w:t>
      </w:r>
    </w:p>
    <w:p>
      <w:pPr>
        <w:pStyle w:val="style0"/>
        <w:adjustRightInd w:val="false"/>
        <w:snapToGrid w:val="false"/>
        <w:spacing w:lineRule="exact" w:line="400"/>
        <w:ind w:firstLine="600" w:firstLineChars="250"/>
        <w:rPr>
          <w:rFonts w:cs="宋体" w:hint="default"/>
          <w:color w:val="auto"/>
        </w:rPr>
      </w:pPr>
      <w:r>
        <w:rPr>
          <w:rFonts w:cs="宋体"/>
          <w:color w:val="auto"/>
          <w:kern w:val="0"/>
        </w:rPr>
        <w:t>（2）设计阶段</w:t>
      </w:r>
      <w:r>
        <w:rPr>
          <w:rFonts w:cs="宋体"/>
          <w:color w:val="auto"/>
        </w:rPr>
        <w:t>服务期限自</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日始，至</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日止。</w:t>
      </w:r>
    </w:p>
    <w:p>
      <w:pPr>
        <w:pStyle w:val="style0"/>
        <w:adjustRightInd w:val="false"/>
        <w:snapToGrid w:val="false"/>
        <w:spacing w:lineRule="exact" w:line="400"/>
        <w:ind w:firstLine="600" w:firstLineChars="250"/>
        <w:rPr>
          <w:rFonts w:cs="宋体" w:hint="default"/>
          <w:color w:val="auto"/>
        </w:rPr>
      </w:pPr>
      <w:r>
        <w:rPr>
          <w:rFonts w:cs="宋体"/>
          <w:color w:val="auto"/>
          <w:kern w:val="0"/>
        </w:rPr>
        <w:t>（3）保修阶段</w:t>
      </w:r>
      <w:r>
        <w:rPr>
          <w:rFonts w:cs="宋体"/>
          <w:color w:val="auto"/>
        </w:rPr>
        <w:t>服务期限自</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日始，至</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日止。</w:t>
      </w:r>
    </w:p>
    <w:p>
      <w:pPr>
        <w:pStyle w:val="style0"/>
        <w:adjustRightInd w:val="false"/>
        <w:snapToGrid w:val="false"/>
        <w:spacing w:lineRule="exact" w:line="400"/>
        <w:ind w:firstLine="600" w:firstLineChars="250"/>
        <w:rPr>
          <w:rFonts w:cs="宋体" w:hint="default"/>
          <w:color w:val="auto"/>
        </w:rPr>
      </w:pPr>
      <w:r>
        <w:rPr>
          <w:rFonts w:cs="宋体"/>
          <w:color w:val="auto"/>
          <w:kern w:val="0"/>
        </w:rPr>
        <w:t>（4）</w:t>
      </w:r>
      <w:r>
        <w:rPr>
          <w:rFonts w:cs="宋体"/>
          <w:color w:val="auto"/>
        </w:rPr>
        <w:t>其他相关服务期限自</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日始，至</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日止。</w:t>
      </w:r>
    </w:p>
    <w:p>
      <w:pPr>
        <w:pStyle w:val="style0"/>
        <w:spacing w:lineRule="exact" w:line="400"/>
        <w:ind w:firstLine="482" w:firstLineChars="200"/>
        <w:rPr>
          <w:rFonts w:cs="宋体" w:hint="default"/>
          <w:b/>
          <w:color w:val="auto"/>
        </w:rPr>
      </w:pPr>
      <w:r>
        <w:rPr>
          <w:rFonts w:cs="宋体"/>
          <w:b/>
          <w:color w:val="auto"/>
        </w:rPr>
        <w:t>七、双方承诺</w:t>
      </w:r>
    </w:p>
    <w:p>
      <w:pPr>
        <w:pStyle w:val="style0"/>
        <w:adjustRightInd w:val="false"/>
        <w:snapToGrid w:val="false"/>
        <w:spacing w:lineRule="exact" w:line="400"/>
        <w:ind w:firstLine="480" w:firstLineChars="200"/>
        <w:rPr>
          <w:rFonts w:cs="宋体" w:hint="default"/>
          <w:color w:val="auto"/>
        </w:rPr>
      </w:pPr>
      <w:r>
        <w:rPr>
          <w:rFonts w:cs="宋体"/>
          <w:color w:val="auto"/>
        </w:rPr>
        <w:t>1. 监理人向委托人承诺，按照本合同约定提供监理与相关服务。</w:t>
      </w:r>
    </w:p>
    <w:p>
      <w:pPr>
        <w:pStyle w:val="style0"/>
        <w:adjustRightInd w:val="false"/>
        <w:snapToGrid w:val="false"/>
        <w:spacing w:lineRule="exact" w:line="400"/>
        <w:ind w:firstLine="480" w:firstLineChars="200"/>
        <w:rPr>
          <w:rFonts w:cs="宋体" w:hint="default"/>
          <w:color w:val="auto"/>
        </w:rPr>
      </w:pPr>
      <w:r>
        <w:rPr>
          <w:rFonts w:cs="宋体"/>
          <w:color w:val="auto"/>
        </w:rPr>
        <w:t>2. 委托人向监理人承诺，按照本合同约定派遣相应的人员，提供房屋、资料、设备，并按本合同约定支付酬金。</w:t>
      </w:r>
    </w:p>
    <w:p>
      <w:pPr>
        <w:pStyle w:val="style0"/>
        <w:spacing w:lineRule="exact" w:line="400"/>
        <w:ind w:firstLine="482" w:firstLineChars="200"/>
        <w:rPr>
          <w:rFonts w:cs="宋体" w:hint="default"/>
          <w:b/>
          <w:color w:val="auto"/>
        </w:rPr>
      </w:pPr>
      <w:r>
        <w:rPr>
          <w:rFonts w:cs="宋体"/>
          <w:b/>
          <w:color w:val="auto"/>
        </w:rPr>
        <w:t>八、合同订立</w:t>
      </w:r>
    </w:p>
    <w:p>
      <w:pPr>
        <w:pStyle w:val="style0"/>
        <w:adjustRightInd w:val="false"/>
        <w:snapToGrid w:val="false"/>
        <w:spacing w:lineRule="exact" w:line="400"/>
        <w:ind w:firstLine="475" w:firstLineChars="198"/>
        <w:rPr>
          <w:rFonts w:cs="宋体" w:hint="default"/>
          <w:color w:val="auto"/>
        </w:rPr>
      </w:pPr>
      <w:r>
        <w:rPr>
          <w:rFonts w:cs="宋体"/>
          <w:color w:val="auto"/>
        </w:rPr>
        <w:t>1. 订立时间：</w:t>
      </w:r>
      <w:r>
        <w:rPr>
          <w:rFonts w:cs="宋体"/>
          <w:color w:val="auto"/>
          <w:u w:val="single"/>
        </w:rPr>
        <w:t xml:space="preserve">          </w:t>
      </w:r>
      <w:r>
        <w:rPr>
          <w:rFonts w:cs="宋体"/>
          <w:color w:val="auto"/>
        </w:rPr>
        <w:t>年</w:t>
      </w:r>
      <w:r>
        <w:rPr>
          <w:rFonts w:cs="宋体"/>
          <w:color w:val="auto"/>
          <w:u w:val="single"/>
        </w:rPr>
        <w:t xml:space="preserve">       </w:t>
      </w:r>
      <w:r>
        <w:rPr>
          <w:rFonts w:cs="宋体"/>
          <w:color w:val="auto"/>
        </w:rPr>
        <w:t>月</w:t>
      </w:r>
      <w:r>
        <w:rPr>
          <w:rFonts w:cs="宋体"/>
          <w:color w:val="auto"/>
          <w:u w:val="single"/>
        </w:rPr>
        <w:t xml:space="preserve">      </w:t>
      </w:r>
      <w:r>
        <w:rPr>
          <w:rFonts w:cs="宋体"/>
          <w:color w:val="auto"/>
        </w:rPr>
        <w:t>日。</w:t>
      </w:r>
    </w:p>
    <w:p>
      <w:pPr>
        <w:pStyle w:val="style0"/>
        <w:adjustRightInd w:val="false"/>
        <w:snapToGrid w:val="false"/>
        <w:spacing w:lineRule="exact" w:line="400"/>
        <w:ind w:firstLine="475" w:firstLineChars="198"/>
        <w:rPr>
          <w:rFonts w:cs="宋体" w:hint="default"/>
          <w:color w:val="auto"/>
        </w:rPr>
      </w:pPr>
      <w:r>
        <w:rPr>
          <w:rFonts w:cs="宋体"/>
          <w:color w:val="auto"/>
        </w:rPr>
        <w:t>2. 订立地点：</w:t>
      </w:r>
      <w:r>
        <w:rPr>
          <w:rFonts w:cs="宋体"/>
          <w:color w:val="auto"/>
          <w:u w:val="single"/>
        </w:rPr>
        <w:t xml:space="preserve">                                 </w:t>
      </w:r>
      <w:r>
        <w:rPr>
          <w:rFonts w:cs="宋体"/>
          <w:color w:val="auto"/>
        </w:rPr>
        <w:t>。</w:t>
      </w:r>
    </w:p>
    <w:p>
      <w:pPr>
        <w:pStyle w:val="style0"/>
        <w:adjustRightInd w:val="false"/>
        <w:snapToGrid w:val="false"/>
        <w:spacing w:lineRule="exact" w:line="400"/>
        <w:ind w:left="722" w:leftChars="301"/>
        <w:rPr>
          <w:rFonts w:cs="宋体" w:hint="default"/>
          <w:color w:val="auto"/>
        </w:rPr>
      </w:pPr>
      <w:r>
        <w:rPr>
          <w:rFonts w:cs="宋体"/>
          <w:color w:val="auto"/>
        </w:rPr>
        <w:t>3. 本合同一式</w:t>
      </w:r>
      <w:r>
        <w:rPr>
          <w:rFonts w:cs="宋体"/>
          <w:color w:val="auto"/>
          <w:u w:val="single"/>
        </w:rPr>
        <w:t xml:space="preserve">    </w:t>
      </w:r>
      <w:r>
        <w:rPr>
          <w:rFonts w:cs="宋体"/>
          <w:color w:val="auto"/>
        </w:rPr>
        <w:t>份，具有同等法律效力，双方各执</w:t>
      </w:r>
      <w:r>
        <w:rPr>
          <w:rFonts w:cs="宋体"/>
          <w:color w:val="auto"/>
          <w:u w:val="single"/>
        </w:rPr>
        <w:t xml:space="preserve">     </w:t>
      </w:r>
      <w:r>
        <w:rPr>
          <w:rFonts w:cs="宋体"/>
          <w:color w:val="auto"/>
        </w:rPr>
        <w:t>份。</w:t>
      </w:r>
    </w:p>
    <w:p>
      <w:pPr>
        <w:pStyle w:val="style0"/>
        <w:adjustRightInd w:val="false"/>
        <w:snapToGrid w:val="false"/>
        <w:spacing w:lineRule="exact" w:line="400"/>
        <w:ind w:firstLine="475" w:firstLineChars="198"/>
        <w:rPr>
          <w:rFonts w:cs="宋体" w:hint="default"/>
          <w:color w:val="auto"/>
        </w:rPr>
      </w:pPr>
    </w:p>
    <w:p>
      <w:pPr>
        <w:pStyle w:val="style0"/>
        <w:adjustRightInd w:val="false"/>
        <w:snapToGrid w:val="false"/>
        <w:spacing w:lineRule="exact" w:line="400"/>
        <w:ind w:firstLine="475" w:firstLineChars="198"/>
        <w:rPr>
          <w:rFonts w:cs="宋体" w:hint="default"/>
          <w:color w:val="auto"/>
        </w:rPr>
      </w:pPr>
      <w:r>
        <w:rPr>
          <w:rFonts w:cs="宋体"/>
          <w:color w:val="auto"/>
        </w:rPr>
        <w:t>委托人：</w:t>
      </w:r>
      <w:r>
        <w:rPr>
          <w:rFonts w:cs="宋体"/>
          <w:color w:val="auto"/>
          <w:u w:val="single"/>
        </w:rPr>
        <w:t xml:space="preserve">   （盖章）     </w:t>
      </w:r>
      <w:r>
        <w:rPr>
          <w:rFonts w:cs="宋体"/>
          <w:color w:val="auto"/>
        </w:rPr>
        <w:t xml:space="preserve">                监理人：</w:t>
      </w:r>
      <w:r>
        <w:rPr>
          <w:rFonts w:cs="宋体"/>
          <w:color w:val="auto"/>
          <w:u w:val="single"/>
        </w:rPr>
        <w:t xml:space="preserve">   （盖章）    </w:t>
      </w:r>
    </w:p>
    <w:p>
      <w:pPr>
        <w:pStyle w:val="style0"/>
        <w:adjustRightInd w:val="false"/>
        <w:snapToGrid w:val="false"/>
        <w:spacing w:lineRule="exact" w:line="400"/>
        <w:ind w:firstLine="475" w:firstLineChars="198"/>
        <w:rPr>
          <w:rFonts w:cs="宋体" w:hint="default"/>
          <w:color w:val="auto"/>
        </w:rPr>
      </w:pPr>
      <w:r>
        <w:rPr>
          <w:rFonts w:cs="宋体"/>
          <w:color w:val="auto"/>
        </w:rPr>
        <w:t xml:space="preserve">住所： </w:t>
      </w:r>
      <w:r>
        <w:rPr>
          <w:rFonts w:cs="宋体"/>
          <w:color w:val="auto"/>
          <w:u w:val="single"/>
        </w:rPr>
        <w:t xml:space="preserve">                     </w:t>
      </w:r>
      <w:r>
        <w:rPr>
          <w:rFonts w:cs="宋体"/>
          <w:color w:val="auto"/>
        </w:rPr>
        <w:t xml:space="preserve">            住所： </w:t>
      </w:r>
      <w:r>
        <w:rPr>
          <w:rFonts w:cs="宋体"/>
          <w:color w:val="auto"/>
          <w:u w:val="single"/>
        </w:rPr>
        <w:t xml:space="preserve">                      </w:t>
      </w:r>
    </w:p>
    <w:p>
      <w:pPr>
        <w:pStyle w:val="style0"/>
        <w:adjustRightInd w:val="false"/>
        <w:snapToGrid w:val="false"/>
        <w:spacing w:lineRule="exact" w:line="400"/>
        <w:ind w:firstLine="480" w:firstLineChars="200"/>
        <w:rPr>
          <w:rFonts w:cs="宋体" w:hint="default"/>
          <w:color w:val="auto"/>
        </w:rPr>
      </w:pPr>
      <w:r>
        <w:rPr>
          <w:rFonts w:cs="宋体"/>
          <w:color w:val="auto"/>
        </w:rPr>
        <w:t>邮政编码：</w:t>
      </w:r>
      <w:r>
        <w:rPr>
          <w:rFonts w:cs="宋体"/>
          <w:color w:val="auto"/>
          <w:u w:val="single"/>
        </w:rPr>
        <w:t xml:space="preserve">                 </w:t>
      </w:r>
      <w:r>
        <w:rPr>
          <w:rFonts w:cs="宋体"/>
          <w:color w:val="auto"/>
        </w:rPr>
        <w:t xml:space="preserve">             邮政编码：</w:t>
      </w:r>
      <w:r>
        <w:rPr>
          <w:rFonts w:cs="宋体"/>
          <w:color w:val="auto"/>
          <w:u w:val="single"/>
        </w:rPr>
        <w:t xml:space="preserve">                  </w:t>
      </w:r>
    </w:p>
    <w:p>
      <w:pPr>
        <w:pStyle w:val="style0"/>
        <w:adjustRightInd w:val="false"/>
        <w:snapToGrid w:val="false"/>
        <w:spacing w:lineRule="exact" w:line="400"/>
        <w:ind w:firstLine="475" w:firstLineChars="198"/>
        <w:rPr>
          <w:rFonts w:cs="宋体" w:hint="default"/>
          <w:color w:val="auto"/>
        </w:rPr>
      </w:pPr>
      <w:r>
        <w:rPr>
          <w:rFonts w:cs="宋体"/>
          <w:color w:val="auto"/>
        </w:rPr>
        <w:t>法定代表人或其授权                      法定代表人或其授权</w:t>
      </w:r>
    </w:p>
    <w:p>
      <w:pPr>
        <w:pStyle w:val="style0"/>
        <w:adjustRightInd w:val="false"/>
        <w:snapToGrid w:val="false"/>
        <w:spacing w:lineRule="exact" w:line="400"/>
        <w:ind w:firstLine="475" w:firstLineChars="198"/>
        <w:rPr>
          <w:rFonts w:cs="宋体" w:hint="default"/>
          <w:color w:val="auto"/>
        </w:rPr>
      </w:pPr>
      <w:r>
        <w:rPr>
          <w:rFonts w:cs="宋体"/>
          <w:color w:val="auto"/>
        </w:rPr>
        <w:t>的代理人：</w:t>
      </w:r>
      <w:r>
        <w:rPr>
          <w:rFonts w:cs="宋体"/>
          <w:color w:val="auto"/>
          <w:u w:val="single"/>
        </w:rPr>
        <w:t xml:space="preserve">（签字）      </w:t>
      </w:r>
      <w:r>
        <w:rPr>
          <w:rFonts w:cs="宋体"/>
          <w:color w:val="auto"/>
        </w:rPr>
        <w:t xml:space="preserve">                 的代理人：</w:t>
      </w:r>
      <w:r>
        <w:rPr>
          <w:rFonts w:cs="宋体"/>
          <w:color w:val="auto"/>
          <w:u w:val="single"/>
        </w:rPr>
        <w:t xml:space="preserve">（签字）          </w:t>
      </w:r>
    </w:p>
    <w:p>
      <w:pPr>
        <w:pStyle w:val="style0"/>
        <w:adjustRightInd w:val="false"/>
        <w:snapToGrid w:val="false"/>
        <w:spacing w:lineRule="exact" w:line="400"/>
        <w:ind w:firstLine="475" w:firstLineChars="198"/>
        <w:rPr>
          <w:rFonts w:cs="宋体" w:hint="default"/>
          <w:color w:val="auto"/>
        </w:rPr>
      </w:pPr>
      <w:r>
        <w:rPr>
          <w:rFonts w:cs="宋体"/>
          <w:color w:val="auto"/>
        </w:rPr>
        <w:t>开户银行：</w:t>
      </w:r>
      <w:r>
        <w:rPr>
          <w:rFonts w:cs="宋体"/>
          <w:color w:val="auto"/>
          <w:u w:val="single"/>
        </w:rPr>
        <w:t xml:space="preserve">                 </w:t>
      </w:r>
      <w:r>
        <w:rPr>
          <w:rFonts w:cs="宋体"/>
          <w:color w:val="auto"/>
        </w:rPr>
        <w:t xml:space="preserve">             开户银行：</w:t>
      </w:r>
      <w:r>
        <w:rPr>
          <w:rFonts w:cs="宋体"/>
          <w:color w:val="auto"/>
          <w:u w:val="single"/>
        </w:rPr>
        <w:t xml:space="preserve">                  </w:t>
      </w:r>
    </w:p>
    <w:p>
      <w:pPr>
        <w:pStyle w:val="style0"/>
        <w:adjustRightInd w:val="false"/>
        <w:snapToGrid w:val="false"/>
        <w:spacing w:lineRule="exact" w:line="400"/>
        <w:ind w:firstLine="475" w:firstLineChars="198"/>
        <w:rPr>
          <w:rFonts w:cs="宋体" w:hint="default"/>
          <w:color w:val="auto"/>
        </w:rPr>
      </w:pPr>
      <w:r>
        <w:rPr>
          <w:rFonts w:cs="宋体"/>
          <w:color w:val="auto"/>
        </w:rPr>
        <w:t>账号：</w:t>
      </w:r>
      <w:r>
        <w:rPr>
          <w:rFonts w:cs="宋体"/>
          <w:color w:val="auto"/>
          <w:u w:val="single"/>
        </w:rPr>
        <w:t xml:space="preserve">                      </w:t>
      </w:r>
      <w:r>
        <w:rPr>
          <w:rFonts w:cs="宋体"/>
          <w:color w:val="auto"/>
        </w:rPr>
        <w:t xml:space="preserve">            账号：</w:t>
      </w:r>
      <w:r>
        <w:rPr>
          <w:rFonts w:cs="宋体"/>
          <w:color w:val="auto"/>
          <w:u w:val="single"/>
        </w:rPr>
        <w:t xml:space="preserve">                       </w:t>
      </w:r>
      <w:r>
        <w:rPr>
          <w:rFonts w:cs="宋体"/>
          <w:color w:val="auto"/>
        </w:rPr>
        <w:t xml:space="preserve"> </w:t>
      </w:r>
      <w:r>
        <w:rPr>
          <w:rFonts w:cs="宋体"/>
          <w:color w:val="auto"/>
          <w:u w:val="single"/>
        </w:rPr>
        <w:t xml:space="preserve"> </w:t>
      </w:r>
    </w:p>
    <w:p>
      <w:pPr>
        <w:pStyle w:val="style0"/>
        <w:adjustRightInd w:val="false"/>
        <w:snapToGrid w:val="false"/>
        <w:spacing w:lineRule="exact" w:line="400"/>
        <w:ind w:firstLine="475" w:firstLineChars="198"/>
        <w:rPr>
          <w:rFonts w:cs="宋体" w:hint="default"/>
          <w:color w:val="auto"/>
        </w:rPr>
      </w:pPr>
      <w:r>
        <w:rPr>
          <w:rFonts w:cs="宋体"/>
          <w:color w:val="auto"/>
        </w:rPr>
        <w:t>电话：</w:t>
      </w:r>
      <w:r>
        <w:rPr>
          <w:rFonts w:cs="宋体"/>
          <w:color w:val="auto"/>
          <w:u w:val="single"/>
        </w:rPr>
        <w:t xml:space="preserve">                      </w:t>
      </w:r>
      <w:r>
        <w:rPr>
          <w:rFonts w:cs="宋体"/>
          <w:color w:val="auto"/>
        </w:rPr>
        <w:t xml:space="preserve">            电话：</w:t>
      </w:r>
      <w:r>
        <w:rPr>
          <w:rFonts w:cs="宋体"/>
          <w:color w:val="auto"/>
          <w:u w:val="single"/>
        </w:rPr>
        <w:t xml:space="preserve">                       </w:t>
      </w:r>
    </w:p>
    <w:p>
      <w:pPr>
        <w:pStyle w:val="style0"/>
        <w:adjustRightInd w:val="false"/>
        <w:snapToGrid w:val="false"/>
        <w:spacing w:lineRule="exact" w:line="400"/>
        <w:ind w:firstLine="475" w:firstLineChars="198"/>
        <w:rPr>
          <w:rFonts w:cs="宋体" w:hint="default"/>
          <w:color w:val="auto"/>
        </w:rPr>
      </w:pPr>
      <w:r>
        <w:rPr>
          <w:rFonts w:cs="宋体"/>
          <w:color w:val="auto"/>
        </w:rPr>
        <w:t>传真：</w:t>
      </w:r>
      <w:r>
        <w:rPr>
          <w:rFonts w:cs="宋体"/>
          <w:color w:val="auto"/>
          <w:u w:val="single"/>
        </w:rPr>
        <w:t xml:space="preserve">                      </w:t>
      </w:r>
      <w:r>
        <w:rPr>
          <w:rFonts w:cs="宋体"/>
          <w:color w:val="auto"/>
        </w:rPr>
        <w:t xml:space="preserve">            传真：</w:t>
      </w:r>
      <w:r>
        <w:rPr>
          <w:rFonts w:cs="宋体"/>
          <w:color w:val="auto"/>
          <w:u w:val="single"/>
        </w:rPr>
        <w:t xml:space="preserve">                       </w:t>
      </w:r>
    </w:p>
    <w:p>
      <w:pPr>
        <w:pStyle w:val="style0"/>
        <w:adjustRightInd w:val="false"/>
        <w:snapToGrid w:val="false"/>
        <w:spacing w:lineRule="exact" w:line="400"/>
        <w:ind w:firstLine="475" w:firstLineChars="198"/>
        <w:rPr>
          <w:rFonts w:cs="宋体" w:hint="default"/>
          <w:color w:val="auto"/>
          <w:u w:val="single"/>
        </w:rPr>
      </w:pPr>
      <w:r>
        <w:rPr>
          <w:rFonts w:cs="宋体"/>
          <w:color w:val="auto"/>
        </w:rPr>
        <w:t>电子邮箱：</w:t>
      </w:r>
      <w:r>
        <w:rPr>
          <w:rFonts w:cs="宋体"/>
          <w:color w:val="auto"/>
          <w:u w:val="single"/>
        </w:rPr>
        <w:t xml:space="preserve">                 </w:t>
      </w:r>
      <w:r>
        <w:rPr>
          <w:rFonts w:cs="宋体"/>
          <w:color w:val="auto"/>
        </w:rPr>
        <w:t xml:space="preserve">             电子邮箱：</w:t>
      </w:r>
      <w:r>
        <w:rPr>
          <w:rFonts w:cs="宋体"/>
          <w:color w:val="auto"/>
          <w:u w:val="single"/>
        </w:rPr>
        <w:t xml:space="preserve">                  </w:t>
      </w:r>
    </w:p>
    <w:p>
      <w:pPr>
        <w:pStyle w:val="style0"/>
        <w:spacing w:lineRule="auto" w:line="360"/>
        <w:jc w:val="center"/>
        <w:rPr>
          <w:rFonts w:ascii="华文中宋" w:eastAsia="华文中宋" w:hAnsi="华文中宋" w:hint="default"/>
          <w:b/>
          <w:color w:val="auto"/>
          <w:sz w:val="28"/>
          <w:szCs w:val="28"/>
        </w:rPr>
      </w:pPr>
      <w:r>
        <w:rPr>
          <w:rFonts w:cs="宋体"/>
          <w:b/>
          <w:color w:val="auto"/>
        </w:rPr>
        <w:br w:type="page"/>
      </w:r>
      <w:r>
        <w:rPr>
          <w:rFonts w:ascii="华文中宋" w:eastAsia="华文中宋" w:hAnsi="华文中宋"/>
          <w:b/>
          <w:color w:val="auto"/>
          <w:sz w:val="28"/>
          <w:szCs w:val="28"/>
        </w:rPr>
        <w:t>第二部分  通用条件</w:t>
      </w:r>
    </w:p>
    <w:p>
      <w:pPr>
        <w:pStyle w:val="style0"/>
        <w:spacing w:lineRule="exact" w:line="400"/>
        <w:jc w:val="center"/>
        <w:rPr>
          <w:rFonts w:hint="default"/>
          <w:b/>
          <w:color w:val="auto"/>
        </w:rPr>
      </w:pPr>
    </w:p>
    <w:p>
      <w:pPr>
        <w:pStyle w:val="style0"/>
        <w:spacing w:lineRule="exact" w:line="400"/>
        <w:rPr>
          <w:rFonts w:cs="宋体" w:hint="default"/>
          <w:b/>
          <w:color w:val="auto"/>
        </w:rPr>
      </w:pPr>
      <w:r>
        <w:rPr>
          <w:rFonts w:cs="宋体"/>
          <w:b/>
          <w:color w:val="auto"/>
        </w:rPr>
        <w:t>1. 定义与解释</w:t>
      </w:r>
    </w:p>
    <w:p>
      <w:pPr>
        <w:pStyle w:val="style0"/>
        <w:spacing w:lineRule="exact" w:line="400"/>
        <w:ind w:left="240" w:leftChars="100"/>
        <w:rPr>
          <w:rFonts w:cs="宋体" w:hint="default"/>
          <w:bCs/>
          <w:color w:val="auto"/>
        </w:rPr>
      </w:pPr>
      <w:r>
        <w:rPr>
          <w:rFonts w:cs="宋体"/>
          <w:color w:val="auto"/>
        </w:rPr>
        <w:t xml:space="preserve">1.1 </w:t>
      </w:r>
      <w:r>
        <w:rPr>
          <w:rFonts w:cs="宋体"/>
          <w:bCs/>
          <w:color w:val="auto"/>
        </w:rPr>
        <w:t>定义</w:t>
      </w:r>
    </w:p>
    <w:p>
      <w:pPr>
        <w:pStyle w:val="style0"/>
        <w:adjustRightInd w:val="false"/>
        <w:snapToGrid w:val="false"/>
        <w:spacing w:lineRule="exact" w:line="400"/>
        <w:ind w:firstLine="480" w:firstLineChars="200"/>
        <w:rPr>
          <w:rFonts w:cs="宋体" w:hint="default"/>
          <w:color w:val="auto"/>
        </w:rPr>
      </w:pPr>
      <w:r>
        <w:rPr>
          <w:rFonts w:cs="宋体"/>
          <w:color w:val="auto"/>
        </w:rPr>
        <w:t>除根据上下文另有其意义外，组成本合同的全部文件中的下列名词和用语应具有本款所赋予的含义：</w:t>
      </w:r>
    </w:p>
    <w:p>
      <w:pPr>
        <w:pStyle w:val="style0"/>
        <w:adjustRightInd w:val="false"/>
        <w:snapToGrid w:val="false"/>
        <w:spacing w:lineRule="exact" w:line="400"/>
        <w:ind w:firstLine="480" w:firstLineChars="200"/>
        <w:rPr>
          <w:rFonts w:cs="宋体" w:hint="default"/>
          <w:color w:val="auto"/>
        </w:rPr>
      </w:pPr>
      <w:r>
        <w:rPr>
          <w:rFonts w:cs="宋体"/>
          <w:color w:val="auto"/>
        </w:rPr>
        <w:t>1.1.1 “工程”是指按照本合同约定实施监理与相关服务的建设工程。</w:t>
      </w:r>
    </w:p>
    <w:p>
      <w:pPr>
        <w:pStyle w:val="style0"/>
        <w:adjustRightInd w:val="false"/>
        <w:snapToGrid w:val="false"/>
        <w:spacing w:lineRule="exact" w:line="400"/>
        <w:ind w:firstLine="480" w:firstLineChars="200"/>
        <w:rPr>
          <w:rFonts w:cs="宋体" w:hint="default"/>
          <w:color w:val="auto"/>
        </w:rPr>
      </w:pPr>
      <w:r>
        <w:rPr>
          <w:rFonts w:cs="宋体"/>
          <w:color w:val="auto"/>
        </w:rPr>
        <w:t>1.1.2 “委托人”是指本合同中委托监理与相关服务的一方，及其合法的继承人或受让人。</w:t>
      </w:r>
    </w:p>
    <w:p>
      <w:pPr>
        <w:pStyle w:val="style0"/>
        <w:adjustRightInd w:val="false"/>
        <w:snapToGrid w:val="false"/>
        <w:spacing w:lineRule="exact" w:line="400"/>
        <w:ind w:firstLine="480" w:firstLineChars="200"/>
        <w:rPr>
          <w:rFonts w:cs="宋体" w:hint="default"/>
          <w:color w:val="auto"/>
        </w:rPr>
      </w:pPr>
      <w:r>
        <w:rPr>
          <w:rFonts w:cs="宋体"/>
          <w:color w:val="auto"/>
        </w:rPr>
        <w:t>1.1.3 “监理人”是指本合同中提供监理与相关服务的一方，及其合法的继承人。</w:t>
      </w:r>
    </w:p>
    <w:p>
      <w:pPr>
        <w:pStyle w:val="style0"/>
        <w:adjustRightInd w:val="false"/>
        <w:snapToGrid w:val="false"/>
        <w:spacing w:lineRule="exact" w:line="400"/>
        <w:ind w:firstLine="480" w:firstLineChars="200"/>
        <w:rPr>
          <w:rFonts w:cs="宋体" w:hint="default"/>
          <w:color w:val="auto"/>
        </w:rPr>
      </w:pPr>
      <w:r>
        <w:rPr>
          <w:rFonts w:cs="宋体"/>
          <w:color w:val="auto"/>
        </w:rPr>
        <w:t>1.1.4 “承包人”是指在工程范围内与委托人签订勘察、设计、施工等有关合同的当事人，及其合法的继承人。</w:t>
      </w:r>
    </w:p>
    <w:p>
      <w:pPr>
        <w:pStyle w:val="style90"/>
        <w:spacing w:lineRule="exact" w:line="400"/>
        <w:ind w:firstLine="570"/>
        <w:rPr>
          <w:rFonts w:cs="宋体" w:eastAsia="宋体" w:hAnsi="宋体" w:hint="default"/>
          <w:color w:val="auto"/>
          <w:sz w:val="24"/>
        </w:rPr>
      </w:pPr>
      <w:r>
        <w:rPr>
          <w:rFonts w:cs="宋体" w:eastAsia="宋体" w:hAnsi="宋体"/>
          <w:color w:val="auto"/>
          <w:sz w:val="24"/>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pPr>
        <w:pStyle w:val="style0"/>
        <w:adjustRightInd w:val="false"/>
        <w:snapToGrid w:val="false"/>
        <w:spacing w:lineRule="exact" w:line="400"/>
        <w:ind w:firstLine="480" w:firstLineChars="200"/>
        <w:rPr>
          <w:rFonts w:cs="宋体" w:hint="default"/>
          <w:color w:val="auto"/>
        </w:rPr>
      </w:pPr>
      <w:r>
        <w:rPr>
          <w:rFonts w:cs="宋体"/>
          <w:color w:val="auto"/>
        </w:rPr>
        <w:t>1.1.6 “相关服务”是指监理人受委托人的委托 ，按照本合同约定，在勘察、设计、保修等阶段提供的服务活动。</w:t>
      </w:r>
    </w:p>
    <w:p>
      <w:pPr>
        <w:pStyle w:val="style0"/>
        <w:adjustRightInd w:val="false"/>
        <w:snapToGrid w:val="false"/>
        <w:spacing w:lineRule="exact" w:line="400"/>
        <w:ind w:firstLine="480" w:firstLineChars="200"/>
        <w:rPr>
          <w:rFonts w:cs="宋体" w:hint="default"/>
          <w:color w:val="auto"/>
        </w:rPr>
      </w:pPr>
      <w:r>
        <w:rPr>
          <w:rFonts w:cs="宋体"/>
          <w:color w:val="auto"/>
        </w:rPr>
        <w:t>1.1.7 “正常工作”指本合同订立时通用条件和专用条件中约定的监理人的工作。</w:t>
      </w:r>
    </w:p>
    <w:p>
      <w:pPr>
        <w:pStyle w:val="style0"/>
        <w:adjustRightInd w:val="false"/>
        <w:snapToGrid w:val="false"/>
        <w:spacing w:lineRule="exact" w:line="400"/>
        <w:ind w:firstLine="480" w:firstLineChars="200"/>
        <w:rPr>
          <w:rFonts w:cs="宋体" w:hint="default"/>
          <w:color w:val="auto"/>
        </w:rPr>
      </w:pPr>
      <w:r>
        <w:rPr>
          <w:rFonts w:cs="宋体"/>
          <w:color w:val="auto"/>
        </w:rPr>
        <w:t>1.1.8 “附加工作”是指本合同约定的正常工作以外监理人的工作。</w:t>
      </w:r>
    </w:p>
    <w:p>
      <w:pPr>
        <w:pStyle w:val="style0"/>
        <w:adjustRightInd w:val="false"/>
        <w:snapToGrid w:val="false"/>
        <w:spacing w:lineRule="exact" w:line="400"/>
        <w:ind w:firstLine="480" w:firstLineChars="200"/>
        <w:rPr>
          <w:rFonts w:cs="宋体" w:hint="default"/>
          <w:color w:val="auto"/>
        </w:rPr>
      </w:pPr>
      <w:r>
        <w:rPr>
          <w:rFonts w:cs="宋体"/>
          <w:color w:val="auto"/>
        </w:rPr>
        <w:t>1.1.9 “项目监理机构”是指监理人派驻工程负责履行本合同的组织机构。</w:t>
      </w:r>
    </w:p>
    <w:p>
      <w:pPr>
        <w:pStyle w:val="style0"/>
        <w:adjustRightInd w:val="false"/>
        <w:snapToGrid w:val="false"/>
        <w:spacing w:lineRule="exact" w:line="400"/>
        <w:ind w:firstLine="480" w:firstLineChars="200"/>
        <w:rPr>
          <w:rFonts w:cs="宋体" w:hint="default"/>
          <w:color w:val="auto"/>
        </w:rPr>
      </w:pPr>
      <w:r>
        <w:rPr>
          <w:rFonts w:cs="宋体"/>
          <w:color w:val="auto"/>
        </w:rPr>
        <w:t>1.1.10 “总监理工程师”是指由监理人的法定代表人书面授权，全面负责履行本合同、主持项目监理机构工作的注册监理工程师。</w:t>
      </w:r>
    </w:p>
    <w:p>
      <w:pPr>
        <w:pStyle w:val="style0"/>
        <w:adjustRightInd w:val="false"/>
        <w:snapToGrid w:val="false"/>
        <w:spacing w:lineRule="exact" w:line="400"/>
        <w:ind w:firstLine="475" w:firstLineChars="198"/>
        <w:rPr>
          <w:rFonts w:cs="宋体" w:hint="default"/>
          <w:color w:val="auto"/>
        </w:rPr>
      </w:pPr>
      <w:r>
        <w:rPr>
          <w:rFonts w:cs="宋体"/>
          <w:color w:val="auto"/>
        </w:rPr>
        <w:t>1.1.11 “酬金”是指监理人履行本合同义务，委托人按照本合同约定给付监理人的金额。</w:t>
      </w:r>
    </w:p>
    <w:p>
      <w:pPr>
        <w:pStyle w:val="style0"/>
        <w:adjustRightInd w:val="false"/>
        <w:snapToGrid w:val="false"/>
        <w:spacing w:lineRule="exact" w:line="400"/>
        <w:ind w:firstLine="475" w:firstLineChars="198"/>
        <w:rPr>
          <w:rFonts w:cs="宋体" w:hint="default"/>
          <w:color w:val="auto"/>
        </w:rPr>
      </w:pPr>
      <w:r>
        <w:rPr>
          <w:rFonts w:cs="宋体"/>
          <w:color w:val="auto"/>
        </w:rPr>
        <w:t>1.1.12 “正常工作</w:t>
      </w:r>
      <w:r>
        <w:rPr>
          <w:rFonts w:cs="宋体"/>
          <w:color w:val="auto"/>
          <w:kern w:val="0"/>
        </w:rPr>
        <w:t>酬金”</w:t>
      </w:r>
      <w:r>
        <w:rPr>
          <w:rFonts w:cs="宋体"/>
          <w:color w:val="auto"/>
        </w:rPr>
        <w:t>是指监理人完成正常工作，委托人应给付监理人并在协议书中载明的签约</w:t>
      </w:r>
      <w:r>
        <w:rPr>
          <w:rFonts w:cs="宋体"/>
          <w:color w:val="auto"/>
          <w:kern w:val="0"/>
        </w:rPr>
        <w:t>酬金额</w:t>
      </w:r>
      <w:r>
        <w:rPr>
          <w:rFonts w:cs="宋体"/>
          <w:color w:val="auto"/>
        </w:rPr>
        <w:t>。</w:t>
      </w:r>
    </w:p>
    <w:p>
      <w:pPr>
        <w:pStyle w:val="style0"/>
        <w:adjustRightInd w:val="false"/>
        <w:snapToGrid w:val="false"/>
        <w:spacing w:lineRule="exact" w:line="400"/>
        <w:ind w:firstLine="475" w:firstLineChars="198"/>
        <w:rPr>
          <w:rFonts w:cs="宋体" w:hint="default"/>
          <w:color w:val="auto"/>
        </w:rPr>
      </w:pPr>
      <w:r>
        <w:rPr>
          <w:rFonts w:cs="宋体"/>
          <w:color w:val="auto"/>
        </w:rPr>
        <w:t>1.1.13 “附加工作酬金”是指监理人完成附加工作，委托人应给付监理人的金额。</w:t>
      </w:r>
    </w:p>
    <w:p>
      <w:pPr>
        <w:pStyle w:val="style0"/>
        <w:adjustRightInd w:val="false"/>
        <w:snapToGrid w:val="false"/>
        <w:spacing w:lineRule="exact" w:line="400"/>
        <w:ind w:firstLine="480" w:firstLineChars="200"/>
        <w:rPr>
          <w:rFonts w:cs="宋体" w:hint="default"/>
          <w:color w:val="auto"/>
        </w:rPr>
      </w:pPr>
      <w:r>
        <w:rPr>
          <w:rFonts w:cs="宋体"/>
          <w:color w:val="auto"/>
        </w:rPr>
        <w:t>1.1.14 “一方”是指委托人或监理人；“双方”是指委托人和监理人；“第三方”是指除委托人和监理人以外的有关方。</w:t>
      </w:r>
    </w:p>
    <w:p>
      <w:pPr>
        <w:pStyle w:val="style0"/>
        <w:adjustRightInd w:val="false"/>
        <w:snapToGrid w:val="false"/>
        <w:spacing w:lineRule="exact" w:line="400"/>
        <w:ind w:firstLine="480" w:firstLineChars="200"/>
        <w:rPr>
          <w:rFonts w:cs="宋体" w:hint="default"/>
          <w:color w:val="auto"/>
        </w:rPr>
      </w:pPr>
      <w:r>
        <w:rPr>
          <w:rFonts w:cs="宋体"/>
          <w:color w:val="auto"/>
        </w:rPr>
        <w:t>1.1.15 “书面形式”是指合同书、信件和数据电文（包括电报、电传、传真、电子数据交换和电子邮件）等可以有形地表现所载内容的形式。</w:t>
      </w:r>
    </w:p>
    <w:p>
      <w:pPr>
        <w:pStyle w:val="style0"/>
        <w:adjustRightInd w:val="false"/>
        <w:snapToGrid w:val="false"/>
        <w:spacing w:lineRule="exact" w:line="400"/>
        <w:ind w:firstLine="480" w:firstLineChars="200"/>
        <w:rPr>
          <w:rFonts w:cs="宋体" w:hint="default"/>
          <w:color w:val="auto"/>
        </w:rPr>
      </w:pPr>
      <w:r>
        <w:rPr>
          <w:rFonts w:cs="宋体"/>
          <w:color w:val="auto"/>
        </w:rPr>
        <w:t>1.1.16 “天”是指第一天零时至第二天零时的时间。</w:t>
      </w:r>
    </w:p>
    <w:p>
      <w:pPr>
        <w:pStyle w:val="style0"/>
        <w:adjustRightInd w:val="false"/>
        <w:snapToGrid w:val="false"/>
        <w:spacing w:lineRule="exact" w:line="400"/>
        <w:ind w:firstLine="480" w:firstLineChars="200"/>
        <w:rPr>
          <w:rFonts w:cs="宋体" w:hint="default"/>
          <w:color w:val="auto"/>
        </w:rPr>
      </w:pPr>
      <w:r>
        <w:rPr>
          <w:rFonts w:cs="宋体"/>
          <w:color w:val="auto"/>
        </w:rPr>
        <w:t>1.1.17“月”是指按公历从一个月中任何一天开始的一个公历月时间。</w:t>
      </w:r>
    </w:p>
    <w:p>
      <w:pPr>
        <w:pStyle w:val="style0"/>
        <w:adjustRightInd w:val="false"/>
        <w:snapToGrid w:val="false"/>
        <w:spacing w:lineRule="exact" w:line="400"/>
        <w:ind w:firstLine="645"/>
        <w:rPr>
          <w:rFonts w:cs="宋体" w:hint="default"/>
          <w:color w:val="auto"/>
        </w:rPr>
      </w:pPr>
      <w:r>
        <w:rPr>
          <w:rFonts w:cs="宋体"/>
          <w:color w:val="auto"/>
        </w:rPr>
        <w:t>1.1.18 “不可抗力”是指委托人和监理人在订立本合同时不可预见，在工程施工过程中不可避免发生并不能克服的自然灾害和社会性突发事件，如地震、海啸、瘟疫、水灾、骚乱、暴动、战争和专用条件约定的其他情形。</w:t>
      </w:r>
    </w:p>
    <w:p>
      <w:pPr>
        <w:pStyle w:val="style0"/>
        <w:adjustRightInd w:val="false"/>
        <w:snapToGrid w:val="false"/>
        <w:spacing w:lineRule="exact" w:line="400"/>
        <w:ind w:left="240" w:leftChars="100"/>
        <w:rPr>
          <w:rFonts w:cs="宋体" w:hint="default"/>
          <w:color w:val="auto"/>
        </w:rPr>
      </w:pPr>
      <w:r>
        <w:rPr>
          <w:rFonts w:cs="宋体"/>
          <w:bCs/>
          <w:color w:val="auto"/>
        </w:rPr>
        <w:t xml:space="preserve">1.2 </w:t>
      </w:r>
      <w:r>
        <w:rPr>
          <w:rFonts w:cs="宋体"/>
          <w:color w:val="auto"/>
        </w:rPr>
        <w:t>解释</w:t>
      </w:r>
    </w:p>
    <w:p>
      <w:pPr>
        <w:pStyle w:val="style0"/>
        <w:tabs>
          <w:tab w:val="left" w:leader="none" w:pos="6140"/>
        </w:tabs>
        <w:adjustRightInd w:val="false"/>
        <w:snapToGrid w:val="false"/>
        <w:spacing w:lineRule="exact" w:line="400"/>
        <w:ind w:firstLine="480" w:firstLineChars="200"/>
        <w:rPr>
          <w:rFonts w:cs="宋体" w:hint="default"/>
          <w:color w:val="auto"/>
        </w:rPr>
      </w:pPr>
      <w:r>
        <w:rPr>
          <w:rFonts w:cs="宋体"/>
          <w:color w:val="auto"/>
        </w:rPr>
        <w:t>1.2.1本合同使用中文书写、解释和说明。如专用条件约定使用两种及以上语言文字时，应以中文为准。</w:t>
      </w:r>
    </w:p>
    <w:p>
      <w:pPr>
        <w:pStyle w:val="style0"/>
        <w:tabs>
          <w:tab w:val="left" w:leader="none" w:pos="6140"/>
        </w:tabs>
        <w:adjustRightInd w:val="false"/>
        <w:snapToGrid w:val="false"/>
        <w:spacing w:lineRule="exact" w:line="400"/>
        <w:ind w:firstLine="480" w:firstLineChars="200"/>
        <w:rPr>
          <w:rFonts w:cs="宋体" w:hint="default"/>
          <w:color w:val="auto"/>
        </w:rPr>
      </w:pPr>
      <w:r>
        <w:rPr>
          <w:rFonts w:cs="宋体"/>
          <w:color w:val="auto"/>
        </w:rPr>
        <w:t>1.2.2 组成本合同的下列文件彼此应能相互解释、互为说明。除专用条件另有约定外，本合同文件的解释顺序如下：</w:t>
      </w:r>
    </w:p>
    <w:p>
      <w:pPr>
        <w:pStyle w:val="style0"/>
        <w:adjustRightInd w:val="false"/>
        <w:snapToGrid w:val="false"/>
        <w:spacing w:lineRule="exact" w:line="400"/>
        <w:ind w:firstLine="480" w:firstLineChars="200"/>
        <w:rPr>
          <w:rFonts w:cs="宋体" w:hint="default"/>
          <w:color w:val="auto"/>
        </w:rPr>
      </w:pPr>
      <w:r>
        <w:rPr>
          <w:rFonts w:cs="宋体"/>
          <w:color w:val="auto"/>
        </w:rPr>
        <w:t>（1）协议书；</w:t>
      </w:r>
    </w:p>
    <w:p>
      <w:pPr>
        <w:pStyle w:val="style0"/>
        <w:adjustRightInd w:val="false"/>
        <w:snapToGrid w:val="false"/>
        <w:spacing w:lineRule="exact" w:line="400"/>
        <w:ind w:firstLine="480" w:firstLineChars="200"/>
        <w:rPr>
          <w:rFonts w:cs="宋体" w:hint="default"/>
          <w:color w:val="auto"/>
        </w:rPr>
      </w:pPr>
      <w:r>
        <w:rPr>
          <w:rFonts w:cs="宋体"/>
          <w:color w:val="auto"/>
        </w:rPr>
        <w:t>（2）中标通知书（适用于招标工程）或委托书（适用于非招标工程）；</w:t>
      </w:r>
    </w:p>
    <w:p>
      <w:pPr>
        <w:pStyle w:val="style0"/>
        <w:adjustRightInd w:val="false"/>
        <w:snapToGrid w:val="false"/>
        <w:spacing w:lineRule="exact" w:line="400"/>
        <w:ind w:firstLine="480" w:firstLineChars="200"/>
        <w:rPr>
          <w:rFonts w:cs="宋体" w:hint="default"/>
          <w:color w:val="auto"/>
        </w:rPr>
      </w:pPr>
      <w:r>
        <w:rPr>
          <w:rFonts w:cs="宋体"/>
          <w:color w:val="auto"/>
        </w:rPr>
        <w:t>（3）专用条件及附录A、附录B；</w:t>
      </w:r>
    </w:p>
    <w:p>
      <w:pPr>
        <w:pStyle w:val="style0"/>
        <w:adjustRightInd w:val="false"/>
        <w:snapToGrid w:val="false"/>
        <w:spacing w:lineRule="exact" w:line="400"/>
        <w:ind w:firstLine="480" w:firstLineChars="200"/>
        <w:rPr>
          <w:rFonts w:cs="宋体" w:hint="default"/>
          <w:color w:val="auto"/>
        </w:rPr>
      </w:pPr>
      <w:r>
        <w:rPr>
          <w:rFonts w:cs="宋体"/>
          <w:color w:val="auto"/>
        </w:rPr>
        <w:t>（4）通用条件；</w:t>
      </w:r>
    </w:p>
    <w:p>
      <w:pPr>
        <w:pStyle w:val="style0"/>
        <w:adjustRightInd w:val="false"/>
        <w:snapToGrid w:val="false"/>
        <w:spacing w:lineRule="exact" w:line="400"/>
        <w:ind w:firstLine="480" w:firstLineChars="200"/>
        <w:rPr>
          <w:rFonts w:cs="宋体" w:hint="default"/>
          <w:color w:val="auto"/>
        </w:rPr>
      </w:pPr>
      <w:r>
        <w:rPr>
          <w:rFonts w:cs="宋体"/>
          <w:color w:val="auto"/>
        </w:rPr>
        <w:t>（5）响应文件（适用于招标工程）或监理与相关服务建议书（适用于非招标工程）。</w:t>
      </w:r>
    </w:p>
    <w:p>
      <w:pPr>
        <w:pStyle w:val="style0"/>
        <w:spacing w:lineRule="exact" w:line="400"/>
        <w:ind w:firstLine="480" w:firstLineChars="200"/>
        <w:rPr>
          <w:rFonts w:cs="宋体" w:hint="default"/>
          <w:color w:val="auto"/>
        </w:rPr>
      </w:pPr>
      <w:r>
        <w:rPr>
          <w:rFonts w:cs="宋体"/>
          <w:color w:val="auto"/>
        </w:rPr>
        <w:t>双方签订的补充协议与其他文件发生矛盾或歧义时，属于同一类内容的文件，应以最新签署的为准。</w:t>
      </w:r>
    </w:p>
    <w:p>
      <w:pPr>
        <w:pStyle w:val="style0"/>
        <w:spacing w:lineRule="exact" w:line="400"/>
        <w:rPr>
          <w:rFonts w:cs="宋体" w:hint="default"/>
          <w:b/>
          <w:color w:val="auto"/>
        </w:rPr>
      </w:pPr>
      <w:r>
        <w:rPr>
          <w:rFonts w:cs="宋体"/>
          <w:b/>
          <w:color w:val="auto"/>
        </w:rPr>
        <w:t>2. 监理人的义务</w:t>
      </w:r>
    </w:p>
    <w:p>
      <w:pPr>
        <w:pStyle w:val="style0"/>
        <w:adjustRightInd w:val="false"/>
        <w:snapToGrid w:val="false"/>
        <w:spacing w:lineRule="exact" w:line="400"/>
        <w:ind w:left="240" w:leftChars="100"/>
        <w:rPr>
          <w:rFonts w:cs="宋体" w:hint="default"/>
          <w:bCs/>
          <w:color w:val="auto"/>
        </w:rPr>
      </w:pPr>
      <w:r>
        <w:rPr>
          <w:rFonts w:cs="宋体"/>
          <w:color w:val="auto"/>
        </w:rPr>
        <w:t>2.1 监理的范围和工作内容</w:t>
      </w:r>
    </w:p>
    <w:p>
      <w:pPr>
        <w:pStyle w:val="style0"/>
        <w:adjustRightInd w:val="false"/>
        <w:snapToGrid w:val="false"/>
        <w:spacing w:lineRule="exact" w:line="400"/>
        <w:ind w:left="480" w:leftChars="200"/>
        <w:rPr>
          <w:rFonts w:cs="宋体" w:hint="default"/>
          <w:color w:val="auto"/>
        </w:rPr>
      </w:pPr>
      <w:r>
        <w:rPr>
          <w:rFonts w:cs="宋体"/>
          <w:color w:val="auto"/>
        </w:rPr>
        <w:t>2.1.1 监理范围在专用条件中约定。</w:t>
      </w:r>
    </w:p>
    <w:p>
      <w:pPr>
        <w:pStyle w:val="style0"/>
        <w:adjustRightInd w:val="false"/>
        <w:snapToGrid w:val="false"/>
        <w:spacing w:lineRule="exact" w:line="400"/>
        <w:ind w:left="480" w:leftChars="200"/>
        <w:rPr>
          <w:rFonts w:cs="宋体" w:hint="default"/>
          <w:color w:val="auto"/>
        </w:rPr>
      </w:pPr>
      <w:r>
        <w:rPr>
          <w:rFonts w:cs="宋体"/>
          <w:color w:val="auto"/>
        </w:rPr>
        <w:t>2.1.2 除专用条件另有约定外，监理工作内容包括：</w:t>
      </w:r>
    </w:p>
    <w:p>
      <w:pPr>
        <w:pStyle w:val="style0"/>
        <w:adjustRightInd w:val="false"/>
        <w:snapToGrid w:val="false"/>
        <w:spacing w:lineRule="exact" w:line="400"/>
        <w:ind w:firstLine="480" w:firstLineChars="200"/>
        <w:rPr>
          <w:rFonts w:cs="宋体" w:hint="default"/>
          <w:color w:val="auto"/>
        </w:rPr>
      </w:pPr>
      <w:r>
        <w:rPr>
          <w:rFonts w:cs="宋体"/>
          <w:color w:val="auto"/>
        </w:rPr>
        <w:t>（1）收到工程设计文件后编制监理规划，并在第一次工地会议7天前报委托人。根据有关规定和监理工作需要，编制监理实施细则；</w:t>
      </w:r>
    </w:p>
    <w:p>
      <w:pPr>
        <w:pStyle w:val="style0"/>
        <w:adjustRightInd w:val="false"/>
        <w:snapToGrid w:val="false"/>
        <w:spacing w:lineRule="exact" w:line="400"/>
        <w:ind w:firstLine="480" w:firstLineChars="200"/>
        <w:rPr>
          <w:rFonts w:cs="宋体" w:hint="default"/>
          <w:color w:val="auto"/>
        </w:rPr>
      </w:pPr>
      <w:r>
        <w:rPr>
          <w:rFonts w:cs="宋体"/>
          <w:color w:val="auto"/>
        </w:rPr>
        <w:t>（2）熟悉工程设计文件，并参加由委托人主持的图纸会审和设计交底会议；</w:t>
      </w:r>
    </w:p>
    <w:p>
      <w:pPr>
        <w:pStyle w:val="style0"/>
        <w:adjustRightInd w:val="false"/>
        <w:snapToGrid w:val="false"/>
        <w:spacing w:lineRule="exact" w:line="400"/>
        <w:ind w:firstLine="480" w:firstLineChars="200"/>
        <w:rPr>
          <w:rFonts w:cs="宋体" w:hint="default"/>
          <w:color w:val="auto"/>
        </w:rPr>
      </w:pPr>
      <w:r>
        <w:rPr>
          <w:rFonts w:cs="宋体"/>
          <w:color w:val="auto"/>
        </w:rPr>
        <w:t>（3）参加由委托人主持的第一次工地会议；主持监理例会并根据工程需要主持或参加专题会议；</w:t>
      </w:r>
    </w:p>
    <w:p>
      <w:pPr>
        <w:pStyle w:val="style0"/>
        <w:adjustRightInd w:val="false"/>
        <w:snapToGrid w:val="false"/>
        <w:spacing w:lineRule="exact" w:line="400"/>
        <w:ind w:firstLine="480" w:firstLineChars="200"/>
        <w:rPr>
          <w:rFonts w:cs="宋体" w:hint="default"/>
          <w:color w:val="auto"/>
        </w:rPr>
      </w:pPr>
      <w:r>
        <w:rPr>
          <w:rFonts w:cs="宋体"/>
          <w:color w:val="auto"/>
        </w:rPr>
        <w:t>（4）审查施工承包人提交的施工组织设计，重点审查其中的质量安全技术措施、专项施工方案与工程建设强制性标准的符合性；</w:t>
      </w:r>
    </w:p>
    <w:p>
      <w:pPr>
        <w:pStyle w:val="style0"/>
        <w:adjustRightInd w:val="false"/>
        <w:snapToGrid w:val="false"/>
        <w:spacing w:lineRule="exact" w:line="400"/>
        <w:ind w:firstLine="480" w:firstLineChars="200"/>
        <w:rPr>
          <w:rFonts w:cs="宋体" w:hint="default"/>
          <w:color w:val="auto"/>
        </w:rPr>
      </w:pPr>
      <w:r>
        <w:rPr>
          <w:rFonts w:cs="宋体"/>
          <w:color w:val="auto"/>
        </w:rPr>
        <w:t xml:space="preserve">（5）检查施工承包人工程质量、安全生产管理制度及组织机构和人员资格； </w:t>
      </w:r>
    </w:p>
    <w:p>
      <w:pPr>
        <w:pStyle w:val="style0"/>
        <w:adjustRightInd w:val="false"/>
        <w:snapToGrid w:val="false"/>
        <w:spacing w:lineRule="exact" w:line="400"/>
        <w:rPr>
          <w:rFonts w:cs="宋体" w:hint="default"/>
          <w:color w:val="auto"/>
        </w:rPr>
      </w:pPr>
      <w:r>
        <w:rPr>
          <w:rFonts w:cs="宋体"/>
          <w:color w:val="auto"/>
        </w:rPr>
        <w:t xml:space="preserve">    （6）检查施工承包人专职安全生产管理人员的配备情况；</w:t>
      </w:r>
    </w:p>
    <w:p>
      <w:pPr>
        <w:pStyle w:val="style0"/>
        <w:adjustRightInd w:val="false"/>
        <w:snapToGrid w:val="false"/>
        <w:spacing w:lineRule="exact" w:line="400"/>
        <w:ind w:firstLine="405"/>
        <w:rPr>
          <w:rFonts w:cs="宋体" w:hint="default"/>
          <w:color w:val="auto"/>
        </w:rPr>
      </w:pPr>
      <w:r>
        <w:rPr>
          <w:rFonts w:cs="宋体"/>
          <w:color w:val="auto"/>
        </w:rPr>
        <w:t>（7）审查施工承包人提交的施工进度计划，核查承包人对施工进度计划的调整；</w:t>
      </w:r>
    </w:p>
    <w:p>
      <w:pPr>
        <w:pStyle w:val="style0"/>
        <w:adjustRightInd w:val="false"/>
        <w:snapToGrid w:val="false"/>
        <w:spacing w:lineRule="exact" w:line="400"/>
        <w:ind w:firstLine="405"/>
        <w:rPr>
          <w:rFonts w:cs="宋体" w:hint="default"/>
          <w:color w:val="auto"/>
        </w:rPr>
      </w:pPr>
      <w:r>
        <w:rPr>
          <w:rFonts w:cs="宋体"/>
          <w:color w:val="auto"/>
        </w:rPr>
        <w:t>（8）检查施工承包人的试验室；</w:t>
      </w:r>
    </w:p>
    <w:p>
      <w:pPr>
        <w:pStyle w:val="style0"/>
        <w:adjustRightInd w:val="false"/>
        <w:snapToGrid w:val="false"/>
        <w:spacing w:lineRule="exact" w:line="400"/>
        <w:rPr>
          <w:rFonts w:cs="宋体" w:hint="default"/>
          <w:color w:val="auto"/>
        </w:rPr>
      </w:pPr>
      <w:r>
        <w:rPr>
          <w:rFonts w:cs="宋体"/>
          <w:color w:val="auto"/>
        </w:rPr>
        <w:t xml:space="preserve">    （9）审核施工分包人资质条件；</w:t>
      </w:r>
    </w:p>
    <w:p>
      <w:pPr>
        <w:pStyle w:val="style0"/>
        <w:spacing w:lineRule="exact" w:line="400"/>
        <w:ind w:firstLine="405"/>
        <w:rPr>
          <w:rFonts w:cs="宋体" w:hint="default"/>
          <w:color w:val="auto"/>
        </w:rPr>
      </w:pPr>
      <w:r>
        <w:rPr>
          <w:rFonts w:cs="宋体"/>
          <w:color w:val="auto"/>
        </w:rPr>
        <w:t>（10）查验施工承包人的施工测量放线成果；</w:t>
      </w:r>
    </w:p>
    <w:p>
      <w:pPr>
        <w:pStyle w:val="style0"/>
        <w:spacing w:lineRule="exact" w:line="400"/>
        <w:ind w:firstLine="405"/>
        <w:rPr>
          <w:rFonts w:cs="宋体" w:hint="default"/>
          <w:color w:val="auto"/>
        </w:rPr>
      </w:pPr>
      <w:r>
        <w:rPr>
          <w:rFonts w:cs="宋体"/>
          <w:color w:val="auto"/>
        </w:rPr>
        <w:t>（11）审查工程开工条件，对条件具备的签发开工令；</w:t>
      </w:r>
    </w:p>
    <w:p>
      <w:pPr>
        <w:pStyle w:val="style0"/>
        <w:spacing w:lineRule="exact" w:line="400"/>
        <w:ind w:firstLine="405"/>
        <w:rPr>
          <w:rFonts w:cs="宋体" w:hint="default"/>
          <w:color w:val="auto"/>
        </w:rPr>
      </w:pPr>
      <w:r>
        <w:rPr>
          <w:rFonts w:cs="宋体"/>
          <w:color w:val="auto"/>
        </w:rPr>
        <w:t>（12）审查施工承包人报送的工程材料、构配件、设备质量证明文件的有效性和符合性，并按规定对用于工程的材料采取平行检验或见证取样方式进行抽检；</w:t>
      </w:r>
    </w:p>
    <w:p>
      <w:pPr>
        <w:pStyle w:val="style0"/>
        <w:spacing w:lineRule="exact" w:line="400"/>
        <w:ind w:firstLine="405"/>
        <w:rPr>
          <w:rFonts w:cs="宋体" w:hint="default"/>
          <w:color w:val="auto"/>
        </w:rPr>
      </w:pPr>
      <w:r>
        <w:rPr>
          <w:rFonts w:cs="宋体"/>
          <w:color w:val="auto"/>
        </w:rPr>
        <w:t>（13）审核施工承包人提交的工程款支付申请，签发或出具工程款支付证书，并报委托人审核、批准；</w:t>
      </w:r>
    </w:p>
    <w:p>
      <w:pPr>
        <w:pStyle w:val="style0"/>
        <w:spacing w:lineRule="exact" w:line="400"/>
        <w:ind w:firstLine="405"/>
        <w:rPr>
          <w:rFonts w:cs="宋体" w:hint="default"/>
          <w:color w:val="auto"/>
        </w:rPr>
      </w:pPr>
      <w:r>
        <w:rPr>
          <w:rFonts w:cs="宋体"/>
          <w:color w:val="auto"/>
        </w:rPr>
        <w:t>（14）在巡视、旁站和检验过程中，发现工程质量、施工安全存在事故隐患的，要求施工承包人整改并报委托人；</w:t>
      </w:r>
    </w:p>
    <w:p>
      <w:pPr>
        <w:pStyle w:val="style0"/>
        <w:adjustRightInd w:val="false"/>
        <w:snapToGrid w:val="false"/>
        <w:spacing w:lineRule="exact" w:line="400"/>
        <w:ind w:firstLine="480" w:firstLineChars="200"/>
        <w:rPr>
          <w:rFonts w:cs="宋体" w:hint="default"/>
          <w:color w:val="auto"/>
        </w:rPr>
      </w:pPr>
      <w:r>
        <w:rPr>
          <w:rFonts w:cs="宋体"/>
          <w:color w:val="auto"/>
        </w:rPr>
        <w:t>（15）经委托人同意，签发工程暂停令和复工令；</w:t>
      </w:r>
    </w:p>
    <w:p>
      <w:pPr>
        <w:pStyle w:val="style0"/>
        <w:adjustRightInd w:val="false"/>
        <w:snapToGrid w:val="false"/>
        <w:spacing w:lineRule="exact" w:line="400"/>
        <w:ind w:firstLine="480" w:firstLineChars="200"/>
        <w:rPr>
          <w:rFonts w:cs="宋体" w:hint="default"/>
          <w:color w:val="auto"/>
        </w:rPr>
      </w:pPr>
      <w:r>
        <w:rPr>
          <w:rFonts w:cs="宋体"/>
          <w:color w:val="auto"/>
        </w:rPr>
        <w:t>（16）审查施工承包人提交的采用新材料、新工艺、新技术、新设备的论证材料及相关验收标准；</w:t>
      </w:r>
    </w:p>
    <w:p>
      <w:pPr>
        <w:pStyle w:val="style0"/>
        <w:adjustRightInd w:val="false"/>
        <w:snapToGrid w:val="false"/>
        <w:spacing w:lineRule="exact" w:line="400"/>
        <w:ind w:firstLine="480" w:firstLineChars="200"/>
        <w:rPr>
          <w:rFonts w:cs="宋体" w:hint="default"/>
          <w:color w:val="auto"/>
        </w:rPr>
      </w:pPr>
      <w:r>
        <w:rPr>
          <w:rFonts w:cs="宋体"/>
          <w:color w:val="auto"/>
        </w:rPr>
        <w:t>（17）验收隐蔽工程、分部分项工程；</w:t>
      </w:r>
    </w:p>
    <w:p>
      <w:pPr>
        <w:pStyle w:val="style0"/>
        <w:adjustRightInd w:val="false"/>
        <w:snapToGrid w:val="false"/>
        <w:spacing w:lineRule="exact" w:line="400"/>
        <w:ind w:firstLine="480" w:firstLineChars="200"/>
        <w:rPr>
          <w:rFonts w:cs="宋体" w:hint="default"/>
          <w:color w:val="auto"/>
        </w:rPr>
      </w:pPr>
      <w:r>
        <w:rPr>
          <w:rFonts w:cs="宋体"/>
          <w:color w:val="auto"/>
        </w:rPr>
        <w:t>（18）审查施工承包人提交的工程变更申请，协调处理施工进度调整、费用索赔、合同争议等事项；</w:t>
      </w:r>
    </w:p>
    <w:p>
      <w:pPr>
        <w:pStyle w:val="style0"/>
        <w:adjustRightInd w:val="false"/>
        <w:snapToGrid w:val="false"/>
        <w:spacing w:lineRule="exact" w:line="400"/>
        <w:ind w:firstLine="480" w:firstLineChars="200"/>
        <w:rPr>
          <w:rFonts w:cs="宋体" w:hint="default"/>
          <w:color w:val="auto"/>
        </w:rPr>
      </w:pPr>
      <w:r>
        <w:rPr>
          <w:rFonts w:cs="宋体"/>
          <w:color w:val="auto"/>
        </w:rPr>
        <w:t>（19）审查施工承包人提交的竣工验收申请，编写工程质量评估报告；</w:t>
      </w:r>
    </w:p>
    <w:p>
      <w:pPr>
        <w:pStyle w:val="style0"/>
        <w:adjustRightInd w:val="false"/>
        <w:snapToGrid w:val="false"/>
        <w:spacing w:lineRule="exact" w:line="400"/>
        <w:ind w:firstLine="480" w:firstLineChars="200"/>
        <w:rPr>
          <w:rFonts w:cs="宋体" w:hint="default"/>
          <w:color w:val="auto"/>
        </w:rPr>
      </w:pPr>
      <w:r>
        <w:rPr>
          <w:rFonts w:cs="宋体"/>
          <w:color w:val="auto"/>
        </w:rPr>
        <w:t>（20）参加工程竣工验收，签署竣工验收意见；</w:t>
      </w:r>
    </w:p>
    <w:p>
      <w:pPr>
        <w:pStyle w:val="style0"/>
        <w:adjustRightInd w:val="false"/>
        <w:snapToGrid w:val="false"/>
        <w:spacing w:lineRule="exact" w:line="400"/>
        <w:ind w:firstLine="480" w:firstLineChars="200"/>
        <w:rPr>
          <w:rFonts w:cs="宋体" w:hint="default"/>
          <w:color w:val="auto"/>
        </w:rPr>
      </w:pPr>
      <w:r>
        <w:rPr>
          <w:rFonts w:cs="宋体"/>
          <w:color w:val="auto"/>
        </w:rPr>
        <w:t>（21）审查施工承包人提交的竣工结算申请并报委托人；</w:t>
      </w:r>
    </w:p>
    <w:p>
      <w:pPr>
        <w:pStyle w:val="style0"/>
        <w:adjustRightInd w:val="false"/>
        <w:snapToGrid w:val="false"/>
        <w:spacing w:lineRule="exact" w:line="400"/>
        <w:ind w:firstLine="480" w:firstLineChars="200"/>
        <w:rPr>
          <w:rFonts w:cs="宋体" w:hint="default"/>
          <w:color w:val="auto"/>
        </w:rPr>
      </w:pPr>
      <w:r>
        <w:rPr>
          <w:rFonts w:cs="宋体"/>
          <w:color w:val="auto"/>
        </w:rPr>
        <w:t>（22）编制、整理工程监理归档文件并报委托人。</w:t>
      </w:r>
    </w:p>
    <w:p>
      <w:pPr>
        <w:pStyle w:val="style0"/>
        <w:spacing w:lineRule="exact" w:line="400"/>
        <w:ind w:left="480" w:leftChars="200" w:firstLine="120" w:firstLineChars="50"/>
        <w:rPr>
          <w:rFonts w:cs="宋体" w:hint="default"/>
          <w:color w:val="auto"/>
        </w:rPr>
      </w:pPr>
      <w:r>
        <w:rPr>
          <w:rFonts w:cs="宋体"/>
          <w:color w:val="auto"/>
        </w:rPr>
        <w:t>2.1.3 相关服务的范围和内容在附录A中约定。</w:t>
      </w:r>
    </w:p>
    <w:p>
      <w:pPr>
        <w:pStyle w:val="style0"/>
        <w:spacing w:lineRule="exact" w:line="400"/>
        <w:ind w:firstLine="240" w:firstLineChars="100"/>
        <w:rPr>
          <w:rFonts w:cs="宋体" w:hint="default"/>
          <w:bCs/>
          <w:color w:val="auto"/>
        </w:rPr>
      </w:pPr>
      <w:r>
        <w:rPr>
          <w:rFonts w:cs="宋体"/>
          <w:color w:val="auto"/>
        </w:rPr>
        <w:t xml:space="preserve">2.2 </w:t>
      </w:r>
      <w:r>
        <w:rPr>
          <w:rFonts w:cs="宋体"/>
          <w:bCs/>
          <w:color w:val="auto"/>
        </w:rPr>
        <w:t>监理与相关服务依据</w:t>
      </w:r>
    </w:p>
    <w:p>
      <w:pPr>
        <w:pStyle w:val="style0"/>
        <w:adjustRightInd w:val="false"/>
        <w:snapToGrid w:val="false"/>
        <w:spacing w:lineRule="exact" w:line="400"/>
        <w:ind w:firstLine="480" w:firstLineChars="200"/>
        <w:rPr>
          <w:rFonts w:cs="宋体" w:hint="default"/>
          <w:color w:val="auto"/>
        </w:rPr>
      </w:pPr>
      <w:r>
        <w:rPr>
          <w:rFonts w:cs="宋体"/>
          <w:color w:val="auto"/>
        </w:rPr>
        <w:t>2.2.1 监理依据包括：</w:t>
      </w:r>
    </w:p>
    <w:p>
      <w:pPr>
        <w:pStyle w:val="style0"/>
        <w:adjustRightInd w:val="false"/>
        <w:snapToGrid w:val="false"/>
        <w:spacing w:lineRule="exact" w:line="400"/>
        <w:ind w:firstLine="600" w:firstLineChars="250"/>
        <w:rPr>
          <w:rFonts w:cs="宋体" w:hint="default"/>
          <w:color w:val="auto"/>
        </w:rPr>
      </w:pPr>
      <w:r>
        <w:rPr>
          <w:rFonts w:cs="宋体"/>
          <w:color w:val="auto"/>
        </w:rPr>
        <w:t>（1）适用的法律、行政法规及部门规章；</w:t>
      </w:r>
    </w:p>
    <w:p>
      <w:pPr>
        <w:pStyle w:val="style0"/>
        <w:adjustRightInd w:val="false"/>
        <w:snapToGrid w:val="false"/>
        <w:spacing w:lineRule="exact" w:line="400"/>
        <w:ind w:firstLine="600" w:firstLineChars="250"/>
        <w:rPr>
          <w:rFonts w:cs="宋体" w:hint="default"/>
          <w:color w:val="auto"/>
        </w:rPr>
      </w:pPr>
      <w:r>
        <w:rPr>
          <w:rFonts w:cs="宋体"/>
          <w:color w:val="auto"/>
        </w:rPr>
        <w:t>（2）与工程有关的标准；</w:t>
      </w:r>
    </w:p>
    <w:p>
      <w:pPr>
        <w:pStyle w:val="style0"/>
        <w:adjustRightInd w:val="false"/>
        <w:snapToGrid w:val="false"/>
        <w:spacing w:lineRule="exact" w:line="400"/>
        <w:ind w:firstLine="600" w:firstLineChars="250"/>
        <w:rPr>
          <w:rFonts w:cs="宋体" w:hint="default"/>
          <w:color w:val="auto"/>
        </w:rPr>
      </w:pPr>
      <w:r>
        <w:rPr>
          <w:rFonts w:cs="宋体"/>
          <w:color w:val="auto"/>
        </w:rPr>
        <w:t>（3）工程设计及有关文件；</w:t>
      </w:r>
    </w:p>
    <w:p>
      <w:pPr>
        <w:pStyle w:val="style0"/>
        <w:adjustRightInd w:val="false"/>
        <w:snapToGrid w:val="false"/>
        <w:spacing w:lineRule="exact" w:line="400"/>
        <w:ind w:firstLine="600" w:firstLineChars="250"/>
        <w:rPr>
          <w:rFonts w:cs="宋体" w:hint="default"/>
          <w:color w:val="auto"/>
        </w:rPr>
      </w:pPr>
      <w:r>
        <w:rPr>
          <w:rFonts w:cs="宋体"/>
          <w:color w:val="auto"/>
        </w:rPr>
        <w:t>（4）本合同及委托人与第三方签订的与实施工程有关的其他合同。</w:t>
      </w:r>
    </w:p>
    <w:p>
      <w:pPr>
        <w:pStyle w:val="style0"/>
        <w:spacing w:lineRule="exact" w:line="400"/>
        <w:ind w:left="240" w:leftChars="100" w:firstLine="480" w:firstLineChars="200"/>
        <w:rPr>
          <w:rFonts w:cs="宋体" w:hint="default"/>
          <w:bCs/>
          <w:color w:val="auto"/>
        </w:rPr>
      </w:pPr>
      <w:r>
        <w:rPr>
          <w:rFonts w:cs="宋体"/>
          <w:bCs/>
          <w:color w:val="auto"/>
        </w:rPr>
        <w:t>双方根据工程的行业和地域特点，在专用条件中具体约定监理依据。</w:t>
      </w:r>
    </w:p>
    <w:p>
      <w:pPr>
        <w:pStyle w:val="style0"/>
        <w:adjustRightInd w:val="false"/>
        <w:snapToGrid w:val="false"/>
        <w:spacing w:lineRule="exact" w:line="400"/>
        <w:ind w:firstLine="480" w:firstLineChars="200"/>
        <w:rPr>
          <w:rFonts w:cs="宋体" w:hint="default"/>
          <w:color w:val="auto"/>
        </w:rPr>
      </w:pPr>
      <w:r>
        <w:rPr>
          <w:rFonts w:cs="宋体"/>
          <w:color w:val="auto"/>
        </w:rPr>
        <w:t>2.2.2 相关服务依据在专用条件中约定。</w:t>
      </w:r>
    </w:p>
    <w:p>
      <w:pPr>
        <w:pStyle w:val="style0"/>
        <w:spacing w:lineRule="exact" w:line="400"/>
        <w:ind w:firstLine="240" w:firstLineChars="100"/>
        <w:rPr>
          <w:rFonts w:cs="宋体" w:hint="default"/>
          <w:color w:val="auto"/>
          <w:kern w:val="0"/>
        </w:rPr>
      </w:pPr>
      <w:r>
        <w:rPr>
          <w:rFonts w:cs="宋体"/>
          <w:color w:val="auto"/>
          <w:kern w:val="0"/>
        </w:rPr>
        <w:t>2.3 项目监理机构和人员</w:t>
      </w:r>
    </w:p>
    <w:p>
      <w:pPr>
        <w:pStyle w:val="style0"/>
        <w:adjustRightInd w:val="false"/>
        <w:snapToGrid w:val="false"/>
        <w:spacing w:lineRule="exact" w:line="400"/>
        <w:ind w:firstLine="645"/>
        <w:rPr>
          <w:rFonts w:cs="宋体" w:hint="default"/>
          <w:color w:val="auto"/>
          <w:kern w:val="0"/>
        </w:rPr>
      </w:pPr>
      <w:r>
        <w:rPr>
          <w:rFonts w:cs="宋体"/>
          <w:color w:val="auto"/>
          <w:kern w:val="0"/>
        </w:rPr>
        <w:t>2.3.1 监理人应组建满足工作需要的项目监理机构，配备必要的检测设备。项目监理机构的主要人员应具有相应的资格条件。</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2.3.2本合同履行过程中，总监理工程师及重要岗位监理人员应保持相对稳定，以保证监理工作正常进行。</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2.3.4 监理人应及时更换有下列情形之一的监理人员：</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（1）严重过失行为的；</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（2）有违法行为不能履行职责的；</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（3）涉嫌犯罪的；</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（4）不能胜任岗位职责的；</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（5）严重违反职业道德的；</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（6）专用条件约定的其他情形。</w:t>
      </w:r>
    </w:p>
    <w:p>
      <w:pPr>
        <w:pStyle w:val="style0"/>
        <w:spacing w:lineRule="exact" w:line="400"/>
        <w:ind w:firstLine="480" w:firstLineChars="200"/>
        <w:rPr>
          <w:rFonts w:cs="宋体" w:hint="default"/>
          <w:color w:val="auto"/>
          <w:kern w:val="0"/>
        </w:rPr>
      </w:pPr>
      <w:r>
        <w:rPr>
          <w:rFonts w:cs="宋体"/>
          <w:color w:val="auto"/>
          <w:kern w:val="0"/>
        </w:rPr>
        <w:t>2.3.5 委托人可要求监理人更换不能胜任本职工作的项目监理机构人员。</w:t>
      </w:r>
    </w:p>
    <w:p>
      <w:pPr>
        <w:pStyle w:val="style0"/>
        <w:spacing w:lineRule="exact" w:line="400"/>
        <w:ind w:left="240" w:leftChars="100"/>
        <w:rPr>
          <w:rFonts w:cs="宋体" w:hint="default"/>
          <w:color w:val="auto"/>
          <w:kern w:val="0"/>
        </w:rPr>
      </w:pPr>
      <w:r>
        <w:rPr>
          <w:rFonts w:cs="宋体"/>
          <w:color w:val="auto"/>
          <w:kern w:val="0"/>
        </w:rPr>
        <w:t>2.4 履行职责</w:t>
      </w:r>
    </w:p>
    <w:p>
      <w:pPr>
        <w:pStyle w:val="style0"/>
        <w:adjustRightInd w:val="false"/>
        <w:snapToGrid w:val="false"/>
        <w:spacing w:lineRule="exact" w:line="400"/>
        <w:ind w:firstLine="480" w:firstLineChars="200"/>
        <w:rPr>
          <w:rFonts w:cs="宋体" w:hint="default"/>
          <w:color w:val="auto"/>
        </w:rPr>
      </w:pPr>
      <w:r>
        <w:rPr>
          <w:rFonts w:cs="宋体"/>
          <w:color w:val="auto"/>
          <w:kern w:val="0"/>
        </w:rPr>
        <w:t>监理人应遵循职业道德准则和行为规范，严格按照法律法规、工程建设有关标准及本合同履行职责。</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2.4.1 在监理与相关服务范围内，委托人和承包人提出的意见和要求，监理人应及时提出处置意见。当委托人与承包人之间发生合同争议时，监理人应协助委托人、承包人协商解决。</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2.4.2 当委托人与承包人之间的合同争议提交仲裁机构仲裁或人民法院审理时，监理人应提供必要的证明资料。</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2.4.3 监理人应在专用条件约定的授权范围内，处理委托人与承包人所签订合同的变更事宜。如果变更超过授权范围，应以书面形式报委托人批准。</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在紧急情况下，为了保护财产和人身安全，监理人所发出的指令未能事先报委托人批准时，应在发出指令后的24小时内以书面形式报委托人。</w:t>
      </w:r>
    </w:p>
    <w:p>
      <w:pPr>
        <w:pStyle w:val="style0"/>
        <w:spacing w:lineRule="exact" w:line="400"/>
        <w:ind w:firstLine="480" w:firstLineChars="200"/>
        <w:rPr>
          <w:rFonts w:cs="宋体" w:hint="default"/>
          <w:color w:val="auto"/>
          <w:kern w:val="0"/>
        </w:rPr>
      </w:pPr>
      <w:r>
        <w:rPr>
          <w:rFonts w:cs="宋体"/>
          <w:color w:val="auto"/>
          <w:kern w:val="0"/>
        </w:rPr>
        <w:t>2.4.4 除专用条件另有约定外，监理人发现承包人的人员不能胜任本职工作的，有权要求承包人予以调换。</w:t>
      </w:r>
    </w:p>
    <w:p>
      <w:pPr>
        <w:pStyle w:val="style0"/>
        <w:spacing w:lineRule="exact" w:line="400"/>
        <w:ind w:left="240" w:leftChars="100"/>
        <w:rPr>
          <w:rFonts w:cs="宋体" w:hint="default"/>
          <w:color w:val="auto"/>
          <w:kern w:val="0"/>
        </w:rPr>
      </w:pPr>
      <w:r>
        <w:rPr>
          <w:rFonts w:cs="宋体"/>
          <w:color w:val="auto"/>
          <w:kern w:val="0"/>
        </w:rPr>
        <w:t>2.5 提交报告</w:t>
      </w:r>
    </w:p>
    <w:p>
      <w:pPr>
        <w:pStyle w:val="style0"/>
        <w:spacing w:lineRule="exact" w:line="400"/>
        <w:ind w:firstLine="480" w:firstLineChars="200"/>
        <w:rPr>
          <w:rFonts w:cs="宋体" w:hint="default"/>
          <w:color w:val="auto"/>
        </w:rPr>
      </w:pPr>
      <w:r>
        <w:rPr>
          <w:rFonts w:cs="宋体"/>
          <w:color w:val="auto"/>
        </w:rPr>
        <w:t>监理人应按专用条件约定的种类、时间和份数向委托人提交监理与相关服务的报告。</w:t>
      </w:r>
    </w:p>
    <w:p>
      <w:pPr>
        <w:pStyle w:val="style0"/>
        <w:spacing w:lineRule="exact" w:line="400"/>
        <w:ind w:left="240" w:leftChars="100"/>
        <w:rPr>
          <w:rFonts w:cs="宋体" w:hint="default"/>
          <w:color w:val="auto"/>
          <w:kern w:val="0"/>
        </w:rPr>
      </w:pPr>
      <w:r>
        <w:rPr>
          <w:rFonts w:cs="宋体"/>
          <w:color w:val="auto"/>
          <w:kern w:val="0"/>
        </w:rPr>
        <w:t>2.6 文件资料</w:t>
      </w:r>
    </w:p>
    <w:p>
      <w:pPr>
        <w:pStyle w:val="style0"/>
        <w:spacing w:lineRule="exact" w:line="400"/>
        <w:ind w:firstLine="480" w:firstLineChars="200"/>
        <w:rPr>
          <w:rFonts w:cs="宋体" w:hint="default"/>
          <w:color w:val="auto"/>
        </w:rPr>
      </w:pPr>
      <w:r>
        <w:rPr>
          <w:rFonts w:cs="宋体"/>
          <w:color w:val="auto"/>
          <w:kern w:val="0"/>
        </w:rPr>
        <w:t>在本合同履行期内，监理人应在现场保留工作所用的图纸、报告及记录监理工</w:t>
      </w:r>
      <w:r>
        <w:rPr>
          <w:rFonts w:cs="宋体"/>
          <w:color w:val="auto"/>
        </w:rPr>
        <w:t>作的相关文件。工程竣工后，应当按照档案管理规定将监理有关文件归档。</w:t>
      </w:r>
    </w:p>
    <w:p>
      <w:pPr>
        <w:pStyle w:val="style0"/>
        <w:spacing w:lineRule="exact" w:line="400"/>
        <w:ind w:left="240" w:leftChars="100"/>
        <w:rPr>
          <w:rFonts w:cs="宋体" w:hint="default"/>
          <w:color w:val="auto"/>
          <w:kern w:val="0"/>
        </w:rPr>
      </w:pPr>
      <w:r>
        <w:rPr>
          <w:rFonts w:cs="宋体"/>
          <w:color w:val="auto"/>
          <w:kern w:val="0"/>
        </w:rPr>
        <w:t>2.7 使用委托人的财产</w:t>
      </w:r>
    </w:p>
    <w:p>
      <w:pPr>
        <w:pStyle w:val="style0"/>
        <w:spacing w:lineRule="exact" w:line="400"/>
        <w:ind w:firstLine="480" w:firstLineChars="200"/>
        <w:rPr>
          <w:rFonts w:cs="宋体" w:hint="default"/>
          <w:color w:val="auto"/>
        </w:rPr>
      </w:pPr>
      <w:r>
        <w:rPr>
          <w:rFonts w:cs="宋体"/>
          <w:color w:val="auto"/>
        </w:rPr>
        <w:t>监理人无偿使用附录B中由委托人派遣的人员和提供的房屋、资料、设备。除专用条件另有约定外，委托人提供的房屋、设备属于委托人的财产，监理人应妥善使用和保管，在本合同终止时将这些房屋、设备的清单提交委托人，并按专用条件约定的时间和方式移交。</w:t>
      </w:r>
    </w:p>
    <w:p>
      <w:pPr>
        <w:pStyle w:val="style0"/>
        <w:spacing w:lineRule="exact" w:line="400"/>
        <w:rPr>
          <w:rFonts w:cs="宋体" w:hint="default"/>
          <w:b/>
          <w:color w:val="auto"/>
          <w:kern w:val="0"/>
        </w:rPr>
      </w:pPr>
      <w:r>
        <w:rPr>
          <w:rFonts w:cs="宋体"/>
          <w:b/>
          <w:color w:val="auto"/>
          <w:kern w:val="0"/>
        </w:rPr>
        <w:t>3．委托人的义务</w:t>
      </w:r>
    </w:p>
    <w:p>
      <w:pPr>
        <w:pStyle w:val="style0"/>
        <w:spacing w:lineRule="exact" w:line="400"/>
        <w:ind w:left="240" w:leftChars="100"/>
        <w:rPr>
          <w:rFonts w:cs="宋体" w:hint="default"/>
          <w:color w:val="auto"/>
          <w:kern w:val="0"/>
        </w:rPr>
      </w:pPr>
      <w:r>
        <w:rPr>
          <w:rFonts w:cs="宋体"/>
          <w:color w:val="auto"/>
          <w:kern w:val="0"/>
        </w:rPr>
        <w:t>3.1 告知</w:t>
      </w:r>
    </w:p>
    <w:p>
      <w:pPr>
        <w:pStyle w:val="style0"/>
        <w:spacing w:lineRule="exact" w:line="400"/>
        <w:ind w:firstLine="480" w:firstLineChars="200"/>
        <w:rPr>
          <w:rFonts w:cs="宋体" w:hint="default"/>
          <w:color w:val="auto"/>
          <w:kern w:val="0"/>
        </w:rPr>
      </w:pPr>
      <w:r>
        <w:rPr>
          <w:rFonts w:cs="宋体"/>
          <w:color w:val="auto"/>
          <w:kern w:val="0"/>
        </w:rPr>
        <w:t>委托人应在委托人与承包人签订的合同中明确监理人、总监理工程师和授予项目监理机构的权限。如有变更，应及时通知承包人。</w:t>
      </w:r>
    </w:p>
    <w:p>
      <w:pPr>
        <w:pStyle w:val="style0"/>
        <w:spacing w:lineRule="exact" w:line="400"/>
        <w:ind w:left="240" w:leftChars="100"/>
        <w:rPr>
          <w:rFonts w:cs="宋体" w:hint="default"/>
          <w:color w:val="auto"/>
          <w:kern w:val="0"/>
        </w:rPr>
      </w:pPr>
      <w:r>
        <w:rPr>
          <w:rFonts w:cs="宋体"/>
          <w:color w:val="auto"/>
          <w:kern w:val="0"/>
        </w:rPr>
        <w:t>3.2 提供资料</w:t>
      </w:r>
    </w:p>
    <w:p>
      <w:pPr>
        <w:pStyle w:val="style0"/>
        <w:spacing w:lineRule="exact" w:line="400"/>
        <w:ind w:firstLine="480" w:firstLineChars="200"/>
        <w:rPr>
          <w:rFonts w:cs="宋体" w:hint="default"/>
          <w:color w:val="auto"/>
        </w:rPr>
      </w:pPr>
      <w:r>
        <w:rPr>
          <w:rFonts w:cs="宋体"/>
          <w:color w:val="auto"/>
          <w:kern w:val="0"/>
        </w:rPr>
        <w:t>委托人应按照附录B约定，无偿向监理人提供工程有关的资料。</w:t>
      </w:r>
      <w:r>
        <w:rPr>
          <w:rFonts w:cs="宋体"/>
          <w:color w:val="auto"/>
        </w:rPr>
        <w:t>在本合同履行过程中，委托人应及时向监理人提供最新的与工程有关的资料。</w:t>
      </w:r>
    </w:p>
    <w:p>
      <w:pPr>
        <w:pStyle w:val="style0"/>
        <w:spacing w:lineRule="exact" w:line="400"/>
        <w:ind w:left="240" w:leftChars="100"/>
        <w:rPr>
          <w:rFonts w:cs="宋体" w:hint="default"/>
          <w:color w:val="auto"/>
          <w:kern w:val="0"/>
        </w:rPr>
      </w:pPr>
      <w:r>
        <w:rPr>
          <w:rFonts w:cs="宋体"/>
          <w:color w:val="auto"/>
          <w:kern w:val="0"/>
        </w:rPr>
        <w:t>3.3 提供工作条件</w:t>
      </w:r>
    </w:p>
    <w:p>
      <w:pPr>
        <w:pStyle w:val="style0"/>
        <w:adjustRightInd w:val="false"/>
        <w:snapToGrid w:val="false"/>
        <w:spacing w:lineRule="exact" w:line="400"/>
        <w:ind w:firstLine="480" w:firstLineChars="200"/>
        <w:rPr>
          <w:rFonts w:cs="宋体" w:hint="default"/>
          <w:color w:val="auto"/>
        </w:rPr>
      </w:pPr>
      <w:r>
        <w:rPr>
          <w:rFonts w:cs="宋体"/>
          <w:color w:val="auto"/>
        </w:rPr>
        <w:t>委托人应为监理人完成监理与相关服务提供必要的条件。</w:t>
      </w:r>
    </w:p>
    <w:p>
      <w:pPr>
        <w:pStyle w:val="style0"/>
        <w:adjustRightInd w:val="false"/>
        <w:snapToGrid w:val="false"/>
        <w:spacing w:lineRule="exact" w:line="400"/>
        <w:ind w:firstLine="480" w:firstLineChars="200"/>
        <w:rPr>
          <w:rFonts w:cs="宋体" w:hint="default"/>
          <w:color w:val="auto"/>
        </w:rPr>
      </w:pPr>
      <w:r>
        <w:rPr>
          <w:rFonts w:cs="宋体"/>
          <w:color w:val="auto"/>
          <w:kern w:val="0"/>
        </w:rPr>
        <w:t xml:space="preserve">3.3.1 </w:t>
      </w:r>
      <w:r>
        <w:rPr>
          <w:rFonts w:cs="宋体"/>
          <w:color w:val="auto"/>
        </w:rPr>
        <w:t>委托人应按照附录B约定，派遣相应的人员，提供房屋、设备，供监理人</w:t>
      </w:r>
      <w:r>
        <w:rPr>
          <w:rFonts w:cs="宋体"/>
          <w:color w:val="auto"/>
          <w:kern w:val="0"/>
        </w:rPr>
        <w:t>无偿</w:t>
      </w:r>
      <w:r>
        <w:rPr>
          <w:rFonts w:cs="宋体"/>
          <w:color w:val="auto"/>
        </w:rPr>
        <w:t>使用。</w:t>
      </w:r>
    </w:p>
    <w:p>
      <w:pPr>
        <w:pStyle w:val="style0"/>
        <w:spacing w:lineRule="exact" w:line="400"/>
        <w:ind w:firstLine="480" w:firstLineChars="200"/>
        <w:rPr>
          <w:rFonts w:cs="宋体" w:hint="default"/>
          <w:color w:val="auto"/>
        </w:rPr>
      </w:pPr>
      <w:r>
        <w:rPr>
          <w:rFonts w:cs="宋体"/>
          <w:color w:val="auto"/>
          <w:kern w:val="0"/>
        </w:rPr>
        <w:t xml:space="preserve">3.3.2 </w:t>
      </w:r>
      <w:r>
        <w:rPr>
          <w:rFonts w:cs="宋体"/>
          <w:color w:val="auto"/>
        </w:rPr>
        <w:t>委托人应负责协调工程建设中所有外部关系，为监理人履行本合同提供必要的外部条件。</w:t>
      </w:r>
    </w:p>
    <w:p>
      <w:pPr>
        <w:pStyle w:val="style0"/>
        <w:snapToGrid w:val="false"/>
        <w:spacing w:lineRule="exact" w:line="400"/>
        <w:ind w:left="240" w:leftChars="100"/>
        <w:rPr>
          <w:rFonts w:cs="宋体" w:hint="default"/>
          <w:color w:val="auto"/>
          <w:kern w:val="0"/>
        </w:rPr>
      </w:pPr>
      <w:r>
        <w:rPr>
          <w:rFonts w:cs="宋体"/>
          <w:color w:val="auto"/>
          <w:kern w:val="0"/>
        </w:rPr>
        <w:t>3.4 委托人代表</w:t>
      </w:r>
    </w:p>
    <w:p>
      <w:pPr>
        <w:pStyle w:val="style0"/>
        <w:snapToGrid w:val="false"/>
        <w:spacing w:lineRule="exact" w:line="400"/>
        <w:ind w:firstLine="480" w:firstLineChars="200"/>
        <w:rPr>
          <w:rFonts w:cs="宋体" w:hint="default"/>
          <w:color w:val="auto"/>
        </w:rPr>
      </w:pPr>
      <w:r>
        <w:rPr>
          <w:rFonts w:cs="宋体"/>
          <w:color w:val="auto"/>
        </w:rPr>
        <w:t>委托人应授权一名熟悉工程情况的代表，负责与监理人联系。委托人应在双方签订本合同后7天内，将委托人代表的姓名和职责书面告知监理人。当委托人更换委托人代表时，应提前7天通知监理人。</w:t>
      </w:r>
    </w:p>
    <w:p>
      <w:pPr>
        <w:pStyle w:val="style0"/>
        <w:snapToGrid w:val="false"/>
        <w:spacing w:lineRule="exact" w:line="400"/>
        <w:ind w:left="240" w:leftChars="100"/>
        <w:rPr>
          <w:rFonts w:cs="宋体" w:hint="default"/>
          <w:color w:val="auto"/>
          <w:kern w:val="0"/>
        </w:rPr>
      </w:pPr>
      <w:r>
        <w:rPr>
          <w:rFonts w:cs="宋体"/>
          <w:color w:val="auto"/>
          <w:kern w:val="0"/>
        </w:rPr>
        <w:t>3.5 委托人意见或要求</w:t>
      </w:r>
    </w:p>
    <w:p>
      <w:pPr>
        <w:pStyle w:val="style0"/>
        <w:snapToGrid w:val="false"/>
        <w:spacing w:lineRule="exact" w:line="400"/>
        <w:ind w:firstLine="480" w:firstLineChars="200"/>
        <w:rPr>
          <w:rFonts w:cs="宋体" w:hint="default"/>
          <w:color w:val="auto"/>
        </w:rPr>
      </w:pPr>
      <w:r>
        <w:rPr>
          <w:rFonts w:cs="宋体"/>
          <w:color w:val="auto"/>
        </w:rPr>
        <w:t>在本合同约定的监理与相关服务工作范围内，委托人对承包人的任何意见或要求应通知监理人，由监理人向承包人发出相应指令。</w:t>
      </w:r>
    </w:p>
    <w:p>
      <w:pPr>
        <w:pStyle w:val="style0"/>
        <w:snapToGrid w:val="false"/>
        <w:spacing w:lineRule="exact" w:line="400"/>
        <w:ind w:left="240" w:leftChars="100"/>
        <w:rPr>
          <w:rFonts w:cs="宋体" w:hint="default"/>
          <w:color w:val="auto"/>
          <w:kern w:val="0"/>
        </w:rPr>
      </w:pPr>
      <w:r>
        <w:rPr>
          <w:rFonts w:cs="宋体"/>
          <w:color w:val="auto"/>
          <w:kern w:val="0"/>
        </w:rPr>
        <w:t>3.6 答复</w:t>
      </w:r>
    </w:p>
    <w:p>
      <w:pPr>
        <w:pStyle w:val="style0"/>
        <w:snapToGrid w:val="false"/>
        <w:spacing w:lineRule="exact" w:line="400"/>
        <w:ind w:firstLine="480" w:firstLineChars="200"/>
        <w:rPr>
          <w:rFonts w:cs="宋体" w:hint="default"/>
          <w:color w:val="auto"/>
        </w:rPr>
      </w:pPr>
      <w:r>
        <w:rPr>
          <w:rFonts w:cs="宋体"/>
          <w:color w:val="auto"/>
        </w:rPr>
        <w:t>委托人应在专用条件约定的时间内，对监理人以书面形式提交并要求作出决定的事宜，给予书面答复。逾期未答复的，视为委托人认可。</w:t>
      </w:r>
    </w:p>
    <w:p>
      <w:pPr>
        <w:pStyle w:val="style0"/>
        <w:snapToGrid w:val="false"/>
        <w:spacing w:lineRule="exact" w:line="400"/>
        <w:ind w:left="240" w:leftChars="100"/>
        <w:rPr>
          <w:rFonts w:cs="宋体" w:hint="default"/>
          <w:color w:val="auto"/>
          <w:kern w:val="0"/>
        </w:rPr>
      </w:pPr>
      <w:r>
        <w:rPr>
          <w:rFonts w:cs="宋体"/>
          <w:color w:val="auto"/>
          <w:kern w:val="0"/>
        </w:rPr>
        <w:t>3.7 支付</w:t>
      </w:r>
    </w:p>
    <w:p>
      <w:pPr>
        <w:pStyle w:val="style0"/>
        <w:snapToGrid w:val="false"/>
        <w:spacing w:lineRule="exact" w:line="400"/>
        <w:ind w:firstLine="480" w:firstLineChars="200"/>
        <w:rPr>
          <w:rFonts w:cs="宋体" w:hint="default"/>
          <w:color w:val="auto"/>
        </w:rPr>
      </w:pPr>
      <w:r>
        <w:rPr>
          <w:rFonts w:cs="宋体"/>
          <w:color w:val="auto"/>
        </w:rPr>
        <w:t>委托人应按本合同约定，向监理人支付酬金。</w:t>
      </w:r>
    </w:p>
    <w:p>
      <w:pPr>
        <w:pStyle w:val="style0"/>
        <w:snapToGrid w:val="false"/>
        <w:spacing w:lineRule="exact" w:line="400"/>
        <w:rPr>
          <w:rFonts w:cs="宋体" w:hint="default"/>
          <w:b/>
          <w:bCs/>
          <w:color w:val="auto"/>
        </w:rPr>
      </w:pPr>
      <w:r>
        <w:rPr>
          <w:rFonts w:cs="宋体"/>
          <w:b/>
          <w:bCs/>
          <w:color w:val="auto"/>
        </w:rPr>
        <w:t>4. 违约责任</w:t>
      </w:r>
    </w:p>
    <w:p>
      <w:pPr>
        <w:pStyle w:val="style0"/>
        <w:spacing w:lineRule="exact" w:line="400"/>
        <w:ind w:left="240" w:leftChars="100"/>
        <w:rPr>
          <w:rFonts w:cs="宋体" w:hint="default"/>
          <w:color w:val="auto"/>
          <w:kern w:val="0"/>
        </w:rPr>
      </w:pPr>
      <w:r>
        <w:rPr>
          <w:rFonts w:cs="宋体"/>
          <w:color w:val="auto"/>
          <w:kern w:val="0"/>
        </w:rPr>
        <w:t>4.1 监理人的违约责任</w:t>
      </w:r>
    </w:p>
    <w:p>
      <w:pPr>
        <w:pStyle w:val="style0"/>
        <w:adjustRightInd w:val="false"/>
        <w:snapToGrid w:val="false"/>
        <w:spacing w:lineRule="exact" w:line="400"/>
        <w:ind w:firstLine="480" w:firstLineChars="200"/>
        <w:rPr>
          <w:rFonts w:cs="宋体" w:hint="default"/>
          <w:color w:val="auto"/>
        </w:rPr>
      </w:pPr>
      <w:r>
        <w:rPr>
          <w:rFonts w:cs="宋体"/>
          <w:color w:val="auto"/>
          <w:kern w:val="0"/>
        </w:rPr>
        <w:t>监理人未履行本合同义务的，应承担相应的责任。</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4.1.1 因监理人违反本合同约定</w:t>
      </w:r>
      <w:r>
        <w:rPr>
          <w:rFonts w:cs="宋体"/>
          <w:color w:val="auto"/>
        </w:rPr>
        <w:t>给委托人造成损失的，监理人应当赔偿委托人损失</w:t>
      </w:r>
      <w:r>
        <w:rPr>
          <w:rFonts w:cs="宋体"/>
          <w:color w:val="auto"/>
          <w:kern w:val="0"/>
        </w:rPr>
        <w:t>。赔偿金额的确定方法在专用条件中约定。监理人承担部分赔偿责任的，其承担赔偿金额由双方协商确定。</w:t>
      </w:r>
    </w:p>
    <w:p>
      <w:pPr>
        <w:pStyle w:val="style0"/>
        <w:spacing w:lineRule="exact" w:line="400"/>
        <w:ind w:firstLine="480" w:firstLineChars="200"/>
        <w:rPr>
          <w:rFonts w:cs="宋体" w:hint="default"/>
          <w:color w:val="auto"/>
          <w:kern w:val="0"/>
        </w:rPr>
      </w:pPr>
      <w:r>
        <w:rPr>
          <w:rFonts w:cs="宋体"/>
          <w:color w:val="auto"/>
          <w:kern w:val="0"/>
        </w:rPr>
        <w:t>4.1.2 监理人向委托人的索赔不成立时，监理人应赔偿委托人由此发生的费用。</w:t>
      </w:r>
    </w:p>
    <w:p>
      <w:pPr>
        <w:pStyle w:val="style0"/>
        <w:snapToGrid w:val="false"/>
        <w:spacing w:lineRule="exact" w:line="400"/>
        <w:ind w:firstLine="240" w:firstLineChars="100"/>
        <w:rPr>
          <w:rFonts w:cs="宋体" w:hint="default"/>
          <w:color w:val="auto"/>
          <w:kern w:val="0"/>
        </w:rPr>
      </w:pPr>
      <w:r>
        <w:rPr>
          <w:rFonts w:cs="宋体"/>
          <w:color w:val="auto"/>
          <w:kern w:val="0"/>
        </w:rPr>
        <w:t>4.2 委托人的违约责任</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委托人未履行本合同义务的，应承担相应的责任。</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4.2.1 委托人违反本合同约定造成监理人损失的，委托人应予以赔偿。</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4.2.2 委托人向监理人的索赔不成立时，应赔偿监理人由此引起的费用。</w:t>
      </w:r>
    </w:p>
    <w:p>
      <w:pPr>
        <w:pStyle w:val="style0"/>
        <w:spacing w:lineRule="exact" w:line="400"/>
        <w:ind w:firstLine="480" w:firstLineChars="200"/>
        <w:rPr>
          <w:rFonts w:cs="宋体" w:hint="default"/>
          <w:color w:val="auto"/>
          <w:kern w:val="0"/>
        </w:rPr>
      </w:pPr>
      <w:r>
        <w:rPr>
          <w:rFonts w:cs="宋体"/>
          <w:color w:val="auto"/>
        </w:rPr>
        <w:t xml:space="preserve">4.2.3 </w:t>
      </w:r>
      <w:r>
        <w:rPr>
          <w:rFonts w:cs="宋体"/>
          <w:color w:val="auto"/>
          <w:kern w:val="0"/>
        </w:rPr>
        <w:t>委托人未能按期支付</w:t>
      </w:r>
      <w:r>
        <w:rPr>
          <w:rFonts w:cs="宋体"/>
          <w:color w:val="auto"/>
        </w:rPr>
        <w:t>酬金</w:t>
      </w:r>
      <w:r>
        <w:rPr>
          <w:rFonts w:cs="宋体"/>
          <w:color w:val="auto"/>
          <w:kern w:val="0"/>
        </w:rPr>
        <w:t>超过28天，应按专用条件约定支付逾期付款利息。</w:t>
      </w:r>
    </w:p>
    <w:p>
      <w:pPr>
        <w:pStyle w:val="style0"/>
        <w:spacing w:lineRule="exact" w:line="400"/>
        <w:ind w:firstLine="240" w:firstLineChars="100"/>
        <w:rPr>
          <w:rFonts w:cs="宋体" w:hint="default"/>
          <w:color w:val="auto"/>
          <w:kern w:val="0"/>
        </w:rPr>
      </w:pPr>
      <w:r>
        <w:rPr>
          <w:rFonts w:cs="宋体"/>
          <w:color w:val="auto"/>
          <w:kern w:val="0"/>
        </w:rPr>
        <w:t>4.3 除外责任</w:t>
      </w:r>
    </w:p>
    <w:p>
      <w:pPr>
        <w:pStyle w:val="style0"/>
        <w:adjustRightInd w:val="false"/>
        <w:snapToGrid w:val="false"/>
        <w:spacing w:lineRule="exact" w:line="400"/>
        <w:ind w:firstLine="480" w:firstLineChars="200"/>
        <w:rPr>
          <w:rFonts w:cs="宋体" w:hint="default"/>
          <w:color w:val="auto"/>
          <w:kern w:val="0"/>
        </w:rPr>
      </w:pPr>
      <w:r>
        <w:rPr>
          <w:rFonts w:cs="宋体"/>
          <w:color w:val="auto"/>
          <w:kern w:val="0"/>
        </w:rPr>
        <w:t>因非监理人的原因，且监理人无过错，发生工程质量事故、安全事故、工期延误等造成的损失，监理人不承担赔偿责任。</w:t>
      </w:r>
    </w:p>
    <w:p>
      <w:pPr>
        <w:pStyle w:val="style0"/>
        <w:snapToGrid w:val="false"/>
        <w:spacing w:lineRule="exact" w:line="400"/>
        <w:ind w:firstLine="480" w:firstLineChars="200"/>
        <w:rPr>
          <w:rFonts w:cs="宋体" w:hint="default"/>
          <w:color w:val="auto"/>
          <w:kern w:val="0"/>
        </w:rPr>
      </w:pPr>
      <w:r>
        <w:rPr>
          <w:rFonts w:cs="宋体"/>
          <w:color w:val="auto"/>
          <w:kern w:val="0"/>
        </w:rPr>
        <w:t>因不可抗力导致本合同全部或部分不能履行时，双方各自承担其因此而造成的损失、损害。</w:t>
      </w:r>
    </w:p>
    <w:p>
      <w:pPr>
        <w:pStyle w:val="style0"/>
        <w:snapToGrid w:val="false"/>
        <w:spacing w:lineRule="exact" w:line="400"/>
        <w:rPr>
          <w:rFonts w:cs="宋体" w:hint="default"/>
          <w:b/>
          <w:bCs/>
          <w:color w:val="auto"/>
        </w:rPr>
      </w:pPr>
      <w:r>
        <w:rPr>
          <w:rFonts w:cs="宋体"/>
          <w:b/>
          <w:bCs/>
          <w:color w:val="auto"/>
        </w:rPr>
        <w:t>5. 支付</w:t>
      </w:r>
    </w:p>
    <w:p>
      <w:pPr>
        <w:pStyle w:val="style0"/>
        <w:snapToGrid w:val="false"/>
        <w:spacing w:lineRule="exact" w:line="400"/>
        <w:ind w:left="240" w:leftChars="100"/>
        <w:rPr>
          <w:rFonts w:cs="宋体" w:hint="default"/>
          <w:bCs/>
          <w:color w:val="auto"/>
        </w:rPr>
      </w:pPr>
      <w:r>
        <w:rPr>
          <w:rFonts w:cs="宋体"/>
          <w:color w:val="auto"/>
        </w:rPr>
        <w:t xml:space="preserve">5.1 </w:t>
      </w:r>
      <w:r>
        <w:rPr>
          <w:rFonts w:cs="宋体"/>
          <w:bCs/>
          <w:color w:val="auto"/>
        </w:rPr>
        <w:t>支付货币</w:t>
      </w:r>
    </w:p>
    <w:p>
      <w:pPr>
        <w:pStyle w:val="style0"/>
        <w:snapToGrid w:val="false"/>
        <w:spacing w:lineRule="exact" w:line="400"/>
        <w:ind w:firstLine="480" w:firstLineChars="200"/>
        <w:rPr>
          <w:rFonts w:cs="宋体" w:hint="default"/>
          <w:bCs/>
          <w:color w:val="auto"/>
        </w:rPr>
      </w:pPr>
      <w:r>
        <w:rPr>
          <w:rFonts w:cs="宋体"/>
          <w:color w:val="auto"/>
        </w:rPr>
        <w:t>除专用条件另有约定外，酬金均以人民币支付。涉及外币支付的，所采用的货币种类、比例和汇率在专用条件中约定。</w:t>
      </w:r>
    </w:p>
    <w:p>
      <w:pPr>
        <w:pStyle w:val="style0"/>
        <w:snapToGrid w:val="false"/>
        <w:spacing w:lineRule="exact" w:line="400"/>
        <w:ind w:left="240" w:leftChars="100"/>
        <w:rPr>
          <w:rFonts w:cs="宋体" w:hint="default"/>
          <w:bCs/>
          <w:color w:val="auto"/>
        </w:rPr>
      </w:pPr>
      <w:r>
        <w:rPr>
          <w:rFonts w:cs="宋体"/>
          <w:color w:val="auto"/>
        </w:rPr>
        <w:t>5.2 支付申请</w:t>
      </w:r>
    </w:p>
    <w:p>
      <w:pPr>
        <w:pStyle w:val="style0"/>
        <w:snapToGrid w:val="false"/>
        <w:spacing w:lineRule="exact" w:line="400"/>
        <w:ind w:firstLine="480" w:firstLineChars="200"/>
        <w:rPr>
          <w:rFonts w:cs="宋体" w:hint="default"/>
          <w:color w:val="auto"/>
        </w:rPr>
      </w:pPr>
      <w:r>
        <w:rPr>
          <w:rFonts w:cs="宋体"/>
          <w:color w:val="auto"/>
        </w:rPr>
        <w:t>监理人应在本合同约定的每次应付款时间的7天前，向委托人提交支付申请书。支付申请书应当说明当期应付款总额，并列出当期应支付的款项及其金额。</w:t>
      </w:r>
    </w:p>
    <w:p>
      <w:pPr>
        <w:pStyle w:val="style0"/>
        <w:snapToGrid w:val="false"/>
        <w:spacing w:lineRule="exact" w:line="400"/>
        <w:rPr>
          <w:rFonts w:cs="宋体" w:hint="default"/>
          <w:color w:val="auto"/>
        </w:rPr>
      </w:pPr>
      <w:r>
        <w:rPr>
          <w:rFonts w:cs="宋体"/>
          <w:color w:val="auto"/>
        </w:rPr>
        <w:t xml:space="preserve"> 5.3 支付酬金</w:t>
      </w:r>
    </w:p>
    <w:p>
      <w:pPr>
        <w:pStyle w:val="style0"/>
        <w:snapToGrid w:val="false"/>
        <w:spacing w:lineRule="exact" w:line="400"/>
        <w:ind w:firstLine="480"/>
        <w:rPr>
          <w:rFonts w:cs="宋体" w:hint="default"/>
          <w:color w:val="auto"/>
        </w:rPr>
      </w:pPr>
      <w:r>
        <w:rPr>
          <w:rFonts w:cs="宋体"/>
          <w:color w:val="auto"/>
        </w:rPr>
        <w:t>支付的酬金包括正常工作酬金、附加工作酬金、合理化建议奖励金额及费用。</w:t>
      </w:r>
    </w:p>
    <w:p>
      <w:pPr>
        <w:pStyle w:val="style0"/>
        <w:snapToGrid w:val="false"/>
        <w:spacing w:lineRule="exact" w:line="400"/>
        <w:rPr>
          <w:rFonts w:cs="宋体" w:hint="default"/>
          <w:bCs/>
          <w:color w:val="auto"/>
        </w:rPr>
      </w:pPr>
      <w:r>
        <w:rPr>
          <w:rFonts w:cs="宋体"/>
          <w:color w:val="auto"/>
        </w:rPr>
        <w:t xml:space="preserve">  5.4 </w:t>
      </w:r>
      <w:r>
        <w:rPr>
          <w:rFonts w:cs="宋体"/>
          <w:bCs/>
          <w:color w:val="auto"/>
        </w:rPr>
        <w:t>有争议部分的付款</w:t>
      </w:r>
    </w:p>
    <w:p>
      <w:pPr>
        <w:pStyle w:val="style0"/>
        <w:snapToGrid w:val="false"/>
        <w:spacing w:lineRule="exact" w:line="400"/>
        <w:ind w:firstLine="480" w:firstLineChars="200"/>
        <w:rPr>
          <w:rFonts w:cs="宋体" w:hint="default"/>
          <w:color w:val="auto"/>
        </w:rPr>
      </w:pPr>
      <w:r>
        <w:rPr>
          <w:rFonts w:cs="宋体"/>
          <w:color w:val="auto"/>
        </w:rPr>
        <w:t>委托人对监理人提交的支付申请书有异议时，应当在收到监理人提交的支付申请书后7天内，以书面形式向监理人发出异议通知。无异议部分的款项应按期支付，有异议部分的款项按第7条约定办理。</w:t>
      </w:r>
    </w:p>
    <w:p>
      <w:pPr>
        <w:pStyle w:val="style0"/>
        <w:snapToGrid w:val="false"/>
        <w:spacing w:lineRule="exact" w:line="400"/>
        <w:rPr>
          <w:rFonts w:cs="宋体" w:hint="default"/>
          <w:b/>
          <w:bCs/>
          <w:color w:val="auto"/>
        </w:rPr>
      </w:pPr>
      <w:r>
        <w:rPr>
          <w:rFonts w:cs="宋体"/>
          <w:b/>
          <w:bCs/>
          <w:color w:val="auto"/>
        </w:rPr>
        <w:t>6. 合同生效、变更、暂停、解除与终止</w:t>
      </w:r>
    </w:p>
    <w:p>
      <w:pPr>
        <w:pStyle w:val="style0"/>
        <w:spacing w:lineRule="exact" w:line="400"/>
        <w:ind w:left="240" w:leftChars="100"/>
        <w:rPr>
          <w:rFonts w:cs="宋体" w:hint="default"/>
          <w:color w:val="auto"/>
        </w:rPr>
      </w:pPr>
      <w:r>
        <w:rPr>
          <w:rFonts w:cs="宋体"/>
          <w:color w:val="auto"/>
        </w:rPr>
        <w:t>6.1生效</w:t>
      </w:r>
    </w:p>
    <w:p>
      <w:pPr>
        <w:pStyle w:val="style0"/>
        <w:spacing w:lineRule="exact" w:line="400"/>
        <w:ind w:firstLine="480" w:firstLineChars="200"/>
        <w:rPr>
          <w:rFonts w:cs="宋体" w:hint="default"/>
          <w:color w:val="auto"/>
        </w:rPr>
      </w:pPr>
      <w:r>
        <w:rPr>
          <w:rFonts w:cs="宋体"/>
          <w:color w:val="auto"/>
        </w:rPr>
        <w:t>除法律另有规定或者专用条件另有约定外，委托人和监理人的法定代表人或其授权代理人在协议书上签字并盖单位章后本合同生效。</w:t>
      </w:r>
    </w:p>
    <w:p>
      <w:pPr>
        <w:pStyle w:val="style0"/>
        <w:snapToGrid w:val="false"/>
        <w:spacing w:lineRule="exact" w:line="400"/>
        <w:ind w:left="240" w:leftChars="100"/>
        <w:rPr>
          <w:rFonts w:cs="宋体" w:hint="default"/>
          <w:bCs/>
          <w:color w:val="auto"/>
        </w:rPr>
      </w:pPr>
      <w:r>
        <w:rPr>
          <w:rFonts w:cs="宋体"/>
          <w:color w:val="auto"/>
        </w:rPr>
        <w:t>6.2</w:t>
      </w:r>
      <w:r>
        <w:rPr>
          <w:rFonts w:cs="宋体"/>
          <w:bCs/>
          <w:color w:val="auto"/>
        </w:rPr>
        <w:t>变更</w:t>
      </w:r>
    </w:p>
    <w:p>
      <w:pPr>
        <w:pStyle w:val="style0"/>
        <w:snapToGrid w:val="false"/>
        <w:spacing w:lineRule="exact" w:line="400"/>
        <w:ind w:firstLine="480" w:firstLineChars="200"/>
        <w:rPr>
          <w:rFonts w:cs="宋体" w:hint="default"/>
          <w:color w:val="auto"/>
        </w:rPr>
      </w:pPr>
      <w:r>
        <w:rPr>
          <w:rFonts w:cs="宋体"/>
          <w:color w:val="auto"/>
        </w:rPr>
        <w:t>6.2.1 任何一方提出变更请求时，双方经协商一致后可进行变更。</w:t>
      </w:r>
    </w:p>
    <w:p>
      <w:pPr>
        <w:pStyle w:val="style0"/>
        <w:adjustRightInd w:val="false"/>
        <w:snapToGrid w:val="false"/>
        <w:spacing w:lineRule="exact" w:line="400"/>
        <w:ind w:firstLine="480" w:firstLineChars="200"/>
        <w:rPr>
          <w:rFonts w:cs="宋体" w:hint="default"/>
          <w:color w:val="auto"/>
        </w:rPr>
      </w:pPr>
      <w:r>
        <w:rPr>
          <w:rFonts w:cs="宋体"/>
          <w:color w:val="auto"/>
        </w:rPr>
        <w:t>6.2.2除不可抗力外，因非监理人原因导致监理人履行合同期限延长、内容增加时，监理人应当将此情况与可能产生的影响及时通知委托人。增加的监理工作时间、工作内容应视为附加工作。附加工作酬金的确定方法在专用条件中约定。</w:t>
      </w:r>
    </w:p>
    <w:p>
      <w:pPr>
        <w:pStyle w:val="style0"/>
        <w:adjustRightInd w:val="false"/>
        <w:snapToGrid w:val="false"/>
        <w:spacing w:lineRule="exact" w:line="400"/>
        <w:ind w:firstLine="480" w:firstLineChars="200"/>
        <w:rPr>
          <w:rFonts w:cs="宋体" w:hint="default"/>
          <w:color w:val="auto"/>
        </w:rPr>
      </w:pPr>
      <w:r>
        <w:rPr>
          <w:rFonts w:cs="宋体"/>
          <w:color w:val="auto"/>
        </w:rPr>
        <w:t>6.2.3合同生效后，如果实际情况发生变化使得监理人不能完成全部或部分工作时，监理人应立即通知委托人。除不可抗力外，其善后工作以及恢复服务的准备工作应为附加工作，附加工作酬金的确定方法在专用条件中约定。监理人用于恢复服务的准备时间不应超过28天。</w:t>
      </w:r>
    </w:p>
    <w:p>
      <w:pPr>
        <w:pStyle w:val="style0"/>
        <w:snapToGrid w:val="false"/>
        <w:spacing w:lineRule="exact" w:line="400"/>
        <w:ind w:firstLine="480" w:firstLineChars="200"/>
        <w:rPr>
          <w:rFonts w:cs="宋体" w:hint="default"/>
          <w:color w:val="auto"/>
        </w:rPr>
      </w:pPr>
      <w:r>
        <w:rPr>
          <w:rFonts w:cs="宋体"/>
          <w:color w:val="auto"/>
        </w:rPr>
        <w:t>6.2.4合同签订后，遇有与工程相关的法律法规、标准颁布或修订的，双方应遵照执行。由此引起监理与相关服务的范围、时间、酬金变化的，双方应通过协商进行相应调整。</w:t>
      </w:r>
    </w:p>
    <w:p>
      <w:pPr>
        <w:pStyle w:val="style0"/>
        <w:adjustRightInd w:val="false"/>
        <w:snapToGrid w:val="false"/>
        <w:spacing w:lineRule="exact" w:line="400"/>
        <w:ind w:firstLine="480" w:firstLineChars="200"/>
        <w:rPr>
          <w:rFonts w:cs="宋体" w:hint="default"/>
          <w:color w:val="auto"/>
        </w:rPr>
      </w:pPr>
      <w:r>
        <w:rPr>
          <w:rFonts w:cs="宋体"/>
          <w:color w:val="auto"/>
        </w:rPr>
        <w:t>6.2.5 因非监理人原因造成工程概算投资额或建筑安装工程费增加时，正常工作酬金应作相应调整。调整方法在专用条件中约定。</w:t>
      </w:r>
    </w:p>
    <w:p>
      <w:pPr>
        <w:pStyle w:val="style0"/>
        <w:snapToGrid w:val="false"/>
        <w:spacing w:lineRule="exact" w:line="400"/>
        <w:ind w:firstLine="480" w:firstLineChars="200"/>
        <w:rPr>
          <w:rFonts w:cs="宋体" w:hint="default"/>
          <w:color w:val="auto"/>
        </w:rPr>
      </w:pPr>
      <w:r>
        <w:rPr>
          <w:rFonts w:cs="宋体"/>
          <w:color w:val="auto"/>
        </w:rPr>
        <w:t>6.2.6 因工程规模、监理范围的变化导致监理人的正常工作量减少时，正常工作酬金应作相应调整。调整方法在专用条件中约定。</w:t>
      </w:r>
    </w:p>
    <w:p>
      <w:pPr>
        <w:pStyle w:val="style0"/>
        <w:snapToGrid w:val="false"/>
        <w:spacing w:lineRule="exact" w:line="400"/>
        <w:rPr>
          <w:rFonts w:cs="宋体" w:hint="default"/>
          <w:bCs/>
          <w:color w:val="auto"/>
        </w:rPr>
      </w:pPr>
      <w:r>
        <w:rPr>
          <w:rFonts w:cs="宋体"/>
          <w:color w:val="auto"/>
        </w:rPr>
        <w:t xml:space="preserve">  6.3 暂停与</w:t>
      </w:r>
      <w:r>
        <w:rPr>
          <w:rFonts w:cs="宋体"/>
          <w:bCs/>
          <w:color w:val="auto"/>
        </w:rPr>
        <w:t>解除</w:t>
      </w:r>
    </w:p>
    <w:p>
      <w:pPr>
        <w:pStyle w:val="style0"/>
        <w:adjustRightInd w:val="false"/>
        <w:snapToGrid w:val="false"/>
        <w:spacing w:lineRule="exact" w:line="400"/>
        <w:ind w:firstLine="480" w:firstLineChars="200"/>
        <w:rPr>
          <w:rFonts w:cs="宋体" w:hint="default"/>
          <w:color w:val="auto"/>
        </w:rPr>
      </w:pPr>
      <w:r>
        <w:rPr>
          <w:rFonts w:cs="宋体"/>
          <w:color w:val="auto"/>
        </w:rPr>
        <w:t>除双方协商一致可以解除本合同外，当一方无正当理由未履行本合同约定的义务时，另一方可以根据本合同约定暂停履行本合同直至解除本合同。</w:t>
      </w:r>
    </w:p>
    <w:p>
      <w:pPr>
        <w:pStyle w:val="style0"/>
        <w:adjustRightInd w:val="false"/>
        <w:snapToGrid w:val="false"/>
        <w:spacing w:lineRule="exact" w:line="400"/>
        <w:ind w:firstLine="480" w:firstLineChars="200"/>
        <w:rPr>
          <w:rFonts w:cs="宋体" w:hint="default"/>
          <w:color w:val="auto"/>
        </w:rPr>
      </w:pPr>
      <w:r>
        <w:rPr>
          <w:rFonts w:cs="宋体"/>
          <w:color w:val="auto"/>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pPr>
        <w:pStyle w:val="style0"/>
        <w:adjustRightInd w:val="false"/>
        <w:snapToGrid w:val="false"/>
        <w:spacing w:lineRule="exact" w:line="400"/>
        <w:ind w:firstLine="480" w:firstLineChars="200"/>
        <w:rPr>
          <w:rFonts w:cs="宋体" w:hint="default"/>
          <w:color w:val="auto"/>
        </w:rPr>
      </w:pPr>
      <w:r>
        <w:rPr>
          <w:rFonts w:cs="宋体"/>
          <w:color w:val="auto"/>
        </w:rPr>
        <w:t>因解除本合同或解除监理人的部分义务导致监理人遭受的损失，除依法可以免除责任的情况外，应由委托人予以补偿，补偿金额由双方协商确定。</w:t>
      </w:r>
    </w:p>
    <w:p>
      <w:pPr>
        <w:pStyle w:val="style0"/>
        <w:adjustRightInd w:val="false"/>
        <w:snapToGrid w:val="false"/>
        <w:spacing w:lineRule="exact" w:line="400"/>
        <w:ind w:firstLine="480" w:firstLineChars="200"/>
        <w:rPr>
          <w:rFonts w:cs="宋体" w:hint="default"/>
          <w:color w:val="auto"/>
        </w:rPr>
      </w:pPr>
      <w:r>
        <w:rPr>
          <w:rFonts w:cs="宋体"/>
          <w:color w:val="auto"/>
        </w:rPr>
        <w:t>解除本合同的协议必须采取书面形式，协议未达成之前，本合同仍然有效。</w:t>
      </w:r>
    </w:p>
    <w:p>
      <w:pPr>
        <w:pStyle w:val="style0"/>
        <w:adjustRightInd w:val="false"/>
        <w:snapToGrid w:val="false"/>
        <w:spacing w:lineRule="exact" w:line="400"/>
        <w:ind w:firstLine="480" w:firstLineChars="200"/>
        <w:rPr>
          <w:rFonts w:cs="宋体" w:hint="default"/>
          <w:color w:val="auto"/>
        </w:rPr>
      </w:pPr>
      <w:r>
        <w:rPr>
          <w:rFonts w:cs="宋体"/>
          <w:color w:val="auto"/>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pPr>
        <w:pStyle w:val="style0"/>
        <w:adjustRightInd w:val="false"/>
        <w:snapToGrid w:val="false"/>
        <w:spacing w:lineRule="exact" w:line="400"/>
        <w:ind w:firstLine="480" w:firstLineChars="200"/>
        <w:rPr>
          <w:rFonts w:cs="宋体" w:hint="default"/>
          <w:color w:val="auto"/>
        </w:rPr>
      </w:pPr>
      <w:r>
        <w:rPr>
          <w:rFonts w:cs="宋体"/>
          <w:color w:val="auto"/>
        </w:rPr>
        <w:t>暂停部分监理与相关服务时间超过182天，监理人可发出解除本合同约定的该部分义务的通知；暂停全部工作时间超过182天，监理人可发出解除本合同的通知，本合同自通知到达委托人时解除。委托人应将监理与相关服务</w:t>
      </w:r>
      <w:r>
        <w:rPr>
          <w:rFonts w:cs="宋体"/>
          <w:color w:val="auto"/>
          <w:kern w:val="0"/>
        </w:rPr>
        <w:t>的</w:t>
      </w:r>
      <w:r>
        <w:rPr>
          <w:rFonts w:cs="宋体"/>
          <w:color w:val="auto"/>
        </w:rPr>
        <w:t>酬金支付至本合同解除日，且应承担第4.2款约定的责任。</w:t>
      </w:r>
    </w:p>
    <w:p>
      <w:pPr>
        <w:pStyle w:val="style0"/>
        <w:adjustRightInd w:val="false"/>
        <w:snapToGrid w:val="false"/>
        <w:spacing w:lineRule="exact" w:line="400"/>
        <w:ind w:firstLine="480" w:firstLineChars="200"/>
        <w:rPr>
          <w:rFonts w:cs="宋体" w:hint="default"/>
          <w:color w:val="auto"/>
        </w:rPr>
      </w:pPr>
      <w:r>
        <w:rPr>
          <w:rFonts w:cs="宋体"/>
          <w:color w:val="auto"/>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w:t>
      </w:r>
      <w:r>
        <w:rPr>
          <w:rFonts w:cs="宋体"/>
          <w:color w:val="auto"/>
          <w:kern w:val="0"/>
        </w:rPr>
        <w:t>的</w:t>
      </w:r>
      <w:r>
        <w:rPr>
          <w:rFonts w:cs="宋体"/>
          <w:color w:val="auto"/>
        </w:rPr>
        <w:t>酬金支付至</w:t>
      </w:r>
      <w:r>
        <w:rPr>
          <w:rFonts w:cs="宋体"/>
          <w:color w:val="auto"/>
          <w:kern w:val="0"/>
        </w:rPr>
        <w:t>限期改正通知到达监理人之日</w:t>
      </w:r>
      <w:r>
        <w:rPr>
          <w:rFonts w:cs="宋体"/>
          <w:color w:val="auto"/>
        </w:rPr>
        <w:t>，但监理人应承担第4.1款约定的责任。</w:t>
      </w:r>
    </w:p>
    <w:p>
      <w:pPr>
        <w:pStyle w:val="style0"/>
        <w:adjustRightInd w:val="false"/>
        <w:snapToGrid w:val="false"/>
        <w:spacing w:lineRule="exact" w:line="400"/>
        <w:ind w:firstLine="480" w:firstLineChars="200"/>
        <w:rPr>
          <w:rFonts w:cs="宋体" w:hint="default"/>
          <w:color w:val="auto"/>
        </w:rPr>
      </w:pPr>
      <w:r>
        <w:rPr>
          <w:rFonts w:cs="宋体"/>
          <w:color w:val="auto"/>
        </w:rPr>
        <w:t>6.3.4 监理人在专用条件5.3中约定的支付之日起28天后仍未收到委托人按本合同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合同的通知，自通知到达委托人时本合同解除。委托人应承担第4.2.3款约定的责任。</w:t>
      </w:r>
    </w:p>
    <w:p>
      <w:pPr>
        <w:pStyle w:val="style0"/>
        <w:snapToGrid w:val="false"/>
        <w:spacing w:lineRule="exact" w:line="400"/>
        <w:ind w:firstLine="480" w:firstLineChars="200"/>
        <w:rPr>
          <w:rFonts w:cs="宋体" w:hint="default"/>
          <w:color w:val="auto"/>
          <w:kern w:val="0"/>
        </w:rPr>
      </w:pPr>
      <w:r>
        <w:rPr>
          <w:rFonts w:cs="宋体"/>
          <w:color w:val="auto"/>
        </w:rPr>
        <w:t>6.3.5 因不可抗力致使本合同部分或全部不能履行时，一方应立即通知另一方，可暂停或解除本合同。</w:t>
      </w:r>
    </w:p>
    <w:p>
      <w:pPr>
        <w:pStyle w:val="style0"/>
        <w:snapToGrid w:val="false"/>
        <w:spacing w:lineRule="exact" w:line="400"/>
        <w:ind w:firstLine="480" w:firstLineChars="200"/>
        <w:rPr>
          <w:rFonts w:cs="宋体" w:hint="default"/>
          <w:color w:val="auto"/>
        </w:rPr>
      </w:pPr>
      <w:r>
        <w:rPr>
          <w:rFonts w:cs="宋体"/>
          <w:color w:val="auto"/>
        </w:rPr>
        <w:t>6.3.6 本合同解除后，本合同约定的有关结算、清理、争议解决方式的条件仍然有效。</w:t>
      </w:r>
    </w:p>
    <w:p>
      <w:pPr>
        <w:pStyle w:val="style0"/>
        <w:snapToGrid w:val="false"/>
        <w:spacing w:lineRule="exact" w:line="400"/>
        <w:ind w:left="240" w:leftChars="100"/>
        <w:rPr>
          <w:rFonts w:cs="宋体" w:hint="default"/>
          <w:bCs/>
          <w:color w:val="auto"/>
        </w:rPr>
      </w:pPr>
      <w:r>
        <w:rPr>
          <w:rFonts w:cs="宋体"/>
          <w:color w:val="auto"/>
        </w:rPr>
        <w:t xml:space="preserve">6.4 </w:t>
      </w:r>
      <w:r>
        <w:rPr>
          <w:rFonts w:cs="宋体"/>
          <w:bCs/>
          <w:color w:val="auto"/>
        </w:rPr>
        <w:t>终止</w:t>
      </w:r>
    </w:p>
    <w:p>
      <w:pPr>
        <w:pStyle w:val="style0"/>
        <w:adjustRightInd w:val="false"/>
        <w:snapToGrid w:val="false"/>
        <w:spacing w:lineRule="exact" w:line="400"/>
        <w:ind w:firstLine="480" w:firstLineChars="200"/>
        <w:rPr>
          <w:rFonts w:cs="宋体" w:hint="default"/>
          <w:color w:val="auto"/>
        </w:rPr>
      </w:pPr>
      <w:r>
        <w:rPr>
          <w:rFonts w:cs="宋体"/>
          <w:color w:val="auto"/>
        </w:rPr>
        <w:t>以下条件全部满足时，本合同即告终止：</w:t>
      </w:r>
    </w:p>
    <w:p>
      <w:pPr>
        <w:pStyle w:val="style0"/>
        <w:adjustRightInd w:val="false"/>
        <w:snapToGrid w:val="false"/>
        <w:spacing w:lineRule="exact" w:line="400"/>
        <w:ind w:firstLine="480" w:firstLineChars="200"/>
        <w:rPr>
          <w:rFonts w:cs="宋体" w:hint="default"/>
          <w:color w:val="auto"/>
        </w:rPr>
      </w:pPr>
      <w:r>
        <w:rPr>
          <w:rFonts w:cs="宋体"/>
          <w:color w:val="auto"/>
        </w:rPr>
        <w:t>（1）监理人完成本合同约定的全部工作；</w:t>
      </w:r>
    </w:p>
    <w:p>
      <w:pPr>
        <w:pStyle w:val="style0"/>
        <w:snapToGrid w:val="false"/>
        <w:spacing w:lineRule="exact" w:line="400"/>
        <w:ind w:firstLine="480" w:firstLineChars="200"/>
        <w:rPr>
          <w:rFonts w:cs="宋体" w:hint="default"/>
          <w:color w:val="auto"/>
        </w:rPr>
      </w:pPr>
      <w:r>
        <w:rPr>
          <w:rFonts w:cs="宋体"/>
          <w:color w:val="auto"/>
        </w:rPr>
        <w:t>（2）委托人与监理人结清并支付全部酬金。</w:t>
      </w:r>
    </w:p>
    <w:p>
      <w:pPr>
        <w:pStyle w:val="style0"/>
        <w:snapToGrid w:val="false"/>
        <w:spacing w:lineRule="exact" w:line="400"/>
        <w:rPr>
          <w:rFonts w:cs="宋体" w:hint="default"/>
          <w:b/>
          <w:bCs/>
          <w:color w:val="auto"/>
        </w:rPr>
      </w:pPr>
      <w:r>
        <w:rPr>
          <w:rFonts w:cs="宋体"/>
          <w:b/>
          <w:bCs/>
          <w:color w:val="auto"/>
        </w:rPr>
        <w:t>7. 争议解决</w:t>
      </w:r>
    </w:p>
    <w:p>
      <w:pPr>
        <w:pStyle w:val="style0"/>
        <w:snapToGrid w:val="false"/>
        <w:spacing w:lineRule="exact" w:line="400"/>
        <w:ind w:left="240" w:leftChars="100"/>
        <w:rPr>
          <w:rFonts w:cs="宋体" w:hint="default"/>
          <w:bCs/>
          <w:color w:val="auto"/>
        </w:rPr>
      </w:pPr>
      <w:r>
        <w:rPr>
          <w:rFonts w:cs="宋体"/>
          <w:color w:val="auto"/>
        </w:rPr>
        <w:t>7.1</w:t>
      </w:r>
      <w:r>
        <w:rPr>
          <w:rFonts w:cs="宋体"/>
          <w:bCs/>
          <w:color w:val="auto"/>
        </w:rPr>
        <w:t>协商</w:t>
      </w:r>
    </w:p>
    <w:p>
      <w:pPr>
        <w:pStyle w:val="style0"/>
        <w:snapToGrid w:val="false"/>
        <w:spacing w:lineRule="exact" w:line="400"/>
        <w:ind w:firstLine="480" w:firstLineChars="200"/>
        <w:rPr>
          <w:rFonts w:cs="宋体" w:hint="default"/>
          <w:bCs/>
          <w:color w:val="auto"/>
        </w:rPr>
      </w:pPr>
      <w:r>
        <w:rPr>
          <w:rFonts w:cs="宋体"/>
          <w:color w:val="auto"/>
        </w:rPr>
        <w:t>双方应本着诚信原则协商解决彼此间的争议。</w:t>
      </w:r>
    </w:p>
    <w:p>
      <w:pPr>
        <w:pStyle w:val="style0"/>
        <w:snapToGrid w:val="false"/>
        <w:spacing w:lineRule="exact" w:line="400"/>
        <w:ind w:left="240" w:leftChars="100"/>
        <w:rPr>
          <w:rFonts w:cs="宋体" w:hint="default"/>
          <w:bCs/>
          <w:color w:val="auto"/>
        </w:rPr>
      </w:pPr>
      <w:r>
        <w:rPr>
          <w:rFonts w:cs="宋体"/>
          <w:color w:val="auto"/>
        </w:rPr>
        <w:t>7.2</w:t>
      </w:r>
      <w:r>
        <w:rPr>
          <w:rFonts w:cs="宋体"/>
          <w:bCs/>
          <w:color w:val="auto"/>
        </w:rPr>
        <w:t>调解</w:t>
      </w:r>
    </w:p>
    <w:p>
      <w:pPr>
        <w:pStyle w:val="style0"/>
        <w:snapToGrid w:val="false"/>
        <w:spacing w:lineRule="exact" w:line="400"/>
        <w:ind w:firstLine="480" w:firstLineChars="200"/>
        <w:rPr>
          <w:rFonts w:cs="宋体" w:hint="default"/>
          <w:bCs/>
          <w:color w:val="auto"/>
        </w:rPr>
      </w:pPr>
      <w:r>
        <w:rPr>
          <w:rFonts w:cs="宋体"/>
          <w:color w:val="auto"/>
        </w:rPr>
        <w:t>如果双方不能在14天内或双方商定的其他时间内解决本合同争议，可以将其提交给专用条件约定的或事后达成协议的调解人进行调解。</w:t>
      </w:r>
    </w:p>
    <w:p>
      <w:pPr>
        <w:pStyle w:val="style0"/>
        <w:snapToGrid w:val="false"/>
        <w:spacing w:lineRule="exact" w:line="400"/>
        <w:ind w:left="240" w:leftChars="100"/>
        <w:rPr>
          <w:rFonts w:cs="宋体" w:hint="default"/>
          <w:bCs/>
          <w:color w:val="auto"/>
        </w:rPr>
      </w:pPr>
      <w:r>
        <w:rPr>
          <w:rFonts w:cs="宋体"/>
          <w:color w:val="auto"/>
        </w:rPr>
        <w:t>7.3</w:t>
      </w:r>
      <w:r>
        <w:rPr>
          <w:rFonts w:cs="宋体"/>
          <w:bCs/>
          <w:color w:val="auto"/>
        </w:rPr>
        <w:t>仲裁或诉讼</w:t>
      </w:r>
    </w:p>
    <w:p>
      <w:pPr>
        <w:pStyle w:val="style0"/>
        <w:snapToGrid w:val="false"/>
        <w:spacing w:lineRule="exact" w:line="400"/>
        <w:ind w:firstLine="480" w:firstLineChars="200"/>
        <w:rPr>
          <w:rFonts w:cs="宋体" w:hint="default"/>
          <w:color w:val="auto"/>
        </w:rPr>
      </w:pPr>
      <w:r>
        <w:rPr>
          <w:rFonts w:cs="宋体"/>
          <w:color w:val="auto"/>
        </w:rPr>
        <w:t>双方均有权不经调解直接向专用条件约定的仲裁机构申请仲裁或向有管辖权的人民法院提起诉讼。</w:t>
      </w:r>
    </w:p>
    <w:p>
      <w:pPr>
        <w:pStyle w:val="style0"/>
        <w:snapToGrid w:val="false"/>
        <w:spacing w:lineRule="exact" w:line="400"/>
        <w:rPr>
          <w:rFonts w:cs="宋体" w:hint="default"/>
          <w:b/>
          <w:bCs/>
          <w:color w:val="auto"/>
        </w:rPr>
      </w:pPr>
      <w:r>
        <w:rPr>
          <w:rFonts w:cs="宋体"/>
          <w:b/>
          <w:bCs/>
          <w:color w:val="auto"/>
        </w:rPr>
        <w:t>8. 其他</w:t>
      </w:r>
    </w:p>
    <w:p>
      <w:pPr>
        <w:pStyle w:val="style0"/>
        <w:spacing w:lineRule="exact" w:line="400"/>
        <w:ind w:left="240" w:leftChars="100"/>
        <w:rPr>
          <w:rFonts w:cs="宋体" w:hint="default"/>
          <w:bCs/>
          <w:color w:val="auto"/>
        </w:rPr>
      </w:pPr>
      <w:r>
        <w:rPr>
          <w:rFonts w:cs="宋体"/>
          <w:color w:val="auto"/>
        </w:rPr>
        <w:t xml:space="preserve">8.1 </w:t>
      </w:r>
      <w:r>
        <w:rPr>
          <w:rFonts w:cs="宋体"/>
          <w:bCs/>
          <w:color w:val="auto"/>
        </w:rPr>
        <w:t>外出考察费用</w:t>
      </w:r>
    </w:p>
    <w:p>
      <w:pPr>
        <w:pStyle w:val="style0"/>
        <w:snapToGrid w:val="false"/>
        <w:spacing w:lineRule="exact" w:line="400"/>
        <w:ind w:firstLine="480" w:firstLineChars="200"/>
        <w:rPr>
          <w:rFonts w:cs="宋体" w:hint="default"/>
          <w:bCs/>
          <w:color w:val="auto"/>
        </w:rPr>
      </w:pPr>
      <w:r>
        <w:rPr>
          <w:rFonts w:cs="宋体"/>
          <w:color w:val="auto"/>
        </w:rPr>
        <w:t>经委托人同意，监理人员外出考察发生的费用由委托人审核后支付。</w:t>
      </w:r>
    </w:p>
    <w:p>
      <w:pPr>
        <w:pStyle w:val="style0"/>
        <w:snapToGrid w:val="false"/>
        <w:spacing w:lineRule="exact" w:line="400"/>
        <w:ind w:left="240" w:leftChars="100"/>
        <w:rPr>
          <w:rFonts w:cs="宋体" w:hint="default"/>
          <w:bCs/>
          <w:color w:val="auto"/>
        </w:rPr>
      </w:pPr>
      <w:r>
        <w:rPr>
          <w:rFonts w:cs="宋体"/>
          <w:color w:val="auto"/>
        </w:rPr>
        <w:t xml:space="preserve">8.2 </w:t>
      </w:r>
      <w:r>
        <w:rPr>
          <w:rFonts w:cs="宋体"/>
          <w:bCs/>
          <w:color w:val="auto"/>
        </w:rPr>
        <w:t>检测费用</w:t>
      </w:r>
    </w:p>
    <w:p>
      <w:pPr>
        <w:pStyle w:val="style0"/>
        <w:snapToGrid w:val="false"/>
        <w:spacing w:lineRule="exact" w:line="400"/>
        <w:ind w:firstLine="480" w:firstLineChars="200"/>
        <w:rPr>
          <w:rFonts w:cs="宋体" w:hint="default"/>
          <w:bCs/>
          <w:color w:val="auto"/>
        </w:rPr>
      </w:pPr>
      <w:r>
        <w:rPr>
          <w:rFonts w:cs="宋体"/>
          <w:color w:val="auto"/>
        </w:rPr>
        <w:t>委托人要求监理人进行的材料和设备检测所发生的费用，由委托人支付，支付时间在专用条件中约定。</w:t>
      </w:r>
    </w:p>
    <w:p>
      <w:pPr>
        <w:pStyle w:val="style0"/>
        <w:snapToGrid w:val="false"/>
        <w:spacing w:lineRule="exact" w:line="400"/>
        <w:ind w:left="240" w:leftChars="100"/>
        <w:rPr>
          <w:rFonts w:cs="宋体" w:hint="default"/>
          <w:bCs/>
          <w:color w:val="auto"/>
        </w:rPr>
      </w:pPr>
      <w:r>
        <w:rPr>
          <w:rFonts w:cs="宋体"/>
          <w:color w:val="auto"/>
        </w:rPr>
        <w:t xml:space="preserve">8.3 </w:t>
      </w:r>
      <w:r>
        <w:rPr>
          <w:rFonts w:cs="宋体"/>
          <w:bCs/>
          <w:color w:val="auto"/>
        </w:rPr>
        <w:t>咨询费用</w:t>
      </w:r>
    </w:p>
    <w:p>
      <w:pPr>
        <w:pStyle w:val="style0"/>
        <w:snapToGrid w:val="false"/>
        <w:spacing w:lineRule="exact" w:line="400"/>
        <w:ind w:firstLine="480" w:firstLineChars="200"/>
        <w:rPr>
          <w:rFonts w:cs="宋体" w:hint="default"/>
          <w:color w:val="auto"/>
        </w:rPr>
      </w:pPr>
      <w:r>
        <w:rPr>
          <w:rFonts w:cs="宋体"/>
          <w:color w:val="auto"/>
        </w:rPr>
        <w:t>经委托人同意，根据工程需要由监理人组织的相关咨询论证会以及聘请相关专家等发生的费用由委托人支付，支付时间在专用条件中约定。</w:t>
      </w:r>
    </w:p>
    <w:p>
      <w:pPr>
        <w:pStyle w:val="style0"/>
        <w:snapToGrid w:val="false"/>
        <w:spacing w:lineRule="exact" w:line="400"/>
        <w:ind w:left="240" w:leftChars="100"/>
        <w:rPr>
          <w:rFonts w:cs="宋体" w:hint="default"/>
          <w:bCs/>
          <w:color w:val="auto"/>
        </w:rPr>
      </w:pPr>
      <w:r>
        <w:rPr>
          <w:rFonts w:cs="宋体"/>
          <w:color w:val="auto"/>
        </w:rPr>
        <w:t xml:space="preserve">8.4 </w:t>
      </w:r>
      <w:r>
        <w:rPr>
          <w:rFonts w:cs="宋体"/>
          <w:bCs/>
          <w:color w:val="auto"/>
        </w:rPr>
        <w:t>奖励</w:t>
      </w:r>
    </w:p>
    <w:p>
      <w:pPr>
        <w:pStyle w:val="style0"/>
        <w:snapToGrid w:val="false"/>
        <w:spacing w:lineRule="exact" w:line="400"/>
        <w:ind w:firstLine="480" w:firstLineChars="200"/>
        <w:rPr>
          <w:rFonts w:cs="宋体" w:hint="default"/>
          <w:color w:val="auto"/>
        </w:rPr>
      </w:pPr>
      <w:r>
        <w:rPr>
          <w:rFonts w:cs="宋体"/>
          <w:color w:val="auto"/>
        </w:rPr>
        <w:t>监理人在服务过程中提出的合理化建议，使委托人获得经济效益的，双方在专用条件中约定奖励金额的确定方法。奖励金额在合理化建议被采纳后，与最近一期的正常工作酬金同期支付。</w:t>
      </w:r>
    </w:p>
    <w:p>
      <w:pPr>
        <w:pStyle w:val="style0"/>
        <w:snapToGrid w:val="false"/>
        <w:spacing w:lineRule="exact" w:line="400"/>
        <w:ind w:left="240" w:leftChars="100"/>
        <w:rPr>
          <w:rFonts w:cs="宋体" w:hint="default"/>
          <w:bCs/>
          <w:color w:val="auto"/>
        </w:rPr>
      </w:pPr>
      <w:r>
        <w:rPr>
          <w:rFonts w:cs="宋体"/>
          <w:color w:val="auto"/>
        </w:rPr>
        <w:t xml:space="preserve">8.5 </w:t>
      </w:r>
      <w:r>
        <w:rPr>
          <w:rFonts w:cs="宋体"/>
          <w:bCs/>
          <w:color w:val="auto"/>
        </w:rPr>
        <w:t>守法诚信</w:t>
      </w:r>
    </w:p>
    <w:p>
      <w:pPr>
        <w:pStyle w:val="style0"/>
        <w:snapToGrid w:val="false"/>
        <w:spacing w:lineRule="exact" w:line="400"/>
        <w:ind w:firstLine="480" w:firstLineChars="200"/>
        <w:rPr>
          <w:rFonts w:cs="宋体" w:hint="default"/>
          <w:bCs/>
          <w:color w:val="auto"/>
        </w:rPr>
      </w:pPr>
      <w:r>
        <w:rPr>
          <w:rFonts w:cs="宋体"/>
          <w:color w:val="auto"/>
        </w:rPr>
        <w:t>监理人及其工作人员不得从与实施工程有关的第三方处获得任何经济利益。</w:t>
      </w:r>
    </w:p>
    <w:p>
      <w:pPr>
        <w:pStyle w:val="style0"/>
        <w:snapToGrid w:val="false"/>
        <w:spacing w:lineRule="exact" w:line="400"/>
        <w:ind w:left="240" w:leftChars="100"/>
        <w:rPr>
          <w:rFonts w:cs="宋体" w:hint="default"/>
          <w:bCs/>
          <w:color w:val="auto"/>
        </w:rPr>
      </w:pPr>
      <w:r>
        <w:rPr>
          <w:rFonts w:cs="宋体"/>
          <w:color w:val="auto"/>
        </w:rPr>
        <w:t xml:space="preserve">8.6 </w:t>
      </w:r>
      <w:r>
        <w:rPr>
          <w:rFonts w:cs="宋体"/>
          <w:bCs/>
          <w:color w:val="auto"/>
        </w:rPr>
        <w:t>保密</w:t>
      </w:r>
    </w:p>
    <w:p>
      <w:pPr>
        <w:pStyle w:val="style0"/>
        <w:snapToGrid w:val="false"/>
        <w:spacing w:lineRule="exact" w:line="400"/>
        <w:ind w:firstLine="480" w:firstLineChars="200"/>
        <w:rPr>
          <w:rFonts w:cs="宋体" w:hint="default"/>
          <w:bCs/>
          <w:color w:val="auto"/>
        </w:rPr>
      </w:pPr>
      <w:r>
        <w:rPr>
          <w:rFonts w:cs="宋体"/>
          <w:color w:val="auto"/>
        </w:rPr>
        <w:t>双方不得泄露对方申明的保密资料，亦不得泄露与实施工程有关的第三方所提供的保密资料，保密事项在专用条件中约定。</w:t>
      </w:r>
    </w:p>
    <w:p>
      <w:pPr>
        <w:pStyle w:val="style0"/>
        <w:snapToGrid w:val="false"/>
        <w:spacing w:lineRule="exact" w:line="400"/>
        <w:ind w:left="240" w:leftChars="100"/>
        <w:rPr>
          <w:rFonts w:cs="宋体" w:hint="default"/>
          <w:bCs/>
          <w:color w:val="auto"/>
        </w:rPr>
      </w:pPr>
      <w:r>
        <w:rPr>
          <w:rFonts w:cs="宋体"/>
          <w:color w:val="auto"/>
        </w:rPr>
        <w:t xml:space="preserve">8.7 </w:t>
      </w:r>
      <w:r>
        <w:rPr>
          <w:rFonts w:cs="宋体"/>
          <w:bCs/>
          <w:color w:val="auto"/>
        </w:rPr>
        <w:t>通知</w:t>
      </w:r>
    </w:p>
    <w:p>
      <w:pPr>
        <w:pStyle w:val="style0"/>
        <w:snapToGrid w:val="false"/>
        <w:spacing w:lineRule="exact" w:line="400"/>
        <w:ind w:firstLine="480" w:firstLineChars="200"/>
        <w:rPr>
          <w:rFonts w:cs="宋体" w:hint="default"/>
          <w:bCs/>
          <w:color w:val="auto"/>
        </w:rPr>
      </w:pPr>
      <w:r>
        <w:rPr>
          <w:rFonts w:cs="宋体"/>
          <w:color w:val="auto"/>
        </w:rPr>
        <w:t>本合同涉及的通知均应当采用书面形式，并在送达对方时生效，收件人应书面签收。</w:t>
      </w:r>
    </w:p>
    <w:p>
      <w:pPr>
        <w:pStyle w:val="style0"/>
        <w:snapToGrid w:val="false"/>
        <w:spacing w:lineRule="exact" w:line="400"/>
        <w:ind w:left="240" w:leftChars="100"/>
        <w:rPr>
          <w:rFonts w:cs="宋体" w:hint="default"/>
          <w:bCs/>
          <w:color w:val="auto"/>
        </w:rPr>
      </w:pPr>
      <w:r>
        <w:rPr>
          <w:rFonts w:cs="宋体"/>
          <w:color w:val="auto"/>
        </w:rPr>
        <w:t xml:space="preserve">8.8 </w:t>
      </w:r>
      <w:r>
        <w:rPr>
          <w:rFonts w:cs="宋体"/>
          <w:bCs/>
          <w:color w:val="auto"/>
        </w:rPr>
        <w:t>著作权</w:t>
      </w:r>
    </w:p>
    <w:p>
      <w:pPr>
        <w:pStyle w:val="style0"/>
        <w:adjustRightInd w:val="false"/>
        <w:snapToGrid w:val="false"/>
        <w:spacing w:lineRule="exact" w:line="400"/>
        <w:ind w:firstLine="480" w:firstLineChars="200"/>
        <w:rPr>
          <w:rFonts w:cs="宋体" w:hint="default"/>
          <w:color w:val="auto"/>
        </w:rPr>
      </w:pPr>
      <w:r>
        <w:rPr>
          <w:rFonts w:cs="宋体"/>
          <w:color w:val="auto"/>
        </w:rPr>
        <w:t>监理人对其编制的文件拥有著作权。</w:t>
      </w:r>
    </w:p>
    <w:p>
      <w:pPr>
        <w:pStyle w:val="style0"/>
        <w:snapToGrid w:val="false"/>
        <w:spacing w:lineRule="exact" w:line="400"/>
        <w:ind w:firstLine="480" w:firstLineChars="200"/>
        <w:rPr>
          <w:rFonts w:cs="宋体" w:hint="default"/>
          <w:color w:val="auto"/>
        </w:rPr>
      </w:pPr>
      <w:r>
        <w:rPr>
          <w:rFonts w:cs="宋体"/>
          <w:color w:val="auto"/>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pPr>
        <w:pStyle w:val="style0"/>
        <w:spacing w:lineRule="auto" w:line="360"/>
        <w:jc w:val="center"/>
        <w:rPr>
          <w:rFonts w:ascii="宋体" w:cs="宋体" w:eastAsia="宋体" w:hAnsi="宋体" w:hint="default"/>
          <w:b/>
          <w:color w:val="auto"/>
        </w:rPr>
      </w:pPr>
      <w:r>
        <w:rPr>
          <w:rFonts w:cs="宋体"/>
          <w:b/>
          <w:color w:val="auto"/>
        </w:rPr>
        <w:br w:type="page"/>
      </w:r>
      <w:r>
        <w:rPr>
          <w:rFonts w:ascii="宋体" w:cs="宋体" w:eastAsia="宋体" w:hAnsi="宋体"/>
          <w:b/>
          <w:color w:val="auto"/>
        </w:rPr>
        <w:t>第三部分  专用条件</w:t>
      </w:r>
    </w:p>
    <w:p>
      <w:pPr>
        <w:pStyle w:val="style0"/>
        <w:spacing w:lineRule="auto" w:line="360"/>
        <w:jc w:val="center"/>
        <w:rPr>
          <w:rFonts w:ascii="宋体" w:cs="宋体" w:eastAsia="宋体" w:hAnsi="宋体" w:hint="default"/>
          <w:b/>
          <w:color w:val="auto"/>
        </w:rPr>
      </w:pPr>
    </w:p>
    <w:p>
      <w:pPr>
        <w:pStyle w:val="style0"/>
        <w:adjustRightInd w:val="false"/>
        <w:snapToGrid w:val="false"/>
        <w:spacing w:lineRule="exact" w:line="400"/>
        <w:rPr>
          <w:rFonts w:ascii="宋体" w:cs="宋体" w:eastAsia="宋体" w:hAnsi="宋体" w:hint="default"/>
          <w:b/>
          <w:color w:val="auto"/>
        </w:rPr>
      </w:pPr>
      <w:r>
        <w:rPr>
          <w:rFonts w:ascii="宋体" w:cs="宋体" w:eastAsia="宋体" w:hAnsi="宋体"/>
          <w:b/>
          <w:color w:val="auto"/>
        </w:rPr>
        <w:t>1. 定义与解释</w:t>
      </w:r>
    </w:p>
    <w:p>
      <w:pPr>
        <w:pStyle w:val="style0"/>
        <w:adjustRightInd w:val="false"/>
        <w:snapToGrid w:val="false"/>
        <w:spacing w:lineRule="exact" w:line="400"/>
        <w:rPr>
          <w:rFonts w:ascii="宋体" w:cs="宋体" w:eastAsia="宋体" w:hAnsi="宋体" w:hint="default"/>
          <w:color w:val="auto"/>
        </w:rPr>
      </w:pPr>
      <w:r>
        <w:rPr>
          <w:rFonts w:ascii="宋体" w:cs="宋体" w:eastAsia="宋体" w:hAnsi="宋体"/>
          <w:color w:val="auto"/>
        </w:rPr>
        <w:t xml:space="preserve">  1.2  解释</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1.2.1 本合同文件除使用中文外，还可用</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1.2.2 约定本合同文件的解释顺序为：</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rPr>
          <w:rFonts w:ascii="宋体" w:cs="宋体" w:eastAsia="宋体" w:hAnsi="宋体" w:hint="default"/>
          <w:b/>
          <w:color w:val="auto"/>
        </w:rPr>
      </w:pPr>
      <w:r>
        <w:rPr>
          <w:rFonts w:ascii="宋体" w:cs="宋体" w:eastAsia="宋体" w:hAnsi="宋体"/>
          <w:b/>
          <w:color w:val="auto"/>
        </w:rPr>
        <w:t>2. 监理人义务</w:t>
      </w:r>
    </w:p>
    <w:p>
      <w:pPr>
        <w:pStyle w:val="style0"/>
        <w:adjustRightInd w:val="false"/>
        <w:snapToGrid w:val="false"/>
        <w:spacing w:lineRule="exact" w:line="400"/>
        <w:ind w:firstLine="235" w:firstLineChars="98"/>
        <w:rPr>
          <w:rFonts w:ascii="宋体" w:cs="宋体" w:eastAsia="宋体" w:hAnsi="宋体" w:hint="default"/>
          <w:color w:val="auto"/>
        </w:rPr>
      </w:pPr>
      <w:r>
        <w:rPr>
          <w:rFonts w:ascii="宋体" w:cs="宋体" w:eastAsia="宋体" w:hAnsi="宋体"/>
          <w:color w:val="auto"/>
        </w:rPr>
        <w:t>2.1 监理的范围和</w:t>
      </w:r>
      <w:r>
        <w:rPr>
          <w:rFonts w:ascii="宋体" w:cs="宋体" w:eastAsia="宋体" w:hAnsi="宋体"/>
          <w:bCs/>
          <w:color w:val="auto"/>
        </w:rPr>
        <w:t>内容</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2.1.1 监理范围包括：</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2.1.2 监理工作内容还包括：</w:t>
      </w:r>
      <w:r>
        <w:rPr>
          <w:rFonts w:ascii="宋体" w:cs="宋体" w:eastAsia="宋体" w:hAnsi="宋体"/>
          <w:color w:val="auto"/>
          <w:u w:val="single"/>
        </w:rPr>
        <w:t xml:space="preserve">                   </w:t>
      </w:r>
      <w:r>
        <w:rPr>
          <w:rFonts w:ascii="宋体" w:cs="宋体" w:eastAsia="宋体" w:hAnsi="宋体"/>
          <w:color w:val="auto"/>
        </w:rPr>
        <w:t>。</w:t>
      </w:r>
    </w:p>
    <w:p>
      <w:pPr>
        <w:pStyle w:val="style0"/>
        <w:spacing w:lineRule="exact" w:line="400"/>
        <w:ind w:firstLine="235" w:firstLineChars="98"/>
        <w:rPr>
          <w:rFonts w:ascii="宋体" w:cs="宋体" w:eastAsia="宋体" w:hAnsi="宋体" w:hint="default"/>
          <w:color w:val="auto"/>
        </w:rPr>
      </w:pPr>
      <w:r>
        <w:rPr>
          <w:rFonts w:ascii="宋体" w:cs="宋体" w:eastAsia="宋体" w:hAnsi="宋体"/>
          <w:color w:val="auto"/>
        </w:rPr>
        <w:t>2.2 监理与相关服务依据</w:t>
      </w:r>
    </w:p>
    <w:p>
      <w:pPr>
        <w:pStyle w:val="style0"/>
        <w:spacing w:lineRule="exact" w:line="400"/>
        <w:ind w:firstLine="480" w:firstLineChars="200"/>
        <w:rPr>
          <w:rFonts w:ascii="宋体" w:cs="宋体" w:eastAsia="宋体" w:hAnsi="宋体" w:hint="default"/>
          <w:color w:val="auto"/>
        </w:rPr>
      </w:pPr>
      <w:r>
        <w:rPr>
          <w:rFonts w:ascii="宋体" w:cs="宋体" w:eastAsia="宋体" w:hAnsi="宋体"/>
          <w:color w:val="auto"/>
        </w:rPr>
        <w:t>2.2.1 监理依据包括：</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480" w:firstLineChars="200"/>
        <w:rPr>
          <w:rFonts w:ascii="宋体" w:cs="宋体" w:eastAsia="宋体" w:hAnsi="宋体" w:hint="default"/>
          <w:dstrike/>
          <w:color w:val="auto"/>
        </w:rPr>
      </w:pPr>
      <w:r>
        <w:rPr>
          <w:rFonts w:ascii="宋体" w:cs="宋体" w:eastAsia="宋体" w:hAnsi="宋体"/>
          <w:color w:val="auto"/>
        </w:rPr>
        <w:t>2.2.2 相关服务依据包括：</w:t>
      </w:r>
      <w:r>
        <w:rPr>
          <w:rFonts w:ascii="宋体" w:cs="宋体" w:eastAsia="宋体" w:hAnsi="宋体"/>
          <w:color w:val="auto"/>
          <w:u w:val="single"/>
        </w:rPr>
        <w:t xml:space="preserve">                              </w:t>
      </w:r>
      <w:r>
        <w:rPr>
          <w:rFonts w:ascii="宋体" w:cs="宋体" w:eastAsia="宋体" w:hAnsi="宋体"/>
          <w:color w:val="auto"/>
        </w:rPr>
        <w:t>。</w:t>
      </w:r>
    </w:p>
    <w:p>
      <w:pPr>
        <w:pStyle w:val="style0"/>
        <w:spacing w:lineRule="exact" w:line="400"/>
        <w:rPr>
          <w:rFonts w:ascii="宋体" w:cs="宋体" w:eastAsia="宋体" w:hAnsi="宋体" w:hint="default"/>
          <w:color w:val="auto"/>
        </w:rPr>
      </w:pPr>
      <w:r>
        <w:rPr>
          <w:rFonts w:ascii="宋体" w:cs="宋体" w:eastAsia="宋体" w:hAnsi="宋体"/>
          <w:color w:val="auto"/>
        </w:rPr>
        <w:t xml:space="preserve">  2.3</w:t>
      </w:r>
      <w:r>
        <w:rPr>
          <w:rFonts w:ascii="宋体" w:cs="宋体" w:eastAsia="宋体" w:hAnsi="宋体"/>
          <w:color w:val="auto"/>
          <w:kern w:val="0"/>
        </w:rPr>
        <w:t>项目监理机构和人员</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 xml:space="preserve">2.3.4 </w:t>
      </w:r>
      <w:r>
        <w:rPr>
          <w:rFonts w:ascii="宋体" w:cs="宋体" w:eastAsia="宋体" w:hAnsi="宋体"/>
          <w:color w:val="auto"/>
          <w:kern w:val="0"/>
        </w:rPr>
        <w:t>更换监理人员的其他情形：</w:t>
      </w:r>
      <w:r>
        <w:rPr>
          <w:rFonts w:ascii="宋体" w:cs="宋体" w:eastAsia="宋体" w:hAnsi="宋体"/>
          <w:color w:val="auto"/>
          <w:kern w:val="0"/>
          <w:u w:val="single"/>
        </w:rPr>
        <w:t xml:space="preserve">                      </w:t>
      </w:r>
      <w:r>
        <w:rPr>
          <w:rFonts w:ascii="宋体" w:cs="宋体" w:eastAsia="宋体" w:hAnsi="宋体"/>
          <w:color w:val="auto"/>
          <w:kern w:val="0"/>
        </w:rPr>
        <w:t>。</w:t>
      </w:r>
    </w:p>
    <w:p>
      <w:pPr>
        <w:pStyle w:val="style0"/>
        <w:spacing w:lineRule="exact" w:line="400"/>
        <w:ind w:firstLine="235" w:firstLineChars="98"/>
        <w:rPr>
          <w:rFonts w:ascii="宋体" w:cs="宋体" w:eastAsia="宋体" w:hAnsi="宋体" w:hint="default"/>
          <w:color w:val="auto"/>
        </w:rPr>
      </w:pPr>
      <w:r>
        <w:rPr>
          <w:rFonts w:ascii="宋体" w:cs="宋体" w:eastAsia="宋体" w:hAnsi="宋体"/>
          <w:color w:val="auto"/>
        </w:rPr>
        <w:t xml:space="preserve">2.4 </w:t>
      </w:r>
      <w:r>
        <w:rPr>
          <w:rFonts w:ascii="宋体" w:cs="宋体" w:eastAsia="宋体" w:hAnsi="宋体"/>
          <w:color w:val="auto"/>
          <w:kern w:val="0"/>
        </w:rPr>
        <w:t>履行职责</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2.4.3 对监理人的授权范围：</w:t>
      </w:r>
      <w:r>
        <w:rPr>
          <w:rFonts w:ascii="宋体" w:cs="宋体" w:eastAsia="宋体" w:hAnsi="宋体"/>
          <w:color w:val="auto"/>
          <w:u w:val="single"/>
        </w:rPr>
        <w:t xml:space="preserve">                      </w:t>
      </w:r>
      <w:r>
        <w:rPr>
          <w:rFonts w:ascii="宋体" w:cs="宋体" w:eastAsia="宋体" w:hAnsi="宋体"/>
          <w:color w:val="auto"/>
        </w:rPr>
        <w:t>。</w:t>
      </w:r>
    </w:p>
    <w:p>
      <w:pPr>
        <w:pStyle w:val="style0"/>
        <w:spacing w:lineRule="exact" w:line="400"/>
        <w:ind w:firstLine="480" w:firstLineChars="200"/>
        <w:rPr>
          <w:rFonts w:ascii="宋体" w:cs="宋体" w:eastAsia="宋体" w:hAnsi="宋体" w:hint="default"/>
          <w:color w:val="auto"/>
        </w:rPr>
      </w:pPr>
      <w:r>
        <w:rPr>
          <w:rFonts w:ascii="宋体" w:cs="宋体" w:eastAsia="宋体" w:hAnsi="宋体"/>
          <w:color w:val="auto"/>
        </w:rPr>
        <w:t>在涉及工程延期</w:t>
      </w:r>
      <w:r>
        <w:rPr>
          <w:rFonts w:ascii="宋体" w:cs="宋体" w:eastAsia="宋体" w:hAnsi="宋体"/>
          <w:color w:val="auto"/>
          <w:u w:val="single"/>
        </w:rPr>
        <w:t xml:space="preserve">      </w:t>
      </w:r>
      <w:r>
        <w:rPr>
          <w:rFonts w:ascii="宋体" w:cs="宋体" w:eastAsia="宋体" w:hAnsi="宋体"/>
          <w:color w:val="auto"/>
        </w:rPr>
        <w:t>天内和（或）金额</w:t>
      </w:r>
      <w:r>
        <w:rPr>
          <w:rFonts w:ascii="宋体" w:cs="宋体" w:eastAsia="宋体" w:hAnsi="宋体"/>
          <w:color w:val="auto"/>
          <w:u w:val="single"/>
        </w:rPr>
        <w:t xml:space="preserve">       </w:t>
      </w:r>
      <w:r>
        <w:rPr>
          <w:rFonts w:ascii="宋体" w:cs="宋体" w:eastAsia="宋体" w:hAnsi="宋体"/>
          <w:color w:val="auto"/>
        </w:rPr>
        <w:t>万元内的变更，监理人不需请示委托人即可向承包人发布变更通知。</w:t>
      </w:r>
    </w:p>
    <w:p>
      <w:pPr>
        <w:pStyle w:val="style0"/>
        <w:adjustRightInd w:val="false"/>
        <w:snapToGrid w:val="false"/>
        <w:spacing w:lineRule="exact" w:line="400"/>
        <w:ind w:firstLine="360" w:firstLineChars="150"/>
        <w:rPr>
          <w:rFonts w:ascii="宋体" w:cs="宋体" w:eastAsia="宋体" w:hAnsi="宋体" w:hint="default"/>
          <w:color w:val="auto"/>
        </w:rPr>
      </w:pPr>
      <w:r>
        <w:rPr>
          <w:rFonts w:ascii="宋体" w:cs="宋体" w:eastAsia="宋体" w:hAnsi="宋体"/>
          <w:color w:val="auto"/>
          <w:kern w:val="0"/>
        </w:rPr>
        <w:t>2.4.4 监理人有权要求承包人调换其人员</w:t>
      </w:r>
      <w:r>
        <w:rPr>
          <w:rFonts w:ascii="宋体" w:cs="宋体" w:eastAsia="宋体" w:hAnsi="宋体"/>
          <w:color w:val="auto"/>
        </w:rPr>
        <w:t>的限制条件：</w:t>
      </w:r>
      <w:r>
        <w:rPr>
          <w:rFonts w:ascii="宋体" w:cs="宋体" w:eastAsia="宋体" w:hAnsi="宋体"/>
          <w:color w:val="auto"/>
          <w:u w:val="single"/>
        </w:rPr>
        <w:t xml:space="preserve">                              </w:t>
      </w:r>
      <w:r>
        <w:rPr>
          <w:rFonts w:ascii="宋体" w:cs="宋体" w:eastAsia="宋体" w:hAnsi="宋体"/>
          <w:color w:val="auto"/>
        </w:rPr>
        <w:t xml:space="preserve">。  </w:t>
      </w:r>
    </w:p>
    <w:p>
      <w:pPr>
        <w:pStyle w:val="style0"/>
        <w:adjustRightInd w:val="false"/>
        <w:snapToGrid w:val="false"/>
        <w:spacing w:lineRule="exact" w:line="400"/>
        <w:ind w:firstLine="120" w:firstLineChars="50"/>
        <w:rPr>
          <w:rFonts w:ascii="宋体" w:cs="宋体" w:eastAsia="宋体" w:hAnsi="宋体" w:hint="default"/>
          <w:color w:val="auto"/>
        </w:rPr>
      </w:pPr>
      <w:r>
        <w:rPr>
          <w:rFonts w:ascii="宋体" w:cs="宋体" w:eastAsia="宋体" w:hAnsi="宋体"/>
          <w:color w:val="auto"/>
          <w:kern w:val="0"/>
        </w:rPr>
        <w:t xml:space="preserve">2.5 </w:t>
      </w:r>
      <w:r>
        <w:rPr>
          <w:rFonts w:ascii="宋体" w:cs="宋体" w:eastAsia="宋体" w:hAnsi="宋体"/>
          <w:color w:val="auto"/>
        </w:rPr>
        <w:t>提交</w:t>
      </w:r>
      <w:r>
        <w:rPr>
          <w:rFonts w:ascii="宋体" w:cs="宋体" w:eastAsia="宋体" w:hAnsi="宋体"/>
          <w:color w:val="auto"/>
          <w:kern w:val="0"/>
        </w:rPr>
        <w:t>报告</w:t>
      </w:r>
    </w:p>
    <w:p>
      <w:pPr>
        <w:pStyle w:val="style0"/>
        <w:adjustRightInd w:val="false"/>
        <w:snapToGrid w:val="false"/>
        <w:spacing w:lineRule="exact" w:line="400"/>
        <w:ind w:firstLine="525"/>
        <w:rPr>
          <w:rFonts w:ascii="宋体" w:cs="宋体" w:eastAsia="宋体" w:hAnsi="宋体" w:hint="default"/>
          <w:color w:val="auto"/>
          <w:u w:val="single"/>
        </w:rPr>
      </w:pPr>
      <w:r>
        <w:rPr>
          <w:rFonts w:ascii="宋体" w:cs="宋体" w:eastAsia="宋体" w:hAnsi="宋体"/>
          <w:color w:val="auto"/>
        </w:rPr>
        <w:t>监理人应提交报告的种类(</w:t>
      </w:r>
      <w:r>
        <w:rPr>
          <w:rFonts w:ascii="宋体" w:cs="宋体" w:eastAsia="宋体" w:hAnsi="宋体"/>
          <w:color w:val="auto"/>
          <w:kern w:val="0"/>
        </w:rPr>
        <w:t>包括监理规划、监理月报及约定的专项报告)</w:t>
      </w:r>
      <w:r>
        <w:rPr>
          <w:rFonts w:ascii="宋体" w:cs="宋体" w:eastAsia="宋体" w:hAnsi="宋体"/>
          <w:color w:val="auto"/>
        </w:rPr>
        <w:t>、时间和份数</w:t>
      </w:r>
      <w:r>
        <w:rPr>
          <w:rFonts w:ascii="宋体" w:cs="宋体" w:eastAsia="宋体" w:hAnsi="宋体"/>
          <w:color w:val="auto"/>
          <w:kern w:val="0"/>
        </w:rPr>
        <w:t>：</w:t>
      </w:r>
      <w:r>
        <w:rPr>
          <w:rFonts w:ascii="宋体" w:cs="宋体" w:eastAsia="宋体" w:hAnsi="宋体"/>
          <w:color w:val="auto"/>
          <w:u w:val="single"/>
        </w:rPr>
        <w:t xml:space="preserve">             </w:t>
      </w:r>
      <w:r>
        <w:rPr>
          <w:rFonts w:ascii="宋体" w:cs="宋体" w:eastAsia="宋体" w:hAnsi="宋体"/>
          <w:color w:val="auto"/>
        </w:rPr>
        <w:t>。</w:t>
      </w:r>
    </w:p>
    <w:p>
      <w:pPr>
        <w:pStyle w:val="style0"/>
        <w:spacing w:lineRule="exact" w:line="400"/>
        <w:rPr>
          <w:rFonts w:ascii="宋体" w:cs="宋体" w:eastAsia="宋体" w:hAnsi="宋体" w:hint="default"/>
          <w:color w:val="auto"/>
          <w:kern w:val="0"/>
        </w:rPr>
      </w:pPr>
      <w:r>
        <w:rPr>
          <w:rFonts w:ascii="宋体" w:cs="宋体" w:eastAsia="宋体" w:hAnsi="宋体"/>
          <w:color w:val="auto"/>
          <w:kern w:val="0"/>
        </w:rPr>
        <w:t xml:space="preserve"> 2.7 使用委托人的财产</w:t>
      </w:r>
    </w:p>
    <w:p>
      <w:pPr>
        <w:pStyle w:val="style0"/>
        <w:spacing w:lineRule="exact" w:line="400"/>
        <w:jc w:val="left"/>
        <w:rPr>
          <w:rFonts w:ascii="宋体" w:cs="宋体" w:eastAsia="宋体" w:hAnsi="宋体" w:hint="default"/>
          <w:color w:val="auto"/>
          <w:kern w:val="0"/>
        </w:rPr>
      </w:pPr>
      <w:r>
        <w:rPr>
          <w:rFonts w:ascii="宋体" w:cs="宋体" w:eastAsia="宋体" w:hAnsi="宋体"/>
          <w:color w:val="auto"/>
          <w:kern w:val="0"/>
        </w:rPr>
        <w:t xml:space="preserve">     </w:t>
      </w:r>
      <w:r>
        <w:rPr>
          <w:rFonts w:ascii="宋体" w:cs="宋体" w:eastAsia="宋体" w:hAnsi="宋体"/>
          <w:color w:val="auto"/>
        </w:rPr>
        <w:t>附录B中由委托人无偿提供的房屋、设备的所有权属于：</w:t>
      </w:r>
      <w:r>
        <w:rPr>
          <w:rFonts w:ascii="宋体" w:cs="宋体" w:eastAsia="宋体" w:hAnsi="宋体"/>
          <w:color w:val="auto"/>
          <w:u w:val="single"/>
        </w:rPr>
        <w:t xml:space="preserve">                      </w:t>
      </w:r>
      <w:r>
        <w:rPr>
          <w:rFonts w:ascii="宋体" w:cs="宋体" w:eastAsia="宋体" w:hAnsi="宋体"/>
          <w:color w:val="auto"/>
        </w:rPr>
        <w:t>。</w:t>
      </w:r>
    </w:p>
    <w:p>
      <w:pPr>
        <w:pStyle w:val="style0"/>
        <w:spacing w:lineRule="exact" w:line="400"/>
        <w:ind w:firstLine="480" w:firstLineChars="200"/>
        <w:rPr>
          <w:rFonts w:ascii="宋体" w:cs="宋体" w:eastAsia="宋体" w:hAnsi="宋体" w:hint="default"/>
          <w:color w:val="auto"/>
          <w:kern w:val="0"/>
        </w:rPr>
      </w:pPr>
      <w:r>
        <w:rPr>
          <w:rFonts w:ascii="宋体" w:cs="宋体" w:eastAsia="宋体" w:hAnsi="宋体"/>
          <w:color w:val="auto"/>
        </w:rPr>
        <w:t>监理人应在本合同终止后</w:t>
      </w:r>
      <w:r>
        <w:rPr>
          <w:rFonts w:ascii="宋体" w:cs="宋体" w:eastAsia="宋体" w:hAnsi="宋体"/>
          <w:color w:val="auto"/>
          <w:u w:val="single"/>
        </w:rPr>
        <w:t xml:space="preserve">       </w:t>
      </w:r>
      <w:r>
        <w:rPr>
          <w:rFonts w:ascii="宋体" w:cs="宋体" w:eastAsia="宋体" w:hAnsi="宋体"/>
          <w:color w:val="auto"/>
        </w:rPr>
        <w:t>天内移交委托人无偿提供的房屋、设备，移交的时间和方式为：</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rPr>
          <w:rFonts w:ascii="宋体" w:cs="宋体" w:eastAsia="宋体" w:hAnsi="宋体" w:hint="default"/>
          <w:b/>
          <w:color w:val="auto"/>
        </w:rPr>
      </w:pPr>
      <w:r>
        <w:rPr>
          <w:rFonts w:ascii="宋体" w:cs="宋体" w:eastAsia="宋体" w:hAnsi="宋体"/>
          <w:b/>
          <w:color w:val="auto"/>
          <w:kern w:val="0"/>
        </w:rPr>
        <w:t xml:space="preserve">3. 委托人义务  </w:t>
      </w:r>
    </w:p>
    <w:p>
      <w:pPr>
        <w:pStyle w:val="style0"/>
        <w:snapToGrid w:val="false"/>
        <w:spacing w:lineRule="exact" w:line="400"/>
        <w:rPr>
          <w:rFonts w:ascii="宋体" w:cs="宋体" w:eastAsia="宋体" w:hAnsi="宋体" w:hint="default"/>
          <w:color w:val="auto"/>
        </w:rPr>
      </w:pPr>
      <w:r>
        <w:rPr>
          <w:rFonts w:ascii="宋体" w:cs="宋体" w:eastAsia="宋体" w:hAnsi="宋体"/>
          <w:color w:val="auto"/>
        </w:rPr>
        <w:t xml:space="preserve">  </w:t>
      </w:r>
      <w:r>
        <w:rPr>
          <w:rFonts w:ascii="宋体" w:cs="宋体" w:eastAsia="宋体" w:hAnsi="宋体"/>
          <w:color w:val="auto"/>
          <w:kern w:val="0"/>
        </w:rPr>
        <w:t>3.4 委托人代表</w:t>
      </w:r>
    </w:p>
    <w:p>
      <w:pPr>
        <w:pStyle w:val="style0"/>
        <w:adjustRightInd w:val="false"/>
        <w:snapToGrid w:val="false"/>
        <w:spacing w:lineRule="exact" w:line="400"/>
        <w:ind w:firstLine="480" w:firstLineChars="200"/>
        <w:rPr>
          <w:rFonts w:ascii="宋体" w:cs="宋体" w:eastAsia="宋体" w:hAnsi="宋体" w:hint="default"/>
          <w:color w:val="auto"/>
          <w:u w:val="single"/>
        </w:rPr>
      </w:pPr>
      <w:r>
        <w:rPr>
          <w:rFonts w:ascii="宋体" w:cs="宋体" w:eastAsia="宋体" w:hAnsi="宋体"/>
          <w:color w:val="auto"/>
        </w:rPr>
        <w:t>委托人代表为：</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235" w:firstLineChars="98"/>
        <w:rPr>
          <w:rFonts w:ascii="宋体" w:cs="宋体" w:eastAsia="宋体" w:hAnsi="宋体" w:hint="default"/>
          <w:color w:val="auto"/>
          <w:kern w:val="0"/>
        </w:rPr>
      </w:pPr>
      <w:r>
        <w:rPr>
          <w:rFonts w:ascii="宋体" w:cs="宋体" w:eastAsia="宋体" w:hAnsi="宋体"/>
          <w:color w:val="auto"/>
          <w:kern w:val="0"/>
        </w:rPr>
        <w:t>3.6 答复</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委托人同意在</w:t>
      </w:r>
      <w:r>
        <w:rPr>
          <w:rFonts w:ascii="宋体" w:cs="宋体" w:eastAsia="宋体" w:hAnsi="宋体"/>
          <w:color w:val="auto"/>
          <w:u w:val="single"/>
        </w:rPr>
        <w:t xml:space="preserve">        </w:t>
      </w:r>
      <w:r>
        <w:rPr>
          <w:rFonts w:ascii="宋体" w:cs="宋体" w:eastAsia="宋体" w:hAnsi="宋体"/>
          <w:color w:val="auto"/>
        </w:rPr>
        <w:t>天内，对监理人书面提交并要求做出决定的事宜给予书面答复。</w:t>
      </w:r>
    </w:p>
    <w:p>
      <w:pPr>
        <w:pStyle w:val="style0"/>
        <w:snapToGrid w:val="false"/>
        <w:spacing w:lineRule="exact" w:line="400"/>
        <w:rPr>
          <w:rFonts w:ascii="宋体" w:cs="宋体" w:eastAsia="宋体" w:hAnsi="宋体" w:hint="default"/>
          <w:b/>
          <w:bCs/>
          <w:color w:val="auto"/>
        </w:rPr>
      </w:pPr>
      <w:r>
        <w:rPr>
          <w:rFonts w:ascii="宋体" w:cs="宋体" w:eastAsia="宋体" w:hAnsi="宋体"/>
          <w:b/>
          <w:bCs/>
          <w:color w:val="auto"/>
        </w:rPr>
        <w:t>4. 违约责任</w:t>
      </w:r>
    </w:p>
    <w:p>
      <w:pPr>
        <w:pStyle w:val="style0"/>
        <w:spacing w:lineRule="exact" w:line="400"/>
        <w:ind w:left="240" w:leftChars="100"/>
        <w:rPr>
          <w:rFonts w:ascii="宋体" w:cs="宋体" w:eastAsia="宋体" w:hAnsi="宋体" w:hint="default"/>
          <w:color w:val="auto"/>
          <w:kern w:val="0"/>
        </w:rPr>
      </w:pPr>
      <w:r>
        <w:rPr>
          <w:rFonts w:ascii="宋体" w:cs="宋体" w:eastAsia="宋体" w:hAnsi="宋体"/>
          <w:color w:val="auto"/>
          <w:kern w:val="0"/>
        </w:rPr>
        <w:t>4.1 监理人的违约责任</w:t>
      </w:r>
    </w:p>
    <w:p>
      <w:pPr>
        <w:pStyle w:val="style0"/>
        <w:adjustRightInd w:val="false"/>
        <w:snapToGrid w:val="false"/>
        <w:spacing w:lineRule="exact" w:line="400"/>
        <w:ind w:firstLine="480" w:firstLineChars="200"/>
        <w:rPr>
          <w:rFonts w:ascii="宋体" w:cs="宋体" w:eastAsia="宋体" w:hAnsi="宋体" w:hint="default"/>
          <w:color w:val="auto"/>
          <w:kern w:val="0"/>
        </w:rPr>
      </w:pPr>
      <w:r>
        <w:rPr>
          <w:rFonts w:ascii="宋体" w:cs="宋体" w:eastAsia="宋体" w:hAnsi="宋体"/>
          <w:color w:val="auto"/>
          <w:kern w:val="0"/>
        </w:rPr>
        <w:t>4.1.1监理人赔偿金额按下列方法确定：</w:t>
      </w:r>
    </w:p>
    <w:p>
      <w:pPr>
        <w:pStyle w:val="style0"/>
        <w:adjustRightInd w:val="false"/>
        <w:snapToGrid w:val="false"/>
        <w:spacing w:lineRule="exact" w:line="400"/>
        <w:ind w:firstLine="480" w:firstLineChars="200"/>
        <w:rPr>
          <w:rFonts w:ascii="宋体" w:cs="宋体" w:eastAsia="宋体" w:hAnsi="宋体" w:hint="default"/>
          <w:color w:val="auto"/>
          <w:kern w:val="0"/>
        </w:rPr>
      </w:pPr>
      <w:r>
        <w:rPr>
          <w:rFonts w:ascii="宋体" w:cs="宋体" w:eastAsia="宋体" w:hAnsi="宋体"/>
          <w:color w:val="auto"/>
        </w:rPr>
        <w:t>赔偿金＝直接经济损失×正常工作酬金÷工程概算</w:t>
      </w:r>
      <w:r>
        <w:rPr>
          <w:rFonts w:ascii="宋体" w:cs="宋体" w:eastAsia="宋体" w:hAnsi="宋体"/>
          <w:color w:val="auto"/>
          <w:kern w:val="0"/>
        </w:rPr>
        <w:t>投资额（或建筑安装工程费）</w:t>
      </w:r>
    </w:p>
    <w:p>
      <w:pPr>
        <w:pStyle w:val="style0"/>
        <w:snapToGrid w:val="false"/>
        <w:spacing w:lineRule="exact" w:line="400"/>
        <w:ind w:firstLine="240" w:firstLineChars="100"/>
        <w:rPr>
          <w:rFonts w:ascii="宋体" w:cs="宋体" w:eastAsia="宋体" w:hAnsi="宋体" w:hint="default"/>
          <w:color w:val="auto"/>
          <w:kern w:val="0"/>
        </w:rPr>
      </w:pPr>
      <w:r>
        <w:rPr>
          <w:rFonts w:ascii="宋体" w:cs="宋体" w:eastAsia="宋体" w:hAnsi="宋体"/>
          <w:color w:val="auto"/>
          <w:kern w:val="0"/>
        </w:rPr>
        <w:t>4.2 委托人的违约责任</w:t>
      </w:r>
    </w:p>
    <w:p>
      <w:pPr>
        <w:pStyle w:val="style0"/>
        <w:spacing w:lineRule="exact" w:line="400"/>
        <w:ind w:firstLine="480" w:firstLineChars="200"/>
        <w:rPr>
          <w:rFonts w:ascii="宋体" w:cs="宋体" w:eastAsia="宋体" w:hAnsi="宋体" w:hint="default"/>
          <w:color w:val="auto"/>
          <w:kern w:val="0"/>
        </w:rPr>
      </w:pPr>
      <w:r>
        <w:rPr>
          <w:rFonts w:ascii="宋体" w:cs="宋体" w:eastAsia="宋体" w:hAnsi="宋体"/>
          <w:color w:val="auto"/>
        </w:rPr>
        <w:t>4.2.3 委托人</w:t>
      </w:r>
      <w:r>
        <w:rPr>
          <w:rFonts w:ascii="宋体" w:cs="宋体" w:eastAsia="宋体" w:hAnsi="宋体"/>
          <w:color w:val="auto"/>
          <w:kern w:val="0"/>
        </w:rPr>
        <w:t>逾期付款利息按下列方法确定：</w:t>
      </w:r>
    </w:p>
    <w:p>
      <w:pPr>
        <w:pStyle w:val="style0"/>
        <w:spacing w:lineRule="exact" w:line="400"/>
        <w:ind w:firstLine="480" w:firstLineChars="200"/>
        <w:rPr>
          <w:rFonts w:ascii="宋体" w:cs="宋体" w:eastAsia="宋体" w:hAnsi="宋体" w:hint="default"/>
          <w:color w:val="auto"/>
        </w:rPr>
      </w:pPr>
      <w:r>
        <w:rPr>
          <w:rFonts w:ascii="宋体" w:cs="宋体" w:eastAsia="宋体" w:hAnsi="宋体"/>
          <w:color w:val="auto"/>
        </w:rPr>
        <w:t>逾期付款利息＝当期应付款总额×银行同期贷款利率×拖延支付天数</w:t>
      </w:r>
    </w:p>
    <w:p>
      <w:pPr>
        <w:pStyle w:val="style0"/>
        <w:snapToGrid w:val="false"/>
        <w:spacing w:lineRule="exact" w:line="400"/>
        <w:rPr>
          <w:rFonts w:ascii="宋体" w:cs="宋体" w:eastAsia="宋体" w:hAnsi="宋体" w:hint="default"/>
          <w:b/>
          <w:color w:val="auto"/>
        </w:rPr>
      </w:pPr>
      <w:r>
        <w:rPr>
          <w:rFonts w:ascii="宋体" w:cs="宋体" w:eastAsia="宋体" w:hAnsi="宋体"/>
          <w:b/>
          <w:bCs/>
          <w:color w:val="auto"/>
        </w:rPr>
        <w:t>5. 支付</w:t>
      </w:r>
    </w:p>
    <w:p>
      <w:pPr>
        <w:pStyle w:val="style0"/>
        <w:snapToGrid w:val="false"/>
        <w:spacing w:lineRule="exact" w:line="400"/>
        <w:rPr>
          <w:rFonts w:ascii="宋体" w:cs="宋体" w:eastAsia="宋体" w:hAnsi="宋体" w:hint="default"/>
          <w:bCs/>
          <w:color w:val="auto"/>
        </w:rPr>
      </w:pPr>
      <w:r>
        <w:rPr>
          <w:rFonts w:ascii="宋体" w:cs="宋体" w:eastAsia="宋体" w:hAnsi="宋体"/>
          <w:color w:val="auto"/>
        </w:rPr>
        <w:t xml:space="preserve">  5.1 </w:t>
      </w:r>
      <w:r>
        <w:rPr>
          <w:rFonts w:ascii="宋体" w:cs="宋体" w:eastAsia="宋体" w:hAnsi="宋体"/>
          <w:bCs/>
          <w:color w:val="auto"/>
        </w:rPr>
        <w:t>支付货币</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币种为：</w:t>
      </w:r>
      <w:r>
        <w:rPr>
          <w:rFonts w:ascii="宋体" w:cs="宋体" w:eastAsia="宋体" w:hAnsi="宋体"/>
          <w:color w:val="auto"/>
          <w:u w:val="single"/>
        </w:rPr>
        <w:t xml:space="preserve">       </w:t>
      </w:r>
      <w:r>
        <w:rPr>
          <w:rFonts w:ascii="宋体" w:cs="宋体" w:eastAsia="宋体" w:hAnsi="宋体"/>
          <w:color w:val="auto"/>
        </w:rPr>
        <w:t>，比例为：</w:t>
      </w:r>
      <w:r>
        <w:rPr>
          <w:rFonts w:ascii="宋体" w:cs="宋体" w:eastAsia="宋体" w:hAnsi="宋体"/>
          <w:color w:val="auto"/>
          <w:u w:val="single"/>
        </w:rPr>
        <w:t xml:space="preserve">      </w:t>
      </w:r>
      <w:r>
        <w:rPr>
          <w:rFonts w:ascii="宋体" w:cs="宋体" w:eastAsia="宋体" w:hAnsi="宋体"/>
          <w:color w:val="auto"/>
        </w:rPr>
        <w:t>，汇率为：</w:t>
      </w:r>
      <w:r>
        <w:rPr>
          <w:rFonts w:ascii="宋体" w:cs="宋体" w:eastAsia="宋体" w:hAnsi="宋体"/>
          <w:color w:val="auto"/>
          <w:u w:val="single"/>
        </w:rPr>
        <w:t xml:space="preserve">      </w:t>
      </w:r>
      <w:r>
        <w:rPr>
          <w:rFonts w:ascii="宋体" w:cs="宋体" w:eastAsia="宋体" w:hAnsi="宋体"/>
          <w:color w:val="auto"/>
        </w:rPr>
        <w:t xml:space="preserve">。 </w:t>
      </w:r>
    </w:p>
    <w:p>
      <w:pPr>
        <w:pStyle w:val="style0"/>
        <w:snapToGrid w:val="false"/>
        <w:spacing w:lineRule="exact" w:line="400"/>
        <w:ind w:firstLine="240" w:firstLineChars="100"/>
        <w:rPr>
          <w:rFonts w:ascii="宋体" w:cs="宋体" w:eastAsia="宋体" w:hAnsi="宋体" w:hint="default"/>
          <w:color w:val="auto"/>
          <w:kern w:val="0"/>
        </w:rPr>
      </w:pPr>
      <w:r>
        <w:rPr>
          <w:rFonts w:ascii="宋体" w:cs="宋体" w:eastAsia="宋体" w:hAnsi="宋体"/>
          <w:color w:val="auto"/>
          <w:kern w:val="0"/>
        </w:rPr>
        <w:t>5.3 支付酬金</w:t>
      </w:r>
    </w:p>
    <w:p>
      <w:pPr>
        <w:pStyle w:val="style0"/>
        <w:snapToGrid w:val="false"/>
        <w:spacing w:lineRule="exact" w:line="400"/>
        <w:ind w:firstLine="480" w:firstLineChars="200"/>
        <w:rPr>
          <w:rFonts w:ascii="宋体" w:cs="宋体" w:eastAsia="宋体" w:hAnsi="宋体" w:hint="default"/>
          <w:color w:val="auto"/>
          <w:kern w:val="0"/>
        </w:rPr>
      </w:pPr>
      <w:r>
        <w:rPr>
          <w:rFonts w:ascii="宋体" w:cs="宋体" w:eastAsia="宋体" w:hAnsi="宋体"/>
          <w:color w:val="auto"/>
          <w:kern w:val="0"/>
        </w:rPr>
        <w:t>正常工作</w:t>
      </w:r>
      <w:r>
        <w:rPr>
          <w:rFonts w:ascii="宋体" w:cs="宋体" w:eastAsia="宋体" w:hAnsi="宋体"/>
          <w:color w:val="auto"/>
        </w:rPr>
        <w:t>酬金的</w:t>
      </w:r>
      <w:r>
        <w:rPr>
          <w:rFonts w:ascii="宋体" w:cs="宋体" w:eastAsia="宋体" w:hAnsi="宋体"/>
          <w:color w:val="auto"/>
          <w:kern w:val="0"/>
        </w:rPr>
        <w:t>支付</w:t>
      </w:r>
      <w:r>
        <w:rPr>
          <w:rFonts w:ascii="宋体" w:cs="宋体" w:eastAsia="宋体" w:hAnsi="宋体"/>
          <w:color w:val="auto"/>
        </w:rPr>
        <w:t>：</w:t>
      </w:r>
    </w:p>
    <w:tbl>
      <w:tblPr>
        <w:tblStyle w:val="style10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2540"/>
        <w:gridCol w:w="3097"/>
        <w:gridCol w:w="1643"/>
        <w:gridCol w:w="2362"/>
      </w:tblGrid>
      <w:tr>
        <w:trPr>
          <w:trHeight w:val="374" w:hRule="atLeast"/>
        </w:trPr>
        <w:tc>
          <w:tcPr>
            <w:tcW w:w="2540"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支付次数</w:t>
            </w:r>
          </w:p>
        </w:tc>
        <w:tc>
          <w:tcPr>
            <w:tcW w:w="3097"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支付时间</w:t>
            </w:r>
          </w:p>
        </w:tc>
        <w:tc>
          <w:tcPr>
            <w:tcW w:w="1643"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支付比例</w:t>
            </w:r>
          </w:p>
        </w:tc>
        <w:tc>
          <w:tcPr>
            <w:tcW w:w="2362"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支付金额（万元）</w:t>
            </w:r>
          </w:p>
        </w:tc>
      </w:tr>
      <w:tr>
        <w:tblPrEx/>
        <w:trPr>
          <w:trHeight w:val="374" w:hRule="atLeast"/>
        </w:trPr>
        <w:tc>
          <w:tcPr>
            <w:tcW w:w="2540"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首付款</w:t>
            </w:r>
          </w:p>
        </w:tc>
        <w:tc>
          <w:tcPr>
            <w:tcW w:w="3097" w:type="dxa"/>
            <w:tcBorders/>
            <w:vAlign w:val="center"/>
          </w:tcPr>
          <w:p>
            <w:pPr>
              <w:pStyle w:val="style0"/>
              <w:spacing w:lineRule="exact" w:line="400"/>
              <w:jc w:val="left"/>
              <w:rPr>
                <w:rFonts w:ascii="宋体" w:cs="宋体" w:eastAsia="宋体" w:hAnsi="宋体" w:hint="default"/>
                <w:color w:val="auto"/>
              </w:rPr>
            </w:pPr>
          </w:p>
        </w:tc>
        <w:tc>
          <w:tcPr>
            <w:tcW w:w="1643" w:type="dxa"/>
            <w:tcBorders/>
            <w:vAlign w:val="center"/>
          </w:tcPr>
          <w:p>
            <w:pPr>
              <w:pStyle w:val="style0"/>
              <w:spacing w:lineRule="exact" w:line="400"/>
              <w:jc w:val="center"/>
              <w:rPr>
                <w:rFonts w:ascii="宋体" w:cs="宋体" w:eastAsia="宋体" w:hAnsi="宋体" w:hint="default"/>
                <w:color w:val="auto"/>
              </w:rPr>
            </w:pPr>
          </w:p>
        </w:tc>
        <w:tc>
          <w:tcPr>
            <w:tcW w:w="2362" w:type="dxa"/>
            <w:tcBorders/>
            <w:vAlign w:val="center"/>
          </w:tcPr>
          <w:p>
            <w:pPr>
              <w:pStyle w:val="style0"/>
              <w:spacing w:lineRule="exact" w:line="400"/>
              <w:jc w:val="center"/>
              <w:rPr>
                <w:rFonts w:ascii="宋体" w:cs="宋体" w:eastAsia="宋体" w:hAnsi="宋体" w:hint="default"/>
                <w:color w:val="auto"/>
              </w:rPr>
            </w:pPr>
          </w:p>
        </w:tc>
      </w:tr>
      <w:tr>
        <w:tblPrEx/>
        <w:trPr>
          <w:trHeight w:val="374" w:hRule="atLeast"/>
        </w:trPr>
        <w:tc>
          <w:tcPr>
            <w:tcW w:w="2540"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第二次付款</w:t>
            </w:r>
          </w:p>
        </w:tc>
        <w:tc>
          <w:tcPr>
            <w:tcW w:w="3097" w:type="dxa"/>
            <w:tcBorders/>
            <w:vAlign w:val="center"/>
          </w:tcPr>
          <w:p>
            <w:pPr>
              <w:pStyle w:val="style0"/>
              <w:spacing w:lineRule="exact" w:line="400"/>
              <w:ind w:firstLine="360" w:firstLineChars="150"/>
              <w:jc w:val="center"/>
              <w:rPr>
                <w:rFonts w:ascii="宋体" w:cs="宋体" w:eastAsia="宋体" w:hAnsi="宋体" w:hint="default"/>
                <w:color w:val="auto"/>
              </w:rPr>
            </w:pPr>
          </w:p>
        </w:tc>
        <w:tc>
          <w:tcPr>
            <w:tcW w:w="1643" w:type="dxa"/>
            <w:tcBorders/>
            <w:vAlign w:val="center"/>
          </w:tcPr>
          <w:p>
            <w:pPr>
              <w:pStyle w:val="style0"/>
              <w:spacing w:lineRule="exact" w:line="400"/>
              <w:jc w:val="center"/>
              <w:rPr>
                <w:rFonts w:ascii="宋体" w:cs="宋体" w:eastAsia="宋体" w:hAnsi="宋体" w:hint="default"/>
                <w:color w:val="auto"/>
              </w:rPr>
            </w:pPr>
          </w:p>
        </w:tc>
        <w:tc>
          <w:tcPr>
            <w:tcW w:w="2362" w:type="dxa"/>
            <w:tcBorders/>
            <w:vAlign w:val="center"/>
          </w:tcPr>
          <w:p>
            <w:pPr>
              <w:pStyle w:val="style0"/>
              <w:spacing w:lineRule="exact" w:line="400"/>
              <w:ind w:firstLine="840" w:firstLineChars="350"/>
              <w:jc w:val="center"/>
              <w:rPr>
                <w:rFonts w:ascii="宋体" w:cs="宋体" w:eastAsia="宋体" w:hAnsi="宋体" w:hint="default"/>
                <w:color w:val="auto"/>
              </w:rPr>
            </w:pPr>
          </w:p>
        </w:tc>
      </w:tr>
      <w:tr>
        <w:tblPrEx/>
        <w:trPr>
          <w:trHeight w:val="353" w:hRule="atLeast"/>
        </w:trPr>
        <w:tc>
          <w:tcPr>
            <w:tcW w:w="2540"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第三次付款</w:t>
            </w:r>
          </w:p>
        </w:tc>
        <w:tc>
          <w:tcPr>
            <w:tcW w:w="3097" w:type="dxa"/>
            <w:tcBorders/>
            <w:vAlign w:val="center"/>
          </w:tcPr>
          <w:p>
            <w:pPr>
              <w:pStyle w:val="style0"/>
              <w:spacing w:lineRule="exact" w:line="400"/>
              <w:ind w:firstLine="360" w:firstLineChars="150"/>
              <w:jc w:val="center"/>
              <w:rPr>
                <w:rFonts w:ascii="宋体" w:cs="宋体" w:eastAsia="宋体" w:hAnsi="宋体" w:hint="default"/>
                <w:color w:val="auto"/>
              </w:rPr>
            </w:pPr>
          </w:p>
        </w:tc>
        <w:tc>
          <w:tcPr>
            <w:tcW w:w="1643" w:type="dxa"/>
            <w:tcBorders/>
            <w:vAlign w:val="center"/>
          </w:tcPr>
          <w:p>
            <w:pPr>
              <w:pStyle w:val="style0"/>
              <w:spacing w:lineRule="exact" w:line="400"/>
              <w:jc w:val="center"/>
              <w:rPr>
                <w:rFonts w:ascii="宋体" w:cs="宋体" w:eastAsia="宋体" w:hAnsi="宋体" w:hint="default"/>
                <w:color w:val="auto"/>
              </w:rPr>
            </w:pPr>
          </w:p>
        </w:tc>
        <w:tc>
          <w:tcPr>
            <w:tcW w:w="2362" w:type="dxa"/>
            <w:tcBorders/>
            <w:vAlign w:val="center"/>
          </w:tcPr>
          <w:p>
            <w:pPr>
              <w:pStyle w:val="style0"/>
              <w:spacing w:lineRule="exact" w:line="400"/>
              <w:jc w:val="center"/>
              <w:rPr>
                <w:rFonts w:ascii="宋体" w:cs="宋体" w:eastAsia="宋体" w:hAnsi="宋体" w:hint="default"/>
                <w:color w:val="auto"/>
              </w:rPr>
            </w:pPr>
          </w:p>
        </w:tc>
      </w:tr>
      <w:tr>
        <w:tblPrEx/>
        <w:trPr>
          <w:trHeight w:val="374" w:hRule="atLeast"/>
        </w:trPr>
        <w:tc>
          <w:tcPr>
            <w:tcW w:w="2540"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w:t>
            </w:r>
          </w:p>
        </w:tc>
        <w:tc>
          <w:tcPr>
            <w:tcW w:w="3097" w:type="dxa"/>
            <w:tcBorders/>
            <w:vAlign w:val="center"/>
          </w:tcPr>
          <w:p>
            <w:pPr>
              <w:pStyle w:val="style0"/>
              <w:spacing w:lineRule="exact" w:line="400"/>
              <w:jc w:val="center"/>
              <w:rPr>
                <w:rFonts w:ascii="宋体" w:cs="宋体" w:eastAsia="宋体" w:hAnsi="宋体" w:hint="default"/>
                <w:color w:val="auto"/>
              </w:rPr>
            </w:pPr>
          </w:p>
        </w:tc>
        <w:tc>
          <w:tcPr>
            <w:tcW w:w="1643" w:type="dxa"/>
            <w:tcBorders/>
            <w:vAlign w:val="center"/>
          </w:tcPr>
          <w:p>
            <w:pPr>
              <w:pStyle w:val="style0"/>
              <w:spacing w:lineRule="exact" w:line="400"/>
              <w:jc w:val="center"/>
              <w:rPr>
                <w:rFonts w:ascii="宋体" w:cs="宋体" w:eastAsia="宋体" w:hAnsi="宋体" w:hint="default"/>
                <w:color w:val="auto"/>
              </w:rPr>
            </w:pPr>
          </w:p>
        </w:tc>
        <w:tc>
          <w:tcPr>
            <w:tcW w:w="2362" w:type="dxa"/>
            <w:tcBorders/>
            <w:vAlign w:val="center"/>
          </w:tcPr>
          <w:p>
            <w:pPr>
              <w:pStyle w:val="style0"/>
              <w:spacing w:lineRule="exact" w:line="400"/>
              <w:jc w:val="center"/>
              <w:rPr>
                <w:rFonts w:ascii="宋体" w:cs="宋体" w:eastAsia="宋体" w:hAnsi="宋体" w:hint="default"/>
                <w:color w:val="auto"/>
              </w:rPr>
            </w:pPr>
          </w:p>
        </w:tc>
      </w:tr>
      <w:tr>
        <w:tblPrEx/>
        <w:trPr>
          <w:trHeight w:val="578" w:hRule="atLeast"/>
        </w:trPr>
        <w:tc>
          <w:tcPr>
            <w:tcW w:w="2540" w:type="dxa"/>
            <w:tcBorders/>
            <w:vAlign w:val="center"/>
          </w:tcPr>
          <w:p>
            <w:pPr>
              <w:pStyle w:val="style0"/>
              <w:spacing w:lineRule="exact" w:line="400"/>
              <w:jc w:val="center"/>
              <w:rPr>
                <w:rFonts w:ascii="宋体" w:cs="宋体" w:eastAsia="宋体" w:hAnsi="宋体" w:hint="default"/>
                <w:color w:val="auto"/>
              </w:rPr>
            </w:pPr>
            <w:r>
              <w:rPr>
                <w:rFonts w:ascii="宋体" w:cs="宋体" w:eastAsia="宋体" w:hAnsi="宋体"/>
                <w:color w:val="auto"/>
              </w:rPr>
              <w:t>最后付款</w:t>
            </w:r>
          </w:p>
        </w:tc>
        <w:tc>
          <w:tcPr>
            <w:tcW w:w="3097" w:type="dxa"/>
            <w:tcBorders/>
            <w:vAlign w:val="center"/>
          </w:tcPr>
          <w:p>
            <w:pPr>
              <w:pStyle w:val="style0"/>
              <w:spacing w:lineRule="exact" w:line="400"/>
              <w:jc w:val="center"/>
              <w:rPr>
                <w:rFonts w:ascii="宋体" w:cs="宋体" w:eastAsia="宋体" w:hAnsi="宋体" w:hint="default"/>
                <w:color w:val="auto"/>
              </w:rPr>
            </w:pPr>
          </w:p>
        </w:tc>
        <w:tc>
          <w:tcPr>
            <w:tcW w:w="1643" w:type="dxa"/>
            <w:tcBorders/>
            <w:vAlign w:val="center"/>
          </w:tcPr>
          <w:p>
            <w:pPr>
              <w:pStyle w:val="style0"/>
              <w:spacing w:lineRule="exact" w:line="400"/>
              <w:jc w:val="center"/>
              <w:rPr>
                <w:rFonts w:ascii="宋体" w:cs="宋体" w:eastAsia="宋体" w:hAnsi="宋体" w:hint="default"/>
                <w:color w:val="auto"/>
              </w:rPr>
            </w:pPr>
          </w:p>
        </w:tc>
        <w:tc>
          <w:tcPr>
            <w:tcW w:w="2362" w:type="dxa"/>
            <w:tcBorders/>
            <w:vAlign w:val="center"/>
          </w:tcPr>
          <w:p>
            <w:pPr>
              <w:pStyle w:val="style0"/>
              <w:spacing w:lineRule="exact" w:line="400"/>
              <w:jc w:val="center"/>
              <w:rPr>
                <w:rFonts w:ascii="宋体" w:cs="宋体" w:eastAsia="宋体" w:hAnsi="宋体" w:hint="default"/>
                <w:color w:val="auto"/>
              </w:rPr>
            </w:pPr>
          </w:p>
        </w:tc>
      </w:tr>
    </w:tbl>
    <w:p>
      <w:pPr>
        <w:pStyle w:val="style0"/>
        <w:snapToGrid w:val="false"/>
        <w:spacing w:lineRule="exact" w:line="400"/>
        <w:ind w:firstLine="480" w:firstLineChars="200"/>
        <w:rPr>
          <w:rFonts w:ascii="宋体" w:cs="宋体" w:eastAsia="宋体" w:hAnsi="宋体" w:hint="default"/>
          <w:color w:val="auto"/>
          <w:u w:val="single"/>
        </w:rPr>
      </w:pPr>
      <w:r>
        <w:rPr>
          <w:rFonts w:ascii="宋体" w:cs="宋体" w:eastAsia="宋体" w:hAnsi="宋体"/>
          <w:color w:val="auto"/>
        </w:rPr>
        <w:t xml:space="preserve"> </w:t>
      </w:r>
    </w:p>
    <w:p>
      <w:pPr>
        <w:pStyle w:val="style0"/>
        <w:snapToGrid w:val="false"/>
        <w:spacing w:lineRule="exact" w:line="400"/>
        <w:rPr>
          <w:rFonts w:ascii="宋体" w:cs="宋体" w:eastAsia="宋体" w:hAnsi="宋体" w:hint="default"/>
          <w:b/>
          <w:bCs/>
          <w:color w:val="auto"/>
        </w:rPr>
      </w:pPr>
      <w:r>
        <w:rPr>
          <w:rFonts w:ascii="宋体" w:cs="宋体" w:eastAsia="宋体" w:hAnsi="宋体"/>
          <w:bCs/>
          <w:color w:val="auto"/>
        </w:rPr>
        <w:t>6</w:t>
      </w:r>
      <w:r>
        <w:rPr>
          <w:rFonts w:ascii="宋体" w:cs="宋体" w:eastAsia="宋体" w:hAnsi="宋体"/>
          <w:b/>
          <w:bCs/>
          <w:color w:val="auto"/>
        </w:rPr>
        <w:t>. 合同生效、变更、暂停、解除与终止</w:t>
      </w:r>
    </w:p>
    <w:p>
      <w:pPr>
        <w:pStyle w:val="style0"/>
        <w:adjustRightInd w:val="false"/>
        <w:snapToGrid w:val="false"/>
        <w:spacing w:lineRule="exact" w:line="400"/>
        <w:ind w:firstLine="240" w:firstLineChars="100"/>
        <w:rPr>
          <w:rFonts w:ascii="宋体" w:cs="宋体" w:eastAsia="宋体" w:hAnsi="宋体" w:hint="default"/>
          <w:color w:val="auto"/>
        </w:rPr>
      </w:pPr>
      <w:r>
        <w:rPr>
          <w:rFonts w:ascii="宋体" w:cs="宋体" w:eastAsia="宋体" w:hAnsi="宋体"/>
          <w:color w:val="auto"/>
        </w:rPr>
        <w:t>6.1 生效</w:t>
      </w:r>
    </w:p>
    <w:p>
      <w:pPr>
        <w:pStyle w:val="style0"/>
        <w:adjustRightInd w:val="false"/>
        <w:snapToGrid w:val="false"/>
        <w:spacing w:lineRule="exact" w:line="400"/>
        <w:ind w:firstLine="480"/>
        <w:rPr>
          <w:rFonts w:ascii="宋体" w:cs="宋体" w:eastAsia="宋体" w:hAnsi="宋体" w:hint="default"/>
          <w:color w:val="auto"/>
        </w:rPr>
      </w:pPr>
      <w:r>
        <w:rPr>
          <w:rFonts w:ascii="宋体" w:cs="宋体" w:eastAsia="宋体" w:hAnsi="宋体"/>
          <w:color w:val="auto"/>
        </w:rPr>
        <w:t>本合同生效条件：</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235" w:firstLineChars="98"/>
        <w:rPr>
          <w:rFonts w:ascii="宋体" w:cs="宋体" w:eastAsia="宋体" w:hAnsi="宋体" w:hint="default"/>
          <w:color w:val="auto"/>
        </w:rPr>
      </w:pPr>
      <w:r>
        <w:rPr>
          <w:rFonts w:ascii="宋体" w:cs="宋体" w:eastAsia="宋体" w:hAnsi="宋体"/>
          <w:color w:val="auto"/>
        </w:rPr>
        <w:t>6.2 变更</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6.2.2 除不可抗力外， 因非监理人原因导致本合同期限延长时，附加工作酬金按下列方法确定：</w:t>
      </w:r>
    </w:p>
    <w:p>
      <w:pPr>
        <w:pStyle w:val="style0"/>
        <w:snapToGrid w:val="false"/>
        <w:spacing w:lineRule="exact" w:line="400"/>
        <w:ind w:firstLine="480" w:firstLineChars="200"/>
        <w:rPr>
          <w:rFonts w:ascii="宋体" w:cs="宋体" w:eastAsia="宋体" w:hAnsi="宋体" w:hint="default"/>
          <w:color w:val="auto"/>
          <w:kern w:val="0"/>
        </w:rPr>
      </w:pPr>
      <w:r>
        <w:rPr>
          <w:rFonts w:ascii="宋体" w:cs="宋体" w:eastAsia="宋体" w:hAnsi="宋体"/>
          <w:color w:val="auto"/>
          <w:kern w:val="0"/>
        </w:rPr>
        <w:t>附加工作</w:t>
      </w:r>
      <w:r>
        <w:rPr>
          <w:rFonts w:ascii="宋体" w:cs="宋体" w:eastAsia="宋体" w:hAnsi="宋体"/>
          <w:color w:val="auto"/>
        </w:rPr>
        <w:t>酬金</w:t>
      </w:r>
      <w:r>
        <w:rPr>
          <w:rFonts w:ascii="宋体" w:cs="宋体" w:eastAsia="宋体" w:hAnsi="宋体"/>
          <w:color w:val="auto"/>
          <w:kern w:val="0"/>
        </w:rPr>
        <w:t>=</w:t>
      </w:r>
      <w:r>
        <w:rPr>
          <w:rFonts w:ascii="宋体" w:cs="宋体" w:eastAsia="宋体" w:hAnsi="宋体"/>
          <w:color w:val="auto"/>
        </w:rPr>
        <w:t>本合同期限延长</w:t>
      </w:r>
      <w:r>
        <w:rPr>
          <w:rFonts w:ascii="宋体" w:cs="宋体" w:eastAsia="宋体" w:hAnsi="宋体"/>
          <w:color w:val="auto"/>
          <w:kern w:val="0"/>
        </w:rPr>
        <w:t>时间（天）×正常工作酬金÷</w:t>
      </w:r>
      <w:r>
        <w:rPr>
          <w:rFonts w:ascii="宋体" w:cs="宋体" w:eastAsia="宋体" w:hAnsi="宋体"/>
          <w:color w:val="auto"/>
        </w:rPr>
        <w:t>协议书约定的监理与相关服务期限</w:t>
      </w:r>
      <w:r>
        <w:rPr>
          <w:rFonts w:ascii="宋体" w:cs="宋体" w:eastAsia="宋体" w:hAnsi="宋体"/>
          <w:color w:val="auto"/>
          <w:kern w:val="0"/>
        </w:rPr>
        <w:t>（天）</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6.2.3附加工作酬金按下列方法确定：</w:t>
      </w:r>
    </w:p>
    <w:p>
      <w:pPr>
        <w:pStyle w:val="style0"/>
        <w:snapToGrid w:val="false"/>
        <w:spacing w:lineRule="exact" w:line="400"/>
        <w:ind w:firstLine="480" w:firstLineChars="200"/>
        <w:rPr>
          <w:rFonts w:ascii="宋体" w:cs="宋体" w:eastAsia="宋体" w:hAnsi="宋体" w:hint="default"/>
          <w:color w:val="auto"/>
          <w:kern w:val="0"/>
        </w:rPr>
      </w:pPr>
      <w:r>
        <w:rPr>
          <w:rFonts w:ascii="宋体" w:cs="宋体" w:eastAsia="宋体" w:hAnsi="宋体"/>
          <w:color w:val="auto"/>
          <w:kern w:val="0"/>
        </w:rPr>
        <w:t>附加工作</w:t>
      </w:r>
      <w:r>
        <w:rPr>
          <w:rFonts w:ascii="宋体" w:cs="宋体" w:eastAsia="宋体" w:hAnsi="宋体"/>
          <w:color w:val="auto"/>
        </w:rPr>
        <w:t>酬金</w:t>
      </w:r>
      <w:r>
        <w:rPr>
          <w:rFonts w:ascii="宋体" w:cs="宋体" w:eastAsia="宋体" w:hAnsi="宋体"/>
          <w:color w:val="auto"/>
          <w:kern w:val="0"/>
        </w:rPr>
        <w:t>=善后工作及恢复服务的准备工作时间（天）×正常工作酬金÷</w:t>
      </w:r>
      <w:r>
        <w:rPr>
          <w:rFonts w:ascii="宋体" w:cs="宋体" w:eastAsia="宋体" w:hAnsi="宋体"/>
          <w:color w:val="auto"/>
        </w:rPr>
        <w:t>协议书约定的监理与相关服务期限</w:t>
      </w:r>
      <w:r>
        <w:rPr>
          <w:rFonts w:ascii="宋体" w:cs="宋体" w:eastAsia="宋体" w:hAnsi="宋体"/>
          <w:color w:val="auto"/>
          <w:kern w:val="0"/>
        </w:rPr>
        <w:t>（天）</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 xml:space="preserve">6.2.5 正常工作酬金增加额按下列方法确定： </w:t>
      </w:r>
    </w:p>
    <w:p>
      <w:pPr>
        <w:pStyle w:val="style0"/>
        <w:adjustRightInd w:val="false"/>
        <w:snapToGrid w:val="false"/>
        <w:spacing w:lineRule="exact" w:line="400"/>
        <w:ind w:firstLine="480"/>
        <w:rPr>
          <w:rFonts w:ascii="宋体" w:cs="宋体" w:eastAsia="宋体" w:hAnsi="宋体" w:hint="default"/>
          <w:color w:val="auto"/>
          <w:kern w:val="0"/>
        </w:rPr>
      </w:pPr>
      <w:r>
        <w:rPr>
          <w:rFonts w:ascii="宋体" w:cs="宋体" w:eastAsia="宋体" w:hAnsi="宋体"/>
          <w:color w:val="auto"/>
        </w:rPr>
        <w:t>正常工作酬金增加额</w:t>
      </w:r>
      <w:r>
        <w:rPr>
          <w:rFonts w:ascii="宋体" w:cs="宋体" w:eastAsia="宋体" w:hAnsi="宋体"/>
          <w:color w:val="auto"/>
          <w:kern w:val="0"/>
        </w:rPr>
        <w:t>=工程投资额</w:t>
      </w:r>
      <w:r>
        <w:rPr>
          <w:rFonts w:ascii="宋体" w:cs="宋体" w:eastAsia="宋体" w:hAnsi="宋体"/>
          <w:color w:val="auto"/>
        </w:rPr>
        <w:t>或建筑安装工程费</w:t>
      </w:r>
      <w:r>
        <w:rPr>
          <w:rFonts w:ascii="宋体" w:cs="宋体" w:eastAsia="宋体" w:hAnsi="宋体"/>
          <w:color w:val="auto"/>
          <w:kern w:val="0"/>
        </w:rPr>
        <w:t>增加额×正常工作酬金÷工程概算投资额（或建筑安装工程费）</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6.2.6 因工程规模、监理范围的变化导致监理人的正常工作量减少时，按减少工作量的比例从协议书约定的正常工作酬金中扣减相同比例的酬金。</w:t>
      </w:r>
    </w:p>
    <w:p>
      <w:pPr>
        <w:pStyle w:val="style0"/>
        <w:snapToGrid w:val="false"/>
        <w:spacing w:lineRule="exact" w:line="400"/>
        <w:rPr>
          <w:rFonts w:ascii="宋体" w:cs="宋体" w:eastAsia="宋体" w:hAnsi="宋体" w:hint="default"/>
          <w:b/>
          <w:color w:val="auto"/>
        </w:rPr>
      </w:pPr>
      <w:r>
        <w:rPr>
          <w:rFonts w:ascii="宋体" w:cs="宋体" w:eastAsia="宋体" w:hAnsi="宋体"/>
          <w:b/>
          <w:bCs/>
          <w:color w:val="auto"/>
        </w:rPr>
        <w:t>7. 争议解决</w:t>
      </w:r>
    </w:p>
    <w:p>
      <w:pPr>
        <w:pStyle w:val="style0"/>
        <w:snapToGrid w:val="false"/>
        <w:spacing w:lineRule="exact" w:line="400"/>
        <w:ind w:firstLine="235" w:firstLineChars="98"/>
        <w:rPr>
          <w:rFonts w:ascii="宋体" w:cs="宋体" w:eastAsia="宋体" w:hAnsi="宋体" w:hint="default"/>
          <w:color w:val="auto"/>
        </w:rPr>
      </w:pPr>
      <w:r>
        <w:rPr>
          <w:rFonts w:ascii="宋体" w:cs="宋体" w:eastAsia="宋体" w:hAnsi="宋体"/>
          <w:color w:val="auto"/>
        </w:rPr>
        <w:t xml:space="preserve">7.2 </w:t>
      </w:r>
      <w:r>
        <w:rPr>
          <w:rFonts w:ascii="宋体" w:cs="宋体" w:eastAsia="宋体" w:hAnsi="宋体"/>
          <w:bCs/>
          <w:color w:val="auto"/>
        </w:rPr>
        <w:t>调解</w:t>
      </w:r>
    </w:p>
    <w:p>
      <w:pPr>
        <w:pStyle w:val="style0"/>
        <w:snapToGrid w:val="false"/>
        <w:spacing w:lineRule="exact" w:line="400"/>
        <w:ind w:firstLine="470" w:firstLineChars="196"/>
        <w:rPr>
          <w:rFonts w:ascii="宋体" w:cs="宋体" w:eastAsia="宋体" w:hAnsi="宋体" w:hint="default"/>
          <w:color w:val="auto"/>
        </w:rPr>
      </w:pPr>
      <w:r>
        <w:rPr>
          <w:rFonts w:ascii="宋体" w:cs="宋体" w:eastAsia="宋体" w:hAnsi="宋体"/>
          <w:color w:val="auto"/>
        </w:rPr>
        <w:t>本合同争议进行调解时，可提交</w:t>
      </w:r>
      <w:r>
        <w:rPr>
          <w:rFonts w:ascii="宋体" w:cs="宋体" w:eastAsia="宋体" w:hAnsi="宋体"/>
          <w:color w:val="auto"/>
          <w:u w:val="single"/>
        </w:rPr>
        <w:t xml:space="preserve">        </w:t>
      </w:r>
      <w:r>
        <w:rPr>
          <w:rFonts w:ascii="宋体" w:cs="宋体" w:eastAsia="宋体" w:hAnsi="宋体"/>
          <w:color w:val="auto"/>
        </w:rPr>
        <w:t>进行调解。</w:t>
      </w:r>
    </w:p>
    <w:p>
      <w:pPr>
        <w:pStyle w:val="style0"/>
        <w:snapToGrid w:val="false"/>
        <w:spacing w:lineRule="exact" w:line="400"/>
        <w:ind w:firstLine="235" w:firstLineChars="98"/>
        <w:rPr>
          <w:rFonts w:ascii="宋体" w:cs="宋体" w:eastAsia="宋体" w:hAnsi="宋体" w:hint="default"/>
          <w:color w:val="auto"/>
        </w:rPr>
      </w:pPr>
      <w:r>
        <w:rPr>
          <w:rFonts w:ascii="宋体" w:cs="宋体" w:eastAsia="宋体" w:hAnsi="宋体"/>
          <w:color w:val="auto"/>
        </w:rPr>
        <w:t xml:space="preserve">7.3 </w:t>
      </w:r>
      <w:r>
        <w:rPr>
          <w:rFonts w:ascii="宋体" w:cs="宋体" w:eastAsia="宋体" w:hAnsi="宋体"/>
          <w:bCs/>
          <w:color w:val="auto"/>
        </w:rPr>
        <w:t>仲裁或诉讼</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合同争议的最终解决方式为下列第</w:t>
      </w:r>
      <w:r>
        <w:rPr>
          <w:rFonts w:ascii="宋体" w:cs="宋体" w:eastAsia="宋体" w:hAnsi="宋体"/>
          <w:color w:val="auto"/>
          <w:u w:val="single"/>
        </w:rPr>
        <w:t xml:space="preserve">        </w:t>
      </w:r>
      <w:r>
        <w:rPr>
          <w:rFonts w:ascii="宋体" w:cs="宋体" w:eastAsia="宋体" w:hAnsi="宋体"/>
          <w:color w:val="auto"/>
        </w:rPr>
        <w:t>种方式：</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（1）提请</w:t>
      </w:r>
      <w:r>
        <w:rPr>
          <w:rFonts w:ascii="宋体" w:cs="宋体" w:eastAsia="宋体" w:hAnsi="宋体"/>
          <w:color w:val="auto"/>
          <w:u w:val="single"/>
        </w:rPr>
        <w:t xml:space="preserve">        </w:t>
      </w:r>
      <w:r>
        <w:rPr>
          <w:rFonts w:ascii="宋体" w:cs="宋体" w:eastAsia="宋体" w:hAnsi="宋体"/>
          <w:color w:val="auto"/>
        </w:rPr>
        <w:t>仲裁委员会进行仲裁。</w:t>
      </w:r>
    </w:p>
    <w:p>
      <w:pPr>
        <w:pStyle w:val="style0"/>
        <w:adjustRightInd w:val="false"/>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（2）向</w:t>
      </w:r>
      <w:r>
        <w:rPr>
          <w:rFonts w:ascii="宋体" w:cs="宋体" w:eastAsia="宋体" w:hAnsi="宋体"/>
          <w:color w:val="auto"/>
          <w:u w:val="single"/>
        </w:rPr>
        <w:t xml:space="preserve">        </w:t>
      </w:r>
      <w:r>
        <w:rPr>
          <w:rFonts w:ascii="宋体" w:cs="宋体" w:eastAsia="宋体" w:hAnsi="宋体"/>
          <w:color w:val="auto"/>
        </w:rPr>
        <w:t>人民法院提起诉讼。</w:t>
      </w:r>
    </w:p>
    <w:p>
      <w:pPr>
        <w:pStyle w:val="style0"/>
        <w:adjustRightInd w:val="false"/>
        <w:snapToGrid w:val="false"/>
        <w:spacing w:lineRule="exact" w:line="400"/>
        <w:rPr>
          <w:rFonts w:ascii="宋体" w:cs="宋体" w:eastAsia="宋体" w:hAnsi="宋体" w:hint="default"/>
          <w:b/>
          <w:bCs/>
          <w:color w:val="auto"/>
        </w:rPr>
      </w:pPr>
      <w:r>
        <w:rPr>
          <w:rFonts w:ascii="宋体" w:cs="宋体" w:eastAsia="宋体" w:hAnsi="宋体"/>
          <w:b/>
          <w:bCs/>
          <w:color w:val="auto"/>
        </w:rPr>
        <w:t>8. 其他</w:t>
      </w:r>
    </w:p>
    <w:p>
      <w:pPr>
        <w:pStyle w:val="style0"/>
        <w:adjustRightInd w:val="false"/>
        <w:snapToGrid w:val="false"/>
        <w:spacing w:lineRule="exact" w:line="400"/>
        <w:rPr>
          <w:rFonts w:ascii="宋体" w:cs="宋体" w:eastAsia="宋体" w:hAnsi="宋体" w:hint="default"/>
          <w:bCs/>
          <w:color w:val="auto"/>
        </w:rPr>
      </w:pPr>
      <w:r>
        <w:rPr>
          <w:rFonts w:ascii="宋体" w:cs="宋体" w:eastAsia="宋体" w:hAnsi="宋体"/>
          <w:b/>
          <w:bCs/>
          <w:color w:val="auto"/>
        </w:rPr>
        <w:t xml:space="preserve">  </w:t>
      </w:r>
      <w:r>
        <w:rPr>
          <w:rFonts w:ascii="宋体" w:cs="宋体" w:eastAsia="宋体" w:hAnsi="宋体"/>
          <w:bCs/>
          <w:color w:val="auto"/>
        </w:rPr>
        <w:t>8.2 检测费用</w:t>
      </w:r>
    </w:p>
    <w:p>
      <w:pPr>
        <w:pStyle w:val="style0"/>
        <w:adjustRightInd w:val="false"/>
        <w:snapToGrid w:val="false"/>
        <w:spacing w:lineRule="exact" w:line="400"/>
        <w:rPr>
          <w:rFonts w:ascii="宋体" w:cs="宋体" w:eastAsia="宋体" w:hAnsi="宋体" w:hint="default"/>
          <w:bCs/>
          <w:color w:val="auto"/>
        </w:rPr>
      </w:pPr>
      <w:r>
        <w:rPr>
          <w:rFonts w:ascii="宋体" w:cs="宋体" w:eastAsia="宋体" w:hAnsi="宋体"/>
          <w:bCs/>
          <w:color w:val="auto"/>
        </w:rPr>
        <w:t xml:space="preserve">    委托人应在检测工作完成后</w:t>
      </w:r>
      <w:r>
        <w:rPr>
          <w:rFonts w:ascii="宋体" w:cs="宋体" w:eastAsia="宋体" w:hAnsi="宋体"/>
          <w:color w:val="auto"/>
          <w:u w:val="single"/>
        </w:rPr>
        <w:t xml:space="preserve">     </w:t>
      </w:r>
      <w:r>
        <w:rPr>
          <w:rFonts w:ascii="宋体" w:cs="宋体" w:eastAsia="宋体" w:hAnsi="宋体"/>
          <w:bCs/>
          <w:color w:val="auto"/>
        </w:rPr>
        <w:t>天内支付检测费用。</w:t>
      </w:r>
    </w:p>
    <w:p>
      <w:pPr>
        <w:pStyle w:val="style0"/>
        <w:adjustRightInd w:val="false"/>
        <w:snapToGrid w:val="false"/>
        <w:spacing w:lineRule="exact" w:line="400"/>
        <w:rPr>
          <w:rFonts w:ascii="宋体" w:cs="宋体" w:eastAsia="宋体" w:hAnsi="宋体" w:hint="default"/>
          <w:bCs/>
          <w:color w:val="auto"/>
        </w:rPr>
      </w:pPr>
      <w:r>
        <w:rPr>
          <w:rFonts w:ascii="宋体" w:cs="宋体" w:eastAsia="宋体" w:hAnsi="宋体"/>
          <w:bCs/>
          <w:color w:val="auto"/>
        </w:rPr>
        <w:t xml:space="preserve">  8.3 咨询费用</w:t>
      </w:r>
    </w:p>
    <w:p>
      <w:pPr>
        <w:pStyle w:val="style0"/>
        <w:adjustRightInd w:val="false"/>
        <w:snapToGrid w:val="false"/>
        <w:spacing w:lineRule="exact" w:line="400"/>
        <w:rPr>
          <w:rFonts w:ascii="宋体" w:cs="宋体" w:eastAsia="宋体" w:hAnsi="宋体" w:hint="default"/>
          <w:bCs/>
          <w:color w:val="auto"/>
        </w:rPr>
      </w:pPr>
      <w:r>
        <w:rPr>
          <w:rFonts w:ascii="宋体" w:cs="宋体" w:eastAsia="宋体" w:hAnsi="宋体"/>
          <w:bCs/>
          <w:color w:val="auto"/>
        </w:rPr>
        <w:t xml:space="preserve">    委托人应在咨询工作完成后</w:t>
      </w:r>
      <w:r>
        <w:rPr>
          <w:rFonts w:ascii="宋体" w:cs="宋体" w:eastAsia="宋体" w:hAnsi="宋体"/>
          <w:color w:val="auto"/>
          <w:u w:val="single"/>
        </w:rPr>
        <w:t xml:space="preserve">     </w:t>
      </w:r>
      <w:r>
        <w:rPr>
          <w:rFonts w:ascii="宋体" w:cs="宋体" w:eastAsia="宋体" w:hAnsi="宋体"/>
          <w:bCs/>
          <w:color w:val="auto"/>
        </w:rPr>
        <w:t>天内支付咨询费用。</w:t>
      </w:r>
    </w:p>
    <w:p>
      <w:pPr>
        <w:pStyle w:val="style0"/>
        <w:snapToGrid w:val="false"/>
        <w:spacing w:lineRule="exact" w:line="400"/>
        <w:ind w:firstLine="235" w:firstLineChars="98"/>
        <w:rPr>
          <w:rFonts w:ascii="宋体" w:cs="宋体" w:eastAsia="宋体" w:hAnsi="宋体" w:hint="default"/>
          <w:color w:val="auto"/>
        </w:rPr>
      </w:pPr>
      <w:r>
        <w:rPr>
          <w:rFonts w:ascii="宋体" w:cs="宋体" w:eastAsia="宋体" w:hAnsi="宋体"/>
          <w:color w:val="auto"/>
        </w:rPr>
        <w:t>8.4 奖励</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合理化建议的奖励金额按下列方法确定为：</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奖励金额＝工程投资节省额×奖励金额的比率；</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奖励金额的比率为</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235" w:firstLineChars="98"/>
        <w:rPr>
          <w:rFonts w:ascii="宋体" w:cs="宋体" w:eastAsia="宋体" w:hAnsi="宋体" w:hint="default"/>
          <w:color w:val="auto"/>
        </w:rPr>
      </w:pPr>
      <w:r>
        <w:rPr>
          <w:rFonts w:ascii="宋体" w:cs="宋体" w:eastAsia="宋体" w:hAnsi="宋体"/>
          <w:color w:val="auto"/>
        </w:rPr>
        <w:t>8.6 保密</w:t>
      </w:r>
    </w:p>
    <w:p>
      <w:pPr>
        <w:pStyle w:val="style0"/>
        <w:adjustRightInd w:val="false"/>
        <w:snapToGrid w:val="false"/>
        <w:spacing w:lineRule="exact" w:line="400"/>
        <w:ind w:firstLine="480" w:firstLineChars="200"/>
        <w:rPr>
          <w:rFonts w:ascii="宋体" w:cs="宋体" w:eastAsia="宋体" w:hAnsi="宋体" w:hint="default"/>
          <w:color w:val="auto"/>
          <w:u w:val="single"/>
        </w:rPr>
      </w:pPr>
      <w:r>
        <w:rPr>
          <w:rFonts w:ascii="宋体" w:cs="宋体" w:eastAsia="宋体" w:hAnsi="宋体"/>
          <w:color w:val="auto"/>
        </w:rPr>
        <w:t>委托人申明的保密事项和期限：</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480" w:firstLineChars="200"/>
        <w:rPr>
          <w:rFonts w:ascii="宋体" w:cs="宋体" w:eastAsia="宋体" w:hAnsi="宋体" w:hint="default"/>
          <w:color w:val="auto"/>
          <w:u w:val="single"/>
        </w:rPr>
      </w:pPr>
      <w:r>
        <w:rPr>
          <w:rFonts w:ascii="宋体" w:cs="宋体" w:eastAsia="宋体" w:hAnsi="宋体"/>
          <w:color w:val="auto"/>
        </w:rPr>
        <w:t>监理人申明的保密事项和期限：</w:t>
      </w: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lineRule="exact" w:line="400"/>
        <w:ind w:firstLine="480" w:firstLineChars="200"/>
        <w:rPr>
          <w:rFonts w:ascii="宋体" w:cs="宋体" w:eastAsia="宋体" w:hAnsi="宋体" w:hint="default"/>
          <w:color w:val="auto"/>
          <w:u w:val="single"/>
        </w:rPr>
      </w:pPr>
      <w:r>
        <w:rPr>
          <w:rFonts w:ascii="宋体" w:cs="宋体" w:eastAsia="宋体" w:hAnsi="宋体"/>
          <w:color w:val="auto"/>
        </w:rPr>
        <w:t>第三方申明的保密事项和期限：</w:t>
      </w:r>
      <w:r>
        <w:rPr>
          <w:rFonts w:ascii="宋体" w:cs="宋体" w:eastAsia="宋体" w:hAnsi="宋体"/>
          <w:color w:val="auto"/>
          <w:u w:val="single"/>
        </w:rPr>
        <w:t xml:space="preserve">                         </w:t>
      </w:r>
      <w:r>
        <w:rPr>
          <w:rFonts w:ascii="宋体" w:cs="宋体" w:eastAsia="宋体" w:hAnsi="宋体"/>
          <w:color w:val="auto"/>
        </w:rPr>
        <w:t>。</w:t>
      </w:r>
    </w:p>
    <w:p>
      <w:pPr>
        <w:pStyle w:val="style0"/>
        <w:snapToGrid w:val="false"/>
        <w:spacing w:lineRule="exact" w:line="400"/>
        <w:ind w:firstLine="235" w:firstLineChars="98"/>
        <w:rPr>
          <w:rFonts w:ascii="宋体" w:cs="宋体" w:eastAsia="宋体" w:hAnsi="宋体" w:hint="default"/>
          <w:bCs/>
          <w:color w:val="auto"/>
        </w:rPr>
      </w:pPr>
      <w:r>
        <w:rPr>
          <w:rFonts w:ascii="宋体" w:cs="宋体" w:eastAsia="宋体" w:hAnsi="宋体"/>
          <w:color w:val="auto"/>
        </w:rPr>
        <w:t>8.8</w:t>
      </w:r>
      <w:r>
        <w:rPr>
          <w:rFonts w:ascii="宋体" w:cs="宋体" w:eastAsia="宋体" w:hAnsi="宋体"/>
          <w:bCs/>
          <w:color w:val="auto"/>
        </w:rPr>
        <w:t>著作权</w:t>
      </w:r>
    </w:p>
    <w:p>
      <w:pPr>
        <w:pStyle w:val="style0"/>
        <w:snapToGrid w:val="false"/>
        <w:spacing w:lineRule="exact" w:line="400"/>
        <w:ind w:firstLine="480" w:firstLineChars="200"/>
        <w:rPr>
          <w:rFonts w:ascii="宋体" w:cs="宋体" w:eastAsia="宋体" w:hAnsi="宋体" w:hint="default"/>
          <w:color w:val="auto"/>
        </w:rPr>
      </w:pPr>
      <w:r>
        <w:rPr>
          <w:rFonts w:ascii="宋体" w:cs="宋体" w:eastAsia="宋体" w:hAnsi="宋体"/>
          <w:color w:val="auto"/>
        </w:rPr>
        <w:t>监理人在本合同履行期间及本合同终止后两年内出版涉及本工程的有关监理与相关服务的资料的限制条件：</w:t>
      </w:r>
    </w:p>
    <w:p>
      <w:pPr>
        <w:pStyle w:val="style0"/>
        <w:adjustRightInd w:val="false"/>
        <w:snapToGrid w:val="false"/>
        <w:spacing w:before="156" w:beforeLines="50" w:after="156" w:afterLines="50" w:lineRule="exact" w:line="400"/>
        <w:rPr>
          <w:rFonts w:ascii="宋体" w:cs="宋体" w:eastAsia="宋体" w:hAnsi="宋体" w:hint="default"/>
          <w:color w:val="auto"/>
        </w:rPr>
      </w:pPr>
      <w:r>
        <w:rPr>
          <w:rFonts w:ascii="宋体" w:cs="宋体" w:eastAsia="宋体" w:hAnsi="宋体"/>
          <w:color w:val="auto"/>
          <w:u w:val="single"/>
        </w:rPr>
        <w:t xml:space="preserve">                                            </w:t>
      </w:r>
      <w:r>
        <w:rPr>
          <w:rFonts w:ascii="宋体" w:cs="宋体" w:eastAsia="宋体" w:hAnsi="宋体"/>
          <w:color w:val="auto"/>
        </w:rPr>
        <w:t>。</w:t>
      </w:r>
    </w:p>
    <w:p>
      <w:pPr>
        <w:pStyle w:val="style0"/>
        <w:adjustRightInd w:val="false"/>
        <w:snapToGrid w:val="false"/>
        <w:spacing w:before="156" w:beforeLines="50" w:after="156" w:afterLines="50" w:lineRule="exact" w:line="400"/>
        <w:ind w:firstLine="240" w:firstLineChars="100"/>
        <w:rPr>
          <w:rFonts w:ascii="宋体" w:cs="宋体" w:eastAsia="宋体" w:hAnsi="宋体" w:hint="default"/>
          <w:color w:val="auto"/>
        </w:rPr>
      </w:pPr>
      <w:r>
        <w:rPr>
          <w:rFonts w:ascii="宋体" w:cs="宋体" w:eastAsia="宋体" w:hAnsi="宋体"/>
          <w:color w:val="auto"/>
        </w:rPr>
        <w:t>9. 补充条款</w:t>
      </w:r>
    </w:p>
    <w:p>
      <w:pPr>
        <w:pStyle w:val="style0"/>
        <w:adjustRightInd w:val="false"/>
        <w:snapToGrid w:val="false"/>
        <w:spacing w:before="156" w:beforeLines="50" w:after="156" w:afterLines="50" w:lineRule="exact" w:line="400"/>
        <w:rPr>
          <w:rFonts w:ascii="宋体" w:cs="宋体" w:eastAsia="宋体" w:hAnsi="宋体" w:hint="default"/>
          <w:color w:val="auto"/>
        </w:rPr>
      </w:pPr>
      <w:r>
        <w:rPr>
          <w:rFonts w:ascii="宋体" w:cs="宋体" w:eastAsia="宋体" w:hAnsi="宋体"/>
          <w:color w:val="auto"/>
          <w:u w:val="single"/>
        </w:rPr>
        <w:t xml:space="preserve">                                             </w:t>
      </w:r>
      <w:r>
        <w:rPr>
          <w:rFonts w:ascii="宋体" w:cs="宋体" w:eastAsia="宋体" w:hAnsi="宋体"/>
          <w:color w:val="auto"/>
        </w:rPr>
        <w:t>。</w:t>
      </w:r>
    </w:p>
    <w:p>
      <w:pPr>
        <w:pStyle w:val="style0"/>
        <w:spacing w:lineRule="auto" w:line="360"/>
        <w:jc w:val="center"/>
        <w:rPr>
          <w:rFonts w:ascii="宋体" w:cs="宋体" w:eastAsia="宋体" w:hAnsi="宋体" w:hint="default"/>
          <w:b/>
          <w:bCs/>
          <w:color w:val="auto"/>
        </w:rPr>
      </w:pPr>
      <w:r>
        <w:rPr>
          <w:rFonts w:ascii="宋体" w:cs="宋体" w:eastAsia="宋体" w:hAnsi="宋体"/>
          <w:b/>
          <w:bCs/>
          <w:color w:val="auto"/>
        </w:rPr>
        <w:br w:type="page"/>
      </w:r>
      <w:r>
        <w:rPr>
          <w:rFonts w:ascii="宋体" w:cs="宋体" w:eastAsia="宋体" w:hAnsi="宋体"/>
          <w:b/>
          <w:bCs/>
          <w:color w:val="auto"/>
        </w:rPr>
        <w:t>附录A  相关服务的范围和内容</w:t>
      </w:r>
    </w:p>
    <w:p>
      <w:pPr>
        <w:pStyle w:val="style0"/>
        <w:snapToGrid w:val="false"/>
        <w:spacing w:before="156" w:beforeLines="50" w:after="156" w:afterLines="50" w:lineRule="auto" w:line="360"/>
        <w:ind w:firstLine="960" w:firstLineChars="400"/>
        <w:rPr>
          <w:rFonts w:ascii="宋体" w:cs="宋体" w:eastAsia="宋体" w:hAnsi="宋体" w:hint="default"/>
          <w:color w:val="auto"/>
          <w:kern w:val="0"/>
        </w:rPr>
      </w:pPr>
    </w:p>
    <w:p>
      <w:pPr>
        <w:pStyle w:val="style0"/>
        <w:snapToGrid w:val="false"/>
        <w:spacing w:before="156" w:beforeLines="50" w:after="156" w:afterLines="50" w:lineRule="auto" w:line="360"/>
        <w:ind w:firstLine="960" w:firstLineChars="400"/>
        <w:rPr>
          <w:rFonts w:ascii="宋体" w:cs="宋体" w:eastAsia="宋体" w:hAnsi="宋体" w:hint="default"/>
          <w:color w:val="auto"/>
        </w:rPr>
      </w:pPr>
      <w:r>
        <w:rPr>
          <w:rFonts w:ascii="宋体" w:cs="宋体" w:eastAsia="宋体" w:hAnsi="宋体"/>
          <w:color w:val="auto"/>
          <w:kern w:val="0"/>
        </w:rPr>
        <w:t>A-1 勘察阶段：</w:t>
      </w:r>
      <w:r>
        <w:rPr>
          <w:rFonts w:ascii="宋体" w:cs="宋体" w:eastAsia="宋体" w:hAnsi="宋体"/>
          <w:color w:val="auto"/>
          <w:u w:val="single"/>
        </w:rPr>
        <w:t xml:space="preserve">                                      </w:t>
      </w:r>
      <w:r>
        <w:rPr>
          <w:rFonts w:ascii="宋体" w:cs="宋体" w:eastAsia="宋体" w:hAnsi="宋体"/>
          <w:color w:val="auto"/>
          <w:kern w:val="0"/>
          <w:u w:val="single"/>
        </w:rPr>
        <w:t xml:space="preserve">      </w:t>
      </w:r>
      <w:r>
        <w:rPr>
          <w:rFonts w:ascii="宋体" w:cs="宋体" w:eastAsia="宋体" w:hAnsi="宋体"/>
          <w:color w:val="auto"/>
          <w:kern w:val="0"/>
        </w:rPr>
        <w:t>。</w:t>
      </w:r>
    </w:p>
    <w:p>
      <w:pPr>
        <w:pStyle w:val="style0"/>
        <w:snapToGrid w:val="false"/>
        <w:spacing w:before="156" w:beforeLines="50" w:after="156" w:afterLines="50" w:lineRule="auto" w:line="360"/>
        <w:ind w:firstLine="960" w:firstLineChars="400"/>
        <w:rPr>
          <w:rFonts w:ascii="宋体" w:cs="宋体" w:eastAsia="宋体" w:hAnsi="宋体" w:hint="default"/>
          <w:color w:val="auto"/>
        </w:rPr>
      </w:pPr>
      <w:r>
        <w:rPr>
          <w:rFonts w:ascii="宋体" w:cs="宋体" w:eastAsia="宋体" w:hAnsi="宋体"/>
          <w:color w:val="auto"/>
          <w:kern w:val="0"/>
        </w:rPr>
        <w:t>A-2 设计阶段：</w:t>
      </w:r>
      <w:r>
        <w:rPr>
          <w:rFonts w:ascii="宋体" w:cs="宋体" w:eastAsia="宋体" w:hAnsi="宋体"/>
          <w:color w:val="auto"/>
          <w:u w:val="single"/>
        </w:rPr>
        <w:t xml:space="preserve">                                             </w:t>
      </w:r>
      <w:r>
        <w:rPr>
          <w:rFonts w:ascii="宋体" w:cs="宋体" w:eastAsia="宋体" w:hAnsi="宋体"/>
          <w:color w:val="auto"/>
        </w:rPr>
        <w:t>。</w:t>
      </w:r>
    </w:p>
    <w:p>
      <w:pPr>
        <w:pStyle w:val="style0"/>
        <w:snapToGrid w:val="false"/>
        <w:spacing w:before="156" w:beforeLines="50" w:after="156" w:afterLines="50" w:lineRule="auto" w:line="360"/>
        <w:ind w:firstLine="960" w:firstLineChars="400"/>
        <w:rPr>
          <w:rFonts w:ascii="宋体" w:cs="宋体" w:eastAsia="宋体" w:hAnsi="宋体" w:hint="default"/>
          <w:color w:val="auto"/>
        </w:rPr>
      </w:pPr>
      <w:r>
        <w:rPr>
          <w:rFonts w:ascii="宋体" w:cs="宋体" w:eastAsia="宋体" w:hAnsi="宋体"/>
          <w:color w:val="auto"/>
          <w:kern w:val="0"/>
        </w:rPr>
        <w:t>A-3 保修阶段：</w:t>
      </w:r>
      <w:r>
        <w:rPr>
          <w:rFonts w:ascii="宋体" w:cs="宋体" w:eastAsia="宋体" w:hAnsi="宋体"/>
          <w:color w:val="auto"/>
          <w:u w:val="single"/>
        </w:rPr>
        <w:t xml:space="preserve">                                            </w:t>
      </w:r>
      <w:r>
        <w:rPr>
          <w:rFonts w:ascii="宋体" w:cs="宋体" w:eastAsia="宋体" w:hAnsi="宋体"/>
          <w:color w:val="auto"/>
        </w:rPr>
        <w:t>。</w:t>
      </w:r>
    </w:p>
    <w:p>
      <w:pPr>
        <w:pStyle w:val="style0"/>
        <w:snapToGrid w:val="false"/>
        <w:spacing w:before="156" w:beforeLines="50" w:after="156" w:afterLines="50" w:lineRule="auto" w:line="360"/>
        <w:ind w:firstLine="960" w:firstLineChars="400"/>
        <w:rPr>
          <w:rFonts w:ascii="宋体" w:cs="宋体" w:eastAsia="宋体" w:hAnsi="宋体" w:hint="default"/>
          <w:color w:val="auto"/>
        </w:rPr>
      </w:pPr>
      <w:r>
        <w:rPr>
          <w:rFonts w:ascii="宋体" w:cs="宋体" w:eastAsia="宋体" w:hAnsi="宋体"/>
          <w:color w:val="auto"/>
          <w:kern w:val="0"/>
        </w:rPr>
        <w:t xml:space="preserve">A-4 </w:t>
      </w:r>
      <w:r>
        <w:rPr>
          <w:rFonts w:ascii="宋体" w:cs="宋体" w:eastAsia="宋体" w:hAnsi="宋体"/>
          <w:color w:val="auto"/>
        </w:rPr>
        <w:t>其他（专业技术咨询、外部协调工作等）：</w:t>
      </w:r>
      <w:r>
        <w:rPr>
          <w:rFonts w:ascii="宋体" w:cs="宋体" w:eastAsia="宋体" w:hAnsi="宋体"/>
          <w:color w:val="auto"/>
          <w:u w:val="single"/>
        </w:rPr>
        <w:t xml:space="preserve">                 </w:t>
      </w:r>
      <w:r>
        <w:rPr>
          <w:rFonts w:ascii="宋体" w:cs="宋体" w:eastAsia="宋体" w:hAnsi="宋体"/>
          <w:color w:val="auto"/>
        </w:rPr>
        <w:t>。</w:t>
      </w:r>
    </w:p>
    <w:p>
      <w:pPr>
        <w:pStyle w:val="style0"/>
        <w:snapToGrid w:val="false"/>
        <w:spacing w:before="156" w:beforeLines="50" w:after="156" w:afterLines="50" w:lineRule="auto" w:line="360"/>
        <w:ind w:firstLine="480" w:firstLineChars="200"/>
        <w:rPr>
          <w:rFonts w:ascii="宋体" w:cs="宋体" w:eastAsia="宋体" w:hAnsi="宋体" w:hint="default"/>
          <w:color w:val="auto"/>
        </w:rPr>
      </w:pPr>
    </w:p>
    <w:p>
      <w:pPr>
        <w:pStyle w:val="style0"/>
        <w:spacing w:lineRule="auto" w:line="360"/>
        <w:rPr>
          <w:rFonts w:hint="default"/>
          <w:bCs/>
          <w:color w:val="auto"/>
          <w:sz w:val="30"/>
          <w:szCs w:val="30"/>
        </w:rPr>
      </w:pPr>
    </w:p>
    <w:p>
      <w:pPr>
        <w:pStyle w:val="style0"/>
        <w:spacing w:lineRule="auto" w:line="360"/>
        <w:jc w:val="center"/>
        <w:rPr>
          <w:rFonts w:cs="宋体" w:hint="default"/>
          <w:b/>
          <w:bCs/>
          <w:color w:val="auto"/>
        </w:rPr>
      </w:pPr>
      <w:r>
        <w:rPr>
          <w:b/>
          <w:bCs/>
          <w:color w:val="auto"/>
          <w:sz w:val="28"/>
          <w:szCs w:val="28"/>
        </w:rPr>
        <w:br w:type="page"/>
      </w:r>
      <w:r>
        <w:rPr>
          <w:rFonts w:cs="宋体"/>
          <w:b/>
          <w:bCs/>
          <w:color w:val="auto"/>
        </w:rPr>
        <w:t>附录B  委托人派遣的人员和提供的房屋、资料、设备</w:t>
      </w:r>
    </w:p>
    <w:p>
      <w:pPr>
        <w:pStyle w:val="style0"/>
        <w:spacing w:before="312" w:beforeLines="100" w:lineRule="auto" w:line="360"/>
        <w:rPr>
          <w:rFonts w:cs="宋体" w:hint="default"/>
          <w:b/>
          <w:color w:val="auto"/>
          <w:kern w:val="0"/>
        </w:rPr>
      </w:pPr>
      <w:r>
        <w:rPr>
          <w:rFonts w:cs="宋体"/>
          <w:b/>
          <w:color w:val="auto"/>
          <w:kern w:val="0"/>
        </w:rPr>
        <w:t>B-1  委托人派遣的人员</w:t>
      </w:r>
    </w:p>
    <w:tbl>
      <w:tblPr>
        <w:tblStyle w:val="style10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170"/>
        <w:gridCol w:w="1998"/>
        <w:gridCol w:w="2404"/>
        <w:gridCol w:w="2099"/>
      </w:tblGrid>
      <w:tr>
        <w:trPr>
          <w:trHeight w:val="397" w:hRule="atLeast"/>
        </w:trPr>
        <w:tc>
          <w:tcPr>
            <w:tcW w:w="3170" w:type="dxa"/>
            <w:tcBorders/>
            <w:vAlign w:val="center"/>
          </w:tcPr>
          <w:p>
            <w:pPr>
              <w:pStyle w:val="style0"/>
              <w:jc w:val="center"/>
              <w:rPr>
                <w:rFonts w:cs="宋体" w:hint="default"/>
                <w:color w:val="auto"/>
              </w:rPr>
            </w:pPr>
            <w:r>
              <w:rPr>
                <w:rFonts w:cs="宋体"/>
                <w:color w:val="auto"/>
              </w:rPr>
              <w:t>名称</w:t>
            </w:r>
          </w:p>
        </w:tc>
        <w:tc>
          <w:tcPr>
            <w:tcW w:w="1998" w:type="dxa"/>
            <w:tcBorders/>
            <w:vAlign w:val="center"/>
          </w:tcPr>
          <w:p>
            <w:pPr>
              <w:pStyle w:val="style0"/>
              <w:jc w:val="center"/>
              <w:rPr>
                <w:rFonts w:cs="宋体" w:hint="default"/>
                <w:color w:val="auto"/>
              </w:rPr>
            </w:pPr>
            <w:r>
              <w:rPr>
                <w:rFonts w:cs="宋体"/>
                <w:color w:val="auto"/>
              </w:rPr>
              <w:t>数量</w:t>
            </w:r>
          </w:p>
        </w:tc>
        <w:tc>
          <w:tcPr>
            <w:tcW w:w="2404" w:type="dxa"/>
            <w:tcBorders/>
            <w:vAlign w:val="center"/>
          </w:tcPr>
          <w:p>
            <w:pPr>
              <w:pStyle w:val="style0"/>
              <w:jc w:val="center"/>
              <w:rPr>
                <w:rFonts w:cs="宋体" w:hint="default"/>
                <w:color w:val="auto"/>
              </w:rPr>
            </w:pPr>
            <w:r>
              <w:rPr>
                <w:rFonts w:cs="宋体"/>
                <w:color w:val="auto"/>
              </w:rPr>
              <w:t>工作要求</w:t>
            </w:r>
          </w:p>
        </w:tc>
        <w:tc>
          <w:tcPr>
            <w:tcW w:w="2099" w:type="dxa"/>
            <w:tcBorders/>
            <w:vAlign w:val="center"/>
          </w:tcPr>
          <w:p>
            <w:pPr>
              <w:pStyle w:val="style0"/>
              <w:jc w:val="center"/>
              <w:rPr>
                <w:rFonts w:cs="宋体" w:hint="default"/>
                <w:color w:val="auto"/>
              </w:rPr>
            </w:pPr>
            <w:r>
              <w:rPr>
                <w:rFonts w:cs="宋体"/>
                <w:color w:val="auto"/>
              </w:rPr>
              <w:t>提供时间</w:t>
            </w:r>
          </w:p>
        </w:tc>
      </w:tr>
      <w:tr>
        <w:tblPrEx/>
        <w:trPr>
          <w:trHeight w:val="397" w:hRule="atLeast"/>
        </w:trPr>
        <w:tc>
          <w:tcPr>
            <w:tcW w:w="3170" w:type="dxa"/>
            <w:tcBorders/>
            <w:vAlign w:val="center"/>
          </w:tcPr>
          <w:p>
            <w:pPr>
              <w:pStyle w:val="style0"/>
              <w:jc w:val="left"/>
              <w:rPr>
                <w:rFonts w:cs="宋体" w:hint="default"/>
                <w:color w:val="auto"/>
              </w:rPr>
            </w:pPr>
            <w:r>
              <w:rPr>
                <w:rFonts w:cs="宋体"/>
                <w:color w:val="auto"/>
              </w:rPr>
              <w:t>1. 工程技术人员</w:t>
            </w:r>
          </w:p>
        </w:tc>
        <w:tc>
          <w:tcPr>
            <w:tcW w:w="1998" w:type="dxa"/>
            <w:tcBorders/>
            <w:vAlign w:val="center"/>
          </w:tcPr>
          <w:p>
            <w:pPr>
              <w:pStyle w:val="style0"/>
              <w:jc w:val="center"/>
              <w:rPr>
                <w:rFonts w:cs="宋体" w:hint="default"/>
                <w:color w:val="auto"/>
              </w:rPr>
            </w:pPr>
          </w:p>
        </w:tc>
        <w:tc>
          <w:tcPr>
            <w:tcW w:w="2404" w:type="dxa"/>
            <w:tcBorders/>
            <w:vAlign w:val="center"/>
          </w:tcPr>
          <w:p>
            <w:pPr>
              <w:pStyle w:val="style0"/>
              <w:jc w:val="center"/>
              <w:rPr>
                <w:rFonts w:cs="宋体" w:hint="default"/>
                <w:color w:val="auto"/>
              </w:rPr>
            </w:pPr>
          </w:p>
        </w:tc>
        <w:tc>
          <w:tcPr>
            <w:tcW w:w="2099" w:type="dxa"/>
            <w:tcBorders/>
            <w:vAlign w:val="center"/>
          </w:tcPr>
          <w:p>
            <w:pPr>
              <w:pStyle w:val="style0"/>
              <w:jc w:val="center"/>
              <w:rPr>
                <w:rFonts w:cs="宋体" w:hint="default"/>
                <w:color w:val="auto"/>
              </w:rPr>
            </w:pPr>
          </w:p>
        </w:tc>
      </w:tr>
      <w:tr>
        <w:tblPrEx/>
        <w:trPr>
          <w:trHeight w:val="397" w:hRule="atLeast"/>
        </w:trPr>
        <w:tc>
          <w:tcPr>
            <w:tcW w:w="3170" w:type="dxa"/>
            <w:tcBorders/>
            <w:vAlign w:val="center"/>
          </w:tcPr>
          <w:p>
            <w:pPr>
              <w:pStyle w:val="style0"/>
              <w:jc w:val="left"/>
              <w:rPr>
                <w:rFonts w:cs="宋体" w:hint="default"/>
                <w:color w:val="auto"/>
              </w:rPr>
            </w:pPr>
            <w:r>
              <w:rPr>
                <w:rFonts w:cs="宋体"/>
                <w:color w:val="auto"/>
              </w:rPr>
              <w:t>2. 辅助工作人员</w:t>
            </w:r>
          </w:p>
        </w:tc>
        <w:tc>
          <w:tcPr>
            <w:tcW w:w="1998" w:type="dxa"/>
            <w:tcBorders/>
            <w:vAlign w:val="center"/>
          </w:tcPr>
          <w:p>
            <w:pPr>
              <w:pStyle w:val="style0"/>
              <w:jc w:val="center"/>
              <w:rPr>
                <w:rFonts w:cs="宋体" w:hint="default"/>
                <w:color w:val="auto"/>
              </w:rPr>
            </w:pPr>
          </w:p>
        </w:tc>
        <w:tc>
          <w:tcPr>
            <w:tcW w:w="2404" w:type="dxa"/>
            <w:tcBorders/>
            <w:vAlign w:val="center"/>
          </w:tcPr>
          <w:p>
            <w:pPr>
              <w:pStyle w:val="style0"/>
              <w:jc w:val="center"/>
              <w:rPr>
                <w:rFonts w:cs="宋体" w:hint="default"/>
                <w:color w:val="auto"/>
              </w:rPr>
            </w:pPr>
          </w:p>
        </w:tc>
        <w:tc>
          <w:tcPr>
            <w:tcW w:w="2099" w:type="dxa"/>
            <w:tcBorders/>
            <w:vAlign w:val="center"/>
          </w:tcPr>
          <w:p>
            <w:pPr>
              <w:pStyle w:val="style0"/>
              <w:jc w:val="center"/>
              <w:rPr>
                <w:rFonts w:cs="宋体" w:hint="default"/>
                <w:color w:val="auto"/>
              </w:rPr>
            </w:pPr>
          </w:p>
        </w:tc>
      </w:tr>
      <w:tr>
        <w:tblPrEx/>
        <w:trPr>
          <w:trHeight w:val="397" w:hRule="atLeast"/>
        </w:trPr>
        <w:tc>
          <w:tcPr>
            <w:tcW w:w="3170" w:type="dxa"/>
            <w:tcBorders/>
            <w:vAlign w:val="center"/>
          </w:tcPr>
          <w:p>
            <w:pPr>
              <w:pStyle w:val="style0"/>
              <w:jc w:val="left"/>
              <w:rPr>
                <w:rFonts w:cs="宋体" w:hint="default"/>
                <w:color w:val="auto"/>
              </w:rPr>
            </w:pPr>
            <w:r>
              <w:rPr>
                <w:rFonts w:cs="宋体"/>
                <w:color w:val="auto"/>
              </w:rPr>
              <w:t>3. 其他人员</w:t>
            </w:r>
          </w:p>
        </w:tc>
        <w:tc>
          <w:tcPr>
            <w:tcW w:w="1998" w:type="dxa"/>
            <w:tcBorders/>
            <w:vAlign w:val="center"/>
          </w:tcPr>
          <w:p>
            <w:pPr>
              <w:pStyle w:val="style0"/>
              <w:jc w:val="center"/>
              <w:rPr>
                <w:rFonts w:cs="宋体" w:hint="default"/>
                <w:color w:val="auto"/>
              </w:rPr>
            </w:pPr>
          </w:p>
        </w:tc>
        <w:tc>
          <w:tcPr>
            <w:tcW w:w="2404" w:type="dxa"/>
            <w:tcBorders/>
            <w:vAlign w:val="center"/>
          </w:tcPr>
          <w:p>
            <w:pPr>
              <w:pStyle w:val="style0"/>
              <w:jc w:val="center"/>
              <w:rPr>
                <w:rFonts w:cs="宋体" w:hint="default"/>
                <w:color w:val="auto"/>
              </w:rPr>
            </w:pPr>
          </w:p>
        </w:tc>
        <w:tc>
          <w:tcPr>
            <w:tcW w:w="2099" w:type="dxa"/>
            <w:tcBorders/>
            <w:vAlign w:val="center"/>
          </w:tcPr>
          <w:p>
            <w:pPr>
              <w:pStyle w:val="style0"/>
              <w:jc w:val="center"/>
              <w:rPr>
                <w:rFonts w:cs="宋体" w:hint="default"/>
                <w:color w:val="auto"/>
              </w:rPr>
            </w:pPr>
          </w:p>
        </w:tc>
      </w:tr>
      <w:tr>
        <w:tblPrEx/>
        <w:trPr>
          <w:trHeight w:val="397" w:hRule="atLeast"/>
        </w:trPr>
        <w:tc>
          <w:tcPr>
            <w:tcW w:w="3170" w:type="dxa"/>
            <w:tcBorders/>
            <w:vAlign w:val="center"/>
          </w:tcPr>
          <w:p>
            <w:pPr>
              <w:pStyle w:val="style0"/>
              <w:jc w:val="left"/>
              <w:rPr>
                <w:rFonts w:cs="宋体" w:hint="default"/>
                <w:color w:val="auto"/>
              </w:rPr>
            </w:pPr>
          </w:p>
        </w:tc>
        <w:tc>
          <w:tcPr>
            <w:tcW w:w="1998" w:type="dxa"/>
            <w:tcBorders/>
            <w:vAlign w:val="center"/>
          </w:tcPr>
          <w:p>
            <w:pPr>
              <w:pStyle w:val="style0"/>
              <w:jc w:val="center"/>
              <w:rPr>
                <w:rFonts w:cs="宋体" w:hint="default"/>
                <w:color w:val="auto"/>
              </w:rPr>
            </w:pPr>
          </w:p>
        </w:tc>
        <w:tc>
          <w:tcPr>
            <w:tcW w:w="2404" w:type="dxa"/>
            <w:tcBorders/>
            <w:vAlign w:val="center"/>
          </w:tcPr>
          <w:p>
            <w:pPr>
              <w:pStyle w:val="style0"/>
              <w:jc w:val="center"/>
              <w:rPr>
                <w:rFonts w:cs="宋体" w:hint="default"/>
                <w:color w:val="auto"/>
              </w:rPr>
            </w:pPr>
          </w:p>
        </w:tc>
        <w:tc>
          <w:tcPr>
            <w:tcW w:w="2099" w:type="dxa"/>
            <w:tcBorders/>
            <w:vAlign w:val="center"/>
          </w:tcPr>
          <w:p>
            <w:pPr>
              <w:pStyle w:val="style0"/>
              <w:jc w:val="center"/>
              <w:rPr>
                <w:rFonts w:cs="宋体" w:hint="default"/>
                <w:color w:val="auto"/>
              </w:rPr>
            </w:pPr>
          </w:p>
        </w:tc>
      </w:tr>
    </w:tbl>
    <w:p>
      <w:pPr>
        <w:pStyle w:val="style0"/>
        <w:spacing w:before="312" w:beforeLines="100" w:lineRule="auto" w:line="360"/>
        <w:rPr>
          <w:rFonts w:cs="宋体" w:hint="default"/>
          <w:b/>
          <w:color w:val="auto"/>
          <w:kern w:val="0"/>
        </w:rPr>
      </w:pPr>
      <w:r>
        <w:rPr>
          <w:rFonts w:cs="宋体"/>
          <w:b/>
          <w:color w:val="auto"/>
          <w:kern w:val="0"/>
        </w:rPr>
        <w:t>B-2  委托人提供的房屋</w:t>
      </w:r>
    </w:p>
    <w:tbl>
      <w:tblPr>
        <w:tblStyle w:val="style10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2778"/>
        <w:gridCol w:w="2415"/>
        <w:gridCol w:w="2415"/>
        <w:gridCol w:w="2108"/>
      </w:tblGrid>
      <w:tr>
        <w:trPr>
          <w:trHeight w:val="409" w:hRule="atLeast"/>
        </w:trPr>
        <w:tc>
          <w:tcPr>
            <w:tcW w:w="2778" w:type="dxa"/>
            <w:tcBorders/>
            <w:vAlign w:val="center"/>
          </w:tcPr>
          <w:p>
            <w:pPr>
              <w:pStyle w:val="style0"/>
              <w:jc w:val="center"/>
              <w:rPr>
                <w:rFonts w:cs="宋体" w:hint="default"/>
                <w:color w:val="auto"/>
              </w:rPr>
            </w:pPr>
            <w:r>
              <w:rPr>
                <w:rFonts w:cs="宋体"/>
                <w:color w:val="auto"/>
              </w:rPr>
              <w:t>名称</w:t>
            </w:r>
          </w:p>
        </w:tc>
        <w:tc>
          <w:tcPr>
            <w:tcW w:w="2415" w:type="dxa"/>
            <w:tcBorders/>
            <w:vAlign w:val="center"/>
          </w:tcPr>
          <w:p>
            <w:pPr>
              <w:pStyle w:val="style0"/>
              <w:jc w:val="center"/>
              <w:rPr>
                <w:rFonts w:cs="宋体" w:hint="default"/>
                <w:color w:val="auto"/>
              </w:rPr>
            </w:pPr>
            <w:r>
              <w:rPr>
                <w:rFonts w:cs="宋体"/>
                <w:color w:val="auto"/>
              </w:rPr>
              <w:t>数量</w:t>
            </w:r>
          </w:p>
        </w:tc>
        <w:tc>
          <w:tcPr>
            <w:tcW w:w="2415" w:type="dxa"/>
            <w:tcBorders/>
            <w:vAlign w:val="center"/>
          </w:tcPr>
          <w:p>
            <w:pPr>
              <w:pStyle w:val="style0"/>
              <w:jc w:val="center"/>
              <w:rPr>
                <w:rFonts w:cs="宋体" w:hint="default"/>
                <w:color w:val="auto"/>
              </w:rPr>
            </w:pPr>
            <w:r>
              <w:rPr>
                <w:rFonts w:cs="宋体"/>
                <w:color w:val="auto"/>
              </w:rPr>
              <w:t>面积</w:t>
            </w:r>
          </w:p>
        </w:tc>
        <w:tc>
          <w:tcPr>
            <w:tcW w:w="2108" w:type="dxa"/>
            <w:tcBorders/>
            <w:vAlign w:val="center"/>
          </w:tcPr>
          <w:p>
            <w:pPr>
              <w:pStyle w:val="style0"/>
              <w:jc w:val="center"/>
              <w:rPr>
                <w:rFonts w:cs="宋体" w:hint="default"/>
                <w:color w:val="auto"/>
              </w:rPr>
            </w:pPr>
            <w:r>
              <w:rPr>
                <w:rFonts w:cs="宋体"/>
                <w:color w:val="auto"/>
              </w:rPr>
              <w:t>提供时间</w:t>
            </w:r>
          </w:p>
        </w:tc>
      </w:tr>
      <w:tr>
        <w:tblPrEx/>
        <w:trPr>
          <w:trHeight w:val="409" w:hRule="atLeast"/>
        </w:trPr>
        <w:tc>
          <w:tcPr>
            <w:tcW w:w="2778" w:type="dxa"/>
            <w:tcBorders/>
            <w:vAlign w:val="center"/>
          </w:tcPr>
          <w:p>
            <w:pPr>
              <w:pStyle w:val="style0"/>
              <w:jc w:val="center"/>
              <w:rPr>
                <w:rFonts w:cs="宋体" w:hint="default"/>
                <w:color w:val="auto"/>
              </w:rPr>
            </w:pPr>
            <w:r>
              <w:rPr>
                <w:rFonts w:cs="宋体"/>
                <w:color w:val="auto"/>
              </w:rPr>
              <w:t>1. 办公用房</w:t>
            </w:r>
          </w:p>
        </w:tc>
        <w:tc>
          <w:tcPr>
            <w:tcW w:w="2415" w:type="dxa"/>
            <w:tcBorders/>
            <w:vAlign w:val="center"/>
          </w:tcPr>
          <w:p>
            <w:pPr>
              <w:pStyle w:val="style0"/>
              <w:ind w:firstLine="240" w:firstLineChars="100"/>
              <w:jc w:val="center"/>
              <w:rPr>
                <w:rFonts w:cs="宋体" w:hint="default"/>
                <w:color w:val="auto"/>
              </w:rPr>
            </w:pPr>
          </w:p>
        </w:tc>
        <w:tc>
          <w:tcPr>
            <w:tcW w:w="2415" w:type="dxa"/>
            <w:tcBorders/>
            <w:vAlign w:val="center"/>
          </w:tcPr>
          <w:p>
            <w:pPr>
              <w:pStyle w:val="style0"/>
              <w:ind w:firstLine="240" w:firstLineChars="100"/>
              <w:jc w:val="center"/>
              <w:rPr>
                <w:rFonts w:cs="宋体" w:hint="default"/>
                <w:color w:val="auto"/>
              </w:rPr>
            </w:pPr>
          </w:p>
        </w:tc>
        <w:tc>
          <w:tcPr>
            <w:tcW w:w="2108" w:type="dxa"/>
            <w:tcBorders/>
            <w:vAlign w:val="center"/>
          </w:tcPr>
          <w:p>
            <w:pPr>
              <w:pStyle w:val="style0"/>
              <w:jc w:val="center"/>
              <w:rPr>
                <w:rFonts w:cs="宋体" w:hint="default"/>
                <w:color w:val="auto"/>
              </w:rPr>
            </w:pPr>
          </w:p>
        </w:tc>
      </w:tr>
      <w:tr>
        <w:tblPrEx/>
        <w:trPr>
          <w:trHeight w:val="409" w:hRule="atLeast"/>
        </w:trPr>
        <w:tc>
          <w:tcPr>
            <w:tcW w:w="2778" w:type="dxa"/>
            <w:tcBorders/>
            <w:vAlign w:val="center"/>
          </w:tcPr>
          <w:p>
            <w:pPr>
              <w:pStyle w:val="style0"/>
              <w:jc w:val="center"/>
              <w:rPr>
                <w:rFonts w:cs="宋体" w:hint="default"/>
                <w:color w:val="auto"/>
              </w:rPr>
            </w:pPr>
            <w:r>
              <w:rPr>
                <w:rFonts w:cs="宋体"/>
                <w:color w:val="auto"/>
              </w:rPr>
              <w:t>2. 生活用房</w:t>
            </w:r>
          </w:p>
        </w:tc>
        <w:tc>
          <w:tcPr>
            <w:tcW w:w="2415" w:type="dxa"/>
            <w:tcBorders/>
            <w:vAlign w:val="center"/>
          </w:tcPr>
          <w:p>
            <w:pPr>
              <w:pStyle w:val="style0"/>
              <w:jc w:val="center"/>
              <w:rPr>
                <w:rFonts w:cs="宋体" w:hint="default"/>
                <w:color w:val="auto"/>
              </w:rPr>
            </w:pPr>
          </w:p>
        </w:tc>
        <w:tc>
          <w:tcPr>
            <w:tcW w:w="2415" w:type="dxa"/>
            <w:tcBorders/>
            <w:vAlign w:val="center"/>
          </w:tcPr>
          <w:p>
            <w:pPr>
              <w:pStyle w:val="style0"/>
              <w:jc w:val="center"/>
              <w:rPr>
                <w:rFonts w:cs="宋体" w:hint="default"/>
                <w:color w:val="auto"/>
              </w:rPr>
            </w:pPr>
          </w:p>
        </w:tc>
        <w:tc>
          <w:tcPr>
            <w:tcW w:w="2108" w:type="dxa"/>
            <w:tcBorders/>
            <w:vAlign w:val="center"/>
          </w:tcPr>
          <w:p>
            <w:pPr>
              <w:pStyle w:val="style0"/>
              <w:jc w:val="center"/>
              <w:rPr>
                <w:rFonts w:cs="宋体" w:hint="default"/>
                <w:color w:val="auto"/>
              </w:rPr>
            </w:pPr>
          </w:p>
        </w:tc>
      </w:tr>
      <w:tr>
        <w:tblPrEx/>
        <w:trPr>
          <w:trHeight w:val="409" w:hRule="atLeast"/>
        </w:trPr>
        <w:tc>
          <w:tcPr>
            <w:tcW w:w="2778" w:type="dxa"/>
            <w:tcBorders/>
            <w:vAlign w:val="center"/>
          </w:tcPr>
          <w:p>
            <w:pPr>
              <w:pStyle w:val="style0"/>
              <w:jc w:val="center"/>
              <w:rPr>
                <w:rFonts w:cs="宋体" w:hint="default"/>
                <w:dstrike/>
                <w:color w:val="auto"/>
              </w:rPr>
            </w:pPr>
            <w:r>
              <w:rPr>
                <w:rFonts w:cs="宋体"/>
                <w:color w:val="auto"/>
              </w:rPr>
              <w:t>3. 试验用房</w:t>
            </w:r>
          </w:p>
        </w:tc>
        <w:tc>
          <w:tcPr>
            <w:tcW w:w="2415" w:type="dxa"/>
            <w:tcBorders/>
            <w:vAlign w:val="center"/>
          </w:tcPr>
          <w:p>
            <w:pPr>
              <w:pStyle w:val="style0"/>
              <w:jc w:val="center"/>
              <w:rPr>
                <w:rFonts w:cs="宋体" w:hint="default"/>
                <w:color w:val="auto"/>
              </w:rPr>
            </w:pPr>
          </w:p>
        </w:tc>
        <w:tc>
          <w:tcPr>
            <w:tcW w:w="2415" w:type="dxa"/>
            <w:tcBorders/>
            <w:vAlign w:val="center"/>
          </w:tcPr>
          <w:p>
            <w:pPr>
              <w:pStyle w:val="style0"/>
              <w:jc w:val="center"/>
              <w:rPr>
                <w:rFonts w:cs="宋体" w:hint="default"/>
                <w:color w:val="auto"/>
              </w:rPr>
            </w:pPr>
          </w:p>
        </w:tc>
        <w:tc>
          <w:tcPr>
            <w:tcW w:w="2108" w:type="dxa"/>
            <w:tcBorders/>
            <w:vAlign w:val="center"/>
          </w:tcPr>
          <w:p>
            <w:pPr>
              <w:pStyle w:val="style0"/>
              <w:jc w:val="center"/>
              <w:rPr>
                <w:rFonts w:cs="宋体" w:hint="default"/>
                <w:color w:val="auto"/>
              </w:rPr>
            </w:pPr>
          </w:p>
        </w:tc>
      </w:tr>
      <w:tr>
        <w:tblPrEx/>
        <w:trPr>
          <w:trHeight w:val="409" w:hRule="atLeast"/>
        </w:trPr>
        <w:tc>
          <w:tcPr>
            <w:tcW w:w="2778" w:type="dxa"/>
            <w:tcBorders/>
            <w:vAlign w:val="center"/>
          </w:tcPr>
          <w:p>
            <w:pPr>
              <w:pStyle w:val="style0"/>
              <w:jc w:val="center"/>
              <w:rPr>
                <w:rFonts w:cs="宋体" w:hint="default"/>
                <w:color w:val="auto"/>
              </w:rPr>
            </w:pPr>
            <w:r>
              <w:rPr>
                <w:rFonts w:cs="宋体"/>
                <w:color w:val="auto"/>
              </w:rPr>
              <w:t>4. 样品用房</w:t>
            </w:r>
          </w:p>
        </w:tc>
        <w:tc>
          <w:tcPr>
            <w:tcW w:w="2415" w:type="dxa"/>
            <w:tcBorders/>
            <w:vAlign w:val="center"/>
          </w:tcPr>
          <w:p>
            <w:pPr>
              <w:pStyle w:val="style0"/>
              <w:jc w:val="center"/>
              <w:rPr>
                <w:rFonts w:cs="宋体" w:hint="default"/>
                <w:color w:val="auto"/>
              </w:rPr>
            </w:pPr>
          </w:p>
        </w:tc>
        <w:tc>
          <w:tcPr>
            <w:tcW w:w="2415" w:type="dxa"/>
            <w:tcBorders/>
            <w:vAlign w:val="center"/>
          </w:tcPr>
          <w:p>
            <w:pPr>
              <w:pStyle w:val="style0"/>
              <w:jc w:val="center"/>
              <w:rPr>
                <w:rFonts w:cs="宋体" w:hint="default"/>
                <w:color w:val="auto"/>
              </w:rPr>
            </w:pPr>
          </w:p>
        </w:tc>
        <w:tc>
          <w:tcPr>
            <w:tcW w:w="2108" w:type="dxa"/>
            <w:tcBorders/>
            <w:vAlign w:val="center"/>
          </w:tcPr>
          <w:p>
            <w:pPr>
              <w:pStyle w:val="style0"/>
              <w:jc w:val="center"/>
              <w:rPr>
                <w:rFonts w:cs="宋体" w:hint="default"/>
                <w:color w:val="auto"/>
              </w:rPr>
            </w:pPr>
          </w:p>
        </w:tc>
      </w:tr>
      <w:tr>
        <w:tblPrEx/>
        <w:trPr>
          <w:trHeight w:val="409" w:hRule="atLeast"/>
        </w:trPr>
        <w:tc>
          <w:tcPr>
            <w:tcW w:w="2778" w:type="dxa"/>
            <w:tcBorders/>
            <w:vAlign w:val="center"/>
          </w:tcPr>
          <w:p>
            <w:pPr>
              <w:pStyle w:val="style0"/>
              <w:jc w:val="center"/>
              <w:rPr>
                <w:rFonts w:cs="宋体" w:hint="default"/>
                <w:color w:val="auto"/>
              </w:rPr>
            </w:pPr>
          </w:p>
        </w:tc>
        <w:tc>
          <w:tcPr>
            <w:tcW w:w="2415" w:type="dxa"/>
            <w:tcBorders/>
            <w:vAlign w:val="center"/>
          </w:tcPr>
          <w:p>
            <w:pPr>
              <w:pStyle w:val="style0"/>
              <w:jc w:val="center"/>
              <w:rPr>
                <w:rFonts w:cs="宋体" w:hint="default"/>
                <w:color w:val="auto"/>
              </w:rPr>
            </w:pPr>
          </w:p>
        </w:tc>
        <w:tc>
          <w:tcPr>
            <w:tcW w:w="2415" w:type="dxa"/>
            <w:tcBorders/>
            <w:vAlign w:val="center"/>
          </w:tcPr>
          <w:p>
            <w:pPr>
              <w:pStyle w:val="style0"/>
              <w:jc w:val="center"/>
              <w:rPr>
                <w:rFonts w:cs="宋体" w:hint="default"/>
                <w:color w:val="auto"/>
              </w:rPr>
            </w:pPr>
          </w:p>
        </w:tc>
        <w:tc>
          <w:tcPr>
            <w:tcW w:w="2108" w:type="dxa"/>
            <w:tcBorders/>
            <w:vAlign w:val="center"/>
          </w:tcPr>
          <w:p>
            <w:pPr>
              <w:pStyle w:val="style0"/>
              <w:jc w:val="center"/>
              <w:rPr>
                <w:rFonts w:cs="宋体" w:hint="default"/>
                <w:color w:val="auto"/>
              </w:rPr>
            </w:pPr>
          </w:p>
        </w:tc>
      </w:tr>
      <w:tr>
        <w:tblPrEx/>
        <w:trPr>
          <w:trHeight w:val="409" w:hRule="atLeast"/>
        </w:trPr>
        <w:tc>
          <w:tcPr>
            <w:tcW w:w="2778" w:type="dxa"/>
            <w:tcBorders/>
            <w:vAlign w:val="center"/>
          </w:tcPr>
          <w:p>
            <w:pPr>
              <w:pStyle w:val="style0"/>
              <w:jc w:val="center"/>
              <w:rPr>
                <w:rFonts w:cs="宋体" w:hint="default"/>
                <w:color w:val="auto"/>
              </w:rPr>
            </w:pPr>
            <w:r>
              <w:rPr>
                <w:rFonts w:cs="宋体"/>
                <w:color w:val="auto"/>
              </w:rPr>
              <w:t>用餐及其他生活条件</w:t>
            </w:r>
          </w:p>
        </w:tc>
        <w:tc>
          <w:tcPr>
            <w:tcW w:w="6938" w:type="dxa"/>
            <w:gridSpan w:val="3"/>
            <w:tcBorders/>
            <w:vAlign w:val="center"/>
          </w:tcPr>
          <w:p>
            <w:pPr>
              <w:pStyle w:val="style0"/>
              <w:jc w:val="center"/>
              <w:rPr>
                <w:rFonts w:cs="宋体" w:hint="default"/>
                <w:color w:val="auto"/>
              </w:rPr>
            </w:pPr>
          </w:p>
        </w:tc>
      </w:tr>
    </w:tbl>
    <w:p>
      <w:pPr>
        <w:pStyle w:val="style0"/>
        <w:spacing w:before="312" w:beforeLines="100" w:lineRule="auto" w:line="360"/>
        <w:rPr>
          <w:rFonts w:cs="宋体" w:hint="default"/>
          <w:b/>
          <w:color w:val="auto"/>
          <w:kern w:val="0"/>
        </w:rPr>
      </w:pPr>
      <w:r>
        <w:rPr>
          <w:rFonts w:cs="宋体"/>
          <w:b/>
          <w:color w:val="auto"/>
          <w:kern w:val="0"/>
        </w:rPr>
        <w:t>B-3  委托人提供的资料</w:t>
      </w:r>
    </w:p>
    <w:tbl>
      <w:tblPr>
        <w:tblStyle w:val="style10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368"/>
        <w:gridCol w:w="1475"/>
        <w:gridCol w:w="2423"/>
        <w:gridCol w:w="2348"/>
      </w:tblGrid>
      <w:tr>
        <w:trPr>
          <w:trHeight w:val="397" w:hRule="atLeast"/>
        </w:trPr>
        <w:tc>
          <w:tcPr>
            <w:tcW w:w="3368" w:type="dxa"/>
            <w:tcBorders/>
            <w:vAlign w:val="center"/>
          </w:tcPr>
          <w:p>
            <w:pPr>
              <w:pStyle w:val="style0"/>
              <w:jc w:val="center"/>
              <w:rPr>
                <w:rFonts w:cs="宋体" w:hint="default"/>
                <w:color w:val="auto"/>
                <w:kern w:val="0"/>
              </w:rPr>
            </w:pPr>
            <w:r>
              <w:rPr>
                <w:rFonts w:cs="宋体"/>
                <w:color w:val="auto"/>
                <w:kern w:val="0"/>
              </w:rPr>
              <w:t>名称</w:t>
            </w:r>
          </w:p>
        </w:tc>
        <w:tc>
          <w:tcPr>
            <w:tcW w:w="1475" w:type="dxa"/>
            <w:tcBorders/>
            <w:vAlign w:val="center"/>
          </w:tcPr>
          <w:p>
            <w:pPr>
              <w:pStyle w:val="style0"/>
              <w:jc w:val="center"/>
              <w:rPr>
                <w:rFonts w:cs="宋体" w:hint="default"/>
                <w:color w:val="auto"/>
                <w:kern w:val="0"/>
              </w:rPr>
            </w:pPr>
            <w:r>
              <w:rPr>
                <w:rFonts w:cs="宋体"/>
                <w:color w:val="auto"/>
                <w:kern w:val="0"/>
              </w:rPr>
              <w:t>份数</w:t>
            </w:r>
          </w:p>
        </w:tc>
        <w:tc>
          <w:tcPr>
            <w:tcW w:w="2423" w:type="dxa"/>
            <w:tcBorders/>
            <w:vAlign w:val="center"/>
          </w:tcPr>
          <w:p>
            <w:pPr>
              <w:pStyle w:val="style0"/>
              <w:jc w:val="center"/>
              <w:rPr>
                <w:rFonts w:cs="宋体" w:hint="default"/>
                <w:color w:val="auto"/>
                <w:kern w:val="0"/>
              </w:rPr>
            </w:pPr>
            <w:r>
              <w:rPr>
                <w:rFonts w:cs="宋体"/>
                <w:color w:val="auto"/>
                <w:kern w:val="0"/>
              </w:rPr>
              <w:t>提供时间</w:t>
            </w:r>
          </w:p>
        </w:tc>
        <w:tc>
          <w:tcPr>
            <w:tcW w:w="2348" w:type="dxa"/>
            <w:tcBorders/>
            <w:vAlign w:val="center"/>
          </w:tcPr>
          <w:p>
            <w:pPr>
              <w:pStyle w:val="style0"/>
              <w:jc w:val="center"/>
              <w:rPr>
                <w:rFonts w:cs="宋体" w:hint="default"/>
                <w:color w:val="auto"/>
                <w:kern w:val="0"/>
              </w:rPr>
            </w:pPr>
            <w:r>
              <w:rPr>
                <w:rFonts w:cs="宋体"/>
                <w:color w:val="auto"/>
                <w:kern w:val="0"/>
              </w:rPr>
              <w:t>备注</w:t>
            </w:r>
          </w:p>
        </w:tc>
      </w:tr>
      <w:tr>
        <w:tblPrEx/>
        <w:trPr>
          <w:trHeight w:val="312" w:hRule="atLeast"/>
        </w:trPr>
        <w:tc>
          <w:tcPr>
            <w:tcW w:w="3368" w:type="dxa"/>
            <w:tcBorders/>
            <w:vAlign w:val="center"/>
          </w:tcPr>
          <w:p>
            <w:pPr>
              <w:pStyle w:val="style0"/>
              <w:jc w:val="center"/>
              <w:rPr>
                <w:rFonts w:cs="宋体" w:hint="default"/>
                <w:color w:val="auto"/>
                <w:kern w:val="0"/>
              </w:rPr>
            </w:pPr>
            <w:r>
              <w:rPr>
                <w:rFonts w:cs="宋体"/>
                <w:color w:val="auto"/>
                <w:kern w:val="0"/>
              </w:rPr>
              <w:t>1. 工程立项文件</w:t>
            </w: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r>
        <w:tblPrEx/>
        <w:trPr>
          <w:trHeight w:val="362" w:hRule="atLeast"/>
        </w:trPr>
        <w:tc>
          <w:tcPr>
            <w:tcW w:w="3368" w:type="dxa"/>
            <w:tcBorders/>
            <w:vAlign w:val="center"/>
          </w:tcPr>
          <w:p>
            <w:pPr>
              <w:pStyle w:val="style0"/>
              <w:jc w:val="center"/>
              <w:rPr>
                <w:rFonts w:cs="宋体" w:hint="default"/>
                <w:color w:val="auto"/>
                <w:kern w:val="0"/>
              </w:rPr>
            </w:pPr>
            <w:r>
              <w:rPr>
                <w:rFonts w:cs="宋体"/>
                <w:color w:val="auto"/>
                <w:kern w:val="0"/>
              </w:rPr>
              <w:t>2. 工程勘察文件</w:t>
            </w: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r>
        <w:tblPrEx/>
        <w:trPr>
          <w:trHeight w:val="312" w:hRule="atLeast"/>
        </w:trPr>
        <w:tc>
          <w:tcPr>
            <w:tcW w:w="3368" w:type="dxa"/>
            <w:tcBorders/>
            <w:vAlign w:val="center"/>
          </w:tcPr>
          <w:p>
            <w:pPr>
              <w:pStyle w:val="style0"/>
              <w:jc w:val="center"/>
              <w:rPr>
                <w:rFonts w:cs="宋体" w:hint="default"/>
                <w:color w:val="auto"/>
                <w:kern w:val="0"/>
              </w:rPr>
            </w:pPr>
            <w:r>
              <w:rPr>
                <w:rFonts w:cs="宋体"/>
                <w:color w:val="auto"/>
                <w:kern w:val="0"/>
              </w:rPr>
              <w:t>3. 工程设计及施工图纸</w:t>
            </w: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r>
        <w:tblPrEx/>
        <w:trPr>
          <w:trHeight w:val="397" w:hRule="atLeast"/>
        </w:trPr>
        <w:tc>
          <w:tcPr>
            <w:tcW w:w="3368" w:type="dxa"/>
            <w:tcBorders/>
            <w:vAlign w:val="center"/>
          </w:tcPr>
          <w:p>
            <w:pPr>
              <w:pStyle w:val="style0"/>
              <w:jc w:val="center"/>
              <w:rPr>
                <w:rFonts w:cs="宋体" w:hint="default"/>
                <w:color w:val="auto"/>
                <w:kern w:val="0"/>
              </w:rPr>
            </w:pPr>
            <w:r>
              <w:rPr>
                <w:rFonts w:cs="宋体"/>
                <w:color w:val="auto"/>
                <w:kern w:val="0"/>
              </w:rPr>
              <w:t>4. 工程承包合同及其他相关合同</w:t>
            </w: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r>
        <w:tblPrEx/>
        <w:trPr>
          <w:trHeight w:val="397" w:hRule="atLeast"/>
        </w:trPr>
        <w:tc>
          <w:tcPr>
            <w:tcW w:w="3368" w:type="dxa"/>
            <w:tcBorders/>
            <w:vAlign w:val="center"/>
          </w:tcPr>
          <w:p>
            <w:pPr>
              <w:pStyle w:val="style0"/>
              <w:jc w:val="center"/>
              <w:rPr>
                <w:rFonts w:cs="宋体" w:hint="default"/>
                <w:color w:val="auto"/>
                <w:kern w:val="0"/>
              </w:rPr>
            </w:pPr>
            <w:r>
              <w:rPr>
                <w:rFonts w:cs="宋体"/>
                <w:color w:val="auto"/>
                <w:kern w:val="0"/>
              </w:rPr>
              <w:t>5. 施工许可文件</w:t>
            </w: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r>
        <w:tblPrEx/>
        <w:trPr>
          <w:trHeight w:val="397" w:hRule="atLeast"/>
        </w:trPr>
        <w:tc>
          <w:tcPr>
            <w:tcW w:w="3368" w:type="dxa"/>
            <w:tcBorders/>
            <w:vAlign w:val="center"/>
          </w:tcPr>
          <w:p>
            <w:pPr>
              <w:pStyle w:val="style0"/>
              <w:jc w:val="center"/>
              <w:rPr>
                <w:rFonts w:cs="宋体" w:hint="default"/>
                <w:color w:val="auto"/>
                <w:kern w:val="0"/>
              </w:rPr>
            </w:pPr>
            <w:r>
              <w:rPr>
                <w:rFonts w:cs="宋体"/>
                <w:color w:val="auto"/>
                <w:kern w:val="0"/>
              </w:rPr>
              <w:t>6. 其他文件</w:t>
            </w: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r>
        <w:tblPrEx/>
        <w:trPr>
          <w:trHeight w:val="397" w:hRule="atLeast"/>
        </w:trPr>
        <w:tc>
          <w:tcPr>
            <w:tcW w:w="3368" w:type="dxa"/>
            <w:tcBorders/>
            <w:vAlign w:val="center"/>
          </w:tcPr>
          <w:p>
            <w:pPr>
              <w:pStyle w:val="style0"/>
              <w:jc w:val="center"/>
              <w:rPr>
                <w:rFonts w:cs="宋体" w:hint="default"/>
                <w:color w:val="auto"/>
                <w:kern w:val="0"/>
              </w:rPr>
            </w:pPr>
          </w:p>
        </w:tc>
        <w:tc>
          <w:tcPr>
            <w:tcW w:w="1475" w:type="dxa"/>
            <w:tcBorders/>
            <w:vAlign w:val="center"/>
          </w:tcPr>
          <w:p>
            <w:pPr>
              <w:pStyle w:val="style0"/>
              <w:jc w:val="center"/>
              <w:rPr>
                <w:rFonts w:cs="宋体" w:hint="default"/>
                <w:color w:val="auto"/>
                <w:kern w:val="0"/>
              </w:rPr>
            </w:pPr>
          </w:p>
        </w:tc>
        <w:tc>
          <w:tcPr>
            <w:tcW w:w="2423" w:type="dxa"/>
            <w:tcBorders/>
            <w:vAlign w:val="center"/>
          </w:tcPr>
          <w:p>
            <w:pPr>
              <w:pStyle w:val="style0"/>
              <w:jc w:val="center"/>
              <w:rPr>
                <w:rFonts w:cs="宋体" w:hint="default"/>
                <w:color w:val="auto"/>
                <w:kern w:val="0"/>
              </w:rPr>
            </w:pPr>
          </w:p>
        </w:tc>
        <w:tc>
          <w:tcPr>
            <w:tcW w:w="2348" w:type="dxa"/>
            <w:tcBorders/>
            <w:vAlign w:val="center"/>
          </w:tcPr>
          <w:p>
            <w:pPr>
              <w:pStyle w:val="style0"/>
              <w:jc w:val="center"/>
              <w:rPr>
                <w:rFonts w:cs="宋体" w:hint="default"/>
                <w:color w:val="auto"/>
                <w:kern w:val="0"/>
              </w:rPr>
            </w:pPr>
          </w:p>
        </w:tc>
      </w:tr>
    </w:tbl>
    <w:p>
      <w:pPr>
        <w:pStyle w:val="style0"/>
        <w:spacing w:before="312" w:beforeLines="100" w:lineRule="auto" w:line="360"/>
        <w:rPr>
          <w:rFonts w:cs="宋体" w:hint="default"/>
          <w:b/>
          <w:color w:val="auto"/>
          <w:kern w:val="0"/>
        </w:rPr>
      </w:pPr>
      <w:r>
        <w:rPr>
          <w:rFonts w:cs="宋体"/>
          <w:b/>
          <w:color w:val="auto"/>
          <w:kern w:val="0"/>
        </w:rPr>
        <w:t>B-4 委托人提供的设备</w:t>
      </w:r>
    </w:p>
    <w:tbl>
      <w:tblPr>
        <w:tblStyle w:val="style10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353"/>
        <w:gridCol w:w="1785"/>
        <w:gridCol w:w="2391"/>
        <w:gridCol w:w="2087"/>
      </w:tblGrid>
      <w:tr>
        <w:trPr>
          <w:trHeight w:val="297" w:hRule="atLeast"/>
        </w:trPr>
        <w:tc>
          <w:tcPr>
            <w:tcW w:w="3353" w:type="dxa"/>
            <w:tcBorders/>
            <w:vAlign w:val="center"/>
          </w:tcPr>
          <w:p>
            <w:pPr>
              <w:pStyle w:val="style0"/>
              <w:jc w:val="center"/>
              <w:rPr>
                <w:rFonts w:cs="宋体" w:hint="default"/>
                <w:color w:val="auto"/>
              </w:rPr>
            </w:pPr>
            <w:r>
              <w:rPr>
                <w:rFonts w:cs="宋体"/>
                <w:color w:val="auto"/>
              </w:rPr>
              <w:t>名称</w:t>
            </w:r>
          </w:p>
        </w:tc>
        <w:tc>
          <w:tcPr>
            <w:tcW w:w="1785" w:type="dxa"/>
            <w:tcBorders/>
            <w:vAlign w:val="center"/>
          </w:tcPr>
          <w:p>
            <w:pPr>
              <w:pStyle w:val="style0"/>
              <w:jc w:val="center"/>
              <w:rPr>
                <w:rFonts w:cs="宋体" w:hint="default"/>
                <w:color w:val="auto"/>
              </w:rPr>
            </w:pPr>
            <w:r>
              <w:rPr>
                <w:rFonts w:cs="宋体"/>
                <w:color w:val="auto"/>
              </w:rPr>
              <w:t>数量</w:t>
            </w:r>
          </w:p>
        </w:tc>
        <w:tc>
          <w:tcPr>
            <w:tcW w:w="2391" w:type="dxa"/>
            <w:tcBorders/>
            <w:vAlign w:val="center"/>
          </w:tcPr>
          <w:p>
            <w:pPr>
              <w:pStyle w:val="style0"/>
              <w:jc w:val="center"/>
              <w:rPr>
                <w:rFonts w:cs="宋体" w:hint="default"/>
                <w:color w:val="auto"/>
              </w:rPr>
            </w:pPr>
            <w:r>
              <w:rPr>
                <w:rFonts w:cs="宋体"/>
                <w:color w:val="auto"/>
              </w:rPr>
              <w:t>型号与规格</w:t>
            </w:r>
          </w:p>
        </w:tc>
        <w:tc>
          <w:tcPr>
            <w:tcW w:w="2087" w:type="dxa"/>
            <w:tcBorders/>
            <w:vAlign w:val="center"/>
          </w:tcPr>
          <w:p>
            <w:pPr>
              <w:pStyle w:val="style0"/>
              <w:jc w:val="center"/>
              <w:rPr>
                <w:rFonts w:cs="宋体" w:hint="default"/>
                <w:color w:val="auto"/>
              </w:rPr>
            </w:pPr>
            <w:r>
              <w:rPr>
                <w:rFonts w:cs="宋体"/>
                <w:color w:val="auto"/>
              </w:rPr>
              <w:t>提供时间</w:t>
            </w:r>
          </w:p>
        </w:tc>
      </w:tr>
      <w:tr>
        <w:tblPrEx/>
        <w:trPr>
          <w:trHeight w:val="327" w:hRule="atLeast"/>
        </w:trPr>
        <w:tc>
          <w:tcPr>
            <w:tcW w:w="3353" w:type="dxa"/>
            <w:tcBorders/>
            <w:vAlign w:val="center"/>
          </w:tcPr>
          <w:p>
            <w:pPr>
              <w:pStyle w:val="style0"/>
              <w:jc w:val="center"/>
              <w:rPr>
                <w:rFonts w:cs="宋体" w:hint="default"/>
                <w:color w:val="auto"/>
              </w:rPr>
            </w:pPr>
            <w:r>
              <w:rPr>
                <w:rFonts w:cs="宋体"/>
                <w:color w:val="auto"/>
              </w:rPr>
              <w:t>1. 通讯设备</w:t>
            </w:r>
          </w:p>
        </w:tc>
        <w:tc>
          <w:tcPr>
            <w:tcW w:w="1785" w:type="dxa"/>
            <w:tcBorders/>
            <w:vAlign w:val="center"/>
          </w:tcPr>
          <w:p>
            <w:pPr>
              <w:pStyle w:val="style0"/>
              <w:jc w:val="center"/>
              <w:rPr>
                <w:rFonts w:cs="宋体" w:hint="default"/>
                <w:color w:val="auto"/>
              </w:rPr>
            </w:pPr>
          </w:p>
        </w:tc>
        <w:tc>
          <w:tcPr>
            <w:tcW w:w="2391" w:type="dxa"/>
            <w:tcBorders/>
            <w:vAlign w:val="center"/>
          </w:tcPr>
          <w:p>
            <w:pPr>
              <w:pStyle w:val="style0"/>
              <w:jc w:val="center"/>
              <w:rPr>
                <w:rFonts w:cs="宋体" w:hint="default"/>
                <w:color w:val="auto"/>
              </w:rPr>
            </w:pPr>
          </w:p>
        </w:tc>
        <w:tc>
          <w:tcPr>
            <w:tcW w:w="2087" w:type="dxa"/>
            <w:tcBorders/>
            <w:vAlign w:val="center"/>
          </w:tcPr>
          <w:p>
            <w:pPr>
              <w:pStyle w:val="style0"/>
              <w:jc w:val="center"/>
              <w:rPr>
                <w:rFonts w:cs="宋体" w:hint="default"/>
                <w:color w:val="auto"/>
              </w:rPr>
            </w:pPr>
          </w:p>
        </w:tc>
      </w:tr>
      <w:tr>
        <w:tblPrEx/>
        <w:trPr>
          <w:trHeight w:val="297" w:hRule="atLeast"/>
        </w:trPr>
        <w:tc>
          <w:tcPr>
            <w:tcW w:w="3353" w:type="dxa"/>
            <w:tcBorders/>
            <w:vAlign w:val="center"/>
          </w:tcPr>
          <w:p>
            <w:pPr>
              <w:pStyle w:val="style0"/>
              <w:jc w:val="center"/>
              <w:rPr>
                <w:rFonts w:cs="宋体" w:hint="default"/>
                <w:color w:val="auto"/>
              </w:rPr>
            </w:pPr>
            <w:r>
              <w:rPr>
                <w:rFonts w:cs="宋体"/>
                <w:color w:val="auto"/>
              </w:rPr>
              <w:t>2. 办公设备</w:t>
            </w:r>
          </w:p>
        </w:tc>
        <w:tc>
          <w:tcPr>
            <w:tcW w:w="1785" w:type="dxa"/>
            <w:tcBorders/>
            <w:vAlign w:val="center"/>
          </w:tcPr>
          <w:p>
            <w:pPr>
              <w:pStyle w:val="style0"/>
              <w:jc w:val="center"/>
              <w:rPr>
                <w:rFonts w:cs="宋体" w:hint="default"/>
                <w:color w:val="auto"/>
              </w:rPr>
            </w:pPr>
          </w:p>
        </w:tc>
        <w:tc>
          <w:tcPr>
            <w:tcW w:w="2391" w:type="dxa"/>
            <w:tcBorders/>
            <w:vAlign w:val="center"/>
          </w:tcPr>
          <w:p>
            <w:pPr>
              <w:pStyle w:val="style0"/>
              <w:jc w:val="center"/>
              <w:rPr>
                <w:rFonts w:cs="宋体" w:hint="default"/>
                <w:color w:val="auto"/>
              </w:rPr>
            </w:pPr>
          </w:p>
        </w:tc>
        <w:tc>
          <w:tcPr>
            <w:tcW w:w="2087" w:type="dxa"/>
            <w:tcBorders/>
            <w:vAlign w:val="center"/>
          </w:tcPr>
          <w:p>
            <w:pPr>
              <w:pStyle w:val="style0"/>
              <w:jc w:val="center"/>
              <w:rPr>
                <w:rFonts w:cs="宋体" w:hint="default"/>
                <w:color w:val="auto"/>
              </w:rPr>
            </w:pPr>
          </w:p>
        </w:tc>
      </w:tr>
      <w:tr>
        <w:tblPrEx/>
        <w:trPr>
          <w:trHeight w:val="297" w:hRule="atLeast"/>
        </w:trPr>
        <w:tc>
          <w:tcPr>
            <w:tcW w:w="3353" w:type="dxa"/>
            <w:tcBorders/>
            <w:vAlign w:val="center"/>
          </w:tcPr>
          <w:p>
            <w:pPr>
              <w:pStyle w:val="style0"/>
              <w:jc w:val="center"/>
              <w:rPr>
                <w:rFonts w:cs="宋体" w:hint="default"/>
                <w:color w:val="auto"/>
              </w:rPr>
            </w:pPr>
            <w:r>
              <w:rPr>
                <w:rFonts w:cs="宋体"/>
                <w:color w:val="auto"/>
              </w:rPr>
              <w:t>3. 交通工具</w:t>
            </w:r>
          </w:p>
        </w:tc>
        <w:tc>
          <w:tcPr>
            <w:tcW w:w="1785" w:type="dxa"/>
            <w:tcBorders/>
            <w:vAlign w:val="center"/>
          </w:tcPr>
          <w:p>
            <w:pPr>
              <w:pStyle w:val="style0"/>
              <w:jc w:val="center"/>
              <w:rPr>
                <w:rFonts w:cs="宋体" w:hint="default"/>
                <w:color w:val="auto"/>
              </w:rPr>
            </w:pPr>
          </w:p>
        </w:tc>
        <w:tc>
          <w:tcPr>
            <w:tcW w:w="2391" w:type="dxa"/>
            <w:tcBorders/>
            <w:vAlign w:val="center"/>
          </w:tcPr>
          <w:p>
            <w:pPr>
              <w:pStyle w:val="style0"/>
              <w:jc w:val="center"/>
              <w:rPr>
                <w:rFonts w:cs="宋体" w:hint="default"/>
                <w:color w:val="auto"/>
              </w:rPr>
            </w:pPr>
          </w:p>
        </w:tc>
        <w:tc>
          <w:tcPr>
            <w:tcW w:w="2087" w:type="dxa"/>
            <w:tcBorders/>
            <w:vAlign w:val="center"/>
          </w:tcPr>
          <w:p>
            <w:pPr>
              <w:pStyle w:val="style0"/>
              <w:jc w:val="center"/>
              <w:rPr>
                <w:rFonts w:cs="宋体" w:hint="default"/>
                <w:color w:val="auto"/>
              </w:rPr>
            </w:pPr>
          </w:p>
        </w:tc>
      </w:tr>
      <w:tr>
        <w:tblPrEx/>
        <w:trPr>
          <w:trHeight w:val="282" w:hRule="atLeast"/>
        </w:trPr>
        <w:tc>
          <w:tcPr>
            <w:tcW w:w="3353" w:type="dxa"/>
            <w:tcBorders/>
            <w:vAlign w:val="center"/>
          </w:tcPr>
          <w:p>
            <w:pPr>
              <w:pStyle w:val="style0"/>
              <w:jc w:val="center"/>
              <w:rPr>
                <w:rFonts w:cs="宋体" w:hint="default"/>
                <w:color w:val="auto"/>
              </w:rPr>
            </w:pPr>
            <w:r>
              <w:rPr>
                <w:rFonts w:cs="宋体"/>
                <w:color w:val="auto"/>
              </w:rPr>
              <w:t>4. 检测和试验设备</w:t>
            </w:r>
          </w:p>
        </w:tc>
        <w:tc>
          <w:tcPr>
            <w:tcW w:w="1785" w:type="dxa"/>
            <w:tcBorders/>
            <w:vAlign w:val="center"/>
          </w:tcPr>
          <w:p>
            <w:pPr>
              <w:pStyle w:val="style0"/>
              <w:jc w:val="center"/>
              <w:rPr>
                <w:rFonts w:cs="宋体" w:hint="default"/>
                <w:color w:val="auto"/>
              </w:rPr>
            </w:pPr>
          </w:p>
        </w:tc>
        <w:tc>
          <w:tcPr>
            <w:tcW w:w="2391" w:type="dxa"/>
            <w:tcBorders/>
            <w:vAlign w:val="center"/>
          </w:tcPr>
          <w:p>
            <w:pPr>
              <w:pStyle w:val="style0"/>
              <w:jc w:val="center"/>
              <w:rPr>
                <w:rFonts w:cs="宋体" w:hint="default"/>
                <w:color w:val="auto"/>
              </w:rPr>
            </w:pPr>
          </w:p>
        </w:tc>
        <w:tc>
          <w:tcPr>
            <w:tcW w:w="2087" w:type="dxa"/>
            <w:tcBorders/>
            <w:vAlign w:val="center"/>
          </w:tcPr>
          <w:p>
            <w:pPr>
              <w:pStyle w:val="style0"/>
              <w:jc w:val="center"/>
              <w:rPr>
                <w:rFonts w:cs="宋体" w:hint="default"/>
                <w:color w:val="auto"/>
              </w:rPr>
            </w:pPr>
          </w:p>
        </w:tc>
      </w:tr>
      <w:tr>
        <w:tblPrEx/>
        <w:trPr>
          <w:trHeight w:val="397" w:hRule="atLeast"/>
        </w:trPr>
        <w:tc>
          <w:tcPr>
            <w:tcW w:w="3353" w:type="dxa"/>
            <w:tcBorders/>
            <w:vAlign w:val="center"/>
          </w:tcPr>
          <w:p>
            <w:pPr>
              <w:pStyle w:val="style0"/>
              <w:jc w:val="center"/>
              <w:rPr>
                <w:rFonts w:cs="宋体" w:hint="default"/>
                <w:color w:val="auto"/>
              </w:rPr>
            </w:pPr>
          </w:p>
        </w:tc>
        <w:tc>
          <w:tcPr>
            <w:tcW w:w="1785" w:type="dxa"/>
            <w:tcBorders/>
            <w:vAlign w:val="center"/>
          </w:tcPr>
          <w:p>
            <w:pPr>
              <w:pStyle w:val="style0"/>
              <w:jc w:val="center"/>
              <w:rPr>
                <w:rFonts w:cs="宋体" w:hint="default"/>
                <w:color w:val="auto"/>
              </w:rPr>
            </w:pPr>
          </w:p>
        </w:tc>
        <w:tc>
          <w:tcPr>
            <w:tcW w:w="2391" w:type="dxa"/>
            <w:tcBorders/>
            <w:vAlign w:val="center"/>
          </w:tcPr>
          <w:p>
            <w:pPr>
              <w:pStyle w:val="style0"/>
              <w:jc w:val="center"/>
              <w:rPr>
                <w:rFonts w:cs="宋体" w:hint="default"/>
                <w:color w:val="auto"/>
              </w:rPr>
            </w:pPr>
          </w:p>
        </w:tc>
        <w:tc>
          <w:tcPr>
            <w:tcW w:w="2087" w:type="dxa"/>
            <w:tcBorders/>
            <w:vAlign w:val="center"/>
          </w:tcPr>
          <w:p>
            <w:pPr>
              <w:pStyle w:val="style0"/>
              <w:jc w:val="center"/>
              <w:rPr>
                <w:rFonts w:cs="宋体" w:hint="default"/>
                <w:color w:val="auto"/>
              </w:rPr>
            </w:pPr>
          </w:p>
        </w:tc>
      </w:tr>
    </w:tbl>
    <w:p>
      <w:pPr>
        <w:pStyle w:val="style0"/>
        <w:rPr>
          <w:rFonts w:cs="宋体" w:hint="default"/>
          <w:color w:val="auto"/>
        </w:rPr>
      </w:pPr>
      <w:r>
        <w:rPr>
          <w:rFonts w:cs="宋体"/>
          <w:color w:val="auto"/>
        </w:rPr>
        <w:br w:type="page"/>
      </w:r>
    </w:p>
    <w:bookmarkStart w:id="145" w:name="_Toc27550613"/>
    <w:p>
      <w:pPr>
        <w:pStyle w:val="style1"/>
        <w:keepNext w:val="false"/>
        <w:spacing w:before="0" w:after="0"/>
        <w:jc w:val="center"/>
        <w:rPr>
          <w:rFonts w:ascii="宋体" w:cs="宋体" w:hAnsi="宋体" w:hint="default"/>
          <w:b w:val="false"/>
          <w:color w:val="auto"/>
          <w:spacing w:val="-20"/>
          <w:w w:val="80"/>
        </w:rPr>
      </w:pPr>
      <w:r>
        <w:rPr>
          <w:rFonts w:ascii="宋体" w:cs="宋体" w:hAnsi="宋体"/>
          <w:b w:val="false"/>
          <w:bCs w:val="false"/>
          <w:color w:val="auto"/>
        </w:rPr>
        <w:t>第五章  委托人要求</w:t>
      </w:r>
      <w:bookmarkEnd w:id="145"/>
    </w:p>
    <w:p>
      <w:pPr>
        <w:pStyle w:val="style0"/>
        <w:spacing w:lineRule="auto" w:line="360"/>
        <w:jc w:val="left"/>
        <w:rPr>
          <w:rFonts w:cs="宋体" w:hint="default"/>
          <w:color w:val="auto"/>
        </w:rPr>
      </w:pPr>
    </w:p>
    <w:bookmarkStart w:id="146" w:name="_bookmark163"/>
    <w:bookmarkEnd w:id="146"/>
    <w:p>
      <w:pPr>
        <w:pStyle w:val="style0"/>
        <w:spacing w:lineRule="atLeast" w:line="400"/>
        <w:ind w:left="100" w:right="113" w:firstLine="240" w:firstLineChars="100"/>
        <w:rPr>
          <w:rFonts w:cs="宋体" w:hint="default"/>
          <w:color w:val="auto"/>
        </w:rPr>
      </w:pPr>
      <w:r>
        <w:rPr>
          <w:rFonts w:cs="宋体"/>
          <w:color w:val="auto"/>
        </w:rPr>
        <w:t>一、监理要求</w:t>
      </w:r>
    </w:p>
    <w:p>
      <w:pPr>
        <w:pStyle w:val="style66"/>
        <w:spacing w:before="164" w:lineRule="atLeast" w:line="400"/>
        <w:ind w:left="460" w:right="113"/>
        <w:rPr>
          <w:rFonts w:cs="宋体" w:hint="default"/>
          <w:color w:val="auto"/>
        </w:rPr>
      </w:pPr>
      <w:r>
        <w:rPr>
          <w:rFonts w:cs="宋体"/>
          <w:color w:val="auto"/>
        </w:rPr>
        <w:t xml:space="preserve">1. 项目概况 </w:t>
      </w:r>
    </w:p>
    <w:p>
      <w:pPr>
        <w:pStyle w:val="style66"/>
        <w:spacing w:before="164" w:lineRule="atLeast" w:line="400"/>
        <w:ind w:left="460" w:right="113"/>
        <w:rPr>
          <w:rFonts w:cs="宋体" w:hint="default"/>
          <w:color w:val="auto"/>
        </w:rPr>
      </w:pPr>
      <w:r>
        <w:rPr>
          <w:rFonts w:cs="宋体"/>
          <w:color w:val="auto"/>
        </w:rPr>
        <w:t>2.  监理范围及内容</w:t>
      </w:r>
    </w:p>
    <w:p>
      <w:pPr>
        <w:pStyle w:val="style66"/>
        <w:spacing w:before="148" w:lineRule="atLeast" w:line="400"/>
        <w:ind w:left="460" w:right="113"/>
        <w:rPr>
          <w:rFonts w:cs="宋体" w:hint="default"/>
          <w:color w:val="auto"/>
        </w:rPr>
      </w:pPr>
      <w:r>
        <w:rPr>
          <w:rFonts w:cs="宋体"/>
          <w:color w:val="auto"/>
        </w:rPr>
        <w:t>3.</w:t>
      </w:r>
      <w:r>
        <w:rPr>
          <w:rFonts w:cs="宋体"/>
          <w:color w:val="auto"/>
          <w:spacing w:val="50"/>
        </w:rPr>
        <w:t xml:space="preserve"> </w:t>
      </w:r>
      <w:r>
        <w:rPr>
          <w:rFonts w:cs="宋体"/>
          <w:color w:val="auto"/>
        </w:rPr>
        <w:t>其他要求</w:t>
      </w:r>
    </w:p>
    <w:bookmarkStart w:id="147" w:name="_bookmark168"/>
    <w:bookmarkStart w:id="148" w:name="_bookmark164"/>
    <w:bookmarkEnd w:id="147"/>
    <w:bookmarkEnd w:id="148"/>
    <w:p>
      <w:pPr>
        <w:pStyle w:val="style0"/>
        <w:spacing w:lineRule="atLeast" w:line="400"/>
        <w:ind w:left="100" w:right="113" w:firstLine="240" w:firstLineChars="100"/>
        <w:rPr>
          <w:rFonts w:cs="宋体" w:hint="default"/>
          <w:color w:val="auto"/>
        </w:rPr>
      </w:pPr>
      <w:r>
        <w:rPr>
          <w:rFonts w:cs="宋体"/>
          <w:color w:val="auto"/>
        </w:rPr>
        <w:t>二、委托人提供的资料</w:t>
      </w:r>
    </w:p>
    <w:bookmarkStart w:id="149" w:name="_bookmark169"/>
    <w:bookmarkEnd w:id="149"/>
    <w:p>
      <w:pPr>
        <w:pStyle w:val="style0"/>
        <w:spacing w:lineRule="atLeast" w:line="400"/>
        <w:ind w:left="100" w:right="113"/>
        <w:rPr>
          <w:rFonts w:hint="default"/>
          <w:color w:val="auto"/>
        </w:rPr>
      </w:pPr>
    </w:p>
    <w:p>
      <w:pPr>
        <w:pStyle w:val="style0"/>
        <w:spacing w:lineRule="auto" w:line="360"/>
        <w:jc w:val="left"/>
        <w:rPr>
          <w:rFonts w:hint="default"/>
          <w:color w:val="auto"/>
          <w:sz w:val="18"/>
          <w:szCs w:val="18"/>
        </w:rPr>
      </w:pPr>
      <w:r>
        <w:rPr>
          <w:color w:val="auto"/>
          <w:sz w:val="18"/>
          <w:szCs w:val="18"/>
        </w:rPr>
        <w:br w:type="page"/>
      </w: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bookmarkStart w:id="150" w:name="_Toc300678564"/>
    <w:bookmarkStart w:id="151" w:name="_Toc27550614"/>
    <w:p>
      <w:pPr>
        <w:pStyle w:val="style1"/>
        <w:keepNext w:val="false"/>
        <w:spacing w:before="0" w:after="0"/>
        <w:jc w:val="center"/>
        <w:rPr>
          <w:rFonts w:ascii="Times New Roman" w:eastAsia="黑体" w:hAnsi="Times New Roman" w:hint="default"/>
          <w:b w:val="false"/>
          <w:bCs w:val="false"/>
          <w:color w:val="auto"/>
        </w:rPr>
      </w:pPr>
      <w:r>
        <w:rPr>
          <w:rFonts w:ascii="Times New Roman" w:eastAsia="黑体" w:hAnsi="Times New Roman"/>
          <w:b w:val="false"/>
          <w:bCs w:val="false"/>
          <w:color w:val="auto"/>
        </w:rPr>
        <w:t>第六章  响应文件格式</w:t>
      </w:r>
      <w:bookmarkEnd w:id="150"/>
      <w:bookmarkEnd w:id="151"/>
    </w:p>
    <w:p>
      <w:pPr>
        <w:pStyle w:val="style2"/>
        <w:keepNext w:val="false"/>
        <w:keepLines w:val="false"/>
        <w:spacing w:before="0" w:after="0" w:lineRule="auto" w:line="360"/>
        <w:jc w:val="center"/>
        <w:rPr>
          <w:rFonts w:eastAsia="黑体" w:hint="default"/>
          <w:color w:val="auto"/>
          <w:kern w:val="32"/>
        </w:rPr>
      </w:pPr>
      <w:r>
        <w:rPr>
          <w:rFonts w:eastAsia="黑体"/>
          <w:color w:val="auto"/>
          <w:kern w:val="32"/>
        </w:rPr>
        <w:br w:type="page"/>
      </w:r>
      <w:bookmarkStart w:id="152" w:name="_Toc27550615"/>
      <w:r>
        <w:rPr>
          <w:rFonts w:eastAsia="黑体"/>
          <w:color w:val="auto"/>
          <w:kern w:val="32"/>
        </w:rPr>
        <w:t>一、商务响应文件格式</w:t>
      </w:r>
      <w:bookmarkEnd w:id="152"/>
    </w:p>
    <w:p>
      <w:pPr>
        <w:pStyle w:val="style0"/>
        <w:rPr>
          <w:rFonts w:eastAsia="仿宋_GB2312" w:hint="default"/>
          <w:color w:val="auto"/>
        </w:rPr>
      </w:pPr>
    </w:p>
    <w:p>
      <w:pPr>
        <w:pStyle w:val="style0"/>
        <w:jc w:val="left"/>
        <w:rPr>
          <w:rFonts w:hint="default"/>
          <w:color w:val="auto"/>
          <w:sz w:val="18"/>
          <w:szCs w:val="18"/>
        </w:rPr>
      </w:pPr>
    </w:p>
    <w:p>
      <w:pPr>
        <w:pStyle w:val="style0"/>
        <w:jc w:val="left"/>
        <w:rPr>
          <w:rFonts w:eastAsia="黑体" w:hint="default"/>
          <w:color w:val="auto"/>
          <w:kern w:val="0"/>
          <w:sz w:val="28"/>
          <w:szCs w:val="21"/>
        </w:rPr>
      </w:pPr>
    </w:p>
    <w:p>
      <w:pPr>
        <w:pStyle w:val="style0"/>
        <w:rPr>
          <w:rFonts w:eastAsia="黑体" w:hint="default"/>
          <w:color w:val="auto"/>
          <w:kern w:val="0"/>
          <w:sz w:val="28"/>
          <w:szCs w:val="21"/>
        </w:rPr>
      </w:pPr>
    </w:p>
    <w:p>
      <w:pPr>
        <w:pStyle w:val="style0"/>
        <w:jc w:val="center"/>
        <w:rPr>
          <w:rFonts w:eastAsia="黑体" w:hint="default"/>
          <w:color w:val="auto"/>
          <w:kern w:val="0"/>
          <w:sz w:val="28"/>
          <w:szCs w:val="28"/>
        </w:rPr>
      </w:pPr>
      <w:r>
        <w:rPr>
          <w:rFonts w:eastAsia="黑体"/>
          <w:color w:val="auto"/>
          <w:kern w:val="0"/>
          <w:sz w:val="28"/>
          <w:szCs w:val="28"/>
          <w:u w:val="single"/>
        </w:rPr>
        <w:t xml:space="preserve">            </w:t>
      </w:r>
      <w:r>
        <w:rPr>
          <w:rFonts w:eastAsia="黑体"/>
          <w:color w:val="auto"/>
          <w:kern w:val="0"/>
          <w:sz w:val="28"/>
          <w:szCs w:val="28"/>
        </w:rPr>
        <w:t>（项目名称）监理招标</w:t>
      </w:r>
    </w:p>
    <w:p>
      <w:pPr>
        <w:pStyle w:val="style0"/>
        <w:spacing w:before="312"/>
        <w:jc w:val="center"/>
        <w:rPr>
          <w:rFonts w:eastAsia="黑体" w:hint="default"/>
          <w:color w:val="auto"/>
          <w:kern w:val="0"/>
          <w:sz w:val="44"/>
          <w:szCs w:val="44"/>
        </w:rPr>
      </w:pPr>
      <w:r>
        <w:rPr>
          <w:rFonts w:eastAsia="黑体"/>
          <w:color w:val="auto"/>
          <w:kern w:val="0"/>
          <w:sz w:val="44"/>
          <w:szCs w:val="44"/>
        </w:rPr>
        <w:t>商务响应文件</w:t>
      </w:r>
    </w:p>
    <w:p>
      <w:pPr>
        <w:pStyle w:val="style0"/>
        <w:jc w:val="center"/>
        <w:rPr>
          <w:rFonts w:eastAsia="黑体" w:hint="default"/>
          <w:color w:val="auto"/>
          <w:kern w:val="0"/>
          <w:sz w:val="32"/>
          <w:szCs w:val="32"/>
        </w:rPr>
      </w:pPr>
    </w:p>
    <w:p>
      <w:pPr>
        <w:pStyle w:val="style0"/>
        <w:jc w:val="center"/>
        <w:rPr>
          <w:rFonts w:eastAsia="黑体" w:hint="default"/>
          <w:color w:val="auto"/>
          <w:kern w:val="0"/>
          <w:sz w:val="32"/>
          <w:szCs w:val="32"/>
        </w:rPr>
      </w:pPr>
      <w:r>
        <w:rPr>
          <w:rFonts w:eastAsia="黑体"/>
          <w:color w:val="auto"/>
          <w:sz w:val="32"/>
          <w:szCs w:val="32"/>
        </w:rPr>
        <w:t>（招标编号：</w:t>
      </w:r>
      <w:r>
        <w:rPr>
          <w:rFonts w:eastAsia="黑体"/>
          <w:color w:val="auto"/>
          <w:sz w:val="32"/>
          <w:szCs w:val="32"/>
          <w:u w:val="single"/>
        </w:rPr>
        <w:t xml:space="preserve">        </w:t>
      </w:r>
      <w:r>
        <w:rPr>
          <w:rFonts w:eastAsia="黑体"/>
          <w:color w:val="auto"/>
          <w:sz w:val="32"/>
          <w:szCs w:val="32"/>
        </w:rPr>
        <w:t>）</w:t>
      </w: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hint="default"/>
          <w:color w:val="auto"/>
          <w:sz w:val="18"/>
          <w:szCs w:val="18"/>
        </w:rPr>
      </w:pPr>
    </w:p>
    <w:p>
      <w:pPr>
        <w:pStyle w:val="style0"/>
        <w:spacing w:lineRule="auto" w:line="360"/>
        <w:jc w:val="left"/>
        <w:rPr>
          <w:rFonts w:eastAsia="黑体" w:hint="default"/>
          <w:color w:val="auto"/>
          <w:kern w:val="0"/>
          <w:szCs w:val="28"/>
        </w:rPr>
      </w:pPr>
      <w:r>
        <w:rPr>
          <w:rFonts w:eastAsia="黑体"/>
          <w:color w:val="auto"/>
          <w:kern w:val="0"/>
          <w:szCs w:val="28"/>
        </w:rPr>
        <w:t xml:space="preserve">           投标人：</w:t>
      </w:r>
      <w:r>
        <w:rPr>
          <w:rFonts w:eastAsia="黑体"/>
          <w:color w:val="auto"/>
          <w:kern w:val="0"/>
          <w:szCs w:val="28"/>
          <w:u w:val="single"/>
        </w:rPr>
        <w:t xml:space="preserve">                                     </w:t>
      </w:r>
      <w:r>
        <w:rPr>
          <w:rFonts w:eastAsia="黑体"/>
          <w:color w:val="auto"/>
          <w:kern w:val="0"/>
          <w:szCs w:val="28"/>
        </w:rPr>
        <w:t>（盖单位章）</w:t>
      </w:r>
    </w:p>
    <w:p>
      <w:pPr>
        <w:pStyle w:val="style0"/>
        <w:spacing w:lineRule="auto" w:line="360"/>
        <w:jc w:val="center"/>
        <w:rPr>
          <w:rFonts w:eastAsia="黑体" w:hint="default"/>
          <w:color w:val="auto"/>
          <w:kern w:val="0"/>
          <w:szCs w:val="28"/>
        </w:rPr>
      </w:pPr>
      <w:r>
        <w:rPr>
          <w:rFonts w:eastAsia="黑体"/>
          <w:color w:val="auto"/>
          <w:kern w:val="0"/>
          <w:szCs w:val="28"/>
        </w:rPr>
        <w:t>法定代表人或其委托代理人：</w:t>
      </w:r>
      <w:r>
        <w:rPr>
          <w:rFonts w:eastAsia="黑体"/>
          <w:color w:val="auto"/>
          <w:kern w:val="0"/>
          <w:szCs w:val="28"/>
          <w:u w:val="single"/>
        </w:rPr>
        <w:t xml:space="preserve">           </w:t>
      </w:r>
      <w:r>
        <w:rPr>
          <w:rFonts w:eastAsia="黑体"/>
          <w:color w:val="auto"/>
          <w:kern w:val="0"/>
          <w:szCs w:val="28"/>
        </w:rPr>
        <w:t>（签字或盖章）</w:t>
      </w:r>
    </w:p>
    <w:p>
      <w:pPr>
        <w:pStyle w:val="style0"/>
        <w:spacing w:before="156" w:after="312" w:lineRule="atLeast" w:line="420"/>
        <w:jc w:val="center"/>
        <w:rPr>
          <w:rFonts w:eastAsia="黑体" w:hint="default"/>
          <w:color w:val="auto"/>
          <w:kern w:val="0"/>
          <w:sz w:val="28"/>
          <w:szCs w:val="28"/>
        </w:rPr>
      </w:pPr>
      <w:r>
        <w:rPr>
          <w:rFonts w:eastAsia="黑体"/>
          <w:color w:val="auto"/>
          <w:kern w:val="0"/>
          <w:szCs w:val="28"/>
        </w:rPr>
        <w:t xml:space="preserve">   年   月  日</w:t>
      </w:r>
    </w:p>
    <w:p>
      <w:pPr>
        <w:pStyle w:val="style0"/>
        <w:rPr>
          <w:rFonts w:eastAsia="仿宋_GB2312" w:hint="default"/>
          <w:color w:val="auto"/>
          <w:szCs w:val="21"/>
        </w:rPr>
      </w:pPr>
      <w:r>
        <w:rPr>
          <w:rFonts w:eastAsia="仿宋_GB2312"/>
          <w:color w:val="auto"/>
          <w:kern w:val="0"/>
        </w:rPr>
        <w:br w:type="page"/>
      </w:r>
      <w:bookmarkStart w:id="153" w:name="_Toc300678566"/>
    </w:p>
    <w:bookmarkStart w:id="154" w:name="_Toc9178578"/>
    <w:bookmarkStart w:id="155" w:name="_Toc27550616"/>
    <w:p>
      <w:pPr>
        <w:pStyle w:val="style2"/>
        <w:keepNext w:val="false"/>
        <w:keepLines w:val="false"/>
        <w:spacing w:before="0" w:after="0" w:lineRule="auto" w:line="240"/>
        <w:jc w:val="center"/>
        <w:rPr>
          <w:rFonts w:ascii="Times New Roman" w:eastAsia="黑体" w:hAnsi="Times New Roman" w:hint="default"/>
          <w:b w:val="false"/>
          <w:bCs w:val="false"/>
          <w:color w:val="auto"/>
          <w:sz w:val="36"/>
          <w:szCs w:val="36"/>
        </w:rPr>
      </w:pPr>
      <w:r>
        <w:rPr>
          <w:rFonts w:ascii="Times New Roman" w:eastAsia="黑体" w:hAnsi="Times New Roman"/>
          <w:b w:val="false"/>
          <w:bCs w:val="false"/>
          <w:color w:val="auto"/>
          <w:sz w:val="36"/>
          <w:szCs w:val="36"/>
        </w:rPr>
        <w:t>目    录</w:t>
      </w:r>
      <w:bookmarkEnd w:id="153"/>
      <w:bookmarkEnd w:id="154"/>
      <w:bookmarkEnd w:id="155"/>
    </w:p>
    <w:p>
      <w:pPr>
        <w:pStyle w:val="style0"/>
        <w:spacing w:lineRule="exact" w:line="320"/>
        <w:rPr>
          <w:rFonts w:eastAsia="仿宋_GB2312" w:hint="default"/>
          <w:color w:val="auto"/>
          <w:szCs w:val="21"/>
        </w:rPr>
      </w:pPr>
    </w:p>
    <w:p>
      <w:pPr>
        <w:pStyle w:val="style0"/>
        <w:spacing w:lineRule="exact" w:line="320"/>
        <w:ind w:firstLine="480" w:firstLineChars="200"/>
        <w:rPr>
          <w:rFonts w:eastAsia="仿宋_GB2312" w:hint="default"/>
          <w:color w:val="auto"/>
        </w:rPr>
      </w:pPr>
      <w:r>
        <w:rPr>
          <w:color w:val="auto"/>
        </w:rPr>
        <w:fldChar w:fldCharType="begin"/>
      </w:r>
      <w:r>
        <w:rPr>
          <w:color w:val="auto"/>
        </w:rPr>
        <w:instrText xml:space="preserve"> HYPERLINK \l "_Toc300678567" </w:instrText>
      </w:r>
      <w:r>
        <w:rPr>
          <w:color w:val="auto"/>
        </w:rPr>
        <w:fldChar w:fldCharType="separate"/>
      </w:r>
      <w:r>
        <w:rPr>
          <w:rStyle w:val="style85"/>
          <w:rFonts w:eastAsia="仿宋_GB2312"/>
          <w:color w:val="auto"/>
          <w:u w:val="none"/>
        </w:rPr>
        <w:t>1.投标函</w:t>
      </w:r>
      <w:r>
        <w:rPr>
          <w:rStyle w:val="style85"/>
          <w:rFonts w:eastAsia="仿宋_GB2312"/>
          <w:color w:val="auto"/>
          <w:u w:val="none"/>
        </w:rPr>
        <w:fldChar w:fldCharType="end"/>
      </w:r>
    </w:p>
    <w:p>
      <w:pPr>
        <w:pStyle w:val="style0"/>
        <w:spacing w:lineRule="exact" w:line="320"/>
        <w:ind w:firstLine="480" w:firstLineChars="200"/>
        <w:rPr>
          <w:rFonts w:eastAsia="仿宋_GB2312" w:hint="default"/>
          <w:color w:val="auto"/>
        </w:rPr>
      </w:pPr>
      <w:r>
        <w:rPr>
          <w:color w:val="auto"/>
        </w:rPr>
        <w:fldChar w:fldCharType="begin"/>
      </w:r>
      <w:r>
        <w:rPr>
          <w:color w:val="auto"/>
        </w:rPr>
        <w:instrText xml:space="preserve"> HYPERLINK \l "_Toc300678570" </w:instrText>
      </w:r>
      <w:r>
        <w:rPr>
          <w:color w:val="auto"/>
        </w:rPr>
        <w:fldChar w:fldCharType="separate"/>
      </w:r>
      <w:r>
        <w:rPr>
          <w:rStyle w:val="style85"/>
          <w:rFonts w:eastAsia="仿宋_GB2312"/>
          <w:color w:val="auto"/>
          <w:u w:val="none"/>
        </w:rPr>
        <w:t>2.法定代表人身份证明</w:t>
      </w:r>
      <w:r>
        <w:rPr>
          <w:rStyle w:val="style85"/>
          <w:rFonts w:eastAsia="仿宋_GB2312"/>
          <w:color w:val="auto"/>
          <w:u w:val="none"/>
        </w:rPr>
        <w:fldChar w:fldCharType="end"/>
      </w:r>
    </w:p>
    <w:p>
      <w:pPr>
        <w:pStyle w:val="style0"/>
        <w:spacing w:lineRule="exact" w:line="320"/>
        <w:ind w:firstLine="480" w:firstLineChars="200"/>
        <w:rPr>
          <w:rFonts w:eastAsia="仿宋_GB2312" w:hint="default"/>
          <w:color w:val="auto"/>
        </w:rPr>
      </w:pPr>
      <w:r>
        <w:rPr>
          <w:color w:val="auto"/>
        </w:rPr>
        <w:fldChar w:fldCharType="begin"/>
      </w:r>
      <w:r>
        <w:rPr>
          <w:color w:val="auto"/>
        </w:rPr>
        <w:instrText xml:space="preserve"> HYPERLINK \l "_Toc300678571" </w:instrText>
      </w:r>
      <w:r>
        <w:rPr>
          <w:color w:val="auto"/>
        </w:rPr>
        <w:fldChar w:fldCharType="separate"/>
      </w:r>
      <w:r>
        <w:rPr>
          <w:rStyle w:val="style85"/>
          <w:rFonts w:eastAsia="仿宋_GB2312"/>
          <w:color w:val="auto"/>
          <w:u w:val="none"/>
        </w:rPr>
        <w:t>3.授权委托书</w:t>
      </w:r>
      <w:r>
        <w:rPr>
          <w:rStyle w:val="style85"/>
          <w:rFonts w:eastAsia="仿宋_GB2312"/>
          <w:color w:val="auto"/>
          <w:u w:val="none"/>
        </w:rPr>
        <w:fldChar w:fldCharType="end"/>
      </w:r>
    </w:p>
    <w:p>
      <w:pPr>
        <w:pStyle w:val="style0"/>
        <w:spacing w:lineRule="exact" w:line="320"/>
        <w:ind w:firstLine="480" w:firstLineChars="200"/>
        <w:rPr>
          <w:rFonts w:eastAsia="仿宋_GB2312" w:hint="default"/>
          <w:color w:val="auto"/>
        </w:rPr>
      </w:pPr>
      <w:r>
        <w:rPr>
          <w:color w:val="auto"/>
        </w:rPr>
        <w:fldChar w:fldCharType="begin"/>
      </w:r>
      <w:r>
        <w:rPr>
          <w:color w:val="auto"/>
        </w:rPr>
        <w:instrText xml:space="preserve"> HYPERLINK \l "_Toc300678572" </w:instrText>
      </w:r>
      <w:r>
        <w:rPr>
          <w:color w:val="auto"/>
        </w:rPr>
        <w:fldChar w:fldCharType="separate"/>
      </w:r>
      <w:r>
        <w:rPr>
          <w:rStyle w:val="style85"/>
          <w:rFonts w:eastAsia="仿宋_GB2312"/>
          <w:color w:val="auto"/>
          <w:u w:val="none"/>
        </w:rPr>
        <w:t>4.联合体协议书</w:t>
      </w:r>
      <w:r>
        <w:rPr>
          <w:rStyle w:val="style85"/>
          <w:rFonts w:eastAsia="仿宋_GB2312"/>
          <w:color w:val="auto"/>
          <w:u w:val="none"/>
        </w:rPr>
        <w:fldChar w:fldCharType="end"/>
      </w:r>
      <w:r>
        <w:rPr>
          <w:rFonts w:eastAsia="仿宋_GB2312"/>
          <w:color w:val="auto"/>
        </w:rPr>
        <w:t>（如有）</w:t>
      </w:r>
    </w:p>
    <w:p>
      <w:pPr>
        <w:pStyle w:val="style0"/>
        <w:spacing w:lineRule="exact" w:line="320"/>
        <w:ind w:firstLine="480" w:firstLineChars="200"/>
        <w:rPr>
          <w:rFonts w:eastAsia="仿宋_GB2312" w:hint="default"/>
          <w:color w:val="auto"/>
        </w:rPr>
      </w:pPr>
      <w:r>
        <w:rPr>
          <w:color w:val="auto"/>
        </w:rPr>
        <w:fldChar w:fldCharType="begin"/>
      </w:r>
      <w:r>
        <w:rPr>
          <w:color w:val="auto"/>
        </w:rPr>
        <w:instrText xml:space="preserve"> HYPERLINK \l "_Toc300678573" </w:instrText>
      </w:r>
      <w:r>
        <w:rPr>
          <w:color w:val="auto"/>
        </w:rPr>
        <w:fldChar w:fldCharType="separate"/>
      </w:r>
      <w:r>
        <w:rPr>
          <w:rStyle w:val="style85"/>
          <w:rFonts w:eastAsia="仿宋_GB2312"/>
          <w:color w:val="auto"/>
          <w:u w:val="none"/>
        </w:rPr>
        <w:t>5.投标保证</w:t>
      </w:r>
      <w:r>
        <w:rPr>
          <w:rStyle w:val="style85"/>
          <w:rFonts w:eastAsia="仿宋_GB2312"/>
          <w:color w:val="auto"/>
          <w:u w:val="none"/>
        </w:rPr>
        <w:fldChar w:fldCharType="end"/>
      </w:r>
    </w:p>
    <w:p>
      <w:pPr>
        <w:pStyle w:val="style0"/>
        <w:spacing w:lineRule="exact" w:line="320"/>
        <w:ind w:firstLine="480" w:firstLineChars="200"/>
        <w:rPr>
          <w:rFonts w:eastAsia="仿宋_GB2312" w:hint="default"/>
          <w:color w:val="auto"/>
        </w:rPr>
      </w:pPr>
      <w:r>
        <w:rPr>
          <w:color w:val="auto"/>
        </w:rPr>
        <w:fldChar w:fldCharType="begin"/>
      </w:r>
      <w:r>
        <w:rPr>
          <w:color w:val="auto"/>
        </w:rPr>
        <w:instrText xml:space="preserve"> HYPERLINK \l "_Toc300678574" </w:instrText>
      </w:r>
      <w:r>
        <w:rPr>
          <w:color w:val="auto"/>
        </w:rPr>
        <w:fldChar w:fldCharType="separate"/>
      </w:r>
      <w:r>
        <w:rPr>
          <w:rStyle w:val="style85"/>
          <w:rFonts w:eastAsia="仿宋_GB2312"/>
          <w:color w:val="auto"/>
          <w:u w:val="none"/>
        </w:rPr>
        <w:t>6.项目监理机构</w:t>
      </w:r>
      <w:r>
        <w:rPr>
          <w:rStyle w:val="style85"/>
          <w:rFonts w:eastAsia="仿宋_GB2312"/>
          <w:color w:val="auto"/>
          <w:u w:val="none"/>
        </w:rPr>
        <w:fldChar w:fldCharType="end"/>
      </w:r>
    </w:p>
    <w:p>
      <w:pPr>
        <w:pStyle w:val="style0"/>
        <w:spacing w:lineRule="exact" w:line="320"/>
        <w:ind w:firstLine="960" w:firstLineChars="400"/>
        <w:rPr>
          <w:rFonts w:eastAsia="仿宋_GB2312" w:hint="default"/>
          <w:color w:val="auto"/>
        </w:rPr>
      </w:pPr>
      <w:r>
        <w:rPr>
          <w:color w:val="auto"/>
        </w:rPr>
        <w:fldChar w:fldCharType="begin"/>
      </w:r>
      <w:r>
        <w:rPr>
          <w:color w:val="auto"/>
        </w:rPr>
        <w:instrText xml:space="preserve"> HYPERLINK \l "_Toc300678575" </w:instrText>
      </w:r>
      <w:r>
        <w:rPr>
          <w:color w:val="auto"/>
        </w:rPr>
        <w:fldChar w:fldCharType="separate"/>
      </w:r>
      <w:r>
        <w:rPr>
          <w:rStyle w:val="style85"/>
          <w:rFonts w:eastAsia="仿宋_GB2312"/>
          <w:color w:val="auto"/>
          <w:u w:val="none"/>
        </w:rPr>
        <w:t>（1）</w:t>
      </w:r>
      <w:bookmarkStart w:id="156" w:name="_Hlt11160713"/>
      <w:bookmarkStart w:id="157" w:name="_Hlt11160712"/>
      <w:bookmarkEnd w:id="156"/>
      <w:bookmarkEnd w:id="157"/>
      <w:r>
        <w:rPr>
          <w:rStyle w:val="style85"/>
          <w:rFonts w:eastAsia="仿宋_GB2312"/>
          <w:color w:val="auto"/>
          <w:u w:val="none"/>
        </w:rPr>
        <w:t>项目监理机构组成表</w:t>
      </w:r>
      <w:r>
        <w:rPr>
          <w:rStyle w:val="style85"/>
          <w:rFonts w:eastAsia="仿宋_GB2312"/>
          <w:color w:val="auto"/>
          <w:u w:val="none"/>
        </w:rPr>
        <w:fldChar w:fldCharType="end"/>
      </w:r>
    </w:p>
    <w:p>
      <w:pPr>
        <w:pStyle w:val="style0"/>
        <w:spacing w:lineRule="exact" w:line="320"/>
        <w:ind w:firstLine="960" w:firstLineChars="400"/>
        <w:rPr>
          <w:rFonts w:eastAsia="仿宋_GB2312" w:hint="default"/>
          <w:color w:val="auto"/>
        </w:rPr>
      </w:pPr>
      <w:r>
        <w:rPr>
          <w:color w:val="auto"/>
        </w:rPr>
        <w:fldChar w:fldCharType="begin"/>
      </w:r>
      <w:r>
        <w:rPr>
          <w:color w:val="auto"/>
        </w:rPr>
        <w:instrText xml:space="preserve"> HYPERLINK \l "_Toc300678576" </w:instrText>
      </w:r>
      <w:r>
        <w:rPr>
          <w:color w:val="auto"/>
        </w:rPr>
        <w:fldChar w:fldCharType="separate"/>
      </w:r>
      <w:r>
        <w:rPr>
          <w:rStyle w:val="style85"/>
          <w:rFonts w:eastAsia="仿宋_GB2312"/>
          <w:color w:val="auto"/>
          <w:u w:val="none"/>
        </w:rPr>
        <w:t>（2）主要人员简历表</w:t>
      </w:r>
      <w:r>
        <w:rPr>
          <w:rStyle w:val="style85"/>
          <w:rFonts w:eastAsia="仿宋_GB2312"/>
          <w:color w:val="auto"/>
          <w:u w:val="none"/>
        </w:rPr>
        <w:fldChar w:fldCharType="end"/>
      </w:r>
    </w:p>
    <w:p>
      <w:pPr>
        <w:pStyle w:val="style0"/>
        <w:spacing w:lineRule="exact" w:line="320"/>
        <w:ind w:firstLine="1680" w:firstLineChars="700"/>
        <w:rPr>
          <w:rFonts w:eastAsia="仿宋_GB2312" w:hint="default"/>
          <w:color w:val="auto"/>
        </w:rPr>
      </w:pPr>
      <w:r>
        <w:rPr>
          <w:color w:val="auto"/>
        </w:rPr>
        <w:fldChar w:fldCharType="begin"/>
      </w:r>
      <w:r>
        <w:rPr>
          <w:color w:val="auto"/>
        </w:rPr>
        <w:instrText xml:space="preserve"> HYPERLINK \l "_Toc300678577" </w:instrText>
      </w:r>
      <w:r>
        <w:rPr>
          <w:color w:val="auto"/>
        </w:rPr>
        <w:fldChar w:fldCharType="separate"/>
      </w:r>
      <w:r>
        <w:rPr>
          <w:rStyle w:val="style85"/>
          <w:rFonts w:eastAsia="仿宋_GB2312"/>
          <w:color w:val="auto"/>
          <w:u w:val="none"/>
        </w:rPr>
        <w:t>①拟任总监理工程师简历表</w:t>
      </w:r>
      <w:r>
        <w:rPr>
          <w:rStyle w:val="style85"/>
          <w:rFonts w:eastAsia="仿宋_GB2312"/>
          <w:color w:val="auto"/>
          <w:u w:val="none"/>
        </w:rPr>
        <w:fldChar w:fldCharType="end"/>
      </w:r>
    </w:p>
    <w:p>
      <w:pPr>
        <w:pStyle w:val="style0"/>
        <w:spacing w:lineRule="exact" w:line="320"/>
        <w:ind w:firstLine="1680" w:firstLineChars="700"/>
        <w:rPr>
          <w:rFonts w:eastAsia="仿宋_GB2312" w:hint="default"/>
          <w:color w:val="auto"/>
        </w:rPr>
      </w:pPr>
      <w:r>
        <w:rPr>
          <w:color w:val="auto"/>
        </w:rPr>
        <w:fldChar w:fldCharType="begin"/>
      </w:r>
      <w:r>
        <w:rPr>
          <w:color w:val="auto"/>
        </w:rPr>
        <w:instrText xml:space="preserve"> HYPERLINK \l "_Toc300678578" </w:instrText>
      </w:r>
      <w:r>
        <w:rPr>
          <w:color w:val="auto"/>
        </w:rPr>
        <w:fldChar w:fldCharType="separate"/>
      </w:r>
      <w:r>
        <w:rPr>
          <w:rStyle w:val="style85"/>
          <w:rFonts w:eastAsia="仿宋_GB2312"/>
          <w:color w:val="auto"/>
          <w:u w:val="none"/>
        </w:rPr>
        <w:t>②拟任专业监理工程师简历表</w:t>
      </w:r>
      <w:r>
        <w:rPr>
          <w:rStyle w:val="style85"/>
          <w:rFonts w:eastAsia="仿宋_GB2312"/>
          <w:color w:val="auto"/>
          <w:u w:val="none"/>
        </w:rPr>
        <w:fldChar w:fldCharType="end"/>
      </w:r>
    </w:p>
    <w:p>
      <w:pPr>
        <w:pStyle w:val="style0"/>
        <w:spacing w:lineRule="exact" w:line="320"/>
        <w:ind w:firstLine="480" w:firstLineChars="200"/>
        <w:rPr>
          <w:rFonts w:eastAsia="仿宋_GB2312" w:hint="default"/>
          <w:color w:val="auto"/>
        </w:rPr>
      </w:pPr>
      <w:r>
        <w:rPr>
          <w:rFonts w:eastAsia="仿宋_GB2312"/>
          <w:color w:val="auto"/>
        </w:rPr>
        <w:t>（3）项目监理机构自评表</w:t>
      </w:r>
    </w:p>
    <w:p>
      <w:pPr>
        <w:pStyle w:val="style0"/>
        <w:spacing w:lineRule="exact" w:line="320"/>
        <w:ind w:firstLine="600" w:firstLineChars="250"/>
        <w:rPr>
          <w:rFonts w:eastAsia="仿宋_GB2312" w:hint="default"/>
          <w:color w:val="auto"/>
        </w:rPr>
      </w:pPr>
      <w:r>
        <w:rPr>
          <w:color w:val="auto"/>
        </w:rPr>
        <w:fldChar w:fldCharType="begin"/>
      </w:r>
      <w:r>
        <w:rPr>
          <w:color w:val="auto"/>
        </w:rPr>
        <w:instrText xml:space="preserve"> HYPERLINK \l "_Toc300678580" </w:instrText>
      </w:r>
      <w:r>
        <w:rPr>
          <w:color w:val="auto"/>
        </w:rPr>
        <w:fldChar w:fldCharType="separate"/>
      </w:r>
      <w:r>
        <w:rPr>
          <w:rFonts w:eastAsia="仿宋_GB2312"/>
          <w:color w:val="auto"/>
        </w:rPr>
        <w:t>7.资格审</w:t>
      </w:r>
      <w:bookmarkStart w:id="158" w:name="_Hlt27500658"/>
      <w:r>
        <w:rPr>
          <w:rFonts w:eastAsia="仿宋_GB2312"/>
          <w:color w:val="auto"/>
        </w:rPr>
        <w:t>查</w:t>
      </w:r>
      <w:bookmarkEnd w:id="158"/>
      <w:r>
        <w:rPr>
          <w:rFonts w:eastAsia="仿宋_GB2312"/>
          <w:color w:val="auto"/>
        </w:rPr>
        <w:t>等资料</w:t>
      </w:r>
      <w:r>
        <w:rPr>
          <w:rFonts w:eastAsia="仿宋_GB2312"/>
          <w:color w:val="auto"/>
        </w:rPr>
        <w:fldChar w:fldCharType="end"/>
      </w:r>
    </w:p>
    <w:p>
      <w:pPr>
        <w:pStyle w:val="style0"/>
        <w:spacing w:lineRule="exact" w:line="320"/>
        <w:ind w:firstLine="1200" w:firstLineChars="500"/>
        <w:rPr>
          <w:rFonts w:eastAsia="仿宋_GB2312" w:hint="default"/>
          <w:color w:val="auto"/>
        </w:rPr>
      </w:pPr>
      <w:r>
        <w:rPr>
          <w:color w:val="auto"/>
        </w:rPr>
        <w:fldChar w:fldCharType="begin"/>
      </w:r>
      <w:r>
        <w:rPr>
          <w:color w:val="auto"/>
        </w:rPr>
        <w:instrText xml:space="preserve"> HYPERLINK \l "_Toc300678581" </w:instrText>
      </w:r>
      <w:r>
        <w:rPr>
          <w:color w:val="auto"/>
        </w:rPr>
        <w:fldChar w:fldCharType="separate"/>
      </w:r>
      <w:r>
        <w:rPr>
          <w:rStyle w:val="style85"/>
          <w:rFonts w:eastAsia="仿宋_GB2312"/>
          <w:color w:val="auto"/>
          <w:u w:val="none"/>
        </w:rPr>
        <w:t>（1）投标人基本情况表</w:t>
      </w:r>
      <w:r>
        <w:rPr>
          <w:rStyle w:val="style85"/>
          <w:rFonts w:eastAsia="仿宋_GB2312"/>
          <w:color w:val="auto"/>
          <w:u w:val="none"/>
        </w:rPr>
        <w:fldChar w:fldCharType="end"/>
      </w:r>
    </w:p>
    <w:p>
      <w:pPr>
        <w:pStyle w:val="style0"/>
        <w:spacing w:lineRule="exact" w:line="320"/>
        <w:ind w:firstLine="1200" w:firstLineChars="500"/>
        <w:rPr>
          <w:rFonts w:eastAsia="仿宋_GB2312" w:hint="default"/>
          <w:color w:val="auto"/>
        </w:rPr>
      </w:pPr>
      <w:r>
        <w:rPr>
          <w:color w:val="auto"/>
        </w:rPr>
        <w:fldChar w:fldCharType="begin"/>
      </w:r>
      <w:r>
        <w:rPr>
          <w:color w:val="auto"/>
        </w:rPr>
        <w:instrText xml:space="preserve"> HYPERLINK \l "_Toc300678582" </w:instrText>
      </w:r>
      <w:r>
        <w:rPr>
          <w:color w:val="auto"/>
        </w:rPr>
        <w:fldChar w:fldCharType="separate"/>
      </w:r>
      <w:r>
        <w:rPr>
          <w:rStyle w:val="style85"/>
          <w:rFonts w:eastAsia="仿宋_GB2312"/>
          <w:color w:val="auto"/>
          <w:u w:val="none"/>
        </w:rPr>
        <w:t>（2）</w:t>
      </w:r>
      <w:r>
        <w:rPr>
          <w:rStyle w:val="style85"/>
          <w:rFonts w:eastAsia="仿宋_GB2312"/>
          <w:color w:val="auto"/>
          <w:u w:val="none"/>
        </w:rPr>
        <w:fldChar w:fldCharType="end"/>
      </w:r>
      <w:r>
        <w:rPr>
          <w:rFonts w:eastAsia="仿宋_GB2312"/>
          <w:color w:val="auto"/>
        </w:rPr>
        <w:t>投标人证件复印件</w:t>
      </w:r>
    </w:p>
    <w:p>
      <w:pPr>
        <w:pStyle w:val="style0"/>
        <w:spacing w:lineRule="exact" w:line="320"/>
        <w:ind w:firstLine="1200" w:firstLineChars="500"/>
        <w:rPr>
          <w:rFonts w:eastAsia="仿宋_GB2312" w:hint="default"/>
          <w:color w:val="auto"/>
        </w:rPr>
      </w:pPr>
      <w:r>
        <w:rPr>
          <w:color w:val="auto"/>
        </w:rPr>
        <w:fldChar w:fldCharType="begin"/>
      </w:r>
      <w:r>
        <w:rPr>
          <w:color w:val="auto"/>
        </w:rPr>
        <w:instrText xml:space="preserve"> HYPERLINK \l "_Toc300678584" </w:instrText>
      </w:r>
      <w:r>
        <w:rPr>
          <w:color w:val="auto"/>
        </w:rPr>
        <w:fldChar w:fldCharType="separate"/>
      </w:r>
      <w:r>
        <w:rPr>
          <w:rStyle w:val="style85"/>
          <w:rFonts w:eastAsia="仿宋_GB2312"/>
          <w:color w:val="auto"/>
          <w:u w:val="none"/>
        </w:rPr>
        <w:t>（3）</w:t>
      </w:r>
      <w:r>
        <w:rPr>
          <w:rStyle w:val="style85"/>
          <w:rFonts w:eastAsia="仿宋_GB2312"/>
          <w:color w:val="auto"/>
          <w:u w:val="none"/>
        </w:rPr>
        <w:fldChar w:fldCharType="end"/>
      </w:r>
      <w:r>
        <w:rPr>
          <w:rFonts w:eastAsia="仿宋_GB2312"/>
          <w:color w:val="auto"/>
        </w:rPr>
        <w:t>近年完成的类似工程业绩情况表</w:t>
      </w:r>
    </w:p>
    <w:p>
      <w:pPr>
        <w:pStyle w:val="style0"/>
        <w:spacing w:lineRule="exact" w:line="320"/>
        <w:ind w:firstLine="1200" w:firstLineChars="500"/>
        <w:rPr>
          <w:rFonts w:eastAsia="仿宋_GB2312" w:hint="default"/>
          <w:color w:val="auto"/>
        </w:rPr>
      </w:pPr>
      <w:r>
        <w:rPr>
          <w:color w:val="auto"/>
        </w:rPr>
        <w:fldChar w:fldCharType="begin"/>
      </w:r>
      <w:r>
        <w:rPr>
          <w:color w:val="auto"/>
        </w:rPr>
        <w:instrText xml:space="preserve"> HYPERLINK \l "_Toc300678586" </w:instrText>
      </w:r>
      <w:r>
        <w:rPr>
          <w:color w:val="auto"/>
        </w:rPr>
        <w:fldChar w:fldCharType="separate"/>
      </w:r>
      <w:r>
        <w:rPr>
          <w:rStyle w:val="style85"/>
          <w:rFonts w:eastAsia="仿宋_GB2312"/>
          <w:color w:val="auto"/>
          <w:u w:val="none"/>
        </w:rPr>
        <w:t>（4）</w:t>
      </w:r>
      <w:r>
        <w:rPr>
          <w:rStyle w:val="style85"/>
          <w:rFonts w:eastAsia="仿宋_GB2312"/>
          <w:color w:val="auto"/>
          <w:u w:val="none"/>
        </w:rPr>
        <w:fldChar w:fldCharType="end"/>
      </w:r>
      <w:r>
        <w:rPr>
          <w:rFonts w:eastAsia="仿宋_GB2312"/>
          <w:color w:val="auto"/>
        </w:rPr>
        <w:t>现场安全质量管理评价情况</w:t>
      </w:r>
    </w:p>
    <w:p>
      <w:pPr>
        <w:pStyle w:val="style0"/>
        <w:spacing w:lineRule="exact" w:line="320"/>
        <w:ind w:firstLine="1200" w:firstLineChars="500"/>
        <w:rPr>
          <w:rFonts w:eastAsia="仿宋_GB2312" w:hint="default"/>
          <w:color w:val="auto"/>
        </w:rPr>
      </w:pPr>
      <w:r>
        <w:rPr>
          <w:rFonts w:eastAsia="仿宋_GB2312"/>
          <w:color w:val="auto"/>
        </w:rPr>
        <w:t>（5）信用评价情况</w:t>
      </w:r>
    </w:p>
    <w:p>
      <w:pPr>
        <w:pStyle w:val="style0"/>
        <w:spacing w:lineRule="exact" w:line="320"/>
        <w:ind w:firstLine="1200" w:firstLineChars="500"/>
        <w:rPr>
          <w:rFonts w:eastAsia="仿宋_GB2312" w:hint="default"/>
          <w:color w:val="auto"/>
        </w:rPr>
      </w:pPr>
      <w:r>
        <w:rPr>
          <w:rFonts w:eastAsia="仿宋_GB2312"/>
          <w:color w:val="auto"/>
        </w:rPr>
        <w:t>（6）</w:t>
      </w:r>
      <w:r>
        <w:rPr>
          <w:color w:val="auto"/>
        </w:rPr>
        <w:fldChar w:fldCharType="begin"/>
      </w:r>
      <w:r>
        <w:rPr>
          <w:color w:val="auto"/>
        </w:rPr>
        <w:instrText xml:space="preserve"> HYPERLINK \l "_Toc300678590" </w:instrText>
      </w:r>
      <w:r>
        <w:rPr>
          <w:color w:val="auto"/>
        </w:rPr>
        <w:fldChar w:fldCharType="separate"/>
      </w:r>
      <w:r>
        <w:rPr>
          <w:rStyle w:val="style85"/>
          <w:rFonts w:eastAsia="仿宋_GB2312"/>
          <w:color w:val="auto"/>
          <w:u w:val="none"/>
        </w:rPr>
        <w:t>拟任总监理工程师、专业监理工程师</w:t>
      </w:r>
      <w:r>
        <w:rPr>
          <w:rStyle w:val="style85"/>
          <w:rFonts w:eastAsia="仿宋_GB2312"/>
          <w:color w:val="auto"/>
          <w:u w:val="none"/>
        </w:rPr>
        <w:fldChar w:fldCharType="end"/>
      </w:r>
      <w:r>
        <w:rPr>
          <w:rFonts w:eastAsia="仿宋_GB2312"/>
          <w:color w:val="auto"/>
        </w:rPr>
        <w:t>不良信息证明文件复印件</w:t>
      </w:r>
    </w:p>
    <w:p>
      <w:pPr>
        <w:pStyle w:val="style0"/>
        <w:spacing w:lineRule="exact" w:line="320"/>
        <w:rPr>
          <w:rFonts w:eastAsia="仿宋_GB2312" w:hint="default"/>
          <w:color w:val="auto"/>
        </w:rPr>
      </w:pPr>
      <w:r>
        <w:rPr>
          <w:rFonts w:eastAsia="仿宋_GB2312"/>
          <w:color w:val="auto"/>
        </w:rPr>
        <w:t xml:space="preserve">    </w:t>
      </w:r>
      <w:r>
        <w:rPr>
          <w:color w:val="auto"/>
        </w:rPr>
        <w:fldChar w:fldCharType="begin"/>
      </w:r>
      <w:r>
        <w:rPr>
          <w:color w:val="auto"/>
        </w:rPr>
        <w:instrText xml:space="preserve"> HYPERLINK \l "_Toc300678591" </w:instrText>
      </w:r>
      <w:r>
        <w:rPr>
          <w:color w:val="auto"/>
        </w:rPr>
        <w:fldChar w:fldCharType="separate"/>
      </w:r>
      <w:r>
        <w:rPr>
          <w:rStyle w:val="style85"/>
          <w:rFonts w:eastAsia="仿宋_GB2312"/>
          <w:color w:val="auto"/>
          <w:u w:val="none"/>
        </w:rPr>
        <w:t>8.承诺书</w:t>
      </w:r>
      <w:r>
        <w:rPr>
          <w:rStyle w:val="style85"/>
          <w:rFonts w:eastAsia="仿宋_GB2312"/>
          <w:color w:val="auto"/>
          <w:u w:val="none"/>
        </w:rPr>
        <w:fldChar w:fldCharType="end"/>
      </w:r>
    </w:p>
    <w:p>
      <w:pPr>
        <w:pStyle w:val="style0"/>
        <w:spacing w:lineRule="exact" w:line="320"/>
        <w:ind w:firstLine="480" w:firstLineChars="200"/>
        <w:rPr>
          <w:rFonts w:eastAsia="仿宋_GB2312" w:hint="default"/>
          <w:color w:val="auto"/>
        </w:rPr>
      </w:pPr>
      <w:r>
        <w:rPr>
          <w:rFonts w:eastAsia="仿宋_GB2312"/>
          <w:color w:val="auto"/>
        </w:rPr>
        <w:t>9.投标信息表</w:t>
      </w:r>
    </w:p>
    <w:p>
      <w:pPr>
        <w:pStyle w:val="style0"/>
        <w:spacing w:lineRule="exact" w:line="320"/>
        <w:ind w:firstLine="480" w:firstLineChars="200"/>
        <w:rPr>
          <w:rFonts w:eastAsia="仿宋_GB2312" w:hint="default"/>
          <w:color w:val="auto"/>
        </w:rPr>
      </w:pPr>
      <w:r>
        <w:rPr>
          <w:rFonts w:eastAsia="仿宋_GB2312"/>
          <w:color w:val="auto"/>
        </w:rPr>
        <w:t>10.其他</w:t>
      </w:r>
    </w:p>
    <w:p>
      <w:pPr>
        <w:pStyle w:val="style0"/>
        <w:spacing w:lineRule="exact" w:line="400"/>
        <w:rPr>
          <w:rFonts w:eastAsia="仿宋_GB2312" w:hint="default"/>
          <w:color w:val="auto"/>
        </w:rPr>
      </w:pPr>
    </w:p>
    <w:p>
      <w:pPr>
        <w:pStyle w:val="style0"/>
        <w:spacing w:lineRule="auto" w:line="312"/>
        <w:ind w:firstLine="360"/>
        <w:rPr>
          <w:rFonts w:hint="default"/>
          <w:color w:val="auto"/>
          <w:sz w:val="18"/>
          <w:szCs w:val="18"/>
        </w:rPr>
      </w:pPr>
    </w:p>
    <w:bookmarkStart w:id="159" w:name="_Toc300678567"/>
    <w:p>
      <w:pPr>
        <w:pStyle w:val="style0"/>
        <w:spacing w:lineRule="auto" w:line="276"/>
        <w:rPr>
          <w:rStyle w:val="style85"/>
          <w:rFonts w:eastAsia="仿宋_GB2312" w:hint="default"/>
          <w:color w:val="auto"/>
          <w:u w:val="none"/>
        </w:rPr>
      </w:pPr>
      <w:r>
        <w:rPr>
          <w:rStyle w:val="style85"/>
          <w:rFonts w:eastAsia="仿宋_GB2312"/>
          <w:color w:val="auto"/>
          <w:u w:val="none"/>
        </w:rPr>
        <w:br w:type="page"/>
      </w:r>
    </w:p>
    <w:bookmarkStart w:id="160" w:name="_Toc9178579"/>
    <w:bookmarkStart w:id="161" w:name="_Toc27550617"/>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bCs w:val="false"/>
          <w:color w:val="auto"/>
          <w:sz w:val="30"/>
        </w:rPr>
        <w:t>1.投标函</w:t>
      </w:r>
      <w:bookmarkEnd w:id="159"/>
      <w:bookmarkEnd w:id="160"/>
      <w:bookmarkEnd w:id="161"/>
      <w:r>
        <w:rPr>
          <w:rFonts w:ascii="黑体" w:eastAsia="黑体" w:hAnsi="黑体"/>
          <w:b w:val="false"/>
          <w:bCs w:val="false"/>
          <w:color w:val="auto"/>
          <w:sz w:val="24"/>
          <w:szCs w:val="24"/>
        </w:rPr>
        <w:t>（</w:t>
      </w:r>
      <w:r>
        <w:rPr>
          <w:rFonts w:ascii="黑体" w:eastAsia="黑体" w:hAnsi="黑体"/>
          <w:b w:val="false"/>
          <w:bCs w:val="false"/>
          <w:color w:val="auto"/>
          <w:sz w:val="24"/>
          <w:szCs w:val="24"/>
        </w:rPr>
        <w:sym w:font="Wingdings 2" w:char="a3"/>
      </w:r>
      <w:r>
        <w:rPr>
          <w:rFonts w:ascii="黑体" w:eastAsia="黑体" w:hAnsi="黑体"/>
          <w:b w:val="false"/>
          <w:bCs w:val="false"/>
          <w:color w:val="auto"/>
          <w:sz w:val="24"/>
          <w:szCs w:val="24"/>
        </w:rPr>
        <w:t>总价报价方式）</w:t>
      </w:r>
    </w:p>
    <w:p>
      <w:pPr>
        <w:pStyle w:val="style66"/>
        <w:tabs>
          <w:tab w:val="left" w:leader="none" w:pos="1991"/>
        </w:tabs>
        <w:spacing w:after="0" w:lineRule="auto" w:line="360"/>
        <w:ind w:left="100" w:right="113"/>
        <w:rPr>
          <w:rFonts w:eastAsia="仿宋_GB2312" w:hint="default"/>
          <w:color w:val="auto"/>
        </w:rPr>
      </w:pPr>
      <w:r>
        <w:rPr>
          <w:rFonts w:eastAsia="仿宋_GB2312"/>
          <w:color w:val="auto"/>
          <w:u w:val="single"/>
        </w:rPr>
        <w:t xml:space="preserve">                  </w:t>
      </w:r>
      <w:r>
        <w:rPr>
          <w:rFonts w:eastAsia="仿宋_GB2312"/>
          <w:color w:val="auto"/>
        </w:rPr>
        <w:t>（</w:t>
      </w:r>
      <w:r>
        <w:rPr>
          <w:rFonts w:eastAsia="仿宋_GB2312"/>
          <w:color w:val="auto"/>
          <w:spacing w:val="-3"/>
        </w:rPr>
        <w:t>招</w:t>
      </w:r>
      <w:r>
        <w:rPr>
          <w:rFonts w:eastAsia="仿宋_GB2312"/>
          <w:color w:val="auto"/>
        </w:rPr>
        <w:t>标人</w:t>
      </w:r>
      <w:r>
        <w:rPr>
          <w:rFonts w:eastAsia="仿宋_GB2312"/>
          <w:color w:val="auto"/>
          <w:spacing w:val="-3"/>
        </w:rPr>
        <w:t>名</w:t>
      </w:r>
      <w:r>
        <w:rPr>
          <w:rFonts w:eastAsia="仿宋_GB2312"/>
          <w:color w:val="auto"/>
        </w:rPr>
        <w:t>称）：</w:t>
      </w:r>
    </w:p>
    <w:p>
      <w:pPr>
        <w:pStyle w:val="style66"/>
        <w:spacing w:after="0" w:lineRule="auto" w:line="360"/>
        <w:ind w:right="113" w:firstLine="600" w:firstLineChars="250"/>
        <w:rPr>
          <w:rFonts w:eastAsia="仿宋_GB2312" w:hint="default"/>
          <w:color w:val="auto"/>
        </w:rPr>
      </w:pPr>
      <w:r>
        <w:rPr>
          <w:rFonts w:eastAsia="仿宋_GB2312"/>
          <w:color w:val="auto"/>
        </w:rPr>
        <w:t>1. 我方已仔细研究了</w:t>
      </w:r>
      <w:r>
        <w:rPr>
          <w:rFonts w:eastAsia="仿宋_GB2312"/>
          <w:color w:val="auto"/>
          <w:u w:val="single"/>
        </w:rPr>
        <w:t xml:space="preserve">                  </w:t>
      </w:r>
      <w:r>
        <w:rPr>
          <w:rFonts w:eastAsia="仿宋_GB2312"/>
          <w:color w:val="auto"/>
        </w:rPr>
        <w:t>（项目名称）监理招标项目招标文件的全部内容，愿意以人民币（大写）</w:t>
      </w:r>
      <w:r>
        <w:rPr>
          <w:rFonts w:eastAsia="仿宋_GB2312"/>
          <w:color w:val="auto"/>
          <w:u w:val="single"/>
        </w:rPr>
        <w:t xml:space="preserve">             </w:t>
      </w:r>
      <w:r>
        <w:rPr>
          <w:rFonts w:eastAsia="仿宋_GB2312"/>
          <w:color w:val="auto"/>
        </w:rPr>
        <w:t xml:space="preserve">（小写 </w:t>
      </w:r>
      <w:r>
        <w:rPr>
          <w:rFonts w:eastAsia="仿宋_GB2312"/>
          <w:color w:val="auto"/>
          <w:u w:val="single"/>
        </w:rPr>
        <w:t xml:space="preserve">     </w:t>
      </w:r>
      <w:r>
        <w:rPr>
          <w:rFonts w:eastAsia="仿宋_GB2312"/>
          <w:color w:val="auto"/>
        </w:rPr>
        <w:t xml:space="preserve">）的投标报价，监理服务期限： </w:t>
      </w:r>
      <w:r>
        <w:rPr>
          <w:rFonts w:eastAsia="仿宋_GB2312"/>
          <w:color w:val="auto"/>
          <w:u w:val="single"/>
        </w:rPr>
        <w:t xml:space="preserve">           </w:t>
      </w:r>
      <w:r>
        <w:rPr>
          <w:rFonts w:eastAsia="仿宋_GB2312"/>
          <w:color w:val="auto"/>
        </w:rPr>
        <w:t>，总监理工程师姓名：</w:t>
      </w:r>
      <w:r>
        <w:rPr>
          <w:rFonts w:eastAsia="仿宋_GB2312"/>
          <w:color w:val="auto"/>
          <w:u w:val="single"/>
        </w:rPr>
        <w:t xml:space="preserve">            </w:t>
      </w:r>
      <w:r>
        <w:rPr>
          <w:rFonts w:eastAsia="仿宋_GB2312"/>
          <w:color w:val="auto"/>
        </w:rPr>
        <w:t>，按合同约定完成监理工作。</w:t>
      </w:r>
    </w:p>
    <w:p>
      <w:pPr>
        <w:pStyle w:val="style66"/>
        <w:spacing w:after="0" w:lineRule="auto" w:line="360"/>
        <w:rPr>
          <w:rFonts w:hint="default"/>
          <w:color w:val="auto"/>
          <w:sz w:val="9"/>
        </w:rPr>
      </w:pPr>
    </w:p>
    <w:p>
      <w:pPr>
        <w:pStyle w:val="style66"/>
        <w:spacing w:after="0" w:lineRule="auto" w:line="360"/>
        <w:ind w:left="520" w:right="113"/>
        <w:rPr>
          <w:rFonts w:eastAsia="仿宋_GB2312" w:hint="default"/>
          <w:color w:val="auto"/>
        </w:rPr>
      </w:pPr>
      <w:r>
        <w:rPr>
          <w:rFonts w:eastAsia="仿宋_GB2312"/>
          <w:color w:val="auto"/>
        </w:rPr>
        <w:t>2. 我方的响应文件包括下列内容：</w:t>
      </w:r>
    </w:p>
    <w:p>
      <w:pPr>
        <w:pStyle w:val="style66"/>
        <w:spacing w:after="0" w:lineRule="auto" w:line="360"/>
        <w:ind w:left="505" w:right="113"/>
        <w:rPr>
          <w:rFonts w:eastAsia="仿宋_GB2312" w:hint="default"/>
          <w:color w:val="auto"/>
        </w:rPr>
      </w:pPr>
      <w:r>
        <w:rPr>
          <w:rFonts w:eastAsia="仿宋_GB2312"/>
          <w:color w:val="auto"/>
        </w:rPr>
        <w:t>（1）投标函</w:t>
      </w:r>
    </w:p>
    <w:p>
      <w:pPr>
        <w:pStyle w:val="style66"/>
        <w:spacing w:after="0" w:lineRule="auto" w:line="360"/>
        <w:ind w:left="505" w:right="113"/>
        <w:rPr>
          <w:rFonts w:eastAsia="仿宋_GB2312" w:hint="default"/>
          <w:color w:val="auto"/>
        </w:rPr>
      </w:pPr>
      <w:r>
        <w:rPr>
          <w:rFonts w:eastAsia="仿宋_GB2312"/>
          <w:color w:val="auto"/>
        </w:rPr>
        <w:t>（2）法定代表人身份证明</w:t>
      </w:r>
    </w:p>
    <w:p>
      <w:pPr>
        <w:pStyle w:val="style66"/>
        <w:spacing w:after="0" w:lineRule="auto" w:line="360"/>
        <w:ind w:left="505" w:right="113"/>
        <w:rPr>
          <w:rFonts w:eastAsia="仿宋_GB2312" w:hint="default"/>
          <w:color w:val="auto"/>
        </w:rPr>
      </w:pPr>
      <w:r>
        <w:rPr>
          <w:rFonts w:eastAsia="仿宋_GB2312"/>
          <w:color w:val="auto"/>
        </w:rPr>
        <w:t>（3）授权委托书</w:t>
      </w:r>
    </w:p>
    <w:p>
      <w:pPr>
        <w:pStyle w:val="style66"/>
        <w:spacing w:after="0" w:lineRule="auto" w:line="360"/>
        <w:ind w:left="505" w:right="113"/>
        <w:rPr>
          <w:rFonts w:eastAsia="仿宋_GB2312" w:hint="default"/>
          <w:color w:val="auto"/>
        </w:rPr>
      </w:pPr>
      <w:r>
        <w:rPr>
          <w:rFonts w:eastAsia="仿宋_GB2312"/>
          <w:color w:val="auto"/>
        </w:rPr>
        <w:t>（4</w:t>
      </w:r>
      <w:r>
        <w:rPr>
          <w:rFonts w:eastAsia="仿宋_GB2312"/>
          <w:color w:val="auto"/>
          <w:spacing w:val="-3"/>
        </w:rPr>
        <w:t>）</w:t>
      </w:r>
      <w:r>
        <w:rPr>
          <w:rFonts w:eastAsia="仿宋_GB2312"/>
          <w:color w:val="auto"/>
        </w:rPr>
        <w:t>投</w:t>
      </w:r>
      <w:r>
        <w:rPr>
          <w:rFonts w:eastAsia="仿宋_GB2312"/>
          <w:color w:val="auto"/>
          <w:spacing w:val="-3"/>
        </w:rPr>
        <w:t>标</w:t>
      </w:r>
      <w:r>
        <w:rPr>
          <w:rFonts w:eastAsia="仿宋_GB2312"/>
          <w:color w:val="auto"/>
        </w:rPr>
        <w:t>保</w:t>
      </w:r>
      <w:r>
        <w:rPr>
          <w:rFonts w:eastAsia="仿宋_GB2312"/>
          <w:color w:val="auto"/>
          <w:spacing w:val="-3"/>
        </w:rPr>
        <w:t>证</w:t>
      </w:r>
    </w:p>
    <w:p>
      <w:pPr>
        <w:pStyle w:val="style66"/>
        <w:spacing w:after="0" w:lineRule="auto" w:line="360"/>
        <w:ind w:left="505" w:right="113"/>
        <w:rPr>
          <w:rFonts w:eastAsia="仿宋_GB2312" w:hint="default"/>
          <w:color w:val="auto"/>
        </w:rPr>
      </w:pPr>
      <w:r>
        <w:rPr>
          <w:rFonts w:eastAsia="仿宋_GB2312"/>
          <w:color w:val="auto"/>
        </w:rPr>
        <w:t>（5）项目监理机构</w:t>
      </w:r>
    </w:p>
    <w:p>
      <w:pPr>
        <w:pStyle w:val="style66"/>
        <w:spacing w:after="0" w:lineRule="auto" w:line="360"/>
        <w:ind w:left="505" w:right="113"/>
        <w:rPr>
          <w:rFonts w:eastAsia="仿宋_GB2312" w:hint="default"/>
          <w:color w:val="auto"/>
        </w:rPr>
      </w:pPr>
      <w:r>
        <w:rPr>
          <w:rFonts w:eastAsia="仿宋_GB2312"/>
          <w:color w:val="auto"/>
        </w:rPr>
        <w:t>（6）资格审查资料</w:t>
      </w:r>
    </w:p>
    <w:p>
      <w:pPr>
        <w:pStyle w:val="style66"/>
        <w:spacing w:after="0" w:lineRule="auto" w:line="360"/>
        <w:ind w:left="505" w:right="113"/>
        <w:rPr>
          <w:rFonts w:eastAsia="仿宋_GB2312" w:hint="default"/>
          <w:color w:val="auto"/>
        </w:rPr>
      </w:pPr>
      <w:r>
        <w:rPr>
          <w:rFonts w:eastAsia="仿宋_GB2312"/>
          <w:color w:val="auto"/>
        </w:rPr>
        <w:t>（7）承诺书</w:t>
      </w:r>
    </w:p>
    <w:p>
      <w:pPr>
        <w:pStyle w:val="style66"/>
        <w:spacing w:after="0" w:lineRule="auto" w:line="360"/>
        <w:ind w:left="505" w:right="113"/>
        <w:rPr>
          <w:rFonts w:eastAsia="仿宋_GB2312" w:hint="default"/>
          <w:color w:val="auto"/>
        </w:rPr>
      </w:pPr>
      <w:r>
        <w:rPr>
          <w:rFonts w:eastAsia="仿宋_GB2312"/>
          <w:color w:val="auto"/>
        </w:rPr>
        <w:t>（8）投标信息表</w:t>
      </w:r>
    </w:p>
    <w:p>
      <w:pPr>
        <w:pStyle w:val="style66"/>
        <w:spacing w:after="0" w:lineRule="auto" w:line="360"/>
        <w:ind w:left="505" w:right="113"/>
        <w:rPr>
          <w:rFonts w:eastAsia="仿宋_GB2312" w:hint="default"/>
          <w:color w:val="auto"/>
        </w:rPr>
      </w:pPr>
      <w:r>
        <w:rPr>
          <w:rFonts w:eastAsia="仿宋_GB2312"/>
          <w:color w:val="auto"/>
        </w:rPr>
        <w:t>（9）其他</w:t>
      </w:r>
    </w:p>
    <w:p>
      <w:pPr>
        <w:pStyle w:val="style66"/>
        <w:spacing w:after="0" w:lineRule="auto" w:line="360"/>
        <w:ind w:left="520" w:right="2440" w:hanging="15"/>
        <w:rPr>
          <w:rFonts w:eastAsia="仿宋_GB2312" w:hint="default"/>
          <w:color w:val="auto"/>
        </w:rPr>
      </w:pPr>
      <w:r>
        <w:rPr>
          <w:rFonts w:eastAsia="仿宋_GB2312"/>
          <w:color w:val="auto"/>
        </w:rPr>
        <w:t>响应文件的上述组成部分如存在内容不一致的，以投标函为准。</w:t>
      </w:r>
    </w:p>
    <w:p>
      <w:pPr>
        <w:pStyle w:val="style66"/>
        <w:spacing w:after="0" w:lineRule="auto" w:line="360"/>
        <w:ind w:left="520" w:right="2440" w:hanging="15"/>
        <w:rPr>
          <w:rFonts w:eastAsia="仿宋_GB2312" w:hint="default"/>
          <w:color w:val="auto"/>
        </w:rPr>
      </w:pPr>
      <w:r>
        <w:rPr>
          <w:rFonts w:eastAsia="仿宋_GB2312"/>
          <w:color w:val="auto"/>
        </w:rPr>
        <w:t>3．我方承诺在招标文件规定的投标有效期内不撤销响应文件。</w:t>
      </w:r>
    </w:p>
    <w:p>
      <w:pPr>
        <w:pStyle w:val="style66"/>
        <w:spacing w:after="0" w:lineRule="auto" w:line="360"/>
        <w:ind w:left="520" w:right="113"/>
        <w:rPr>
          <w:rFonts w:eastAsia="仿宋_GB2312" w:hint="default"/>
          <w:color w:val="auto"/>
        </w:rPr>
      </w:pPr>
      <w:r>
        <w:rPr>
          <w:rFonts w:eastAsia="仿宋_GB2312"/>
          <w:color w:val="auto"/>
        </w:rPr>
        <w:t>4．如我方中标，我方承诺：</w:t>
      </w:r>
    </w:p>
    <w:p>
      <w:pPr>
        <w:pStyle w:val="style66"/>
        <w:spacing w:after="0" w:lineRule="auto" w:line="360"/>
        <w:ind w:left="940" w:right="113"/>
        <w:rPr>
          <w:rFonts w:eastAsia="仿宋_GB2312" w:hint="default"/>
          <w:color w:val="auto"/>
        </w:rPr>
      </w:pPr>
      <w:r>
        <w:rPr>
          <w:rFonts w:eastAsia="仿宋_GB2312"/>
          <w:color w:val="auto"/>
        </w:rPr>
        <w:t>（1）在收到中标通知书后，在中标通知书规定的期限内与你方签订合同；</w:t>
      </w:r>
    </w:p>
    <w:p>
      <w:pPr>
        <w:pStyle w:val="style66"/>
        <w:spacing w:after="0" w:lineRule="auto" w:line="360"/>
        <w:ind w:left="940" w:right="113"/>
        <w:rPr>
          <w:rFonts w:eastAsia="仿宋_GB2312" w:hint="default"/>
          <w:color w:val="auto"/>
        </w:rPr>
      </w:pPr>
      <w:r>
        <w:rPr>
          <w:rFonts w:eastAsia="仿宋_GB2312"/>
          <w:color w:val="auto"/>
        </w:rPr>
        <w:t>（2）在签订合同时不向你方提出附加条件；</w:t>
      </w:r>
    </w:p>
    <w:p>
      <w:pPr>
        <w:pStyle w:val="style66"/>
        <w:spacing w:after="0" w:lineRule="auto" w:line="360"/>
        <w:ind w:left="940" w:right="113"/>
        <w:rPr>
          <w:rFonts w:eastAsia="仿宋_GB2312" w:hint="default"/>
          <w:color w:val="auto"/>
        </w:rPr>
      </w:pPr>
      <w:r>
        <w:rPr>
          <w:rFonts w:eastAsia="仿宋_GB2312"/>
          <w:color w:val="auto"/>
        </w:rPr>
        <w:t>（3）按照招标文件要求提交履约保证金；</w:t>
      </w:r>
    </w:p>
    <w:p>
      <w:pPr>
        <w:pStyle w:val="style66"/>
        <w:spacing w:after="0" w:lineRule="auto" w:line="360"/>
        <w:ind w:left="940" w:right="113"/>
        <w:rPr>
          <w:rFonts w:eastAsia="仿宋_GB2312" w:hint="default"/>
          <w:color w:val="auto"/>
        </w:rPr>
      </w:pPr>
      <w:r>
        <w:rPr>
          <w:rFonts w:eastAsia="仿宋_GB2312"/>
          <w:color w:val="auto"/>
        </w:rPr>
        <w:t>（4）在合同约定的期限内完成合同规定的全部义务。</w:t>
      </w:r>
    </w:p>
    <w:p>
      <w:pPr>
        <w:pStyle w:val="style66"/>
        <w:spacing w:after="0" w:lineRule="auto" w:line="360"/>
        <w:ind w:left="100" w:right="113" w:firstLine="419"/>
        <w:rPr>
          <w:rFonts w:eastAsia="仿宋_GB2312" w:hint="default"/>
          <w:color w:val="auto"/>
        </w:rPr>
      </w:pPr>
      <w:r>
        <w:rPr>
          <w:rFonts w:eastAsia="仿宋_GB2312"/>
          <w:color w:val="auto"/>
          <w:spacing w:val="-4"/>
        </w:rPr>
        <w:t xml:space="preserve">5．我方在此声明，所递交的响应文件及有关资料内容完整、真实和准确，且不存在第二章 </w:t>
      </w:r>
      <w:r>
        <w:rPr>
          <w:rFonts w:eastAsia="仿宋_GB2312"/>
          <w:color w:val="auto"/>
        </w:rPr>
        <w:t>“投标人须知”第</w:t>
      </w:r>
      <w:r>
        <w:rPr>
          <w:rFonts w:eastAsia="仿宋_GB2312"/>
          <w:color w:val="auto"/>
          <w:spacing w:val="-55"/>
        </w:rPr>
        <w:t xml:space="preserve"> </w:t>
      </w:r>
      <w:r>
        <w:rPr>
          <w:rFonts w:eastAsia="仿宋_GB2312"/>
          <w:color w:val="auto"/>
        </w:rPr>
        <w:t>1.4.3 项规定的任何一种情形。</w:t>
      </w:r>
    </w:p>
    <w:p>
      <w:pPr>
        <w:pStyle w:val="style0"/>
        <w:ind w:firstLine="600" w:firstLineChars="250"/>
        <w:rPr>
          <w:rFonts w:eastAsia="仿宋_GB2312" w:hint="default"/>
          <w:color w:val="auto"/>
        </w:rPr>
      </w:pPr>
      <w:r>
        <w:rPr>
          <w:rFonts w:eastAsia="仿宋_GB2312"/>
          <w:color w:val="auto"/>
        </w:rPr>
        <w:t>6．</w:t>
      </w:r>
      <w:r>
        <w:rPr>
          <w:rFonts w:eastAsia="仿宋_GB2312"/>
          <w:color w:val="auto"/>
          <w:u w:val="single"/>
        </w:rPr>
        <w:t xml:space="preserve">                 </w:t>
      </w:r>
      <w:r>
        <w:rPr>
          <w:rFonts w:eastAsia="仿宋_GB2312"/>
          <w:color w:val="auto"/>
        </w:rPr>
        <w:t>（其</w:t>
      </w:r>
      <w:r>
        <w:rPr>
          <w:rFonts w:eastAsia="仿宋_GB2312"/>
          <w:color w:val="auto"/>
          <w:spacing w:val="-3"/>
        </w:rPr>
        <w:t>他</w:t>
      </w:r>
      <w:r>
        <w:rPr>
          <w:rFonts w:eastAsia="仿宋_GB2312"/>
          <w:color w:val="auto"/>
        </w:rPr>
        <w:t>补</w:t>
      </w:r>
      <w:r>
        <w:rPr>
          <w:rFonts w:eastAsia="仿宋_GB2312"/>
          <w:color w:val="auto"/>
          <w:spacing w:val="-3"/>
        </w:rPr>
        <w:t>充</w:t>
      </w:r>
      <w:r>
        <w:rPr>
          <w:rFonts w:eastAsia="仿宋_GB2312"/>
          <w:color w:val="auto"/>
        </w:rPr>
        <w:t>说</w:t>
      </w:r>
      <w:r>
        <w:rPr>
          <w:rFonts w:eastAsia="仿宋_GB2312"/>
          <w:color w:val="auto"/>
          <w:spacing w:val="-3"/>
        </w:rPr>
        <w:t>明</w:t>
      </w:r>
      <w:r>
        <w:rPr>
          <w:rFonts w:eastAsia="仿宋_GB2312"/>
          <w:color w:val="auto"/>
        </w:rPr>
        <w:t>）。</w:t>
      </w:r>
    </w:p>
    <w:p>
      <w:pPr>
        <w:pStyle w:val="style0"/>
        <w:ind w:firstLine="480" w:firstLineChars="200"/>
        <w:rPr>
          <w:rFonts w:eastAsia="仿宋_GB2312" w:hint="default"/>
          <w:color w:val="auto"/>
          <w:szCs w:val="21"/>
        </w:rPr>
      </w:pPr>
    </w:p>
    <w:p>
      <w:pPr>
        <w:pStyle w:val="style0"/>
        <w:ind w:firstLine="480" w:firstLineChars="200"/>
        <w:rPr>
          <w:rFonts w:eastAsia="仿宋_GB2312" w:hint="default"/>
          <w:color w:val="auto"/>
          <w:szCs w:val="21"/>
          <w:u w:val="single"/>
        </w:rPr>
      </w:pPr>
      <w:r>
        <w:rPr>
          <w:rFonts w:eastAsia="仿宋_GB2312"/>
          <w:color w:val="auto"/>
          <w:szCs w:val="21"/>
        </w:rPr>
        <w:t>投标人（盖单位章）：</w:t>
      </w:r>
    </w:p>
    <w:p>
      <w:pPr>
        <w:pStyle w:val="style0"/>
        <w:ind w:firstLine="480" w:firstLineChars="200"/>
        <w:rPr>
          <w:rFonts w:eastAsia="仿宋_GB2312" w:hint="default"/>
          <w:color w:val="auto"/>
          <w:szCs w:val="21"/>
        </w:rPr>
      </w:pPr>
    </w:p>
    <w:p>
      <w:pPr>
        <w:pStyle w:val="style0"/>
        <w:ind w:firstLine="480" w:firstLineChars="200"/>
        <w:rPr>
          <w:rFonts w:eastAsia="仿宋_GB2312" w:hint="default"/>
          <w:color w:val="auto"/>
          <w:szCs w:val="21"/>
        </w:rPr>
      </w:pPr>
      <w:r>
        <w:rPr>
          <w:rFonts w:eastAsia="仿宋_GB2312"/>
          <w:color w:val="auto"/>
          <w:szCs w:val="21"/>
        </w:rPr>
        <w:t>法定代表人或委托代理人（签字或盖章）：</w:t>
      </w:r>
    </w:p>
    <w:p>
      <w:pPr>
        <w:pStyle w:val="style0"/>
        <w:ind w:firstLine="480" w:firstLineChars="200"/>
        <w:rPr>
          <w:rFonts w:eastAsia="仿宋_GB2312" w:hint="default"/>
          <w:color w:val="auto"/>
          <w:szCs w:val="21"/>
        </w:rPr>
      </w:pPr>
      <w:r>
        <w:rPr>
          <w:rFonts w:eastAsia="仿宋_GB2312"/>
          <w:color w:val="auto"/>
          <w:szCs w:val="21"/>
        </w:rPr>
        <w:t>日期：   年  月  日</w:t>
      </w:r>
    </w:p>
    <w:p>
      <w:pPr>
        <w:pStyle w:val="style0"/>
        <w:ind w:firstLine="480" w:firstLineChars="200"/>
        <w:rPr>
          <w:rFonts w:eastAsia="仿宋_GB2312" w:hint="default"/>
          <w:color w:val="auto"/>
          <w:szCs w:val="21"/>
        </w:rPr>
      </w:pPr>
    </w:p>
    <w:p>
      <w:pPr>
        <w:pStyle w:val="style0"/>
        <w:ind w:firstLine="480" w:firstLineChars="200"/>
        <w:jc w:val="center"/>
        <w:rPr>
          <w:rFonts w:eastAsia="仿宋_GB2312" w:hint="default"/>
          <w:color w:val="auto"/>
          <w:szCs w:val="21"/>
        </w:rPr>
      </w:pPr>
    </w:p>
    <w:bookmarkStart w:id="162" w:name="_Toc9178580"/>
    <w:bookmarkStart w:id="163" w:name="_Toc300678570"/>
    <w:bookmarkStart w:id="164" w:name="_Toc27550618"/>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bCs w:val="false"/>
          <w:color w:val="auto"/>
          <w:sz w:val="30"/>
        </w:rPr>
        <w:t>2.法定代表人身份证明</w:t>
      </w:r>
      <w:bookmarkEnd w:id="162"/>
      <w:bookmarkEnd w:id="163"/>
      <w:bookmarkEnd w:id="164"/>
    </w:p>
    <w:p>
      <w:pPr>
        <w:pStyle w:val="style0"/>
        <w:topLinePunct/>
        <w:spacing w:lineRule="auto" w:line="360"/>
        <w:ind w:firstLine="420"/>
        <w:rPr>
          <w:rFonts w:eastAsia="仿宋_GB2312" w:hint="default"/>
          <w:color w:val="auto"/>
          <w:kern w:val="0"/>
          <w:szCs w:val="21"/>
        </w:rPr>
      </w:pPr>
    </w:p>
    <w:p>
      <w:pPr>
        <w:pStyle w:val="style0"/>
        <w:topLinePunct/>
        <w:spacing w:lineRule="auto" w:line="360"/>
        <w:ind w:firstLine="420"/>
        <w:rPr>
          <w:rFonts w:eastAsia="仿宋_GB2312" w:hint="default"/>
          <w:color w:val="auto"/>
          <w:kern w:val="0"/>
          <w:szCs w:val="21"/>
          <w:u w:val="single"/>
        </w:rPr>
      </w:pPr>
      <w:r>
        <w:rPr>
          <w:rFonts w:eastAsia="仿宋_GB2312"/>
          <w:color w:val="auto"/>
          <w:kern w:val="0"/>
          <w:szCs w:val="21"/>
        </w:rPr>
        <w:t>投标人名称：</w:t>
      </w:r>
    </w:p>
    <w:p>
      <w:pPr>
        <w:pStyle w:val="style0"/>
        <w:topLinePunct/>
        <w:spacing w:lineRule="auto" w:line="360"/>
        <w:ind w:firstLine="420"/>
        <w:rPr>
          <w:rFonts w:eastAsia="仿宋_GB2312" w:hint="default"/>
          <w:color w:val="auto"/>
          <w:kern w:val="0"/>
          <w:szCs w:val="21"/>
        </w:rPr>
      </w:pPr>
      <w:r>
        <w:rPr>
          <w:rFonts w:eastAsia="仿宋_GB2312"/>
          <w:color w:val="auto"/>
          <w:kern w:val="0"/>
          <w:szCs w:val="21"/>
        </w:rPr>
        <w:t>单位性质：</w:t>
      </w:r>
    </w:p>
    <w:p>
      <w:pPr>
        <w:pStyle w:val="style0"/>
        <w:topLinePunct/>
        <w:spacing w:lineRule="auto" w:line="360"/>
        <w:ind w:firstLine="420"/>
        <w:rPr>
          <w:rFonts w:eastAsia="仿宋_GB2312" w:hint="default"/>
          <w:color w:val="auto"/>
          <w:kern w:val="0"/>
          <w:szCs w:val="21"/>
        </w:rPr>
      </w:pPr>
      <w:r>
        <w:rPr>
          <w:rFonts w:eastAsia="仿宋_GB2312"/>
          <w:color w:val="auto"/>
          <w:kern w:val="0"/>
          <w:szCs w:val="21"/>
        </w:rPr>
        <w:t>成立时间：    年   月  日</w:t>
      </w:r>
    </w:p>
    <w:p>
      <w:pPr>
        <w:pStyle w:val="style0"/>
        <w:topLinePunct/>
        <w:spacing w:lineRule="auto" w:line="360"/>
        <w:ind w:firstLine="420"/>
        <w:rPr>
          <w:rFonts w:eastAsia="仿宋_GB2312" w:hint="default"/>
          <w:color w:val="auto"/>
          <w:kern w:val="0"/>
          <w:szCs w:val="21"/>
        </w:rPr>
      </w:pPr>
      <w:r>
        <w:rPr>
          <w:rFonts w:eastAsia="仿宋_GB2312"/>
          <w:color w:val="auto"/>
          <w:kern w:val="0"/>
          <w:szCs w:val="21"/>
        </w:rPr>
        <w:t>经营期限：</w:t>
      </w:r>
    </w:p>
    <w:p>
      <w:pPr>
        <w:pStyle w:val="style0"/>
        <w:topLinePunct/>
        <w:spacing w:lineRule="auto" w:line="360"/>
        <w:ind w:firstLine="420"/>
        <w:rPr>
          <w:rFonts w:eastAsia="仿宋_GB2312" w:hint="default"/>
          <w:color w:val="auto"/>
          <w:kern w:val="0"/>
          <w:szCs w:val="21"/>
          <w:u w:val="single"/>
        </w:rPr>
      </w:pPr>
      <w:r>
        <w:rPr>
          <w:rFonts w:eastAsia="仿宋_GB2312"/>
          <w:color w:val="auto"/>
          <w:kern w:val="0"/>
          <w:szCs w:val="21"/>
        </w:rPr>
        <w:t>姓名：           性别：               年龄：            职务：</w:t>
      </w:r>
    </w:p>
    <w:p>
      <w:pPr>
        <w:pStyle w:val="style0"/>
        <w:topLinePunct/>
        <w:spacing w:lineRule="auto" w:line="360"/>
        <w:ind w:firstLine="420"/>
        <w:rPr>
          <w:rFonts w:eastAsia="仿宋_GB2312" w:hint="default"/>
          <w:color w:val="auto"/>
          <w:kern w:val="0"/>
          <w:szCs w:val="21"/>
        </w:rPr>
      </w:pPr>
      <w:r>
        <w:rPr>
          <w:rFonts w:eastAsia="仿宋_GB2312"/>
          <w:color w:val="auto"/>
          <w:kern w:val="0"/>
          <w:szCs w:val="21"/>
        </w:rPr>
        <w:t>系</w:t>
      </w:r>
      <w:r>
        <w:rPr>
          <w:rFonts w:eastAsia="仿宋_GB2312"/>
          <w:color w:val="auto"/>
          <w:kern w:val="0"/>
          <w:szCs w:val="21"/>
          <w:u w:val="single"/>
        </w:rPr>
        <w:t xml:space="preserve">                          </w:t>
      </w:r>
      <w:r>
        <w:rPr>
          <w:rFonts w:eastAsia="仿宋_GB2312"/>
          <w:color w:val="auto"/>
          <w:kern w:val="0"/>
          <w:szCs w:val="21"/>
        </w:rPr>
        <w:t>（投标人名称）的法定代表人。</w:t>
      </w:r>
    </w:p>
    <w:p>
      <w:pPr>
        <w:pStyle w:val="style0"/>
        <w:topLinePunct/>
        <w:spacing w:lineRule="auto" w:line="360"/>
        <w:ind w:firstLine="420"/>
        <w:rPr>
          <w:rFonts w:eastAsia="仿宋_GB2312" w:hint="default"/>
          <w:color w:val="auto"/>
          <w:kern w:val="0"/>
          <w:szCs w:val="21"/>
        </w:rPr>
      </w:pPr>
      <w:r>
        <w:rPr>
          <w:rFonts w:eastAsia="仿宋_GB2312"/>
          <w:color w:val="auto"/>
          <w:kern w:val="0"/>
          <w:szCs w:val="21"/>
        </w:rPr>
        <w:t xml:space="preserve">    特此证明。</w:t>
      </w:r>
    </w:p>
    <w:p>
      <w:pPr>
        <w:pStyle w:val="style0"/>
        <w:topLinePunct/>
        <w:rPr>
          <w:rFonts w:eastAsia="仿宋_GB2312" w:hint="default"/>
          <w:color w:val="auto"/>
          <w:kern w:val="0"/>
          <w:szCs w:val="21"/>
        </w:rPr>
      </w:pPr>
    </w:p>
    <w:p>
      <w:pPr>
        <w:pStyle w:val="style0"/>
        <w:topLinePunct/>
        <w:ind w:firstLine="480" w:firstLineChars="200"/>
        <w:rPr>
          <w:rFonts w:eastAsia="仿宋_GB2312" w:hint="default"/>
          <w:color w:val="auto"/>
          <w:kern w:val="0"/>
          <w:szCs w:val="21"/>
        </w:rPr>
      </w:pPr>
      <w:r>
        <w:rPr>
          <w:rFonts w:eastAsia="仿宋_GB2312"/>
          <w:color w:val="auto"/>
          <w:kern w:val="0"/>
          <w:szCs w:val="21"/>
        </w:rPr>
        <w:t>附：法定代表人身份证明</w:t>
      </w:r>
    </w:p>
    <w:p>
      <w:pPr>
        <w:pStyle w:val="style0"/>
        <w:topLinePunct/>
        <w:spacing w:lineRule="atLeast" w:line="440"/>
        <w:ind w:firstLine="610"/>
        <w:rPr>
          <w:rFonts w:hint="default"/>
          <w:color w:val="auto"/>
          <w:kern w:val="0"/>
          <w:szCs w:val="21"/>
        </w:rPr>
      </w:pPr>
    </w:p>
    <w:tbl>
      <w:tblPr>
        <w:tblStyle w:val="style105"/>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4260"/>
        <w:gridCol w:w="4047"/>
      </w:tblGrid>
      <w:tr>
        <w:trPr>
          <w:trHeight w:val="2526" w:hRule="atLeast"/>
        </w:trPr>
        <w:tc>
          <w:tcPr>
            <w:tcW w:w="4260" w:type="dxa"/>
            <w:tcBorders/>
            <w:vAlign w:val="center"/>
          </w:tcPr>
          <w:p>
            <w:pPr>
              <w:pStyle w:val="style0"/>
              <w:snapToGrid w:val="false"/>
              <w:spacing w:lineRule="auto" w:line="360"/>
              <w:jc w:val="center"/>
              <w:rPr>
                <w:rFonts w:hint="default"/>
                <w:color w:val="auto"/>
                <w:szCs w:val="21"/>
              </w:rPr>
            </w:pPr>
            <w:r>
              <w:rPr>
                <w:rFonts w:eastAsia="仿宋_GB2312"/>
                <w:color w:val="auto"/>
                <w:szCs w:val="21"/>
              </w:rPr>
              <w:t>法定代表人二代身份证复印件（正面）</w:t>
            </w:r>
          </w:p>
        </w:tc>
        <w:tc>
          <w:tcPr>
            <w:tcW w:w="4047" w:type="dxa"/>
            <w:tcBorders/>
            <w:vAlign w:val="center"/>
          </w:tcPr>
          <w:p>
            <w:pPr>
              <w:pStyle w:val="style0"/>
              <w:snapToGrid w:val="false"/>
              <w:spacing w:lineRule="auto" w:line="360"/>
              <w:jc w:val="center"/>
              <w:rPr>
                <w:rFonts w:hint="default"/>
                <w:color w:val="auto"/>
                <w:szCs w:val="21"/>
              </w:rPr>
            </w:pPr>
            <w:r>
              <w:rPr>
                <w:rFonts w:eastAsia="仿宋_GB2312"/>
                <w:color w:val="auto"/>
                <w:szCs w:val="21"/>
              </w:rPr>
              <w:t>法定代表人二代身份证复印件（反面）</w:t>
            </w:r>
          </w:p>
        </w:tc>
      </w:tr>
    </w:tbl>
    <w:p>
      <w:pPr>
        <w:pStyle w:val="style0"/>
        <w:topLinePunct/>
        <w:spacing w:lineRule="atLeast" w:line="440"/>
        <w:ind w:firstLine="2879"/>
        <w:rPr>
          <w:rFonts w:eastAsia="仿宋_GB2312" w:hint="default"/>
          <w:color w:val="auto"/>
          <w:kern w:val="0"/>
          <w:szCs w:val="21"/>
        </w:rPr>
      </w:pPr>
    </w:p>
    <w:p>
      <w:pPr>
        <w:pStyle w:val="style0"/>
        <w:topLinePunct/>
        <w:spacing w:lineRule="atLeast" w:line="440"/>
        <w:rPr>
          <w:rFonts w:eastAsia="仿宋_GB2312" w:hint="default"/>
          <w:color w:val="auto"/>
          <w:kern w:val="0"/>
          <w:szCs w:val="21"/>
        </w:rPr>
      </w:pPr>
      <w:r>
        <w:rPr>
          <w:rFonts w:eastAsia="仿宋_GB2312"/>
          <w:color w:val="auto"/>
          <w:kern w:val="0"/>
          <w:szCs w:val="21"/>
        </w:rPr>
        <w:t xml:space="preserve">              投标人：（盖单位章）</w:t>
      </w:r>
    </w:p>
    <w:p>
      <w:pPr>
        <w:pStyle w:val="style0"/>
        <w:topLinePunct/>
        <w:spacing w:lineRule="atLeast" w:line="440"/>
        <w:rPr>
          <w:rFonts w:eastAsia="仿宋_GB2312" w:hint="default"/>
          <w:color w:val="auto"/>
          <w:kern w:val="0"/>
          <w:szCs w:val="21"/>
        </w:rPr>
      </w:pPr>
    </w:p>
    <w:p>
      <w:pPr>
        <w:pStyle w:val="style0"/>
        <w:topLinePunct/>
        <w:spacing w:lineRule="atLeast" w:line="440"/>
        <w:ind w:firstLine="3600" w:firstLineChars="1500"/>
        <w:jc w:val="right"/>
        <w:rPr>
          <w:rFonts w:eastAsia="仿宋_GB2312" w:hint="default"/>
          <w:color w:val="auto"/>
          <w:kern w:val="0"/>
          <w:szCs w:val="21"/>
        </w:rPr>
      </w:pPr>
      <w:r>
        <w:rPr>
          <w:rFonts w:eastAsia="仿宋_GB2312"/>
          <w:color w:val="auto"/>
          <w:kern w:val="0"/>
          <w:szCs w:val="21"/>
        </w:rPr>
        <w:t xml:space="preserve">     年   月   日</w:t>
      </w:r>
      <w:bookmarkStart w:id="165" w:name="_Toc300678571"/>
    </w:p>
    <w:p>
      <w:pPr>
        <w:pStyle w:val="style0"/>
        <w:topLinePunct/>
        <w:spacing w:lineRule="atLeast" w:line="440"/>
        <w:jc w:val="left"/>
        <w:rPr>
          <w:rFonts w:eastAsia="仿宋_GB2312" w:hint="default"/>
          <w:color w:val="auto"/>
          <w:kern w:val="0"/>
        </w:rPr>
      </w:pPr>
      <w:r>
        <w:rPr>
          <w:rFonts w:eastAsia="仿宋_GB2312"/>
          <w:color w:val="auto"/>
          <w:kern w:val="0"/>
        </w:rPr>
        <w:t>说明：1.复印件是指复印件或扫描件或影印件，下同。</w:t>
      </w:r>
    </w:p>
    <w:p>
      <w:pPr>
        <w:pStyle w:val="style0"/>
        <w:topLinePunct/>
        <w:spacing w:lineRule="atLeast" w:line="440"/>
        <w:ind w:firstLine="720" w:firstLineChars="300"/>
        <w:jc w:val="left"/>
        <w:rPr>
          <w:rFonts w:eastAsia="仿宋_GB2312" w:hint="default"/>
          <w:bCs/>
          <w:color w:val="auto"/>
          <w:kern w:val="0"/>
          <w:u w:val="single"/>
        </w:rPr>
      </w:pPr>
      <w:r>
        <w:rPr>
          <w:rFonts w:eastAsia="仿宋_GB2312"/>
          <w:color w:val="auto"/>
          <w:kern w:val="0"/>
        </w:rPr>
        <w:t>2.</w:t>
      </w:r>
      <w:r>
        <w:rPr>
          <w:rFonts w:eastAsia="仿宋_GB2312"/>
          <w:bCs/>
          <w:color w:val="auto"/>
          <w:kern w:val="0"/>
        </w:rPr>
        <w:t>由法定代表人参加开标会议的，请按投标人须知前附表的规定另行准备法定代表人身份证明原件一份，在参加现场开标会时单独提交（适用于本文件第二章 投标人须知前附表“要求投标人代表出席开标会”的项目）。</w:t>
      </w:r>
    </w:p>
    <w:bookmarkStart w:id="166" w:name="_Toc27550619"/>
    <w:bookmarkStart w:id="167" w:name="_Toc9178581"/>
    <w:p>
      <w:pPr>
        <w:pStyle w:val="style2"/>
        <w:keepNext w:val="false"/>
        <w:keepLines w:val="false"/>
        <w:spacing w:before="0" w:after="0" w:lineRule="auto" w:line="360"/>
        <w:jc w:val="center"/>
        <w:rPr>
          <w:rFonts w:ascii="黑体" w:eastAsia="黑体" w:hAnsi="黑体" w:hint="default"/>
          <w:bCs w:val="false"/>
          <w:color w:val="auto"/>
          <w:sz w:val="30"/>
        </w:rPr>
      </w:pPr>
    </w:p>
    <w:p>
      <w:pPr>
        <w:pStyle w:val="style2"/>
        <w:keepNext w:val="false"/>
        <w:keepLines w:val="false"/>
        <w:spacing w:before="0" w:after="0" w:lineRule="auto" w:line="360"/>
        <w:jc w:val="center"/>
        <w:rPr>
          <w:rFonts w:ascii="黑体" w:eastAsia="黑体" w:hAnsi="黑体" w:hint="default"/>
          <w:bCs w:val="false"/>
          <w:color w:val="auto"/>
          <w:sz w:val="30"/>
        </w:rPr>
      </w:pPr>
    </w:p>
    <w:p>
      <w:pPr>
        <w:pStyle w:val="style2"/>
        <w:keepNext w:val="false"/>
        <w:keepLines w:val="false"/>
        <w:spacing w:before="0" w:after="0" w:lineRule="auto" w:line="360"/>
        <w:jc w:val="center"/>
        <w:rPr>
          <w:rFonts w:ascii="黑体" w:eastAsia="黑体" w:hAnsi="黑体" w:hint="default"/>
          <w:bCs w:val="false"/>
          <w:color w:val="auto"/>
          <w:sz w:val="30"/>
        </w:rPr>
      </w:pPr>
    </w:p>
    <w:p>
      <w:pPr>
        <w:pStyle w:val="style2"/>
        <w:keepNext w:val="false"/>
        <w:keepLines w:val="false"/>
        <w:spacing w:before="0" w:after="0" w:lineRule="auto" w:line="360"/>
        <w:jc w:val="center"/>
        <w:rPr>
          <w:rFonts w:ascii="黑体" w:eastAsia="黑体" w:hAnsi="黑体" w:hint="default"/>
          <w:bCs w:val="false"/>
          <w:color w:val="auto"/>
          <w:sz w:val="30"/>
        </w:rPr>
      </w:pPr>
    </w:p>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bCs w:val="false"/>
          <w:color w:val="auto"/>
          <w:sz w:val="30"/>
        </w:rPr>
        <w:t>3.授权委托书</w:t>
      </w:r>
      <w:bookmarkEnd w:id="165"/>
      <w:bookmarkEnd w:id="166"/>
      <w:bookmarkEnd w:id="167"/>
    </w:p>
    <w:p>
      <w:pPr>
        <w:pStyle w:val="style0"/>
        <w:topLinePunct/>
        <w:spacing w:lineRule="exact" w:line="440"/>
        <w:ind w:firstLine="480" w:firstLineChars="200"/>
        <w:rPr>
          <w:rFonts w:eastAsia="仿宋_GB2312" w:hint="default"/>
          <w:color w:val="auto"/>
          <w:kern w:val="0"/>
          <w:szCs w:val="21"/>
        </w:rPr>
      </w:pPr>
      <w:r>
        <w:rPr>
          <w:rFonts w:eastAsia="仿宋_GB2312"/>
          <w:color w:val="auto"/>
          <w:kern w:val="0"/>
          <w:szCs w:val="21"/>
        </w:rPr>
        <w:t>本人</w:t>
      </w:r>
      <w:r>
        <w:rPr>
          <w:rFonts w:eastAsia="仿宋_GB2312"/>
          <w:color w:val="auto"/>
          <w:kern w:val="0"/>
          <w:szCs w:val="21"/>
          <w:u w:val="single"/>
        </w:rPr>
        <w:t xml:space="preserve">     </w:t>
      </w:r>
      <w:r>
        <w:rPr>
          <w:rFonts w:eastAsia="仿宋_GB2312"/>
          <w:color w:val="auto"/>
          <w:kern w:val="0"/>
          <w:szCs w:val="21"/>
        </w:rPr>
        <w:t>（姓名）系</w:t>
      </w:r>
      <w:r>
        <w:rPr>
          <w:rFonts w:eastAsia="仿宋_GB2312"/>
          <w:color w:val="auto"/>
          <w:kern w:val="0"/>
          <w:szCs w:val="21"/>
          <w:u w:val="single"/>
        </w:rPr>
        <w:t xml:space="preserve">     </w:t>
      </w:r>
      <w:r>
        <w:rPr>
          <w:rFonts w:eastAsia="仿宋_GB2312"/>
          <w:color w:val="auto"/>
          <w:kern w:val="0"/>
          <w:szCs w:val="21"/>
        </w:rPr>
        <w:t>（投标人名称）的法定代表人，现委托</w:t>
      </w:r>
      <w:r>
        <w:rPr>
          <w:rFonts w:eastAsia="仿宋_GB2312"/>
          <w:color w:val="auto"/>
          <w:kern w:val="0"/>
          <w:szCs w:val="21"/>
          <w:u w:val="single"/>
        </w:rPr>
        <w:t xml:space="preserve">    </w:t>
      </w:r>
      <w:r>
        <w:rPr>
          <w:rFonts w:eastAsia="仿宋_GB2312"/>
          <w:color w:val="auto"/>
          <w:kern w:val="0"/>
          <w:szCs w:val="21"/>
        </w:rPr>
        <w:t>（姓名）为我方代理人。代理人根据授权，以我方名义签署、澄清、说明、补正、递交、撤回、修改</w:t>
      </w:r>
      <w:r>
        <w:rPr>
          <w:rFonts w:eastAsia="仿宋_GB2312"/>
          <w:color w:val="auto"/>
          <w:kern w:val="0"/>
          <w:szCs w:val="21"/>
          <w:u w:val="single"/>
        </w:rPr>
        <w:t xml:space="preserve">    </w:t>
      </w:r>
      <w:r>
        <w:rPr>
          <w:rFonts w:eastAsia="仿宋_GB2312"/>
          <w:color w:val="auto"/>
          <w:kern w:val="0"/>
          <w:szCs w:val="21"/>
        </w:rPr>
        <w:t>（招标项目）</w:t>
      </w:r>
      <w:r>
        <w:rPr>
          <w:rFonts w:eastAsia="仿宋_GB2312"/>
          <w:color w:val="auto"/>
          <w:kern w:val="0"/>
          <w:szCs w:val="21"/>
          <w:u w:val="single"/>
        </w:rPr>
        <w:t xml:space="preserve">  监理</w:t>
      </w:r>
      <w:r>
        <w:rPr>
          <w:rFonts w:eastAsia="仿宋_GB2312"/>
          <w:color w:val="auto"/>
          <w:kern w:val="0"/>
          <w:szCs w:val="21"/>
        </w:rPr>
        <w:t>招标响应文件，其法律后果由我方承担。</w:t>
      </w:r>
    </w:p>
    <w:p>
      <w:pPr>
        <w:pStyle w:val="style0"/>
        <w:topLinePunct/>
        <w:spacing w:lineRule="exact" w:line="440"/>
        <w:ind w:firstLine="480" w:firstLineChars="200"/>
        <w:rPr>
          <w:rFonts w:eastAsia="仿宋_GB2312" w:hint="default"/>
          <w:color w:val="auto"/>
          <w:kern w:val="0"/>
          <w:szCs w:val="21"/>
          <w:u w:val="single"/>
        </w:rPr>
      </w:pPr>
      <w:r>
        <w:rPr>
          <w:rFonts w:eastAsia="仿宋_GB2312"/>
          <w:color w:val="auto"/>
          <w:kern w:val="0"/>
          <w:szCs w:val="21"/>
        </w:rPr>
        <w:t>委托期限：</w:t>
      </w:r>
      <w:r>
        <w:rPr>
          <w:rFonts w:eastAsia="仿宋_GB2312"/>
          <w:color w:val="auto"/>
          <w:kern w:val="0"/>
          <w:szCs w:val="21"/>
          <w:u w:val="single"/>
        </w:rPr>
        <w:t xml:space="preserve">                    </w:t>
      </w:r>
      <w:r>
        <w:rPr>
          <w:rFonts w:eastAsia="仿宋_GB2312"/>
          <w:color w:val="auto"/>
          <w:kern w:val="0"/>
          <w:szCs w:val="21"/>
        </w:rPr>
        <w:t>。</w:t>
      </w:r>
    </w:p>
    <w:p>
      <w:pPr>
        <w:pStyle w:val="style0"/>
        <w:topLinePunct/>
        <w:spacing w:lineRule="exact" w:line="440"/>
        <w:ind w:firstLine="480" w:firstLineChars="200"/>
        <w:rPr>
          <w:rFonts w:eastAsia="仿宋_GB2312" w:hint="default"/>
          <w:color w:val="auto"/>
          <w:kern w:val="0"/>
          <w:szCs w:val="21"/>
        </w:rPr>
      </w:pPr>
      <w:r>
        <w:rPr>
          <w:rFonts w:eastAsia="仿宋_GB2312"/>
          <w:color w:val="auto"/>
          <w:kern w:val="0"/>
          <w:szCs w:val="21"/>
        </w:rPr>
        <w:t>代理人无转委托权。</w:t>
      </w:r>
    </w:p>
    <w:p>
      <w:pPr>
        <w:pStyle w:val="style0"/>
        <w:topLinePunct/>
        <w:spacing w:lineRule="exact" w:line="440"/>
        <w:ind w:firstLine="610"/>
        <w:rPr>
          <w:rFonts w:hint="default"/>
          <w:color w:val="auto"/>
          <w:kern w:val="0"/>
          <w:szCs w:val="21"/>
        </w:rPr>
      </w:pPr>
      <w:r>
        <w:rPr>
          <w:rFonts w:eastAsia="仿宋_GB2312"/>
          <w:color w:val="auto"/>
          <w:kern w:val="0"/>
          <w:szCs w:val="21"/>
        </w:rPr>
        <w:t>附：法定代表人及委托代理人身份证明</w:t>
      </w:r>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4260"/>
        <w:gridCol w:w="4047"/>
      </w:tblGrid>
      <w:tr>
        <w:trPr>
          <w:trHeight w:val="2526" w:hRule="atLeast"/>
          <w:jc w:val="center"/>
        </w:trPr>
        <w:tc>
          <w:tcPr>
            <w:tcW w:w="4260" w:type="dxa"/>
            <w:tcBorders/>
            <w:vAlign w:val="center"/>
          </w:tcPr>
          <w:p>
            <w:pPr>
              <w:pStyle w:val="style0"/>
              <w:snapToGrid w:val="false"/>
              <w:spacing w:lineRule="auto" w:line="360"/>
              <w:jc w:val="center"/>
              <w:rPr>
                <w:rFonts w:hint="default"/>
                <w:color w:val="auto"/>
                <w:szCs w:val="21"/>
              </w:rPr>
            </w:pPr>
            <w:r>
              <w:rPr>
                <w:rFonts w:eastAsia="仿宋_GB2312"/>
                <w:color w:val="auto"/>
                <w:szCs w:val="21"/>
              </w:rPr>
              <w:t>法定代表人二代身份证复印件（正面）</w:t>
            </w:r>
          </w:p>
        </w:tc>
        <w:tc>
          <w:tcPr>
            <w:tcW w:w="4047" w:type="dxa"/>
            <w:tcBorders/>
            <w:vAlign w:val="center"/>
          </w:tcPr>
          <w:p>
            <w:pPr>
              <w:pStyle w:val="style0"/>
              <w:snapToGrid w:val="false"/>
              <w:spacing w:lineRule="auto" w:line="360"/>
              <w:jc w:val="center"/>
              <w:rPr>
                <w:rFonts w:hint="default"/>
                <w:color w:val="auto"/>
                <w:szCs w:val="21"/>
              </w:rPr>
            </w:pPr>
            <w:r>
              <w:rPr>
                <w:rFonts w:eastAsia="仿宋_GB2312"/>
                <w:color w:val="auto"/>
                <w:szCs w:val="21"/>
              </w:rPr>
              <w:t>法定代表人二代身份证复印件（反面）</w:t>
            </w:r>
          </w:p>
        </w:tc>
      </w:tr>
    </w:tbl>
    <w:p>
      <w:pPr>
        <w:pStyle w:val="style0"/>
        <w:topLinePunct/>
        <w:spacing w:lineRule="atLeast" w:line="440"/>
        <w:ind w:firstLine="610"/>
        <w:rPr>
          <w:rFonts w:hint="default"/>
          <w:color w:val="auto"/>
          <w:kern w:val="0"/>
          <w:szCs w:val="21"/>
        </w:rPr>
      </w:pPr>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4260"/>
        <w:gridCol w:w="4047"/>
      </w:tblGrid>
      <w:tr>
        <w:trPr>
          <w:trHeight w:val="2526" w:hRule="atLeast"/>
          <w:jc w:val="center"/>
        </w:trPr>
        <w:tc>
          <w:tcPr>
            <w:tcW w:w="4260" w:type="dxa"/>
            <w:tcBorders/>
            <w:vAlign w:val="center"/>
          </w:tcPr>
          <w:p>
            <w:pPr>
              <w:pStyle w:val="style0"/>
              <w:snapToGrid w:val="false"/>
              <w:spacing w:lineRule="auto" w:line="360"/>
              <w:jc w:val="center"/>
              <w:rPr>
                <w:rFonts w:hint="default"/>
                <w:color w:val="auto"/>
                <w:szCs w:val="21"/>
              </w:rPr>
            </w:pPr>
            <w:r>
              <w:rPr>
                <w:rFonts w:eastAsia="仿宋_GB2312"/>
                <w:color w:val="auto"/>
                <w:szCs w:val="21"/>
              </w:rPr>
              <w:t>委托代理人二代身份证复印件（正面）</w:t>
            </w:r>
          </w:p>
        </w:tc>
        <w:tc>
          <w:tcPr>
            <w:tcW w:w="4047" w:type="dxa"/>
            <w:tcBorders/>
            <w:vAlign w:val="center"/>
          </w:tcPr>
          <w:p>
            <w:pPr>
              <w:pStyle w:val="style0"/>
              <w:snapToGrid w:val="false"/>
              <w:spacing w:lineRule="auto" w:line="360"/>
              <w:jc w:val="center"/>
              <w:rPr>
                <w:rFonts w:hint="default"/>
                <w:color w:val="auto"/>
                <w:szCs w:val="21"/>
              </w:rPr>
            </w:pPr>
            <w:r>
              <w:rPr>
                <w:rFonts w:eastAsia="仿宋_GB2312"/>
                <w:color w:val="auto"/>
                <w:szCs w:val="21"/>
              </w:rPr>
              <w:t>委托代理人二代身份证复印件（反面）</w:t>
            </w:r>
          </w:p>
        </w:tc>
      </w:tr>
    </w:tbl>
    <w:p>
      <w:pPr>
        <w:pStyle w:val="style0"/>
        <w:topLinePunct/>
        <w:spacing w:lineRule="atLeast" w:line="440"/>
        <w:ind w:firstLine="2879"/>
        <w:rPr>
          <w:rFonts w:eastAsia="仿宋_GB2312" w:hint="default"/>
          <w:color w:val="auto"/>
          <w:kern w:val="0"/>
          <w:szCs w:val="21"/>
        </w:rPr>
      </w:pPr>
    </w:p>
    <w:p>
      <w:pPr>
        <w:pStyle w:val="style0"/>
        <w:topLinePunct/>
        <w:spacing w:lineRule="atLeast" w:line="440"/>
        <w:ind w:firstLine="2879"/>
        <w:rPr>
          <w:rFonts w:eastAsia="仿宋_GB2312" w:hint="default"/>
          <w:color w:val="auto"/>
          <w:kern w:val="0"/>
          <w:szCs w:val="21"/>
        </w:rPr>
      </w:pPr>
      <w:r>
        <w:rPr>
          <w:rFonts w:eastAsia="仿宋_GB2312"/>
          <w:color w:val="auto"/>
          <w:kern w:val="0"/>
          <w:szCs w:val="21"/>
        </w:rPr>
        <w:t>投标人：（盖单位章）</w:t>
      </w:r>
    </w:p>
    <w:p>
      <w:pPr>
        <w:pStyle w:val="style0"/>
        <w:topLinePunct/>
        <w:spacing w:lineRule="atLeast" w:line="440"/>
        <w:ind w:firstLine="2879"/>
        <w:rPr>
          <w:rFonts w:eastAsia="仿宋_GB2312" w:hint="default"/>
          <w:color w:val="auto"/>
          <w:kern w:val="0"/>
          <w:szCs w:val="21"/>
        </w:rPr>
      </w:pPr>
      <w:r>
        <w:rPr>
          <w:rFonts w:eastAsia="仿宋_GB2312"/>
          <w:color w:val="auto"/>
          <w:kern w:val="0"/>
          <w:szCs w:val="21"/>
        </w:rPr>
        <w:t>法定代表人：（签字）</w:t>
      </w:r>
    </w:p>
    <w:p>
      <w:pPr>
        <w:pStyle w:val="style0"/>
        <w:topLinePunct/>
        <w:spacing w:lineRule="atLeast" w:line="440"/>
        <w:ind w:firstLine="2879"/>
        <w:rPr>
          <w:rFonts w:eastAsia="仿宋_GB2312" w:hint="default"/>
          <w:color w:val="auto"/>
          <w:kern w:val="0"/>
          <w:szCs w:val="21"/>
        </w:rPr>
      </w:pPr>
      <w:r>
        <w:rPr>
          <w:rFonts w:eastAsia="仿宋_GB2312"/>
          <w:color w:val="auto"/>
          <w:kern w:val="0"/>
          <w:szCs w:val="21"/>
        </w:rPr>
        <w:t>委托代理人：（签字）</w:t>
      </w:r>
    </w:p>
    <w:p>
      <w:pPr>
        <w:pStyle w:val="style0"/>
        <w:topLinePunct/>
        <w:spacing w:lineRule="atLeast" w:line="440"/>
        <w:ind w:left="1836" w:right="210" w:firstLine="3204"/>
        <w:jc w:val="right"/>
        <w:rPr>
          <w:rFonts w:eastAsia="仿宋_GB2312" w:hint="default"/>
          <w:color w:val="auto"/>
          <w:kern w:val="0"/>
        </w:rPr>
      </w:pPr>
      <w:r>
        <w:rPr>
          <w:rFonts w:eastAsia="仿宋_GB2312"/>
          <w:color w:val="auto"/>
          <w:kern w:val="0"/>
          <w:szCs w:val="21"/>
        </w:rPr>
        <w:t>年  月  日</w:t>
      </w:r>
    </w:p>
    <w:p>
      <w:pPr>
        <w:pStyle w:val="style0"/>
        <w:topLinePunct/>
        <w:spacing w:lineRule="atLeast" w:line="440"/>
        <w:jc w:val="left"/>
        <w:rPr>
          <w:rFonts w:eastAsia="仿宋_GB2312" w:hint="default"/>
          <w:color w:val="auto"/>
          <w:kern w:val="0"/>
        </w:rPr>
      </w:pPr>
    </w:p>
    <w:p>
      <w:pPr>
        <w:pStyle w:val="style0"/>
        <w:topLinePunct/>
        <w:spacing w:lineRule="atLeast" w:line="440"/>
        <w:jc w:val="left"/>
        <w:rPr>
          <w:rFonts w:hint="default"/>
          <w:color w:val="auto"/>
          <w:sz w:val="30"/>
          <w:szCs w:val="32"/>
        </w:rPr>
      </w:pPr>
      <w:r>
        <w:rPr>
          <w:rFonts w:eastAsia="仿宋_GB2312"/>
          <w:color w:val="auto"/>
          <w:kern w:val="0"/>
        </w:rPr>
        <w:t>说明：由授权委托代理人参加现场开标会议的，</w:t>
      </w:r>
      <w:r>
        <w:rPr>
          <w:rFonts w:eastAsia="仿宋_GB2312"/>
          <w:bCs/>
          <w:color w:val="auto"/>
          <w:kern w:val="0"/>
        </w:rPr>
        <w:t>请按投标人须知前附表的规定另行准备</w:t>
      </w:r>
      <w:r>
        <w:rPr>
          <w:rFonts w:eastAsia="仿宋_GB2312"/>
          <w:color w:val="auto"/>
          <w:kern w:val="0"/>
        </w:rPr>
        <w:t>授权委托书原件一份，</w:t>
      </w:r>
      <w:r>
        <w:rPr>
          <w:rFonts w:eastAsia="仿宋_GB2312"/>
          <w:bCs/>
          <w:color w:val="auto"/>
          <w:kern w:val="0"/>
        </w:rPr>
        <w:t>在参加开标会时单独提交（适用于本文件第二章 投标人须知前附表“要求投标人代表出席开标会”的项目）。</w:t>
      </w:r>
      <w:bookmarkStart w:id="168" w:name="_Toc300678572"/>
    </w:p>
    <w:bookmarkStart w:id="169" w:name="_Toc27550621"/>
    <w:bookmarkStart w:id="170" w:name="_Toc9178583"/>
    <w:bookmarkStart w:id="171" w:name="_Toc300678573"/>
    <w:bookmarkEnd w:id="168"/>
    <w:p>
      <w:pPr>
        <w:pStyle w:val="style2"/>
        <w:keepNext w:val="false"/>
        <w:keepLines w:val="false"/>
        <w:spacing w:before="0" w:after="0" w:lineRule="auto" w:line="360"/>
        <w:jc w:val="center"/>
        <w:rPr>
          <w:rFonts w:ascii="黑体" w:eastAsia="黑体" w:hAnsi="黑体" w:hint="default"/>
          <w:bCs w:val="false"/>
          <w:color w:val="auto"/>
          <w:sz w:val="30"/>
        </w:rPr>
      </w:pPr>
    </w:p>
    <w:bookmarkStart w:id="172" w:name="_Toc27550620"/>
    <w:p>
      <w:pPr>
        <w:pStyle w:val="style2"/>
        <w:keepNext w:val="false"/>
        <w:keepLines w:val="false"/>
        <w:spacing w:before="0" w:after="0" w:lineRule="auto" w:line="360"/>
        <w:jc w:val="center"/>
        <w:rPr>
          <w:rFonts w:ascii="黑体" w:eastAsia="黑体" w:hAnsi="黑体"/>
          <w:bCs w:val="false"/>
          <w:sz w:val="30"/>
        </w:rPr>
      </w:pPr>
      <w:r>
        <w:rPr>
          <w:rFonts w:ascii="黑体" w:eastAsia="黑体" w:hAnsi="黑体" w:hint="eastAsia"/>
          <w:bCs w:val="false"/>
          <w:sz w:val="30"/>
        </w:rPr>
        <w:t>4.</w:t>
      </w:r>
      <w:r>
        <w:rPr>
          <w:rFonts w:ascii="黑体" w:eastAsia="黑体" w:hAnsi="黑体"/>
          <w:bCs w:val="false"/>
          <w:sz w:val="30"/>
        </w:rPr>
        <w:t>联合体协议书</w:t>
      </w:r>
      <w:r>
        <w:rPr>
          <w:rFonts w:ascii="黑体" w:eastAsia="黑体" w:hAnsi="黑体" w:hint="eastAsia"/>
          <w:b w:val="false"/>
          <w:bCs w:val="false"/>
          <w:sz w:val="24"/>
          <w:szCs w:val="24"/>
        </w:rPr>
        <w:t>（</w:t>
      </w:r>
      <w:r>
        <w:rPr>
          <w:rFonts w:ascii="黑体" w:eastAsia="黑体" w:hAnsi="黑体" w:hint="eastAsia"/>
          <w:b w:val="false"/>
          <w:bCs w:val="false"/>
          <w:sz w:val="24"/>
          <w:szCs w:val="24"/>
        </w:rPr>
        <w:sym w:font="Wingdings" w:char="a8"/>
      </w:r>
      <w:r>
        <w:rPr>
          <w:rFonts w:ascii="黑体" w:eastAsia="黑体" w:hAnsi="黑体"/>
          <w:b w:val="false"/>
          <w:bCs w:val="false"/>
          <w:sz w:val="24"/>
          <w:szCs w:val="24"/>
        </w:rPr>
        <w:t>本项目适用</w:t>
      </w:r>
      <w:r>
        <w:rPr>
          <w:rFonts w:ascii="黑体" w:eastAsia="黑体" w:hAnsi="黑体" w:hint="eastAsia"/>
          <w:b w:val="false"/>
          <w:bCs w:val="false"/>
          <w:sz w:val="24"/>
          <w:szCs w:val="24"/>
        </w:rPr>
        <w:t>，</w:t>
      </w:r>
      <w:r>
        <w:rPr>
          <w:rFonts w:ascii="Segoe UI Emoji" w:cs="Segoe UI Emoji" w:eastAsia="仿宋_GB2312" w:hAnsi="Segoe UI Emoji" w:hint="eastAsia"/>
          <w:szCs w:val="21"/>
          <w:lang w:eastAsia="zh-CN"/>
        </w:rPr>
        <w:t>☑</w:t>
      </w:r>
      <w:r>
        <w:rPr>
          <w:rFonts w:ascii="黑体" w:eastAsia="黑体" w:hAnsi="黑体"/>
          <w:b w:val="false"/>
          <w:bCs w:val="false"/>
          <w:sz w:val="24"/>
          <w:szCs w:val="24"/>
        </w:rPr>
        <w:t>本项目不适用</w:t>
      </w:r>
      <w:r>
        <w:rPr>
          <w:rFonts w:ascii="黑体" w:eastAsia="黑体" w:hAnsi="黑体" w:hint="eastAsia"/>
          <w:b w:val="false"/>
          <w:bCs w:val="false"/>
          <w:sz w:val="24"/>
          <w:szCs w:val="24"/>
        </w:rPr>
        <w:t>）</w:t>
      </w:r>
      <w:bookmarkEnd w:id="172"/>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hint="eastAsia"/>
          <w:szCs w:val="21"/>
        </w:rPr>
      </w:pP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szCs w:val="21"/>
        </w:rPr>
      </w:pPr>
      <w:r>
        <w:rPr>
          <w:rFonts w:ascii="宋体" w:eastAsia="仿宋_GB2312" w:hAnsi="宋体"/>
          <w:szCs w:val="21"/>
        </w:rPr>
        <w:t>牵头人名称：</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szCs w:val="21"/>
        </w:rPr>
      </w:pPr>
      <w:r>
        <w:rPr>
          <w:rFonts w:ascii="宋体" w:eastAsia="仿宋_GB2312" w:hAnsi="宋体"/>
          <w:szCs w:val="21"/>
        </w:rPr>
        <w:t>法定代表人：</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szCs w:val="21"/>
        </w:rPr>
      </w:pPr>
      <w:r>
        <w:rPr>
          <w:rFonts w:ascii="宋体" w:eastAsia="仿宋_GB2312" w:hAnsi="宋体"/>
          <w:szCs w:val="21"/>
        </w:rPr>
        <w:t>法定住所：</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szCs w:val="21"/>
        </w:rPr>
      </w:pPr>
      <w:r>
        <w:rPr>
          <w:rFonts w:ascii="宋体" w:eastAsia="仿宋_GB2312" w:hAnsi="宋体"/>
          <w:szCs w:val="21"/>
        </w:rPr>
        <w:t>成员二名称：</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szCs w:val="21"/>
        </w:rPr>
      </w:pPr>
      <w:r>
        <w:rPr>
          <w:rFonts w:ascii="宋体" w:eastAsia="仿宋_GB2312" w:hAnsi="宋体"/>
          <w:szCs w:val="21"/>
        </w:rPr>
        <w:t>法定代表人：</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textAlignment w:val="auto"/>
        <w:rPr>
          <w:rFonts w:ascii="宋体" w:eastAsia="仿宋_GB2312" w:hAnsi="宋体"/>
          <w:szCs w:val="21"/>
          <w:u w:val="single"/>
        </w:rPr>
      </w:pPr>
      <w:r>
        <w:rPr>
          <w:rFonts w:ascii="宋体" w:eastAsia="仿宋_GB2312" w:hAnsi="宋体"/>
          <w:szCs w:val="21"/>
        </w:rPr>
        <w:t>法定住所：</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600" w:firstLineChars="250"/>
        <w:textAlignment w:val="auto"/>
        <w:rPr>
          <w:rFonts w:ascii="宋体" w:eastAsia="仿宋_GB2312" w:hAnsi="宋体"/>
          <w:szCs w:val="21"/>
        </w:rPr>
      </w:pPr>
      <w:r>
        <w:rPr>
          <w:rFonts w:ascii="宋体" w:eastAsia="仿宋_GB2312" w:hAnsi="宋体"/>
          <w:szCs w:val="21"/>
        </w:rPr>
        <w:t>……</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鉴于上述各成员单位经过友好协商，自愿组成联合体，共同参加</w:t>
      </w:r>
      <w:r>
        <w:rPr>
          <w:rFonts w:ascii="宋体" w:eastAsia="仿宋_GB2312" w:hAnsi="宋体"/>
          <w:szCs w:val="21"/>
          <w:u w:val="single"/>
        </w:rPr>
        <w:t xml:space="preserve">              </w:t>
      </w:r>
      <w:r>
        <w:rPr>
          <w:rFonts w:ascii="宋体" w:eastAsia="仿宋_GB2312" w:hAnsi="宋体"/>
          <w:szCs w:val="21"/>
        </w:rPr>
        <w:t>（招标人名称）（以下简称招标人）</w:t>
      </w:r>
      <w:r>
        <w:rPr>
          <w:rFonts w:ascii="宋体" w:eastAsia="仿宋_GB2312" w:hAnsi="宋体"/>
          <w:szCs w:val="21"/>
          <w:u w:val="single"/>
        </w:rPr>
        <w:t xml:space="preserve">     </w:t>
      </w:r>
      <w:r>
        <w:rPr>
          <w:rFonts w:ascii="宋体" w:eastAsia="仿宋_GB2312" w:hAnsi="宋体"/>
          <w:szCs w:val="21"/>
        </w:rPr>
        <w:t>（</w:t>
      </w:r>
      <w:r>
        <w:rPr>
          <w:rFonts w:ascii="宋体" w:eastAsia="仿宋_GB2312" w:hAnsi="宋体" w:hint="eastAsia"/>
          <w:szCs w:val="21"/>
        </w:rPr>
        <w:t>招标</w:t>
      </w:r>
      <w:r>
        <w:rPr>
          <w:rFonts w:ascii="宋体" w:eastAsia="仿宋_GB2312" w:hAnsi="宋体"/>
          <w:szCs w:val="21"/>
        </w:rPr>
        <w:t>项目）（以下简称本</w:t>
      </w:r>
      <w:r>
        <w:rPr>
          <w:rFonts w:ascii="宋体" w:eastAsia="仿宋_GB2312" w:hAnsi="宋体" w:hint="eastAsia"/>
          <w:szCs w:val="21"/>
        </w:rPr>
        <w:t>招标项目</w:t>
      </w:r>
      <w:r>
        <w:rPr>
          <w:rFonts w:ascii="宋体" w:eastAsia="仿宋_GB2312" w:hAnsi="宋体"/>
          <w:szCs w:val="21"/>
        </w:rPr>
        <w:t>）的</w:t>
      </w:r>
      <w:r>
        <w:rPr>
          <w:rFonts w:ascii="宋体" w:eastAsia="仿宋_GB2312" w:hAnsi="宋体" w:hint="eastAsia"/>
          <w:szCs w:val="21"/>
        </w:rPr>
        <w:t>监理</w:t>
      </w:r>
      <w:r>
        <w:rPr>
          <w:rFonts w:ascii="宋体" w:eastAsia="仿宋_GB2312" w:hAnsi="宋体"/>
          <w:szCs w:val="21"/>
        </w:rPr>
        <w:t>投标并争取赢得本工程</w:t>
      </w:r>
      <w:r>
        <w:rPr>
          <w:rFonts w:ascii="宋体" w:eastAsia="仿宋_GB2312" w:hAnsi="宋体" w:hint="eastAsia"/>
          <w:szCs w:val="21"/>
        </w:rPr>
        <w:t>监理</w:t>
      </w:r>
      <w:r>
        <w:rPr>
          <w:rFonts w:ascii="宋体" w:eastAsia="仿宋_GB2312" w:hAnsi="宋体"/>
          <w:szCs w:val="21"/>
        </w:rPr>
        <w:t>承包合同（以下简称合同）。现就联合体投标事宜订立如下协议：</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1．</w:t>
      </w:r>
      <w:r>
        <w:rPr>
          <w:rFonts w:ascii="宋体" w:eastAsia="仿宋_GB2312" w:hAnsi="宋体"/>
          <w:szCs w:val="21"/>
          <w:u w:val="single"/>
        </w:rPr>
        <w:t xml:space="preserve">                </w:t>
      </w:r>
      <w:r>
        <w:rPr>
          <w:rFonts w:ascii="宋体" w:eastAsia="仿宋_GB2312" w:hAnsi="宋体"/>
          <w:szCs w:val="21"/>
        </w:rPr>
        <w:t>（某成员单位名称）为牵头人。</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2．在本</w:t>
      </w:r>
      <w:r>
        <w:rPr>
          <w:rFonts w:ascii="宋体" w:eastAsia="仿宋_GB2312" w:hAnsi="宋体" w:hint="eastAsia"/>
          <w:szCs w:val="21"/>
        </w:rPr>
        <w:t>招标项目</w:t>
      </w:r>
      <w:r>
        <w:rPr>
          <w:rFonts w:ascii="宋体" w:eastAsia="仿宋_GB2312" w:hAnsi="宋体"/>
          <w:szCs w:val="21"/>
        </w:rPr>
        <w:t>投标阶段，联合体牵头人合法代表联合体各成员负责本</w:t>
      </w:r>
      <w:r>
        <w:rPr>
          <w:rFonts w:ascii="宋体" w:eastAsia="仿宋_GB2312" w:hAnsi="宋体" w:hint="eastAsia"/>
          <w:szCs w:val="21"/>
        </w:rPr>
        <w:t>工程</w:t>
      </w:r>
      <w:r>
        <w:rPr>
          <w:rFonts w:ascii="宋体" w:eastAsia="仿宋_GB2312" w:hAnsi="宋体"/>
          <w:szCs w:val="21"/>
        </w:rPr>
        <w:t>投标文件编制活动，代表联合体提交和接收相关的资料、信息及指示，并处理与投标和中标有关的一切事务；联合体中标后，联合体牵头人负责合同订立和合同实施阶段的主办、组织和协调工作。</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3．联合体将严格按照招标文件的各项要求，递交投标文件，履行投标义务和中标后的合同，共同承担合同规定的一切义务和责任，联合体各成员单位按照内部职责的部分，承担各自所负的责任和风险，并向招标人承担连带责任。</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4．联合体各成员单位内部的职责分工如下：</w:t>
      </w:r>
      <w:r>
        <w:rPr>
          <w:rFonts w:ascii="宋体" w:eastAsia="仿宋_GB2312" w:hAnsi="宋体"/>
          <w:szCs w:val="21"/>
          <w:u w:val="single"/>
        </w:rPr>
        <w:t xml:space="preserve">                </w:t>
      </w:r>
      <w:r>
        <w:rPr>
          <w:rFonts w:ascii="宋体" w:eastAsia="仿宋_GB2312" w:hAnsi="宋体"/>
          <w:szCs w:val="21"/>
        </w:rPr>
        <w:t>。按照本条上述分工，联合体成员单位各自所承担的合同工作量比例如下：</w:t>
      </w:r>
      <w:r>
        <w:rPr>
          <w:rFonts w:ascii="宋体" w:eastAsia="仿宋_GB2312" w:hAnsi="宋体"/>
          <w:szCs w:val="21"/>
          <w:u w:val="single"/>
        </w:rPr>
        <w:t xml:space="preserve">              </w:t>
      </w:r>
      <w:r>
        <w:rPr>
          <w:rFonts w:ascii="宋体" w:eastAsia="仿宋_GB2312" w:hAnsi="宋体"/>
          <w:szCs w:val="21"/>
        </w:rPr>
        <w:t>。</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5．投标工作和联合体在中标后工程实施过程中的有关费用按各自承担的工作量分摊。</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6．联合体中标后，本联合体协议是合同的附件，对联合体各成员单位有合同约束力。</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7．本协议书自签署之日起生效，联合体未中标或者中标时合同履行完毕后自动失效。</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480" w:firstLineChars="200"/>
        <w:textAlignment w:val="auto"/>
        <w:rPr>
          <w:rFonts w:ascii="宋体" w:eastAsia="仿宋_GB2312" w:hAnsi="宋体"/>
          <w:szCs w:val="21"/>
        </w:rPr>
      </w:pPr>
      <w:r>
        <w:rPr>
          <w:rFonts w:ascii="宋体" w:eastAsia="仿宋_GB2312" w:hAnsi="宋体"/>
          <w:szCs w:val="21"/>
        </w:rPr>
        <w:t>8．本协议书一式份，联合体成员和招标人各执一份。</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2040" w:firstLineChars="850"/>
        <w:textAlignment w:val="auto"/>
        <w:rPr>
          <w:rFonts w:ascii="宋体" w:eastAsia="仿宋_GB2312" w:hAnsi="宋体"/>
          <w:szCs w:val="21"/>
        </w:rPr>
      </w:pPr>
      <w:r>
        <w:rPr>
          <w:rFonts w:ascii="宋体" w:eastAsia="仿宋_GB2312" w:hAnsi="宋体"/>
          <w:szCs w:val="21"/>
        </w:rPr>
        <w:t>牵头人名称：（盖单位章）</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2040" w:firstLineChars="850"/>
        <w:textAlignment w:val="auto"/>
        <w:rPr>
          <w:rFonts w:ascii="宋体" w:eastAsia="仿宋_GB2312" w:hAnsi="宋体"/>
          <w:szCs w:val="21"/>
        </w:rPr>
      </w:pPr>
      <w:r>
        <w:rPr>
          <w:rFonts w:ascii="宋体" w:eastAsia="仿宋_GB2312" w:hAnsi="宋体"/>
          <w:szCs w:val="21"/>
        </w:rPr>
        <w:t>法定代表人或其委托代理人：（签字）</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2040" w:firstLineChars="850"/>
        <w:textAlignment w:val="auto"/>
        <w:rPr>
          <w:rFonts w:ascii="宋体" w:eastAsia="仿宋_GB2312" w:hAnsi="宋体"/>
          <w:szCs w:val="21"/>
        </w:rPr>
      </w:pPr>
      <w:r>
        <w:rPr>
          <w:rFonts w:ascii="宋体" w:eastAsia="仿宋_GB2312" w:hAnsi="宋体"/>
          <w:szCs w:val="21"/>
        </w:rPr>
        <w:t>成员二名称：（盖单位章）</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2040" w:firstLineChars="850"/>
        <w:textAlignment w:val="auto"/>
        <w:rPr>
          <w:rFonts w:ascii="宋体" w:eastAsia="仿宋_GB2312" w:hAnsi="宋体"/>
          <w:szCs w:val="21"/>
        </w:rPr>
      </w:pPr>
      <w:r>
        <w:rPr>
          <w:rFonts w:ascii="宋体" w:eastAsia="仿宋_GB2312" w:hAnsi="宋体"/>
          <w:szCs w:val="21"/>
        </w:rPr>
        <w:t>法定代表人或其委托代理人：（签字）</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ind w:firstLine="2400" w:firstLineChars="1000"/>
        <w:textAlignment w:val="auto"/>
        <w:rPr>
          <w:rFonts w:ascii="宋体" w:eastAsia="仿宋_GB2312" w:hAnsi="宋体"/>
          <w:szCs w:val="21"/>
        </w:rPr>
      </w:pPr>
      <w:r>
        <w:rPr>
          <w:rFonts w:ascii="宋体" w:eastAsia="仿宋_GB2312" w:hAnsi="宋体"/>
          <w:szCs w:val="21"/>
        </w:rPr>
        <w:t>……</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jc w:val="right"/>
        <w:textAlignment w:val="auto"/>
        <w:rPr>
          <w:rFonts w:ascii="宋体" w:eastAsia="仿宋_GB2312" w:hAnsi="宋体" w:hint="eastAsia"/>
          <w:szCs w:val="21"/>
        </w:rPr>
      </w:pPr>
      <w:r>
        <w:rPr>
          <w:rFonts w:ascii="宋体" w:eastAsia="仿宋_GB2312" w:hAnsi="宋体"/>
          <w:szCs w:val="21"/>
        </w:rPr>
        <w:t>年  月  日</w:t>
      </w: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jc w:val="left"/>
        <w:textAlignment w:val="auto"/>
        <w:rPr>
          <w:rFonts w:ascii="宋体" w:eastAsia="仿宋_GB2312" w:hAnsi="宋体" w:hint="eastAsia"/>
          <w:szCs w:val="21"/>
        </w:rPr>
      </w:pPr>
    </w:p>
    <w:p>
      <w:pPr>
        <w:pStyle w:val="style0"/>
        <w:keepNext w:val="false"/>
        <w:keepLines w:val="false"/>
        <w:pageBreakBefore w:val="false"/>
        <w:widowControl w:val="false"/>
        <w:kinsoku/>
        <w:wordWrap/>
        <w:overflowPunct/>
        <w:topLinePunct w:val="false"/>
        <w:autoSpaceDE/>
        <w:autoSpaceDN/>
        <w:bidi w:val="false"/>
        <w:adjustRightInd/>
        <w:snapToGrid w:val="false"/>
        <w:spacing w:lineRule="exact" w:line="400"/>
        <w:jc w:val="left"/>
        <w:textAlignment w:val="auto"/>
        <w:rPr>
          <w:rFonts w:ascii="宋体" w:eastAsia="仿宋_GB2312" w:hAnsi="宋体"/>
          <w:szCs w:val="21"/>
        </w:rPr>
      </w:pPr>
      <w:r>
        <w:rPr>
          <w:rFonts w:ascii="宋体" w:eastAsia="仿宋_GB2312" w:hAnsi="宋体" w:hint="eastAsia"/>
          <w:szCs w:val="21"/>
        </w:rPr>
        <w:t>说明</w:t>
      </w:r>
      <w:r>
        <w:rPr>
          <w:rFonts w:ascii="宋体" w:eastAsia="仿宋_GB2312" w:hAnsi="宋体"/>
          <w:szCs w:val="21"/>
        </w:rPr>
        <w:t>：本协议书由委托代理人签字的，应附法定代表人签字的授权委托书。</w:t>
      </w:r>
    </w:p>
    <w:p>
      <w:pPr>
        <w:pStyle w:val="style2"/>
        <w:keepNext w:val="false"/>
        <w:keepLines w:val="false"/>
        <w:spacing w:before="0" w:after="0" w:lineRule="auto" w:line="360"/>
        <w:jc w:val="center"/>
        <w:rPr>
          <w:rFonts w:ascii="黑体" w:eastAsia="黑体" w:hAnsi="黑体" w:hint="default"/>
          <w:bCs w:val="false"/>
          <w:color w:val="auto"/>
          <w:sz w:val="30"/>
        </w:rPr>
      </w:pPr>
    </w:p>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hint="eastAsia"/>
          <w:bCs w:val="false"/>
          <w:color w:val="auto"/>
          <w:sz w:val="30"/>
          <w:lang w:val="en-US" w:eastAsia="zh-CN"/>
        </w:rPr>
        <w:t>5</w:t>
      </w:r>
      <w:r>
        <w:rPr>
          <w:rFonts w:ascii="黑体" w:eastAsia="黑体" w:hAnsi="黑体"/>
          <w:bCs w:val="false"/>
          <w:color w:val="auto"/>
          <w:sz w:val="30"/>
        </w:rPr>
        <w:t>.投标保证</w:t>
      </w:r>
      <w:bookmarkEnd w:id="169"/>
      <w:bookmarkEnd w:id="170"/>
      <w:bookmarkEnd w:id="171"/>
    </w:p>
    <w:p>
      <w:pPr>
        <w:pStyle w:val="style0"/>
        <w:jc w:val="left"/>
        <w:rPr>
          <w:rFonts w:eastAsia="仿宋_GB2312" w:hint="default"/>
          <w:color w:val="auto"/>
        </w:rPr>
      </w:pPr>
    </w:p>
    <w:p>
      <w:pPr>
        <w:pStyle w:val="style0"/>
        <w:adjustRightInd w:val="false"/>
        <w:snapToGrid w:val="false"/>
        <w:jc w:val="center"/>
        <w:rPr>
          <w:rFonts w:hint="default"/>
          <w:b/>
          <w:color w:val="auto"/>
          <w:sz w:val="30"/>
          <w:szCs w:val="30"/>
        </w:rPr>
      </w:pPr>
      <w:r>
        <w:rPr>
          <w:b/>
          <w:color w:val="auto"/>
          <w:sz w:val="30"/>
          <w:szCs w:val="30"/>
        </w:rPr>
        <w:t>附1.投标承诺</w:t>
      </w:r>
    </w:p>
    <w:p>
      <w:pPr>
        <w:pStyle w:val="style0"/>
        <w:adjustRightInd w:val="false"/>
        <w:snapToGrid w:val="false"/>
        <w:spacing w:lineRule="exact" w:line="480"/>
        <w:jc w:val="left"/>
        <w:rPr>
          <w:rFonts w:hint="default"/>
          <w:color w:val="auto"/>
        </w:rPr>
      </w:pPr>
    </w:p>
    <w:p>
      <w:pPr>
        <w:pStyle w:val="style0"/>
        <w:spacing w:lineRule="exact" w:line="480"/>
        <w:rPr>
          <w:rFonts w:eastAsia="仿宋_GB2312" w:hint="default"/>
          <w:color w:val="auto"/>
          <w:szCs w:val="32"/>
        </w:rPr>
      </w:pPr>
      <w:r>
        <w:rPr>
          <w:rFonts w:eastAsia="仿宋_GB2312"/>
          <w:color w:val="auto"/>
          <w:szCs w:val="32"/>
          <w:u w:val="single"/>
        </w:rPr>
        <w:t xml:space="preserve">                </w:t>
      </w:r>
      <w:r>
        <w:rPr>
          <w:rFonts w:eastAsia="仿宋_GB2312"/>
          <w:color w:val="auto"/>
          <w:szCs w:val="32"/>
        </w:rPr>
        <w:t>（招标人名称） ：</w:t>
      </w:r>
    </w:p>
    <w:p>
      <w:pPr>
        <w:pStyle w:val="style0"/>
        <w:spacing w:lineRule="exact" w:line="480"/>
        <w:ind w:firstLine="640"/>
        <w:rPr>
          <w:rFonts w:eastAsia="仿宋_GB2312" w:hint="default"/>
          <w:color w:val="auto"/>
          <w:szCs w:val="32"/>
          <w:u w:val="single"/>
        </w:rPr>
      </w:pPr>
      <w:r>
        <w:rPr>
          <w:rFonts w:eastAsia="仿宋_GB2312"/>
          <w:color w:val="auto"/>
          <w:szCs w:val="32"/>
        </w:rPr>
        <w:t>经慎重研究，我公司</w:t>
      </w:r>
      <w:r>
        <w:rPr>
          <w:rFonts w:eastAsia="仿宋_GB2312"/>
          <w:color w:val="auto"/>
          <w:szCs w:val="32"/>
          <w:u w:val="single"/>
        </w:rPr>
        <w:t xml:space="preserve">          投标人名称  </w:t>
      </w:r>
      <w:r>
        <w:rPr>
          <w:rFonts w:eastAsia="仿宋_GB2312"/>
          <w:color w:val="auto"/>
          <w:szCs w:val="32"/>
        </w:rPr>
        <w:t>（以下称“投标人”）决定于______年____月_____日参与你方组织的</w:t>
      </w:r>
      <w:r>
        <w:rPr>
          <w:rFonts w:eastAsia="仿宋_GB2312"/>
          <w:color w:val="auto"/>
          <w:szCs w:val="32"/>
          <w:u w:val="single"/>
        </w:rPr>
        <w:t xml:space="preserve">      招标项目   </w:t>
      </w:r>
      <w:r>
        <w:rPr>
          <w:rFonts w:eastAsia="仿宋_GB2312"/>
          <w:color w:val="auto"/>
          <w:szCs w:val="32"/>
        </w:rPr>
        <w:t>的监理招标投标，我方承诺严格按照《招标投标法》及其实施条例等法律法规和政策文件的要求，履行投标义务。</w:t>
      </w:r>
    </w:p>
    <w:p>
      <w:pPr>
        <w:pStyle w:val="style0"/>
        <w:spacing w:lineRule="exact" w:line="480"/>
        <w:ind w:firstLine="640"/>
        <w:rPr>
          <w:rFonts w:eastAsia="仿宋_GB2312" w:hint="default"/>
          <w:color w:val="auto"/>
          <w:szCs w:val="32"/>
        </w:rPr>
      </w:pPr>
      <w:r>
        <w:rPr>
          <w:rFonts w:eastAsia="仿宋_GB2312"/>
          <w:color w:val="auto"/>
          <w:szCs w:val="32"/>
        </w:rPr>
        <w:t>如果发生不履行相关投标义务的行为，自愿接受按法律法规和招标文件作出的处理。</w:t>
      </w:r>
    </w:p>
    <w:p>
      <w:pPr>
        <w:pStyle w:val="style0"/>
        <w:adjustRightInd w:val="false"/>
        <w:snapToGrid w:val="false"/>
        <w:spacing w:lineRule="exact" w:line="480"/>
        <w:jc w:val="left"/>
        <w:rPr>
          <w:rFonts w:eastAsia="仿宋_GB2312" w:hint="default"/>
          <w:color w:val="auto"/>
          <w:szCs w:val="32"/>
        </w:rPr>
      </w:pPr>
    </w:p>
    <w:p>
      <w:pPr>
        <w:pStyle w:val="style0"/>
        <w:adjustRightInd w:val="false"/>
        <w:snapToGrid w:val="false"/>
        <w:spacing w:lineRule="exact" w:line="480"/>
        <w:jc w:val="left"/>
        <w:rPr>
          <w:rFonts w:eastAsia="仿宋_GB2312" w:hint="default"/>
          <w:color w:val="auto"/>
          <w:szCs w:val="32"/>
        </w:rPr>
      </w:pPr>
    </w:p>
    <w:p>
      <w:pPr>
        <w:pStyle w:val="style0"/>
        <w:spacing w:lineRule="exact" w:line="480"/>
        <w:ind w:right="404" w:firstLine="2520" w:firstLineChars="1050"/>
        <w:rPr>
          <w:rFonts w:eastAsia="仿宋_GB2312" w:hint="default"/>
          <w:color w:val="auto"/>
          <w:szCs w:val="32"/>
        </w:rPr>
      </w:pPr>
      <w:r>
        <w:rPr>
          <w:rFonts w:eastAsia="仿宋_GB2312"/>
          <w:color w:val="auto"/>
          <w:szCs w:val="32"/>
        </w:rPr>
        <w:t>投标人：</w:t>
      </w:r>
      <w:r>
        <w:rPr>
          <w:rFonts w:eastAsia="仿宋_GB2312"/>
          <w:color w:val="auto"/>
          <w:szCs w:val="32"/>
          <w:u w:val="single"/>
        </w:rPr>
        <w:t xml:space="preserve">                         </w:t>
      </w:r>
      <w:r>
        <w:rPr>
          <w:rFonts w:eastAsia="仿宋_GB2312"/>
          <w:color w:val="auto"/>
          <w:szCs w:val="32"/>
        </w:rPr>
        <w:t>（盖章）</w:t>
      </w:r>
    </w:p>
    <w:p>
      <w:pPr>
        <w:pStyle w:val="style0"/>
        <w:spacing w:lineRule="exact" w:line="480"/>
        <w:ind w:firstLine="2400" w:firstLineChars="1000"/>
        <w:rPr>
          <w:rFonts w:eastAsia="仿宋_GB2312" w:hint="default"/>
          <w:color w:val="auto"/>
          <w:szCs w:val="32"/>
        </w:rPr>
      </w:pPr>
      <w:r>
        <w:rPr>
          <w:rFonts w:eastAsia="仿宋_GB2312"/>
          <w:color w:val="auto"/>
          <w:szCs w:val="32"/>
        </w:rPr>
        <w:t xml:space="preserve"> 法定代表人：</w:t>
      </w:r>
      <w:r>
        <w:rPr>
          <w:rFonts w:eastAsia="仿宋_GB2312"/>
          <w:color w:val="auto"/>
          <w:szCs w:val="32"/>
          <w:u w:val="single"/>
        </w:rPr>
        <w:t xml:space="preserve">             </w:t>
      </w:r>
      <w:r>
        <w:rPr>
          <w:rFonts w:eastAsia="仿宋_GB2312"/>
          <w:color w:val="auto"/>
          <w:szCs w:val="32"/>
        </w:rPr>
        <w:t>（签字或盖章）</w:t>
      </w:r>
    </w:p>
    <w:p>
      <w:pPr>
        <w:pStyle w:val="style0"/>
        <w:spacing w:lineRule="exact" w:line="480"/>
        <w:ind w:firstLine="2520" w:firstLineChars="1050"/>
        <w:rPr>
          <w:rFonts w:eastAsia="仿宋_GB2312" w:hint="default"/>
          <w:color w:val="auto"/>
          <w:szCs w:val="32"/>
          <w:u w:val="single"/>
        </w:rPr>
      </w:pPr>
      <w:r>
        <w:rPr>
          <w:rFonts w:eastAsia="仿宋_GB2312"/>
          <w:color w:val="auto"/>
          <w:szCs w:val="32"/>
        </w:rPr>
        <w:t>地址：</w:t>
      </w:r>
      <w:r>
        <w:rPr>
          <w:rFonts w:eastAsia="仿宋_GB2312"/>
          <w:color w:val="auto"/>
          <w:szCs w:val="32"/>
          <w:u w:val="single"/>
        </w:rPr>
        <w:t xml:space="preserve">                                  </w:t>
      </w:r>
    </w:p>
    <w:p>
      <w:pPr>
        <w:pStyle w:val="style0"/>
        <w:spacing w:lineRule="exact" w:line="480"/>
        <w:ind w:firstLine="2520" w:firstLineChars="1050"/>
        <w:rPr>
          <w:rFonts w:eastAsia="仿宋_GB2312" w:hint="default"/>
          <w:color w:val="auto"/>
          <w:szCs w:val="32"/>
          <w:u w:val="single"/>
        </w:rPr>
      </w:pPr>
      <w:r>
        <w:rPr>
          <w:rFonts w:eastAsia="仿宋_GB2312"/>
          <w:color w:val="auto"/>
          <w:szCs w:val="32"/>
        </w:rPr>
        <w:t>电话：</w:t>
      </w:r>
      <w:r>
        <w:rPr>
          <w:rFonts w:eastAsia="仿宋_GB2312"/>
          <w:color w:val="auto"/>
          <w:szCs w:val="32"/>
          <w:u w:val="single"/>
        </w:rPr>
        <w:t xml:space="preserve">                     </w:t>
      </w:r>
    </w:p>
    <w:p>
      <w:pPr>
        <w:pStyle w:val="style0"/>
        <w:spacing w:lineRule="exact" w:line="480"/>
        <w:ind w:firstLine="2520" w:firstLineChars="1050"/>
        <w:rPr>
          <w:rFonts w:eastAsia="仿宋_GB2312" w:hint="default"/>
          <w:color w:val="auto"/>
          <w:szCs w:val="32"/>
          <w:u w:val="single"/>
        </w:rPr>
      </w:pPr>
      <w:r>
        <w:rPr>
          <w:rFonts w:eastAsia="仿宋_GB2312"/>
          <w:color w:val="auto"/>
          <w:szCs w:val="32"/>
        </w:rPr>
        <w:t>传真：</w:t>
      </w:r>
      <w:r>
        <w:rPr>
          <w:rFonts w:eastAsia="仿宋_GB2312"/>
          <w:color w:val="auto"/>
          <w:szCs w:val="32"/>
          <w:u w:val="single"/>
        </w:rPr>
        <w:t xml:space="preserve">                     </w:t>
      </w:r>
    </w:p>
    <w:p>
      <w:pPr>
        <w:pStyle w:val="style0"/>
        <w:spacing w:lineRule="exact" w:line="480"/>
        <w:ind w:firstLine="840" w:firstLineChars="350"/>
        <w:rPr>
          <w:rFonts w:eastAsia="仿宋_GB2312" w:hint="default"/>
          <w:color w:val="auto"/>
          <w:szCs w:val="32"/>
        </w:rPr>
      </w:pPr>
    </w:p>
    <w:p>
      <w:pPr>
        <w:pStyle w:val="style0"/>
        <w:spacing w:lineRule="exact" w:line="480"/>
        <w:ind w:firstLine="7440" w:firstLineChars="3100"/>
        <w:rPr>
          <w:rFonts w:eastAsia="仿宋_GB2312" w:hint="default"/>
          <w:color w:val="auto"/>
          <w:szCs w:val="32"/>
        </w:rPr>
      </w:pPr>
      <w:r>
        <w:rPr>
          <w:rFonts w:eastAsia="仿宋_GB2312"/>
          <w:color w:val="auto"/>
          <w:szCs w:val="32"/>
        </w:rPr>
        <w:t xml:space="preserve"> </w:t>
      </w:r>
      <w:r>
        <w:rPr>
          <w:rFonts w:eastAsia="仿宋_GB2312"/>
          <w:color w:val="auto"/>
          <w:szCs w:val="32"/>
          <w:u w:val="single"/>
        </w:rPr>
        <w:t xml:space="preserve">       </w:t>
      </w:r>
      <w:r>
        <w:rPr>
          <w:rFonts w:eastAsia="仿宋_GB2312"/>
          <w:color w:val="auto"/>
          <w:szCs w:val="32"/>
        </w:rPr>
        <w:t>年</w:t>
      </w:r>
      <w:r>
        <w:rPr>
          <w:rFonts w:eastAsia="仿宋_GB2312"/>
          <w:color w:val="auto"/>
          <w:szCs w:val="32"/>
          <w:u w:val="single"/>
        </w:rPr>
        <w:t xml:space="preserve">    </w:t>
      </w:r>
      <w:r>
        <w:rPr>
          <w:rFonts w:eastAsia="仿宋_GB2312"/>
          <w:color w:val="auto"/>
          <w:szCs w:val="32"/>
        </w:rPr>
        <w:t>月</w:t>
      </w:r>
      <w:r>
        <w:rPr>
          <w:rFonts w:eastAsia="仿宋_GB2312"/>
          <w:color w:val="auto"/>
          <w:szCs w:val="32"/>
          <w:u w:val="single"/>
        </w:rPr>
        <w:t xml:space="preserve">    </w:t>
      </w:r>
      <w:r>
        <w:rPr>
          <w:rFonts w:eastAsia="仿宋_GB2312"/>
          <w:color w:val="auto"/>
          <w:szCs w:val="32"/>
        </w:rPr>
        <w:t>日</w:t>
      </w:r>
    </w:p>
    <w:p>
      <w:pPr>
        <w:pStyle w:val="style2"/>
        <w:keepNext w:val="false"/>
        <w:keepLines w:val="false"/>
        <w:spacing w:before="0" w:after="0" w:lineRule="auto" w:line="360"/>
        <w:jc w:val="center"/>
        <w:rPr>
          <w:rFonts w:ascii="宋体" w:hAnsi="宋体" w:hint="default"/>
          <w:color w:val="auto"/>
        </w:rPr>
      </w:pPr>
      <w:r>
        <w:rPr>
          <w:rFonts w:ascii="宋体" w:hAnsi="宋体"/>
          <w:color w:val="auto"/>
        </w:rPr>
        <w:br w:type="page"/>
      </w:r>
      <w:bookmarkStart w:id="173" w:name="_Toc9178584"/>
      <w:bookmarkStart w:id="174" w:name="_Toc300678574"/>
      <w:bookmarkStart w:id="175" w:name="_Toc27550622"/>
    </w:p>
    <w:p>
      <w:pPr>
        <w:pStyle w:val="style0"/>
        <w:adjustRightInd w:val="false"/>
        <w:snapToGrid w:val="false"/>
        <w:jc w:val="center"/>
        <w:rPr>
          <w:rFonts w:hint="default"/>
          <w:b/>
          <w:color w:val="auto"/>
          <w:sz w:val="30"/>
          <w:szCs w:val="30"/>
        </w:rPr>
      </w:pPr>
      <w:r>
        <w:rPr>
          <w:b/>
          <w:color w:val="auto"/>
          <w:sz w:val="30"/>
          <w:szCs w:val="30"/>
        </w:rPr>
        <w:t>附2.投标保证金承诺函</w:t>
      </w:r>
    </w:p>
    <w:p>
      <w:pPr>
        <w:pStyle w:val="style0"/>
        <w:spacing w:lineRule="exact" w:line="480"/>
        <w:ind w:firstLine="640"/>
        <w:rPr>
          <w:rFonts w:eastAsia="仿宋_GB2312" w:hint="default"/>
          <w:color w:val="auto"/>
          <w:szCs w:val="32"/>
        </w:rPr>
      </w:pPr>
    </w:p>
    <w:p>
      <w:pPr>
        <w:pStyle w:val="style0"/>
        <w:spacing w:lineRule="exact" w:line="480"/>
        <w:ind w:firstLine="640"/>
        <w:rPr>
          <w:rFonts w:eastAsia="仿宋_GB2312" w:hint="default"/>
          <w:color w:val="auto"/>
          <w:szCs w:val="32"/>
        </w:rPr>
      </w:pPr>
      <w:r>
        <w:rPr>
          <w:rFonts w:eastAsia="仿宋_GB2312"/>
          <w:color w:val="auto"/>
          <w:szCs w:val="32"/>
          <w:u w:val="single"/>
        </w:rPr>
        <w:tab/>
      </w:r>
      <w:r>
        <w:rPr>
          <w:rFonts w:eastAsia="仿宋_GB2312"/>
          <w:color w:val="auto"/>
          <w:szCs w:val="32"/>
          <w:u w:val="single"/>
        </w:rPr>
        <w:tab/>
      </w:r>
      <w:r>
        <w:rPr>
          <w:rFonts w:eastAsia="仿宋_GB2312"/>
          <w:color w:val="auto"/>
          <w:szCs w:val="32"/>
        </w:rPr>
        <w:t>（招标人名称）：</w:t>
      </w:r>
    </w:p>
    <w:p>
      <w:pPr>
        <w:pStyle w:val="style0"/>
        <w:spacing w:lineRule="exact" w:line="480"/>
        <w:ind w:firstLine="640"/>
        <w:rPr>
          <w:rFonts w:eastAsia="仿宋_GB2312" w:hint="default"/>
          <w:color w:val="auto"/>
          <w:szCs w:val="32"/>
        </w:rPr>
      </w:pPr>
    </w:p>
    <w:p>
      <w:pPr>
        <w:pStyle w:val="style0"/>
        <w:spacing w:lineRule="exact" w:line="480"/>
        <w:ind w:firstLine="640"/>
        <w:rPr>
          <w:rFonts w:eastAsia="仿宋_GB2312" w:hint="default"/>
          <w:color w:val="auto"/>
          <w:szCs w:val="32"/>
        </w:rPr>
      </w:pPr>
      <w:r>
        <w:rPr>
          <w:rFonts w:eastAsia="仿宋_GB2312"/>
          <w:color w:val="auto"/>
          <w:szCs w:val="32"/>
        </w:rPr>
        <w:t>我方于 年 月 日参加（项目名称）</w:t>
      </w:r>
      <w:r>
        <w:rPr>
          <w:rFonts w:eastAsia="仿宋_GB2312"/>
          <w:color w:val="auto"/>
          <w:szCs w:val="32"/>
          <w:u w:val="single"/>
        </w:rPr>
        <w:t xml:space="preserve">           </w:t>
      </w:r>
      <w:r>
        <w:rPr>
          <w:rFonts w:eastAsia="仿宋_GB2312"/>
          <w:color w:val="auto"/>
          <w:szCs w:val="32"/>
        </w:rPr>
        <w:t>的投标，现承诺：投标保证金金额为人民币</w:t>
      </w:r>
      <w:r>
        <w:rPr>
          <w:rFonts w:eastAsia="仿宋_GB2312"/>
          <w:color w:val="auto"/>
          <w:szCs w:val="32"/>
          <w:u w:val="single"/>
        </w:rPr>
        <w:t xml:space="preserve">   仟元</w:t>
      </w:r>
      <w:r>
        <w:rPr>
          <w:rFonts w:eastAsia="仿宋_GB2312"/>
          <w:color w:val="auto"/>
          <w:szCs w:val="32"/>
        </w:rPr>
        <w:t>，我方在规定的投标有效期内撤销或修改响应文件的，或者在收到中标通知书后无正当理由拒签合同或拒交规定履约担保的，招标人有权没收投标保证金，如有没收投标保证金情况，我公司将在收到通知三日内支付投标保证金款。</w:t>
      </w:r>
    </w:p>
    <w:p>
      <w:pPr>
        <w:pStyle w:val="style0"/>
        <w:spacing w:lineRule="exact" w:line="480"/>
        <w:ind w:firstLine="640"/>
        <w:rPr>
          <w:rFonts w:eastAsia="仿宋_GB2312" w:hint="default"/>
          <w:color w:val="auto"/>
          <w:szCs w:val="32"/>
        </w:rPr>
      </w:pPr>
    </w:p>
    <w:p>
      <w:pPr>
        <w:pStyle w:val="style0"/>
        <w:spacing w:lineRule="exact" w:line="480"/>
        <w:ind w:firstLine="640"/>
        <w:rPr>
          <w:rFonts w:eastAsia="仿宋_GB2312" w:hint="default"/>
          <w:color w:val="auto"/>
          <w:szCs w:val="32"/>
        </w:rPr>
      </w:pPr>
    </w:p>
    <w:p>
      <w:pPr>
        <w:pStyle w:val="style0"/>
        <w:spacing w:lineRule="exact" w:line="480"/>
        <w:ind w:firstLine="640"/>
        <w:rPr>
          <w:rFonts w:eastAsia="仿宋_GB2312" w:hint="default"/>
          <w:color w:val="auto"/>
          <w:szCs w:val="32"/>
        </w:rPr>
      </w:pPr>
    </w:p>
    <w:p>
      <w:pPr>
        <w:pStyle w:val="style0"/>
        <w:spacing w:lineRule="exact" w:line="480"/>
        <w:ind w:firstLine="640"/>
        <w:rPr>
          <w:rFonts w:eastAsia="仿宋_GB2312" w:hint="default"/>
          <w:color w:val="auto"/>
          <w:szCs w:val="32"/>
        </w:rPr>
      </w:pPr>
    </w:p>
    <w:p>
      <w:pPr>
        <w:pStyle w:val="style0"/>
        <w:spacing w:lineRule="exact" w:line="480"/>
        <w:ind w:firstLine="640"/>
        <w:jc w:val="center"/>
        <w:rPr>
          <w:rFonts w:eastAsia="仿宋_GB2312" w:hint="default"/>
          <w:color w:val="auto"/>
          <w:szCs w:val="32"/>
        </w:rPr>
      </w:pPr>
      <w:r>
        <w:rPr>
          <w:rFonts w:eastAsia="仿宋_GB2312"/>
          <w:color w:val="auto"/>
          <w:szCs w:val="32"/>
        </w:rPr>
        <w:t xml:space="preserve">            投标人名称：（盖单位章）</w:t>
      </w:r>
    </w:p>
    <w:p>
      <w:pPr>
        <w:pStyle w:val="style0"/>
        <w:spacing w:lineRule="exact" w:line="480"/>
        <w:ind w:firstLine="640"/>
        <w:jc w:val="center"/>
        <w:rPr>
          <w:rFonts w:eastAsia="仿宋_GB2312" w:hint="default"/>
          <w:color w:val="auto"/>
          <w:szCs w:val="32"/>
        </w:rPr>
      </w:pPr>
      <w:r>
        <w:rPr>
          <w:rFonts w:eastAsia="仿宋_GB2312"/>
          <w:color w:val="auto"/>
          <w:szCs w:val="32"/>
        </w:rPr>
        <w:t xml:space="preserve">                法定代表人或授权人：（签字）</w:t>
      </w:r>
    </w:p>
    <w:p>
      <w:pPr>
        <w:pStyle w:val="style0"/>
        <w:spacing w:lineRule="exact" w:line="480"/>
        <w:ind w:firstLine="640"/>
        <w:jc w:val="center"/>
        <w:rPr>
          <w:rFonts w:eastAsia="仿宋_GB2312" w:hint="default"/>
          <w:color w:val="auto"/>
          <w:szCs w:val="32"/>
        </w:rPr>
      </w:pPr>
      <w:r>
        <w:rPr>
          <w:rFonts w:eastAsia="仿宋_GB2312"/>
          <w:color w:val="auto"/>
          <w:szCs w:val="32"/>
        </w:rPr>
        <w:t>地    址：</w:t>
      </w:r>
    </w:p>
    <w:p>
      <w:pPr>
        <w:pStyle w:val="style0"/>
        <w:spacing w:lineRule="exact" w:line="480"/>
        <w:ind w:firstLine="640"/>
        <w:jc w:val="center"/>
        <w:rPr>
          <w:rFonts w:eastAsia="仿宋_GB2312" w:hint="default"/>
          <w:color w:val="auto"/>
          <w:szCs w:val="32"/>
        </w:rPr>
      </w:pPr>
      <w:r>
        <w:rPr>
          <w:rFonts w:eastAsia="仿宋_GB2312"/>
          <w:color w:val="auto"/>
          <w:szCs w:val="32"/>
        </w:rPr>
        <w:t>邮政编码：</w:t>
      </w:r>
    </w:p>
    <w:p>
      <w:pPr>
        <w:pStyle w:val="style0"/>
        <w:spacing w:lineRule="exact" w:line="480"/>
        <w:ind w:firstLine="640"/>
        <w:jc w:val="center"/>
        <w:rPr>
          <w:rFonts w:eastAsia="仿宋_GB2312" w:hint="default"/>
          <w:color w:val="auto"/>
          <w:szCs w:val="32"/>
        </w:rPr>
      </w:pPr>
      <w:r>
        <w:rPr>
          <w:rFonts w:eastAsia="仿宋_GB2312"/>
          <w:color w:val="auto"/>
          <w:szCs w:val="32"/>
        </w:rPr>
        <w:t>电    话：</w:t>
      </w:r>
    </w:p>
    <w:p>
      <w:pPr>
        <w:pStyle w:val="style0"/>
        <w:spacing w:lineRule="exact" w:line="480"/>
        <w:ind w:firstLine="640"/>
        <w:jc w:val="center"/>
        <w:rPr>
          <w:rFonts w:eastAsia="仿宋_GB2312" w:hint="default"/>
          <w:color w:val="auto"/>
          <w:szCs w:val="32"/>
        </w:rPr>
      </w:pPr>
    </w:p>
    <w:p>
      <w:pPr>
        <w:pStyle w:val="style0"/>
        <w:spacing w:lineRule="exact" w:line="480"/>
        <w:ind w:firstLine="640"/>
        <w:jc w:val="center"/>
        <w:rPr>
          <w:rFonts w:eastAsia="仿宋_GB2312" w:hint="default"/>
          <w:color w:val="auto"/>
          <w:szCs w:val="32"/>
        </w:rPr>
      </w:pPr>
      <w:r>
        <w:rPr>
          <w:rFonts w:eastAsia="仿宋_GB2312"/>
          <w:color w:val="auto"/>
          <w:szCs w:val="32"/>
        </w:rPr>
        <w:t xml:space="preserve">                                         年月日</w:t>
      </w:r>
    </w:p>
    <w:p>
      <w:pPr>
        <w:pStyle w:val="style0"/>
        <w:tabs>
          <w:tab w:val="left" w:leader="none" w:pos="3570"/>
          <w:tab w:val="left" w:leader="none" w:pos="4200"/>
        </w:tabs>
        <w:jc w:val="left"/>
        <w:rPr>
          <w:rFonts w:hint="default"/>
          <w:color w:val="auto"/>
          <w:sz w:val="28"/>
          <w:szCs w:val="28"/>
        </w:rPr>
      </w:pPr>
    </w:p>
    <w:p>
      <w:pPr>
        <w:pStyle w:val="style4097"/>
        <w:ind w:firstLine="480"/>
        <w:rPr>
          <w:rFonts w:hint="default"/>
          <w:color w:val="auto"/>
        </w:rPr>
      </w:pPr>
    </w:p>
    <w:p>
      <w:pPr>
        <w:pStyle w:val="style2"/>
        <w:keepNext w:val="false"/>
        <w:keepLines w:val="false"/>
        <w:spacing w:before="0" w:after="0" w:lineRule="auto" w:line="360"/>
        <w:jc w:val="center"/>
        <w:rPr>
          <w:rFonts w:ascii="宋体" w:hAnsi="宋体" w:hint="default"/>
          <w:color w:val="auto"/>
        </w:rPr>
      </w:pPr>
      <w:r>
        <w:rPr>
          <w:rFonts w:ascii="宋体" w:hAnsi="宋体"/>
          <w:color w:val="auto"/>
        </w:rPr>
        <w:br w:type="page"/>
      </w:r>
    </w:p>
    <w:p>
      <w:pPr>
        <w:pStyle w:val="style2"/>
        <w:keepNext w:val="false"/>
        <w:keepLines w:val="false"/>
        <w:spacing w:before="0" w:after="0" w:lineRule="auto" w:line="360"/>
        <w:jc w:val="center"/>
        <w:rPr>
          <w:rFonts w:ascii="宋体" w:hAnsi="宋体" w:hint="default"/>
          <w:color w:val="auto"/>
        </w:rPr>
      </w:pPr>
    </w:p>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hint="eastAsia"/>
          <w:bCs w:val="false"/>
          <w:color w:val="auto"/>
          <w:sz w:val="30"/>
          <w:lang w:val="en-US" w:eastAsia="zh-CN"/>
        </w:rPr>
        <w:t>6</w:t>
      </w:r>
      <w:r>
        <w:rPr>
          <w:rFonts w:ascii="黑体" w:eastAsia="黑体" w:hAnsi="黑体"/>
          <w:bCs w:val="false"/>
          <w:color w:val="auto"/>
          <w:sz w:val="30"/>
        </w:rPr>
        <w:t>.项目监理机构</w:t>
      </w:r>
      <w:bookmarkEnd w:id="173"/>
      <w:bookmarkEnd w:id="174"/>
      <w:bookmarkEnd w:id="175"/>
    </w:p>
    <w:p>
      <w:pPr>
        <w:pStyle w:val="style0"/>
        <w:spacing w:before="156" w:beforeLines="50" w:after="156" w:afterLines="50" w:lineRule="auto" w:line="360"/>
        <w:jc w:val="center"/>
        <w:rPr>
          <w:rFonts w:hint="default"/>
          <w:b/>
          <w:bCs/>
          <w:color w:val="auto"/>
          <w:sz w:val="30"/>
        </w:rPr>
      </w:pPr>
      <w:r>
        <w:rPr>
          <w:b/>
          <w:color w:val="auto"/>
          <w:sz w:val="28"/>
          <w:szCs w:val="28"/>
        </w:rPr>
        <w:t>（1）项目监理机构组成表</w:t>
      </w:r>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706"/>
        <w:gridCol w:w="731"/>
        <w:gridCol w:w="1217"/>
        <w:gridCol w:w="923"/>
        <w:gridCol w:w="975"/>
        <w:gridCol w:w="828"/>
        <w:gridCol w:w="2432"/>
        <w:gridCol w:w="1726"/>
      </w:tblGrid>
      <w:tr>
        <w:trPr>
          <w:trHeight w:val="537" w:hRule="atLeast"/>
          <w:jc w:val="center"/>
        </w:trPr>
        <w:tc>
          <w:tcPr>
            <w:tcW w:w="706" w:type="dxa"/>
            <w:vMerge w:val="restart"/>
            <w:tcBorders/>
            <w:vAlign w:val="center"/>
          </w:tcPr>
          <w:p>
            <w:pPr>
              <w:pStyle w:val="style0"/>
              <w:jc w:val="center"/>
              <w:rPr>
                <w:rFonts w:hint="default"/>
                <w:color w:val="auto"/>
                <w:szCs w:val="21"/>
              </w:rPr>
            </w:pPr>
            <w:r>
              <w:rPr>
                <w:rFonts w:eastAsia="仿宋_GB2312"/>
                <w:color w:val="auto"/>
                <w:szCs w:val="21"/>
              </w:rPr>
              <w:t>姓名</w:t>
            </w:r>
          </w:p>
        </w:tc>
        <w:tc>
          <w:tcPr>
            <w:tcW w:w="731" w:type="dxa"/>
            <w:vMerge w:val="restart"/>
            <w:tcBorders/>
            <w:vAlign w:val="center"/>
          </w:tcPr>
          <w:p>
            <w:pPr>
              <w:pStyle w:val="style0"/>
              <w:jc w:val="center"/>
              <w:rPr>
                <w:rFonts w:hint="default"/>
                <w:color w:val="auto"/>
                <w:szCs w:val="21"/>
              </w:rPr>
            </w:pPr>
            <w:r>
              <w:rPr>
                <w:rFonts w:eastAsia="仿宋_GB2312"/>
                <w:color w:val="auto"/>
                <w:szCs w:val="21"/>
              </w:rPr>
              <w:t>性别</w:t>
            </w:r>
          </w:p>
        </w:tc>
        <w:tc>
          <w:tcPr>
            <w:tcW w:w="6375" w:type="dxa"/>
            <w:gridSpan w:val="5"/>
            <w:tcBorders/>
            <w:vAlign w:val="center"/>
          </w:tcPr>
          <w:p>
            <w:pPr>
              <w:pStyle w:val="style0"/>
              <w:jc w:val="center"/>
              <w:rPr>
                <w:rFonts w:hint="default"/>
                <w:color w:val="auto"/>
                <w:szCs w:val="21"/>
              </w:rPr>
            </w:pPr>
            <w:r>
              <w:rPr>
                <w:rFonts w:eastAsia="仿宋_GB2312"/>
                <w:color w:val="auto"/>
                <w:szCs w:val="21"/>
              </w:rPr>
              <w:t>执业或岗位资格证明</w:t>
            </w:r>
          </w:p>
        </w:tc>
        <w:tc>
          <w:tcPr>
            <w:tcW w:w="1726" w:type="dxa"/>
            <w:vMerge w:val="restart"/>
            <w:tcBorders/>
            <w:vAlign w:val="center"/>
          </w:tcPr>
          <w:p>
            <w:pPr>
              <w:pStyle w:val="style0"/>
              <w:jc w:val="center"/>
              <w:rPr>
                <w:rFonts w:hint="default"/>
                <w:color w:val="auto"/>
                <w:szCs w:val="21"/>
              </w:rPr>
            </w:pPr>
            <w:r>
              <w:rPr>
                <w:rFonts w:eastAsia="仿宋_GB2312"/>
                <w:color w:val="auto"/>
                <w:szCs w:val="21"/>
              </w:rPr>
              <w:t>拟在本项目担任的工作岗位</w:t>
            </w:r>
          </w:p>
        </w:tc>
      </w:tr>
      <w:tr>
        <w:tblPrEx/>
        <w:trPr>
          <w:trHeight w:val="537" w:hRule="atLeast"/>
          <w:jc w:val="center"/>
        </w:trPr>
        <w:tc>
          <w:tcPr>
            <w:tcW w:w="706" w:type="dxa"/>
            <w:vMerge w:val="continue"/>
            <w:tcBorders/>
            <w:vAlign w:val="center"/>
          </w:tcPr>
          <w:p>
            <w:pPr>
              <w:pStyle w:val="style0"/>
              <w:jc w:val="center"/>
              <w:rPr>
                <w:rFonts w:hint="default"/>
                <w:color w:val="auto"/>
                <w:szCs w:val="21"/>
              </w:rPr>
            </w:pPr>
          </w:p>
        </w:tc>
        <w:tc>
          <w:tcPr>
            <w:tcW w:w="731" w:type="dxa"/>
            <w:vMerge w:val="continue"/>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r>
              <w:rPr>
                <w:rFonts w:eastAsia="仿宋_GB2312"/>
                <w:color w:val="auto"/>
                <w:szCs w:val="21"/>
              </w:rPr>
              <w:t>证书名称</w:t>
            </w:r>
          </w:p>
        </w:tc>
        <w:tc>
          <w:tcPr>
            <w:tcW w:w="923" w:type="dxa"/>
            <w:tcBorders/>
            <w:vAlign w:val="center"/>
          </w:tcPr>
          <w:p>
            <w:pPr>
              <w:pStyle w:val="style0"/>
              <w:jc w:val="center"/>
              <w:rPr>
                <w:rFonts w:hint="default"/>
                <w:color w:val="auto"/>
                <w:szCs w:val="21"/>
              </w:rPr>
            </w:pPr>
            <w:r>
              <w:rPr>
                <w:rFonts w:eastAsia="仿宋_GB2312"/>
                <w:color w:val="auto"/>
                <w:szCs w:val="21"/>
              </w:rPr>
              <w:t>级别</w:t>
            </w:r>
          </w:p>
        </w:tc>
        <w:tc>
          <w:tcPr>
            <w:tcW w:w="975" w:type="dxa"/>
            <w:tcBorders/>
            <w:vAlign w:val="center"/>
          </w:tcPr>
          <w:p>
            <w:pPr>
              <w:pStyle w:val="style0"/>
              <w:jc w:val="center"/>
              <w:rPr>
                <w:rFonts w:hint="default"/>
                <w:color w:val="auto"/>
                <w:szCs w:val="21"/>
              </w:rPr>
            </w:pPr>
            <w:r>
              <w:rPr>
                <w:rFonts w:eastAsia="仿宋_GB2312"/>
                <w:color w:val="auto"/>
                <w:szCs w:val="21"/>
              </w:rPr>
              <w:t>证号</w:t>
            </w:r>
          </w:p>
        </w:tc>
        <w:tc>
          <w:tcPr>
            <w:tcW w:w="828" w:type="dxa"/>
            <w:tcBorders/>
            <w:vAlign w:val="center"/>
          </w:tcPr>
          <w:p>
            <w:pPr>
              <w:pStyle w:val="style0"/>
              <w:jc w:val="center"/>
              <w:rPr>
                <w:rFonts w:hint="default"/>
                <w:color w:val="auto"/>
                <w:szCs w:val="21"/>
              </w:rPr>
            </w:pPr>
            <w:r>
              <w:rPr>
                <w:rFonts w:eastAsia="仿宋_GB2312"/>
                <w:color w:val="auto"/>
                <w:szCs w:val="21"/>
              </w:rPr>
              <w:t>专业</w:t>
            </w:r>
          </w:p>
        </w:tc>
        <w:tc>
          <w:tcPr>
            <w:tcW w:w="2432" w:type="dxa"/>
            <w:tcBorders/>
            <w:vAlign w:val="center"/>
          </w:tcPr>
          <w:p>
            <w:pPr>
              <w:pStyle w:val="style0"/>
              <w:jc w:val="center"/>
              <w:rPr>
                <w:rFonts w:hint="default"/>
                <w:color w:val="auto"/>
                <w:szCs w:val="21"/>
              </w:rPr>
            </w:pPr>
            <w:r>
              <w:rPr>
                <w:rFonts w:eastAsia="仿宋_GB2312"/>
                <w:color w:val="auto"/>
                <w:szCs w:val="21"/>
              </w:rPr>
              <w:t>身份证号码</w:t>
            </w:r>
          </w:p>
        </w:tc>
        <w:tc>
          <w:tcPr>
            <w:tcW w:w="1726" w:type="dxa"/>
            <w:vMerge w:val="continue"/>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r>
        <w:tblPrEx/>
        <w:trPr>
          <w:trHeight w:val="537" w:hRule="atLeast"/>
          <w:jc w:val="center"/>
        </w:trPr>
        <w:tc>
          <w:tcPr>
            <w:tcW w:w="706" w:type="dxa"/>
            <w:tcBorders/>
            <w:vAlign w:val="center"/>
          </w:tcPr>
          <w:p>
            <w:pPr>
              <w:pStyle w:val="style0"/>
              <w:jc w:val="center"/>
              <w:rPr>
                <w:rFonts w:hint="default"/>
                <w:color w:val="auto"/>
                <w:szCs w:val="21"/>
              </w:rPr>
            </w:pPr>
          </w:p>
        </w:tc>
        <w:tc>
          <w:tcPr>
            <w:tcW w:w="731" w:type="dxa"/>
            <w:tcBorders/>
            <w:vAlign w:val="center"/>
          </w:tcPr>
          <w:p>
            <w:pPr>
              <w:pStyle w:val="style0"/>
              <w:jc w:val="center"/>
              <w:rPr>
                <w:rFonts w:hint="default"/>
                <w:color w:val="auto"/>
                <w:szCs w:val="21"/>
              </w:rPr>
            </w:pPr>
          </w:p>
        </w:tc>
        <w:tc>
          <w:tcPr>
            <w:tcW w:w="1217" w:type="dxa"/>
            <w:tcBorders/>
            <w:vAlign w:val="center"/>
          </w:tcPr>
          <w:p>
            <w:pPr>
              <w:pStyle w:val="style0"/>
              <w:jc w:val="center"/>
              <w:rPr>
                <w:rFonts w:hint="default"/>
                <w:color w:val="auto"/>
                <w:szCs w:val="21"/>
              </w:rPr>
            </w:pPr>
          </w:p>
        </w:tc>
        <w:tc>
          <w:tcPr>
            <w:tcW w:w="923" w:type="dxa"/>
            <w:tcBorders/>
            <w:vAlign w:val="center"/>
          </w:tcPr>
          <w:p>
            <w:pPr>
              <w:pStyle w:val="style0"/>
              <w:jc w:val="center"/>
              <w:rPr>
                <w:rFonts w:hint="default"/>
                <w:color w:val="auto"/>
                <w:szCs w:val="21"/>
              </w:rPr>
            </w:pPr>
          </w:p>
        </w:tc>
        <w:tc>
          <w:tcPr>
            <w:tcW w:w="975" w:type="dxa"/>
            <w:tcBorders/>
            <w:vAlign w:val="center"/>
          </w:tcPr>
          <w:p>
            <w:pPr>
              <w:pStyle w:val="style0"/>
              <w:jc w:val="center"/>
              <w:rPr>
                <w:rFonts w:hint="default"/>
                <w:color w:val="auto"/>
                <w:szCs w:val="21"/>
              </w:rPr>
            </w:pPr>
          </w:p>
        </w:tc>
        <w:tc>
          <w:tcPr>
            <w:tcW w:w="828" w:type="dxa"/>
            <w:tcBorders/>
            <w:vAlign w:val="center"/>
          </w:tcPr>
          <w:p>
            <w:pPr>
              <w:pStyle w:val="style0"/>
              <w:jc w:val="center"/>
              <w:rPr>
                <w:rFonts w:hint="default"/>
                <w:color w:val="auto"/>
                <w:szCs w:val="21"/>
              </w:rPr>
            </w:pPr>
          </w:p>
        </w:tc>
        <w:tc>
          <w:tcPr>
            <w:tcW w:w="2432" w:type="dxa"/>
            <w:tcBorders/>
            <w:vAlign w:val="center"/>
          </w:tcPr>
          <w:p>
            <w:pPr>
              <w:pStyle w:val="style0"/>
              <w:jc w:val="center"/>
              <w:rPr>
                <w:rFonts w:hint="default"/>
                <w:color w:val="auto"/>
                <w:szCs w:val="21"/>
              </w:rPr>
            </w:pPr>
          </w:p>
        </w:tc>
        <w:tc>
          <w:tcPr>
            <w:tcW w:w="1726" w:type="dxa"/>
            <w:tcBorders/>
            <w:vAlign w:val="center"/>
          </w:tcPr>
          <w:p>
            <w:pPr>
              <w:pStyle w:val="style0"/>
              <w:jc w:val="center"/>
              <w:rPr>
                <w:rFonts w:hint="default"/>
                <w:color w:val="auto"/>
                <w:szCs w:val="21"/>
              </w:rPr>
            </w:pPr>
          </w:p>
        </w:tc>
      </w:tr>
    </w:tbl>
    <w:p>
      <w:pPr>
        <w:pStyle w:val="style0"/>
        <w:ind w:firstLine="435"/>
        <w:rPr>
          <w:rFonts w:eastAsia="仿宋_GB2312" w:hint="default"/>
          <w:color w:val="auto"/>
          <w:szCs w:val="21"/>
        </w:rPr>
      </w:pPr>
      <w:r>
        <w:rPr>
          <w:rFonts w:eastAsia="仿宋_GB2312"/>
          <w:color w:val="auto"/>
          <w:szCs w:val="21"/>
        </w:rPr>
        <w:t>说明：项目监理机构人员是指总监理工程师、专业监理工程师（招标阶段只要求配备1人）。</w:t>
      </w:r>
    </w:p>
    <w:p>
      <w:pPr>
        <w:pStyle w:val="style0"/>
        <w:spacing w:before="156" w:beforeLines="50" w:after="156" w:afterLines="50" w:lineRule="auto" w:line="360"/>
        <w:jc w:val="center"/>
        <w:rPr>
          <w:rFonts w:hint="default"/>
          <w:b/>
          <w:color w:val="auto"/>
          <w:sz w:val="28"/>
          <w:szCs w:val="28"/>
        </w:rPr>
      </w:pPr>
      <w:r>
        <w:rPr>
          <w:rFonts w:eastAsia="仿宋_GB2312"/>
          <w:color w:val="auto"/>
          <w:szCs w:val="21"/>
        </w:rPr>
        <w:br w:type="page"/>
      </w:r>
      <w:bookmarkStart w:id="176" w:name="_Toc300678576"/>
      <w:r>
        <w:rPr>
          <w:b/>
          <w:color w:val="auto"/>
          <w:sz w:val="28"/>
          <w:szCs w:val="28"/>
        </w:rPr>
        <w:t>（2）主要人员简历表</w:t>
      </w:r>
      <w:bookmarkEnd w:id="176"/>
    </w:p>
    <w:bookmarkStart w:id="177" w:name="_Toc300678577"/>
    <w:p>
      <w:pPr>
        <w:pStyle w:val="style4"/>
        <w:keepNext w:val="false"/>
        <w:keepLines w:val="false"/>
        <w:jc w:val="center"/>
        <w:rPr>
          <w:rFonts w:ascii="宋体" w:hAnsi="宋体" w:hint="default"/>
          <w:color w:val="auto"/>
          <w:szCs w:val="21"/>
        </w:rPr>
      </w:pPr>
      <w:r>
        <w:rPr>
          <w:rFonts w:ascii="宋体" w:hAnsi="宋体"/>
          <w:bCs w:val="false"/>
          <w:color w:val="auto"/>
        </w:rPr>
        <w:t>①拟任总监理工程师简历表</w:t>
      </w:r>
      <w:bookmarkEnd w:id="177"/>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349"/>
        <w:gridCol w:w="1198"/>
        <w:gridCol w:w="1311"/>
        <w:gridCol w:w="1475"/>
        <w:gridCol w:w="1687"/>
        <w:gridCol w:w="2609"/>
      </w:tblGrid>
      <w:tr>
        <w:trPr>
          <w:trHeight w:val="454" w:hRule="atLeast"/>
          <w:jc w:val="center"/>
        </w:trPr>
        <w:tc>
          <w:tcPr>
            <w:tcW w:w="1349" w:type="dxa"/>
            <w:tcBorders/>
            <w:vAlign w:val="center"/>
          </w:tcPr>
          <w:p>
            <w:pPr>
              <w:pStyle w:val="style0"/>
              <w:jc w:val="center"/>
              <w:rPr>
                <w:rFonts w:hint="default"/>
                <w:color w:val="auto"/>
                <w:szCs w:val="21"/>
              </w:rPr>
            </w:pPr>
            <w:r>
              <w:rPr>
                <w:rFonts w:eastAsia="仿宋_GB2312"/>
                <w:color w:val="auto"/>
                <w:szCs w:val="21"/>
              </w:rPr>
              <w:t>姓  名</w:t>
            </w:r>
          </w:p>
        </w:tc>
        <w:tc>
          <w:tcPr>
            <w:tcW w:w="1198" w:type="dxa"/>
            <w:tcBorders/>
            <w:vAlign w:val="center"/>
          </w:tcPr>
          <w:p>
            <w:pPr>
              <w:pStyle w:val="style0"/>
              <w:jc w:val="center"/>
              <w:rPr>
                <w:rFonts w:hint="default"/>
                <w:color w:val="auto"/>
                <w:szCs w:val="21"/>
              </w:rPr>
            </w:pPr>
          </w:p>
        </w:tc>
        <w:tc>
          <w:tcPr>
            <w:tcW w:w="1311" w:type="dxa"/>
            <w:tcBorders/>
            <w:vAlign w:val="center"/>
          </w:tcPr>
          <w:p>
            <w:pPr>
              <w:pStyle w:val="style0"/>
              <w:jc w:val="center"/>
              <w:rPr>
                <w:rFonts w:hint="default"/>
                <w:color w:val="auto"/>
                <w:szCs w:val="21"/>
              </w:rPr>
            </w:pPr>
            <w:r>
              <w:rPr>
                <w:rFonts w:eastAsia="仿宋_GB2312"/>
                <w:color w:val="auto"/>
                <w:szCs w:val="21"/>
              </w:rPr>
              <w:t>年龄</w:t>
            </w:r>
          </w:p>
        </w:tc>
        <w:tc>
          <w:tcPr>
            <w:tcW w:w="1475" w:type="dxa"/>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r>
              <w:rPr>
                <w:rFonts w:eastAsia="仿宋_GB2312"/>
                <w:color w:val="auto"/>
                <w:szCs w:val="21"/>
              </w:rPr>
              <w:t>执业或职业资格证书名称</w:t>
            </w:r>
          </w:p>
        </w:tc>
        <w:tc>
          <w:tcPr>
            <w:tcW w:w="2609" w:type="dxa"/>
            <w:tcBorders/>
            <w:vAlign w:val="center"/>
          </w:tcPr>
          <w:p>
            <w:pPr>
              <w:pStyle w:val="style0"/>
              <w:jc w:val="center"/>
              <w:rPr>
                <w:rFonts w:hint="default"/>
                <w:color w:val="auto"/>
                <w:szCs w:val="21"/>
              </w:rPr>
            </w:pPr>
          </w:p>
        </w:tc>
      </w:tr>
      <w:tr>
        <w:tblPrEx/>
        <w:trPr>
          <w:trHeight w:val="454" w:hRule="atLeast"/>
          <w:jc w:val="center"/>
        </w:trPr>
        <w:tc>
          <w:tcPr>
            <w:tcW w:w="1349" w:type="dxa"/>
            <w:tcBorders/>
            <w:vAlign w:val="center"/>
          </w:tcPr>
          <w:p>
            <w:pPr>
              <w:pStyle w:val="style0"/>
              <w:jc w:val="center"/>
              <w:rPr>
                <w:rFonts w:hint="default"/>
                <w:color w:val="auto"/>
                <w:szCs w:val="21"/>
              </w:rPr>
            </w:pPr>
            <w:r>
              <w:rPr>
                <w:rFonts w:eastAsia="仿宋_GB2312"/>
                <w:color w:val="auto"/>
                <w:szCs w:val="21"/>
              </w:rPr>
              <w:t>职  务</w:t>
            </w:r>
          </w:p>
        </w:tc>
        <w:tc>
          <w:tcPr>
            <w:tcW w:w="1198" w:type="dxa"/>
            <w:tcBorders/>
            <w:vAlign w:val="center"/>
          </w:tcPr>
          <w:p>
            <w:pPr>
              <w:pStyle w:val="style0"/>
              <w:jc w:val="center"/>
              <w:rPr>
                <w:rFonts w:hint="default"/>
                <w:color w:val="auto"/>
                <w:szCs w:val="21"/>
              </w:rPr>
            </w:pPr>
          </w:p>
        </w:tc>
        <w:tc>
          <w:tcPr>
            <w:tcW w:w="1311" w:type="dxa"/>
            <w:tcBorders/>
            <w:vAlign w:val="center"/>
          </w:tcPr>
          <w:p>
            <w:pPr>
              <w:pStyle w:val="style0"/>
              <w:jc w:val="center"/>
              <w:rPr>
                <w:rFonts w:hint="default"/>
                <w:color w:val="auto"/>
                <w:szCs w:val="21"/>
              </w:rPr>
            </w:pPr>
            <w:r>
              <w:rPr>
                <w:rFonts w:eastAsia="仿宋_GB2312"/>
                <w:color w:val="auto"/>
                <w:szCs w:val="21"/>
              </w:rPr>
              <w:t>学历</w:t>
            </w:r>
          </w:p>
        </w:tc>
        <w:tc>
          <w:tcPr>
            <w:tcW w:w="1475" w:type="dxa"/>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r>
              <w:rPr>
                <w:rFonts w:eastAsia="仿宋_GB2312"/>
                <w:color w:val="auto"/>
                <w:szCs w:val="21"/>
              </w:rPr>
              <w:t>拟在本工程任职</w:t>
            </w:r>
          </w:p>
        </w:tc>
        <w:tc>
          <w:tcPr>
            <w:tcW w:w="2609" w:type="dxa"/>
            <w:tcBorders/>
            <w:vAlign w:val="center"/>
          </w:tcPr>
          <w:p>
            <w:pPr>
              <w:pStyle w:val="style0"/>
              <w:jc w:val="center"/>
              <w:rPr>
                <w:rFonts w:hint="default"/>
                <w:color w:val="auto"/>
                <w:szCs w:val="21"/>
              </w:rPr>
            </w:pPr>
            <w:r>
              <w:rPr>
                <w:rFonts w:eastAsia="仿宋_GB2312"/>
                <w:color w:val="auto"/>
                <w:szCs w:val="21"/>
              </w:rPr>
              <w:t>总监理工程师</w:t>
            </w:r>
          </w:p>
        </w:tc>
      </w:tr>
      <w:tr>
        <w:tblPrEx/>
        <w:trPr>
          <w:trHeight w:val="454" w:hRule="atLeast"/>
          <w:jc w:val="center"/>
        </w:trPr>
        <w:tc>
          <w:tcPr>
            <w:tcW w:w="3858" w:type="dxa"/>
            <w:gridSpan w:val="3"/>
            <w:tcBorders/>
            <w:vAlign w:val="center"/>
          </w:tcPr>
          <w:p>
            <w:pPr>
              <w:pStyle w:val="style0"/>
              <w:jc w:val="center"/>
              <w:rPr>
                <w:rFonts w:hint="default"/>
                <w:color w:val="auto"/>
                <w:szCs w:val="21"/>
              </w:rPr>
            </w:pPr>
            <w:r>
              <w:rPr>
                <w:rFonts w:eastAsia="仿宋_GB2312"/>
                <w:color w:val="auto"/>
                <w:szCs w:val="21"/>
              </w:rPr>
              <w:t>工作年限</w:t>
            </w:r>
          </w:p>
        </w:tc>
        <w:tc>
          <w:tcPr>
            <w:tcW w:w="1475" w:type="dxa"/>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r>
              <w:rPr>
                <w:rFonts w:eastAsia="仿宋_GB2312"/>
                <w:color w:val="auto"/>
                <w:szCs w:val="21"/>
              </w:rPr>
              <w:t>从事监理工作年限</w:t>
            </w:r>
          </w:p>
        </w:tc>
        <w:tc>
          <w:tcPr>
            <w:tcW w:w="2609" w:type="dxa"/>
            <w:tcBorders/>
            <w:vAlign w:val="center"/>
          </w:tcPr>
          <w:p>
            <w:pPr>
              <w:pStyle w:val="style0"/>
              <w:jc w:val="center"/>
              <w:rPr>
                <w:rFonts w:hint="default"/>
                <w:color w:val="auto"/>
                <w:szCs w:val="21"/>
              </w:rPr>
            </w:pPr>
          </w:p>
        </w:tc>
      </w:tr>
      <w:tr>
        <w:tblPrEx/>
        <w:trPr>
          <w:trHeight w:val="454" w:hRule="atLeast"/>
          <w:jc w:val="center"/>
        </w:trPr>
        <w:tc>
          <w:tcPr>
            <w:tcW w:w="3858" w:type="dxa"/>
            <w:gridSpan w:val="3"/>
            <w:tcBorders/>
            <w:vAlign w:val="center"/>
          </w:tcPr>
          <w:p>
            <w:pPr>
              <w:pStyle w:val="style0"/>
              <w:jc w:val="center"/>
              <w:rPr>
                <w:rFonts w:hint="default"/>
                <w:color w:val="auto"/>
                <w:szCs w:val="21"/>
              </w:rPr>
            </w:pPr>
            <w:r>
              <w:rPr>
                <w:rFonts w:eastAsia="仿宋_GB2312"/>
                <w:color w:val="auto"/>
                <w:szCs w:val="21"/>
              </w:rPr>
              <w:t>毕业学校</w:t>
            </w:r>
          </w:p>
        </w:tc>
        <w:tc>
          <w:tcPr>
            <w:tcW w:w="5771" w:type="dxa"/>
            <w:gridSpan w:val="3"/>
            <w:tcBorders/>
            <w:vAlign w:val="center"/>
          </w:tcPr>
          <w:p>
            <w:pPr>
              <w:pStyle w:val="style0"/>
              <w:jc w:val="center"/>
              <w:rPr>
                <w:rFonts w:hint="default"/>
                <w:color w:val="auto"/>
                <w:szCs w:val="21"/>
              </w:rPr>
            </w:pPr>
          </w:p>
        </w:tc>
      </w:tr>
      <w:tr>
        <w:tblPrEx/>
        <w:trPr>
          <w:trHeight w:val="454" w:hRule="atLeast"/>
          <w:jc w:val="center"/>
        </w:trPr>
        <w:tc>
          <w:tcPr>
            <w:tcW w:w="9629" w:type="dxa"/>
            <w:gridSpan w:val="6"/>
            <w:tcBorders/>
            <w:vAlign w:val="center"/>
          </w:tcPr>
          <w:p>
            <w:pPr>
              <w:pStyle w:val="style0"/>
              <w:jc w:val="center"/>
              <w:rPr>
                <w:rFonts w:hint="default"/>
                <w:color w:val="auto"/>
                <w:szCs w:val="21"/>
              </w:rPr>
            </w:pPr>
            <w:r>
              <w:rPr>
                <w:rFonts w:eastAsia="仿宋_GB2312"/>
                <w:color w:val="auto"/>
                <w:szCs w:val="21"/>
              </w:rPr>
              <w:t>主要工作经历</w:t>
            </w:r>
          </w:p>
        </w:tc>
      </w:tr>
      <w:tr>
        <w:tblPrEx/>
        <w:trPr>
          <w:trHeight w:val="454" w:hRule="atLeast"/>
          <w:jc w:val="center"/>
        </w:trPr>
        <w:tc>
          <w:tcPr>
            <w:tcW w:w="1349" w:type="dxa"/>
            <w:tcBorders/>
            <w:vAlign w:val="center"/>
          </w:tcPr>
          <w:p>
            <w:pPr>
              <w:pStyle w:val="style0"/>
              <w:jc w:val="center"/>
              <w:rPr>
                <w:rFonts w:hint="default"/>
                <w:color w:val="auto"/>
                <w:szCs w:val="21"/>
              </w:rPr>
            </w:pPr>
            <w:r>
              <w:rPr>
                <w:rFonts w:eastAsia="仿宋_GB2312"/>
                <w:color w:val="auto"/>
                <w:szCs w:val="21"/>
              </w:rPr>
              <w:t>起止时间</w:t>
            </w:r>
          </w:p>
        </w:tc>
        <w:tc>
          <w:tcPr>
            <w:tcW w:w="3984" w:type="dxa"/>
            <w:gridSpan w:val="3"/>
            <w:tcBorders/>
            <w:vAlign w:val="center"/>
          </w:tcPr>
          <w:p>
            <w:pPr>
              <w:pStyle w:val="style0"/>
              <w:jc w:val="center"/>
              <w:rPr>
                <w:rFonts w:hint="default"/>
                <w:color w:val="auto"/>
                <w:szCs w:val="21"/>
              </w:rPr>
            </w:pPr>
            <w:r>
              <w:rPr>
                <w:rFonts w:eastAsia="仿宋_GB2312"/>
                <w:color w:val="auto"/>
                <w:szCs w:val="21"/>
              </w:rPr>
              <w:t>参加过的类似项目名称</w:t>
            </w:r>
          </w:p>
        </w:tc>
        <w:tc>
          <w:tcPr>
            <w:tcW w:w="1687" w:type="dxa"/>
            <w:tcBorders/>
            <w:vAlign w:val="center"/>
          </w:tcPr>
          <w:p>
            <w:pPr>
              <w:pStyle w:val="style0"/>
              <w:jc w:val="center"/>
              <w:rPr>
                <w:rFonts w:hint="default"/>
                <w:color w:val="auto"/>
                <w:szCs w:val="21"/>
              </w:rPr>
            </w:pPr>
            <w:r>
              <w:rPr>
                <w:rFonts w:eastAsia="仿宋_GB2312"/>
                <w:color w:val="auto"/>
                <w:szCs w:val="21"/>
              </w:rPr>
              <w:t>工程概况说明</w:t>
            </w:r>
          </w:p>
        </w:tc>
        <w:tc>
          <w:tcPr>
            <w:tcW w:w="2609" w:type="dxa"/>
            <w:tcBorders/>
            <w:vAlign w:val="center"/>
          </w:tcPr>
          <w:p>
            <w:pPr>
              <w:pStyle w:val="style0"/>
              <w:jc w:val="center"/>
              <w:rPr>
                <w:rFonts w:hint="default"/>
                <w:color w:val="auto"/>
                <w:szCs w:val="21"/>
              </w:rPr>
            </w:pPr>
            <w:r>
              <w:rPr>
                <w:rFonts w:eastAsia="仿宋_GB2312"/>
                <w:color w:val="auto"/>
                <w:szCs w:val="21"/>
              </w:rPr>
              <w:t>发包人及联系电话</w:t>
            </w:r>
          </w:p>
        </w:tc>
      </w:tr>
      <w:tr>
        <w:tblPrEx/>
        <w:trPr>
          <w:trHeight w:val="680" w:hRule="atLeast"/>
          <w:jc w:val="center"/>
        </w:trPr>
        <w:tc>
          <w:tcPr>
            <w:tcW w:w="1349"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p>
        </w:tc>
        <w:tc>
          <w:tcPr>
            <w:tcW w:w="2609" w:type="dxa"/>
            <w:tcBorders/>
            <w:vAlign w:val="center"/>
          </w:tcPr>
          <w:p>
            <w:pPr>
              <w:pStyle w:val="style0"/>
              <w:jc w:val="center"/>
              <w:rPr>
                <w:rFonts w:hint="default"/>
                <w:color w:val="auto"/>
                <w:szCs w:val="21"/>
              </w:rPr>
            </w:pPr>
          </w:p>
        </w:tc>
      </w:tr>
      <w:tr>
        <w:tblPrEx/>
        <w:trPr>
          <w:trHeight w:val="680" w:hRule="atLeast"/>
          <w:jc w:val="center"/>
        </w:trPr>
        <w:tc>
          <w:tcPr>
            <w:tcW w:w="1349" w:type="dxa"/>
            <w:tcBorders/>
            <w:vAlign w:val="center"/>
          </w:tcPr>
          <w:p>
            <w:pPr>
              <w:pStyle w:val="style0"/>
              <w:jc w:val="center"/>
              <w:rPr>
                <w:rFonts w:eastAsia="仿宋_GB2312" w:hint="default"/>
                <w:color w:val="auto"/>
                <w:szCs w:val="21"/>
              </w:rPr>
            </w:pPr>
          </w:p>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p>
        </w:tc>
        <w:tc>
          <w:tcPr>
            <w:tcW w:w="2609" w:type="dxa"/>
            <w:tcBorders/>
            <w:vAlign w:val="center"/>
          </w:tcPr>
          <w:p>
            <w:pPr>
              <w:pStyle w:val="style0"/>
              <w:jc w:val="center"/>
              <w:rPr>
                <w:rFonts w:hint="default"/>
                <w:color w:val="auto"/>
                <w:szCs w:val="21"/>
              </w:rPr>
            </w:pPr>
          </w:p>
        </w:tc>
      </w:tr>
      <w:tr>
        <w:tblPrEx/>
        <w:trPr>
          <w:trHeight w:val="680" w:hRule="atLeast"/>
          <w:jc w:val="center"/>
        </w:trPr>
        <w:tc>
          <w:tcPr>
            <w:tcW w:w="1349"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p>
        </w:tc>
        <w:tc>
          <w:tcPr>
            <w:tcW w:w="2609" w:type="dxa"/>
            <w:tcBorders/>
            <w:vAlign w:val="center"/>
          </w:tcPr>
          <w:p>
            <w:pPr>
              <w:pStyle w:val="style0"/>
              <w:jc w:val="center"/>
              <w:rPr>
                <w:rFonts w:hint="default"/>
                <w:color w:val="auto"/>
                <w:szCs w:val="21"/>
              </w:rPr>
            </w:pPr>
          </w:p>
        </w:tc>
      </w:tr>
      <w:tr>
        <w:tblPrEx/>
        <w:trPr>
          <w:trHeight w:val="680" w:hRule="atLeast"/>
          <w:jc w:val="center"/>
        </w:trPr>
        <w:tc>
          <w:tcPr>
            <w:tcW w:w="1349"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p>
        </w:tc>
        <w:tc>
          <w:tcPr>
            <w:tcW w:w="2609" w:type="dxa"/>
            <w:tcBorders/>
            <w:vAlign w:val="center"/>
          </w:tcPr>
          <w:p>
            <w:pPr>
              <w:pStyle w:val="style0"/>
              <w:jc w:val="center"/>
              <w:rPr>
                <w:rFonts w:hint="default"/>
                <w:color w:val="auto"/>
                <w:szCs w:val="21"/>
              </w:rPr>
            </w:pPr>
          </w:p>
        </w:tc>
      </w:tr>
      <w:tr>
        <w:tblPrEx/>
        <w:trPr>
          <w:trHeight w:val="680" w:hRule="atLeast"/>
          <w:jc w:val="center"/>
        </w:trPr>
        <w:tc>
          <w:tcPr>
            <w:tcW w:w="1349"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p>
        </w:tc>
        <w:tc>
          <w:tcPr>
            <w:tcW w:w="2609" w:type="dxa"/>
            <w:tcBorders/>
            <w:vAlign w:val="center"/>
          </w:tcPr>
          <w:p>
            <w:pPr>
              <w:pStyle w:val="style0"/>
              <w:jc w:val="center"/>
              <w:rPr>
                <w:rFonts w:hint="default"/>
                <w:color w:val="auto"/>
                <w:szCs w:val="21"/>
              </w:rPr>
            </w:pPr>
          </w:p>
        </w:tc>
      </w:tr>
      <w:tr>
        <w:tblPrEx/>
        <w:trPr>
          <w:trHeight w:val="680" w:hRule="atLeast"/>
          <w:jc w:val="center"/>
        </w:trPr>
        <w:tc>
          <w:tcPr>
            <w:tcW w:w="1349"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1687" w:type="dxa"/>
            <w:tcBorders/>
            <w:vAlign w:val="center"/>
          </w:tcPr>
          <w:p>
            <w:pPr>
              <w:pStyle w:val="style0"/>
              <w:jc w:val="center"/>
              <w:rPr>
                <w:rFonts w:hint="default"/>
                <w:color w:val="auto"/>
                <w:szCs w:val="21"/>
              </w:rPr>
            </w:pPr>
          </w:p>
        </w:tc>
        <w:tc>
          <w:tcPr>
            <w:tcW w:w="2609" w:type="dxa"/>
            <w:tcBorders/>
            <w:vAlign w:val="center"/>
          </w:tcPr>
          <w:p>
            <w:pPr>
              <w:pStyle w:val="style0"/>
              <w:jc w:val="center"/>
              <w:rPr>
                <w:rFonts w:hint="default"/>
                <w:color w:val="auto"/>
                <w:szCs w:val="21"/>
              </w:rPr>
            </w:pPr>
          </w:p>
        </w:tc>
      </w:tr>
    </w:tbl>
    <w:p>
      <w:pPr>
        <w:pStyle w:val="style0"/>
        <w:spacing w:lineRule="exact" w:line="400"/>
        <w:jc w:val="left"/>
        <w:rPr>
          <w:rFonts w:eastAsia="仿宋_GB2312" w:hint="default"/>
          <w:color w:val="auto"/>
        </w:rPr>
      </w:pPr>
      <w:r>
        <w:rPr>
          <w:color w:val="auto"/>
          <w:kern w:val="0"/>
          <w:sz w:val="18"/>
          <w:szCs w:val="18"/>
        </w:rPr>
        <w:t xml:space="preserve">    </w:t>
      </w:r>
      <w:r>
        <w:rPr>
          <w:rFonts w:eastAsia="仿宋_GB2312"/>
          <w:color w:val="auto"/>
        </w:rPr>
        <w:t>说明：1. 请提供拟任总监理工程师的“国家注册监理工程师证书、身份证的复印件。</w:t>
      </w:r>
    </w:p>
    <w:p>
      <w:pPr>
        <w:pStyle w:val="style0"/>
        <w:spacing w:lineRule="exact" w:line="400"/>
        <w:ind w:firstLine="480" w:firstLineChars="200"/>
        <w:rPr>
          <w:rFonts w:eastAsia="仿宋_GB2312" w:hint="default"/>
          <w:color w:val="auto"/>
        </w:rPr>
      </w:pPr>
      <w:r>
        <w:rPr>
          <w:rFonts w:eastAsia="仿宋_GB2312"/>
          <w:color w:val="auto"/>
        </w:rPr>
        <w:t>2. 拟任总监理工程师未在其他建设工程项目中担任总监理工程师的查询和证明方式：</w:t>
      </w:r>
      <w:r>
        <w:rPr>
          <w:rFonts w:eastAsia="仿宋_GB2312"/>
          <w:bCs/>
          <w:color w:val="auto"/>
        </w:rPr>
        <w:t>本省企业和省外入湘企业</w:t>
      </w:r>
      <w:r>
        <w:rPr>
          <w:rFonts w:eastAsia="仿宋_GB2312"/>
          <w:color w:val="auto"/>
        </w:rPr>
        <w:t>在“湖南省建筑工程监管信息平台”查询。同时，请省外入湘企业提供企业所在地市州及以上住房城乡建设主管部门出具的未在其他建设工程项目中担任总监理工程师的证明复印件或提供官方网站查询的相关信息的网页截图。</w:t>
      </w:r>
    </w:p>
    <w:p>
      <w:pPr>
        <w:pStyle w:val="style0"/>
        <w:spacing w:lineRule="exact" w:line="400"/>
        <w:ind w:firstLine="480" w:firstLineChars="200"/>
        <w:rPr>
          <w:rFonts w:eastAsia="仿宋_GB2312" w:hint="default"/>
          <w:color w:val="auto"/>
        </w:rPr>
      </w:pPr>
      <w:r>
        <w:rPr>
          <w:rFonts w:eastAsia="仿宋_GB2312"/>
          <w:color w:val="auto"/>
        </w:rPr>
        <w:t>3.在本招标项目投标截止时间前，拟任本招标项目的总监理工程师在其他项目担任总监理工程师并发生过变更撤换，且未取得项目竣工验收资料的，投标人应当在响应文件中如实注明其变更撤换情况，提供经住房城乡建设主管部门备案的变更撤换资料复印件（或其官方网站查询的变更撤换信息的截图）。未发生以上情形的，请投标人提供不存在上述情形的承诺书（格式自拟）。</w:t>
      </w:r>
    </w:p>
    <w:p>
      <w:pPr>
        <w:pStyle w:val="style4"/>
        <w:keepNext w:val="false"/>
        <w:keepLines w:val="false"/>
        <w:jc w:val="center"/>
        <w:rPr>
          <w:rFonts w:ascii="宋体" w:hAnsi="宋体" w:hint="default"/>
          <w:b w:val="false"/>
          <w:color w:val="auto"/>
          <w:szCs w:val="21"/>
        </w:rPr>
      </w:pPr>
      <w:r>
        <w:rPr>
          <w:rFonts w:ascii="Times New Roman" w:eastAsia="黑体" w:hAnsi="Times New Roman"/>
          <w:color w:val="auto"/>
        </w:rPr>
        <w:br w:type="page"/>
      </w:r>
      <w:r>
        <w:rPr>
          <w:rFonts w:ascii="宋体" w:hAnsi="宋体"/>
          <w:color w:val="auto"/>
        </w:rPr>
        <w:t>②拟任专业监理工程师简历表</w:t>
      </w:r>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348"/>
        <w:gridCol w:w="1198"/>
        <w:gridCol w:w="1311"/>
        <w:gridCol w:w="1475"/>
        <w:gridCol w:w="2134"/>
        <w:gridCol w:w="2163"/>
      </w:tblGrid>
      <w:tr>
        <w:trPr>
          <w:trHeight w:val="567" w:hRule="atLeast"/>
          <w:jc w:val="center"/>
        </w:trPr>
        <w:tc>
          <w:tcPr>
            <w:tcW w:w="1348" w:type="dxa"/>
            <w:tcBorders/>
            <w:vAlign w:val="center"/>
          </w:tcPr>
          <w:p>
            <w:pPr>
              <w:pStyle w:val="style0"/>
              <w:jc w:val="center"/>
              <w:rPr>
                <w:rFonts w:hint="default"/>
                <w:color w:val="auto"/>
                <w:szCs w:val="21"/>
              </w:rPr>
            </w:pPr>
            <w:r>
              <w:rPr>
                <w:rFonts w:eastAsia="仿宋_GB2312"/>
                <w:color w:val="auto"/>
                <w:szCs w:val="21"/>
              </w:rPr>
              <w:t>姓  名</w:t>
            </w:r>
          </w:p>
        </w:tc>
        <w:tc>
          <w:tcPr>
            <w:tcW w:w="1198" w:type="dxa"/>
            <w:tcBorders/>
            <w:vAlign w:val="center"/>
          </w:tcPr>
          <w:p>
            <w:pPr>
              <w:pStyle w:val="style0"/>
              <w:jc w:val="center"/>
              <w:rPr>
                <w:rFonts w:hint="default"/>
                <w:color w:val="auto"/>
                <w:szCs w:val="21"/>
              </w:rPr>
            </w:pPr>
          </w:p>
        </w:tc>
        <w:tc>
          <w:tcPr>
            <w:tcW w:w="1311" w:type="dxa"/>
            <w:tcBorders/>
            <w:vAlign w:val="center"/>
          </w:tcPr>
          <w:p>
            <w:pPr>
              <w:pStyle w:val="style0"/>
              <w:jc w:val="center"/>
              <w:rPr>
                <w:rFonts w:hint="default"/>
                <w:color w:val="auto"/>
                <w:szCs w:val="21"/>
              </w:rPr>
            </w:pPr>
            <w:r>
              <w:rPr>
                <w:rFonts w:eastAsia="仿宋_GB2312"/>
                <w:color w:val="auto"/>
                <w:szCs w:val="21"/>
              </w:rPr>
              <w:t>年龄</w:t>
            </w:r>
          </w:p>
        </w:tc>
        <w:tc>
          <w:tcPr>
            <w:tcW w:w="1475" w:type="dxa"/>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r>
              <w:rPr>
                <w:rFonts w:eastAsia="仿宋_GB2312"/>
                <w:color w:val="auto"/>
                <w:szCs w:val="21"/>
              </w:rPr>
              <w:t>执业或职业资格证书名称</w:t>
            </w: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1348" w:type="dxa"/>
            <w:tcBorders/>
            <w:vAlign w:val="center"/>
          </w:tcPr>
          <w:p>
            <w:pPr>
              <w:pStyle w:val="style0"/>
              <w:jc w:val="center"/>
              <w:rPr>
                <w:rFonts w:hint="default"/>
                <w:color w:val="auto"/>
                <w:szCs w:val="21"/>
              </w:rPr>
            </w:pPr>
            <w:r>
              <w:rPr>
                <w:rFonts w:eastAsia="仿宋_GB2312"/>
                <w:color w:val="auto"/>
                <w:szCs w:val="21"/>
              </w:rPr>
              <w:t>职  务</w:t>
            </w:r>
          </w:p>
        </w:tc>
        <w:tc>
          <w:tcPr>
            <w:tcW w:w="1198" w:type="dxa"/>
            <w:tcBorders/>
            <w:vAlign w:val="center"/>
          </w:tcPr>
          <w:p>
            <w:pPr>
              <w:pStyle w:val="style0"/>
              <w:jc w:val="center"/>
              <w:rPr>
                <w:rFonts w:hint="default"/>
                <w:color w:val="auto"/>
                <w:szCs w:val="21"/>
              </w:rPr>
            </w:pPr>
          </w:p>
        </w:tc>
        <w:tc>
          <w:tcPr>
            <w:tcW w:w="1311" w:type="dxa"/>
            <w:tcBorders/>
            <w:vAlign w:val="center"/>
          </w:tcPr>
          <w:p>
            <w:pPr>
              <w:pStyle w:val="style0"/>
              <w:jc w:val="center"/>
              <w:rPr>
                <w:rFonts w:hint="default"/>
                <w:color w:val="auto"/>
                <w:szCs w:val="21"/>
              </w:rPr>
            </w:pPr>
            <w:r>
              <w:rPr>
                <w:rFonts w:eastAsia="仿宋_GB2312"/>
                <w:color w:val="auto"/>
                <w:szCs w:val="21"/>
              </w:rPr>
              <w:t>学历</w:t>
            </w:r>
          </w:p>
        </w:tc>
        <w:tc>
          <w:tcPr>
            <w:tcW w:w="1475" w:type="dxa"/>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r>
              <w:rPr>
                <w:rFonts w:eastAsia="仿宋_GB2312"/>
                <w:color w:val="auto"/>
                <w:szCs w:val="21"/>
              </w:rPr>
              <w:t>拟在本工程任职</w:t>
            </w: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3857" w:type="dxa"/>
            <w:gridSpan w:val="3"/>
            <w:tcBorders/>
            <w:vAlign w:val="center"/>
          </w:tcPr>
          <w:p>
            <w:pPr>
              <w:pStyle w:val="style0"/>
              <w:jc w:val="center"/>
              <w:rPr>
                <w:rFonts w:hint="default"/>
                <w:color w:val="auto"/>
                <w:szCs w:val="21"/>
              </w:rPr>
            </w:pPr>
            <w:r>
              <w:rPr>
                <w:rFonts w:eastAsia="仿宋_GB2312"/>
                <w:color w:val="auto"/>
                <w:szCs w:val="21"/>
              </w:rPr>
              <w:t>工作年限</w:t>
            </w:r>
          </w:p>
        </w:tc>
        <w:tc>
          <w:tcPr>
            <w:tcW w:w="1475" w:type="dxa"/>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r>
              <w:rPr>
                <w:rFonts w:eastAsia="仿宋_GB2312"/>
                <w:color w:val="auto"/>
                <w:szCs w:val="21"/>
              </w:rPr>
              <w:t>从事监理工作年限</w:t>
            </w: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3857" w:type="dxa"/>
            <w:gridSpan w:val="3"/>
            <w:tcBorders/>
            <w:vAlign w:val="center"/>
          </w:tcPr>
          <w:p>
            <w:pPr>
              <w:pStyle w:val="style0"/>
              <w:jc w:val="center"/>
              <w:rPr>
                <w:rFonts w:hint="default"/>
                <w:color w:val="auto"/>
                <w:szCs w:val="21"/>
              </w:rPr>
            </w:pPr>
            <w:r>
              <w:rPr>
                <w:rFonts w:eastAsia="仿宋_GB2312"/>
                <w:color w:val="auto"/>
                <w:szCs w:val="21"/>
              </w:rPr>
              <w:t>毕业学校</w:t>
            </w:r>
          </w:p>
        </w:tc>
        <w:tc>
          <w:tcPr>
            <w:tcW w:w="5772" w:type="dxa"/>
            <w:gridSpan w:val="3"/>
            <w:tcBorders/>
            <w:vAlign w:val="center"/>
          </w:tcPr>
          <w:p>
            <w:pPr>
              <w:pStyle w:val="style0"/>
              <w:jc w:val="center"/>
              <w:rPr>
                <w:rFonts w:hint="default"/>
                <w:color w:val="auto"/>
                <w:szCs w:val="21"/>
              </w:rPr>
            </w:pPr>
          </w:p>
        </w:tc>
      </w:tr>
      <w:tr>
        <w:tblPrEx/>
        <w:trPr>
          <w:trHeight w:val="567" w:hRule="atLeast"/>
          <w:jc w:val="center"/>
        </w:trPr>
        <w:tc>
          <w:tcPr>
            <w:tcW w:w="9629" w:type="dxa"/>
            <w:gridSpan w:val="6"/>
            <w:tcBorders/>
            <w:vAlign w:val="center"/>
          </w:tcPr>
          <w:p>
            <w:pPr>
              <w:pStyle w:val="style0"/>
              <w:jc w:val="center"/>
              <w:rPr>
                <w:rFonts w:hint="default"/>
                <w:color w:val="auto"/>
                <w:szCs w:val="21"/>
              </w:rPr>
            </w:pPr>
            <w:r>
              <w:rPr>
                <w:rFonts w:eastAsia="仿宋_GB2312"/>
                <w:color w:val="auto"/>
                <w:szCs w:val="21"/>
              </w:rPr>
              <w:t>主要工作经历</w:t>
            </w:r>
          </w:p>
        </w:tc>
      </w:tr>
      <w:tr>
        <w:tblPrEx/>
        <w:trPr>
          <w:trHeight w:val="567" w:hRule="atLeast"/>
          <w:jc w:val="center"/>
        </w:trPr>
        <w:tc>
          <w:tcPr>
            <w:tcW w:w="1348" w:type="dxa"/>
            <w:tcBorders/>
            <w:vAlign w:val="center"/>
          </w:tcPr>
          <w:p>
            <w:pPr>
              <w:pStyle w:val="style0"/>
              <w:jc w:val="center"/>
              <w:rPr>
                <w:rFonts w:hint="default"/>
                <w:color w:val="auto"/>
                <w:szCs w:val="21"/>
              </w:rPr>
            </w:pPr>
            <w:r>
              <w:rPr>
                <w:rFonts w:eastAsia="仿宋_GB2312"/>
                <w:color w:val="auto"/>
                <w:szCs w:val="21"/>
              </w:rPr>
              <w:t>起止时间</w:t>
            </w:r>
          </w:p>
        </w:tc>
        <w:tc>
          <w:tcPr>
            <w:tcW w:w="3984" w:type="dxa"/>
            <w:gridSpan w:val="3"/>
            <w:tcBorders/>
            <w:vAlign w:val="center"/>
          </w:tcPr>
          <w:p>
            <w:pPr>
              <w:pStyle w:val="style0"/>
              <w:jc w:val="center"/>
              <w:rPr>
                <w:rFonts w:hint="default"/>
                <w:color w:val="auto"/>
                <w:szCs w:val="21"/>
              </w:rPr>
            </w:pPr>
            <w:r>
              <w:rPr>
                <w:rFonts w:eastAsia="仿宋_GB2312"/>
                <w:color w:val="auto"/>
                <w:szCs w:val="21"/>
              </w:rPr>
              <w:t>参加过的类似项目名称</w:t>
            </w:r>
          </w:p>
        </w:tc>
        <w:tc>
          <w:tcPr>
            <w:tcW w:w="2134" w:type="dxa"/>
            <w:tcBorders/>
            <w:vAlign w:val="center"/>
          </w:tcPr>
          <w:p>
            <w:pPr>
              <w:pStyle w:val="style0"/>
              <w:jc w:val="center"/>
              <w:rPr>
                <w:rFonts w:hint="default"/>
                <w:color w:val="auto"/>
                <w:szCs w:val="21"/>
              </w:rPr>
            </w:pPr>
            <w:r>
              <w:rPr>
                <w:rFonts w:eastAsia="仿宋_GB2312"/>
                <w:color w:val="auto"/>
                <w:szCs w:val="21"/>
              </w:rPr>
              <w:t>工程概况说明</w:t>
            </w:r>
          </w:p>
        </w:tc>
        <w:tc>
          <w:tcPr>
            <w:tcW w:w="2163" w:type="dxa"/>
            <w:tcBorders/>
            <w:vAlign w:val="center"/>
          </w:tcPr>
          <w:p>
            <w:pPr>
              <w:pStyle w:val="style0"/>
              <w:jc w:val="center"/>
              <w:rPr>
                <w:rFonts w:hint="default"/>
                <w:color w:val="auto"/>
                <w:szCs w:val="21"/>
              </w:rPr>
            </w:pPr>
            <w:r>
              <w:rPr>
                <w:rFonts w:eastAsia="仿宋_GB2312"/>
                <w:color w:val="auto"/>
                <w:szCs w:val="21"/>
              </w:rPr>
              <w:t>发包人及联系电话</w:t>
            </w:r>
          </w:p>
        </w:tc>
      </w:tr>
      <w:tr>
        <w:tblPrEx/>
        <w:trPr>
          <w:trHeight w:val="567" w:hRule="atLeast"/>
          <w:jc w:val="center"/>
        </w:trPr>
        <w:tc>
          <w:tcPr>
            <w:tcW w:w="1348"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1348" w:type="dxa"/>
            <w:tcBorders/>
            <w:vAlign w:val="center"/>
          </w:tcPr>
          <w:p>
            <w:pPr>
              <w:pStyle w:val="style0"/>
              <w:jc w:val="center"/>
              <w:rPr>
                <w:rFonts w:eastAsia="仿宋_GB2312" w:hint="default"/>
                <w:color w:val="auto"/>
                <w:szCs w:val="21"/>
              </w:rPr>
            </w:pPr>
          </w:p>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1348"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1348"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1348"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p>
        </w:tc>
        <w:tc>
          <w:tcPr>
            <w:tcW w:w="2163" w:type="dxa"/>
            <w:tcBorders/>
            <w:vAlign w:val="center"/>
          </w:tcPr>
          <w:p>
            <w:pPr>
              <w:pStyle w:val="style0"/>
              <w:jc w:val="center"/>
              <w:rPr>
                <w:rFonts w:hint="default"/>
                <w:color w:val="auto"/>
                <w:szCs w:val="21"/>
              </w:rPr>
            </w:pPr>
          </w:p>
        </w:tc>
      </w:tr>
      <w:tr>
        <w:tblPrEx/>
        <w:trPr>
          <w:trHeight w:val="567" w:hRule="atLeast"/>
          <w:jc w:val="center"/>
        </w:trPr>
        <w:tc>
          <w:tcPr>
            <w:tcW w:w="1348" w:type="dxa"/>
            <w:tcBorders/>
            <w:vAlign w:val="center"/>
          </w:tcPr>
          <w:p>
            <w:pPr>
              <w:pStyle w:val="style0"/>
              <w:jc w:val="center"/>
              <w:rPr>
                <w:rFonts w:hint="default"/>
                <w:color w:val="auto"/>
                <w:szCs w:val="21"/>
              </w:rPr>
            </w:pPr>
          </w:p>
        </w:tc>
        <w:tc>
          <w:tcPr>
            <w:tcW w:w="3984" w:type="dxa"/>
            <w:gridSpan w:val="3"/>
            <w:tcBorders/>
            <w:vAlign w:val="center"/>
          </w:tcPr>
          <w:p>
            <w:pPr>
              <w:pStyle w:val="style0"/>
              <w:jc w:val="center"/>
              <w:rPr>
                <w:rFonts w:hint="default"/>
                <w:color w:val="auto"/>
                <w:szCs w:val="21"/>
              </w:rPr>
            </w:pPr>
          </w:p>
        </w:tc>
        <w:tc>
          <w:tcPr>
            <w:tcW w:w="2134" w:type="dxa"/>
            <w:tcBorders/>
            <w:vAlign w:val="center"/>
          </w:tcPr>
          <w:p>
            <w:pPr>
              <w:pStyle w:val="style0"/>
              <w:jc w:val="center"/>
              <w:rPr>
                <w:rFonts w:hint="default"/>
                <w:color w:val="auto"/>
                <w:szCs w:val="21"/>
              </w:rPr>
            </w:pPr>
          </w:p>
        </w:tc>
        <w:tc>
          <w:tcPr>
            <w:tcW w:w="2163" w:type="dxa"/>
            <w:tcBorders/>
            <w:vAlign w:val="center"/>
          </w:tcPr>
          <w:p>
            <w:pPr>
              <w:pStyle w:val="style0"/>
              <w:jc w:val="center"/>
              <w:rPr>
                <w:rFonts w:hint="default"/>
                <w:color w:val="auto"/>
                <w:szCs w:val="21"/>
              </w:rPr>
            </w:pPr>
          </w:p>
        </w:tc>
      </w:tr>
    </w:tbl>
    <w:p>
      <w:pPr>
        <w:pStyle w:val="style0"/>
        <w:spacing w:lineRule="auto" w:line="300"/>
        <w:jc w:val="left"/>
        <w:rPr>
          <w:rFonts w:eastAsia="仿宋_GB2312" w:hint="default"/>
          <w:color w:val="auto"/>
        </w:rPr>
      </w:pPr>
      <w:r>
        <w:rPr>
          <w:rFonts w:eastAsia="仿宋_GB2312"/>
          <w:color w:val="auto"/>
          <w:szCs w:val="21"/>
        </w:rPr>
        <w:t>说明：1、请附拟任专业监理工程师的国家注册监理工程师证书（或湖南省监理工程师证书或湖南省专业监理工程师培训合格证书）和身份证复印件</w:t>
      </w:r>
      <w:r>
        <w:rPr>
          <w:rFonts w:eastAsia="仿宋_GB2312"/>
          <w:bCs/>
          <w:color w:val="auto"/>
        </w:rPr>
        <w:t>。</w:t>
      </w:r>
    </w:p>
    <w:p>
      <w:pPr>
        <w:pStyle w:val="style0"/>
        <w:spacing w:lineRule="auto" w:line="360"/>
        <w:jc w:val="center"/>
        <w:rPr>
          <w:rFonts w:hint="default"/>
          <w:b/>
          <w:color w:val="auto"/>
          <w:kern w:val="0"/>
          <w:sz w:val="28"/>
          <w:szCs w:val="28"/>
        </w:rPr>
      </w:pPr>
      <w:r>
        <w:rPr>
          <w:rFonts w:eastAsia="仿宋_GB2312"/>
          <w:color w:val="auto"/>
          <w:szCs w:val="21"/>
        </w:rPr>
        <w:br w:type="page"/>
      </w:r>
      <w:bookmarkStart w:id="178" w:name="_Toc300678578"/>
      <w:r>
        <w:rPr>
          <w:b/>
          <w:color w:val="auto"/>
          <w:kern w:val="0"/>
          <w:sz w:val="28"/>
          <w:szCs w:val="28"/>
        </w:rPr>
        <w:t>（3）项目监理机构自评表</w:t>
      </w:r>
    </w:p>
    <w:tbl>
      <w:tblPr>
        <w:tblStyle w:val="style10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2332"/>
        <w:gridCol w:w="2333"/>
        <w:gridCol w:w="2333"/>
        <w:gridCol w:w="2333"/>
      </w:tblGrid>
      <w:tr>
        <w:trPr>
          <w:trHeight w:val="648" w:hRule="atLeast"/>
        </w:trPr>
        <w:tc>
          <w:tcPr>
            <w:tcW w:w="2332" w:type="dxa"/>
            <w:tcBorders/>
            <w:vAlign w:val="center"/>
          </w:tcPr>
          <w:p>
            <w:pPr>
              <w:pStyle w:val="style0"/>
              <w:jc w:val="center"/>
              <w:rPr>
                <w:rFonts w:hint="default"/>
                <w:color w:val="auto"/>
                <w:szCs w:val="21"/>
              </w:rPr>
            </w:pPr>
            <w:r>
              <w:rPr>
                <w:rFonts w:eastAsia="仿宋_GB2312"/>
                <w:color w:val="auto"/>
                <w:szCs w:val="21"/>
              </w:rPr>
              <w:t>评审对象</w:t>
            </w:r>
          </w:p>
        </w:tc>
        <w:tc>
          <w:tcPr>
            <w:tcW w:w="4666" w:type="dxa"/>
            <w:gridSpan w:val="2"/>
            <w:tcBorders/>
            <w:vAlign w:val="center"/>
          </w:tcPr>
          <w:p>
            <w:pPr>
              <w:pStyle w:val="style0"/>
              <w:jc w:val="center"/>
              <w:rPr>
                <w:rFonts w:eastAsia="仿宋_GB2312" w:hint="default"/>
                <w:color w:val="auto"/>
                <w:szCs w:val="21"/>
              </w:rPr>
            </w:pPr>
            <w:r>
              <w:rPr>
                <w:rFonts w:eastAsia="仿宋_GB2312"/>
                <w:color w:val="auto"/>
                <w:szCs w:val="21"/>
              </w:rPr>
              <w:t>评审内容</w:t>
            </w:r>
          </w:p>
          <w:p>
            <w:pPr>
              <w:pStyle w:val="style0"/>
              <w:jc w:val="center"/>
              <w:rPr>
                <w:rFonts w:hint="default"/>
                <w:color w:val="auto"/>
                <w:szCs w:val="21"/>
              </w:rPr>
            </w:pPr>
            <w:r>
              <w:rPr>
                <w:rFonts w:eastAsia="仿宋_GB2312"/>
                <w:color w:val="auto"/>
                <w:szCs w:val="21"/>
              </w:rPr>
              <w:t>（项目名称、奖项名称）</w:t>
            </w:r>
          </w:p>
        </w:tc>
        <w:tc>
          <w:tcPr>
            <w:tcW w:w="2333" w:type="dxa"/>
            <w:tcBorders/>
            <w:vAlign w:val="center"/>
          </w:tcPr>
          <w:p>
            <w:pPr>
              <w:pStyle w:val="style0"/>
              <w:jc w:val="center"/>
              <w:rPr>
                <w:rFonts w:hint="default"/>
                <w:color w:val="auto"/>
                <w:szCs w:val="21"/>
              </w:rPr>
            </w:pPr>
            <w:r>
              <w:rPr>
                <w:rFonts w:eastAsia="仿宋_GB2312"/>
                <w:color w:val="auto"/>
                <w:szCs w:val="21"/>
              </w:rPr>
              <w:t>材料所在的页码</w:t>
            </w:r>
          </w:p>
        </w:tc>
      </w:tr>
      <w:tr>
        <w:tblPrEx/>
        <w:trPr>
          <w:trHeight w:val="583" w:hRule="atLeast"/>
        </w:trPr>
        <w:tc>
          <w:tcPr>
            <w:tcW w:w="2332" w:type="dxa"/>
            <w:vMerge w:val="restart"/>
            <w:tcBorders/>
            <w:vAlign w:val="center"/>
          </w:tcPr>
          <w:p>
            <w:pPr>
              <w:pStyle w:val="style0"/>
              <w:jc w:val="center"/>
              <w:rPr>
                <w:rFonts w:hint="default"/>
                <w:color w:val="auto"/>
                <w:szCs w:val="21"/>
              </w:rPr>
            </w:pPr>
            <w:r>
              <w:rPr>
                <w:rFonts w:eastAsia="仿宋_GB2312"/>
                <w:color w:val="auto"/>
                <w:szCs w:val="21"/>
              </w:rPr>
              <w:t>拟任总监理工程师</w:t>
            </w:r>
          </w:p>
        </w:tc>
        <w:tc>
          <w:tcPr>
            <w:tcW w:w="2333" w:type="dxa"/>
            <w:vMerge w:val="restart"/>
            <w:tcBorders/>
            <w:vAlign w:val="center"/>
          </w:tcPr>
          <w:p>
            <w:pPr>
              <w:pStyle w:val="style0"/>
              <w:jc w:val="center"/>
              <w:rPr>
                <w:rFonts w:hint="default"/>
                <w:color w:val="auto"/>
                <w:szCs w:val="21"/>
              </w:rPr>
            </w:pPr>
            <w:r>
              <w:rPr>
                <w:rFonts w:eastAsia="仿宋_GB2312"/>
                <w:color w:val="auto"/>
                <w:szCs w:val="21"/>
              </w:rPr>
              <w:t>优良信息</w:t>
            </w: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583"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restart"/>
            <w:tcBorders/>
            <w:vAlign w:val="center"/>
          </w:tcPr>
          <w:p>
            <w:pPr>
              <w:pStyle w:val="style0"/>
              <w:jc w:val="center"/>
              <w:rPr>
                <w:rFonts w:eastAsia="仿宋_GB2312" w:hint="default"/>
                <w:color w:val="auto"/>
                <w:szCs w:val="21"/>
              </w:rPr>
            </w:pPr>
            <w:r>
              <w:rPr>
                <w:rFonts w:eastAsia="仿宋_GB2312"/>
                <w:color w:val="auto"/>
                <w:szCs w:val="21"/>
              </w:rPr>
              <w:t>类似工程监理</w:t>
            </w:r>
          </w:p>
          <w:p>
            <w:pPr>
              <w:pStyle w:val="style0"/>
              <w:jc w:val="center"/>
              <w:rPr>
                <w:rFonts w:hint="default"/>
                <w:color w:val="auto"/>
                <w:szCs w:val="21"/>
              </w:rPr>
            </w:pPr>
            <w:r>
              <w:rPr>
                <w:rFonts w:eastAsia="仿宋_GB2312"/>
                <w:color w:val="auto"/>
                <w:szCs w:val="21"/>
              </w:rPr>
              <w:t>业绩</w:t>
            </w: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583"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583" w:hRule="atLeast"/>
        </w:trPr>
        <w:tc>
          <w:tcPr>
            <w:tcW w:w="2332" w:type="dxa"/>
            <w:vMerge w:val="restart"/>
            <w:tcBorders/>
            <w:vAlign w:val="center"/>
          </w:tcPr>
          <w:p>
            <w:pPr>
              <w:pStyle w:val="style0"/>
              <w:jc w:val="center"/>
              <w:rPr>
                <w:rFonts w:hint="default"/>
                <w:color w:val="auto"/>
                <w:szCs w:val="21"/>
              </w:rPr>
            </w:pPr>
            <w:r>
              <w:rPr>
                <w:rFonts w:eastAsia="仿宋_GB2312"/>
                <w:color w:val="auto"/>
                <w:szCs w:val="21"/>
              </w:rPr>
              <w:t>拟任专业监理工程师</w:t>
            </w:r>
          </w:p>
        </w:tc>
        <w:tc>
          <w:tcPr>
            <w:tcW w:w="2333" w:type="dxa"/>
            <w:vMerge w:val="restart"/>
            <w:tcBorders/>
            <w:vAlign w:val="center"/>
          </w:tcPr>
          <w:p>
            <w:pPr>
              <w:pStyle w:val="style0"/>
              <w:jc w:val="center"/>
              <w:rPr>
                <w:rFonts w:eastAsia="仿宋_GB2312" w:hint="default"/>
                <w:color w:val="auto"/>
                <w:szCs w:val="21"/>
              </w:rPr>
            </w:pPr>
            <w:r>
              <w:rPr>
                <w:rFonts w:eastAsia="仿宋_GB2312"/>
                <w:color w:val="auto"/>
                <w:szCs w:val="21"/>
              </w:rPr>
              <w:t>类似工程监理</w:t>
            </w:r>
          </w:p>
          <w:p>
            <w:pPr>
              <w:pStyle w:val="style0"/>
              <w:jc w:val="center"/>
              <w:rPr>
                <w:rFonts w:hint="default"/>
                <w:color w:val="auto"/>
                <w:szCs w:val="21"/>
              </w:rPr>
            </w:pPr>
            <w:r>
              <w:rPr>
                <w:rFonts w:eastAsia="仿宋_GB2312"/>
                <w:color w:val="auto"/>
                <w:szCs w:val="21"/>
              </w:rPr>
              <w:t>业绩</w:t>
            </w: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583"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618"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r>
        <w:tblPrEx/>
        <w:trPr>
          <w:trHeight w:val="537" w:hRule="atLeast"/>
        </w:trPr>
        <w:tc>
          <w:tcPr>
            <w:tcW w:w="2332" w:type="dxa"/>
            <w:vMerge w:val="continue"/>
            <w:tcBorders/>
            <w:vAlign w:val="center"/>
          </w:tcPr>
          <w:p>
            <w:pPr>
              <w:pStyle w:val="style0"/>
              <w:jc w:val="center"/>
              <w:rPr>
                <w:rFonts w:hint="default"/>
                <w:color w:val="auto"/>
                <w:szCs w:val="21"/>
              </w:rPr>
            </w:pPr>
          </w:p>
        </w:tc>
        <w:tc>
          <w:tcPr>
            <w:tcW w:w="2333" w:type="dxa"/>
            <w:vMerge w:val="continue"/>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c>
          <w:tcPr>
            <w:tcW w:w="2333" w:type="dxa"/>
            <w:tcBorders/>
            <w:vAlign w:val="center"/>
          </w:tcPr>
          <w:p>
            <w:pPr>
              <w:pStyle w:val="style0"/>
              <w:jc w:val="center"/>
              <w:rPr>
                <w:rFonts w:hint="default"/>
                <w:color w:val="auto"/>
                <w:szCs w:val="21"/>
              </w:rPr>
            </w:pPr>
          </w:p>
        </w:tc>
      </w:tr>
    </w:tbl>
    <w:p>
      <w:pPr>
        <w:pStyle w:val="style0"/>
        <w:spacing w:lineRule="exact" w:line="360"/>
        <w:rPr>
          <w:rFonts w:cs="Calibri" w:eastAsia="仿宋_GB2312" w:hint="default"/>
          <w:color w:val="auto"/>
          <w:szCs w:val="21"/>
        </w:rPr>
      </w:pPr>
      <w:r>
        <w:rPr>
          <w:rFonts w:cs="Calibri" w:eastAsia="仿宋_GB2312"/>
          <w:color w:val="auto"/>
          <w:szCs w:val="21"/>
        </w:rPr>
        <w:t>说明：1.请附拟任总监理工程师优良信息证明文件（关键页）复印件。</w:t>
      </w:r>
    </w:p>
    <w:p>
      <w:pPr>
        <w:pStyle w:val="style0"/>
        <w:tabs>
          <w:tab w:val="left" w:leader="none" w:pos="312"/>
        </w:tabs>
        <w:spacing w:lineRule="exact" w:line="360"/>
        <w:rPr>
          <w:rFonts w:eastAsia="仿宋_GB2312" w:hint="default"/>
          <w:color w:val="auto"/>
          <w:szCs w:val="21"/>
        </w:rPr>
      </w:pPr>
      <w:r>
        <w:rPr>
          <w:rFonts w:cs="Calibri" w:eastAsia="仿宋_GB2312"/>
          <w:color w:val="auto"/>
          <w:szCs w:val="21"/>
        </w:rPr>
        <w:t>拟任总监理工程师优良信息的证明文件应当符合《湖南省房屋建筑和市政基础设施工程监理招标投标信用评价实施细则》（湘建监督[2019]161号）附件的要求。</w:t>
      </w:r>
      <w:r>
        <w:rPr>
          <w:rFonts w:eastAsia="仿宋_GB2312"/>
          <w:bCs/>
          <w:color w:val="auto"/>
          <w:szCs w:val="21"/>
        </w:rPr>
        <w:t>建筑工程监理质量安全生产标准化年度项目考评优良工地以湖南省住房城乡建设厅公布文件</w:t>
      </w:r>
      <w:r>
        <w:rPr>
          <w:rFonts w:cs="宋体" w:eastAsia="仿宋_GB2312"/>
          <w:color w:val="auto"/>
          <w:szCs w:val="21"/>
        </w:rPr>
        <w:t>为准。</w:t>
      </w:r>
    </w:p>
    <w:p>
      <w:pPr>
        <w:pStyle w:val="style0"/>
        <w:spacing w:lineRule="exact" w:line="360"/>
        <w:ind w:firstLine="480" w:firstLineChars="200"/>
        <w:rPr>
          <w:rFonts w:cs="Calibri" w:eastAsia="仿宋_GB2312" w:hint="default"/>
          <w:color w:val="auto"/>
          <w:szCs w:val="21"/>
        </w:rPr>
      </w:pPr>
      <w:r>
        <w:rPr>
          <w:rFonts w:cs="Calibri" w:eastAsia="仿宋_GB2312"/>
          <w:color w:val="auto"/>
          <w:szCs w:val="21"/>
        </w:rPr>
        <w:t>2.类似工程监理业绩考核期限1080天，自监理业务手册中建设单位签字之日起至提交响应文件截止之日止。请附拟任总监理工程师，以总监理工程师身份管理的类似工程监理业绩证明资料（具体要求见本招标文件第二章投标人须知前附表）关键页复印件。同时附拟任专业监理工程师以专业监理工程师或总监理工程师身份管理的类似工程监理业绩证明资料（具体要求见本招标文件第二章投标人须知前附表）关键页复印件。</w:t>
      </w:r>
    </w:p>
    <w:bookmarkStart w:id="179" w:name="_Toc300678579"/>
    <w:bookmarkEnd w:id="178"/>
    <w:p>
      <w:pPr>
        <w:pStyle w:val="style0"/>
        <w:jc w:val="center"/>
        <w:rPr>
          <w:rFonts w:eastAsia="仿宋_GB2312" w:hint="default"/>
          <w:color w:val="auto"/>
        </w:rPr>
      </w:pPr>
    </w:p>
    <w:bookmarkStart w:id="180" w:name="_Toc9178587"/>
    <w:bookmarkStart w:id="181" w:name="_Toc300678580"/>
    <w:bookmarkStart w:id="182" w:name="_Toc27550623"/>
    <w:bookmarkEnd w:id="179"/>
    <w:p>
      <w:pPr>
        <w:pStyle w:val="style2"/>
        <w:keepNext w:val="false"/>
        <w:keepLines w:val="false"/>
        <w:spacing w:before="0" w:after="0" w:lineRule="auto" w:line="360"/>
        <w:jc w:val="center"/>
        <w:rPr>
          <w:rFonts w:ascii="黑体" w:eastAsia="黑体" w:hAnsi="黑体"/>
          <w:bCs w:val="false"/>
          <w:color w:val="auto"/>
          <w:sz w:val="30"/>
        </w:rPr>
      </w:pPr>
    </w:p>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hint="eastAsia"/>
          <w:bCs w:val="false"/>
          <w:color w:val="auto"/>
          <w:sz w:val="30"/>
          <w:lang w:val="en-US" w:eastAsia="zh-CN"/>
        </w:rPr>
        <w:t>7</w:t>
      </w:r>
      <w:r>
        <w:rPr>
          <w:rFonts w:ascii="黑体" w:eastAsia="黑体" w:hAnsi="黑体"/>
          <w:bCs w:val="false"/>
          <w:color w:val="auto"/>
          <w:sz w:val="30"/>
        </w:rPr>
        <w:t>.资格审查等资料</w:t>
      </w:r>
      <w:bookmarkEnd w:id="180"/>
      <w:bookmarkEnd w:id="181"/>
      <w:bookmarkEnd w:id="182"/>
    </w:p>
    <w:bookmarkStart w:id="183" w:name="_Toc300678581"/>
    <w:p>
      <w:pPr>
        <w:pStyle w:val="style4"/>
        <w:keepNext w:val="false"/>
        <w:keepLines w:val="false"/>
        <w:ind w:firstLine="241" w:firstLineChars="100"/>
        <w:jc w:val="center"/>
        <w:rPr>
          <w:rFonts w:ascii="宋体" w:hAnsi="宋体" w:hint="default"/>
          <w:bCs w:val="false"/>
          <w:color w:val="auto"/>
        </w:rPr>
      </w:pPr>
      <w:r>
        <w:rPr>
          <w:rFonts w:ascii="宋体" w:hAnsi="宋体"/>
          <w:bCs w:val="false"/>
          <w:color w:val="auto"/>
        </w:rPr>
        <w:t>（1）投标人基本情况表</w:t>
      </w:r>
      <w:bookmarkEnd w:id="183"/>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768"/>
        <w:gridCol w:w="1036"/>
        <w:gridCol w:w="1179"/>
        <w:gridCol w:w="1148"/>
        <w:gridCol w:w="325"/>
        <w:gridCol w:w="227"/>
        <w:gridCol w:w="1439"/>
        <w:gridCol w:w="300"/>
        <w:gridCol w:w="818"/>
        <w:gridCol w:w="1389"/>
      </w:tblGrid>
      <w:tr>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投标人名称</w:t>
            </w:r>
          </w:p>
        </w:tc>
        <w:tc>
          <w:tcPr>
            <w:tcW w:w="7861" w:type="dxa"/>
            <w:gridSpan w:val="9"/>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注册地址</w:t>
            </w:r>
          </w:p>
        </w:tc>
        <w:tc>
          <w:tcPr>
            <w:tcW w:w="3915" w:type="dxa"/>
            <w:gridSpan w:val="5"/>
            <w:tcBorders/>
            <w:vAlign w:val="center"/>
          </w:tcPr>
          <w:p>
            <w:pPr>
              <w:pStyle w:val="style0"/>
              <w:jc w:val="center"/>
              <w:rPr>
                <w:rFonts w:hint="default"/>
                <w:color w:val="auto"/>
                <w:szCs w:val="21"/>
              </w:rPr>
            </w:pPr>
          </w:p>
        </w:tc>
        <w:tc>
          <w:tcPr>
            <w:tcW w:w="1439" w:type="dxa"/>
            <w:tcBorders/>
            <w:vAlign w:val="center"/>
          </w:tcPr>
          <w:p>
            <w:pPr>
              <w:pStyle w:val="style0"/>
              <w:jc w:val="center"/>
              <w:rPr>
                <w:rFonts w:hint="default"/>
                <w:color w:val="auto"/>
                <w:szCs w:val="21"/>
              </w:rPr>
            </w:pPr>
            <w:r>
              <w:rPr>
                <w:rFonts w:eastAsia="仿宋_GB2312"/>
                <w:color w:val="auto"/>
                <w:szCs w:val="21"/>
              </w:rPr>
              <w:t>邮政编码</w:t>
            </w:r>
          </w:p>
        </w:tc>
        <w:tc>
          <w:tcPr>
            <w:tcW w:w="2507" w:type="dxa"/>
            <w:gridSpan w:val="3"/>
            <w:tcBorders/>
            <w:vAlign w:val="center"/>
          </w:tcPr>
          <w:p>
            <w:pPr>
              <w:pStyle w:val="style0"/>
              <w:jc w:val="center"/>
              <w:rPr>
                <w:rFonts w:hint="default"/>
                <w:color w:val="auto"/>
                <w:szCs w:val="21"/>
              </w:rPr>
            </w:pPr>
          </w:p>
        </w:tc>
      </w:tr>
      <w:tr>
        <w:tblPrEx/>
        <w:trPr>
          <w:trHeight w:val="567" w:hRule="atLeast"/>
          <w:jc w:val="center"/>
        </w:trPr>
        <w:tc>
          <w:tcPr>
            <w:tcW w:w="1768" w:type="dxa"/>
            <w:vMerge w:val="restart"/>
            <w:tcBorders/>
            <w:vAlign w:val="center"/>
          </w:tcPr>
          <w:p>
            <w:pPr>
              <w:pStyle w:val="style0"/>
              <w:jc w:val="center"/>
              <w:rPr>
                <w:rFonts w:hint="default"/>
                <w:color w:val="auto"/>
                <w:szCs w:val="21"/>
              </w:rPr>
            </w:pPr>
            <w:r>
              <w:rPr>
                <w:rFonts w:eastAsia="仿宋_GB2312"/>
                <w:color w:val="auto"/>
                <w:szCs w:val="21"/>
              </w:rPr>
              <w:t>联系方式</w:t>
            </w:r>
          </w:p>
        </w:tc>
        <w:tc>
          <w:tcPr>
            <w:tcW w:w="1036" w:type="dxa"/>
            <w:tcBorders/>
            <w:vAlign w:val="center"/>
          </w:tcPr>
          <w:p>
            <w:pPr>
              <w:pStyle w:val="style0"/>
              <w:jc w:val="center"/>
              <w:rPr>
                <w:rFonts w:hint="default"/>
                <w:color w:val="auto"/>
                <w:szCs w:val="21"/>
              </w:rPr>
            </w:pPr>
            <w:r>
              <w:rPr>
                <w:rFonts w:eastAsia="仿宋_GB2312"/>
                <w:color w:val="auto"/>
                <w:szCs w:val="21"/>
              </w:rPr>
              <w:t>联系人</w:t>
            </w:r>
          </w:p>
        </w:tc>
        <w:tc>
          <w:tcPr>
            <w:tcW w:w="2879" w:type="dxa"/>
            <w:gridSpan w:val="4"/>
            <w:tcBorders/>
            <w:vAlign w:val="center"/>
          </w:tcPr>
          <w:p>
            <w:pPr>
              <w:pStyle w:val="style0"/>
              <w:jc w:val="center"/>
              <w:rPr>
                <w:rFonts w:hint="default"/>
                <w:color w:val="auto"/>
                <w:szCs w:val="21"/>
              </w:rPr>
            </w:pPr>
          </w:p>
        </w:tc>
        <w:tc>
          <w:tcPr>
            <w:tcW w:w="1439" w:type="dxa"/>
            <w:tcBorders/>
            <w:vAlign w:val="center"/>
          </w:tcPr>
          <w:p>
            <w:pPr>
              <w:pStyle w:val="style0"/>
              <w:jc w:val="center"/>
              <w:rPr>
                <w:rFonts w:hint="default"/>
                <w:color w:val="auto"/>
                <w:szCs w:val="21"/>
              </w:rPr>
            </w:pPr>
            <w:r>
              <w:rPr>
                <w:rFonts w:eastAsia="仿宋_GB2312"/>
                <w:color w:val="auto"/>
                <w:szCs w:val="21"/>
              </w:rPr>
              <w:t>电  话</w:t>
            </w:r>
          </w:p>
        </w:tc>
        <w:tc>
          <w:tcPr>
            <w:tcW w:w="2507" w:type="dxa"/>
            <w:gridSpan w:val="3"/>
            <w:tcBorders/>
            <w:vAlign w:val="center"/>
          </w:tcPr>
          <w:p>
            <w:pPr>
              <w:pStyle w:val="style0"/>
              <w:jc w:val="center"/>
              <w:rPr>
                <w:rFonts w:hint="default"/>
                <w:color w:val="auto"/>
                <w:szCs w:val="21"/>
              </w:rPr>
            </w:pPr>
          </w:p>
        </w:tc>
      </w:tr>
      <w:tr>
        <w:tblPrEx/>
        <w:trPr>
          <w:trHeight w:val="567" w:hRule="atLeast"/>
          <w:jc w:val="center"/>
        </w:trPr>
        <w:tc>
          <w:tcPr>
            <w:tcW w:w="1768" w:type="dxa"/>
            <w:vMerge w:val="continue"/>
            <w:tcBorders/>
            <w:vAlign w:val="center"/>
          </w:tcPr>
          <w:p>
            <w:pPr>
              <w:pStyle w:val="style0"/>
              <w:jc w:val="center"/>
              <w:rPr>
                <w:rFonts w:hint="default"/>
                <w:color w:val="auto"/>
                <w:szCs w:val="21"/>
              </w:rPr>
            </w:pPr>
          </w:p>
        </w:tc>
        <w:tc>
          <w:tcPr>
            <w:tcW w:w="1036" w:type="dxa"/>
            <w:tcBorders/>
            <w:vAlign w:val="center"/>
          </w:tcPr>
          <w:p>
            <w:pPr>
              <w:pStyle w:val="style0"/>
              <w:jc w:val="center"/>
              <w:rPr>
                <w:rFonts w:hint="default"/>
                <w:color w:val="auto"/>
                <w:szCs w:val="21"/>
              </w:rPr>
            </w:pPr>
            <w:r>
              <w:rPr>
                <w:rFonts w:eastAsia="仿宋_GB2312"/>
                <w:color w:val="auto"/>
                <w:szCs w:val="21"/>
              </w:rPr>
              <w:t>传  真</w:t>
            </w:r>
          </w:p>
        </w:tc>
        <w:tc>
          <w:tcPr>
            <w:tcW w:w="2879" w:type="dxa"/>
            <w:gridSpan w:val="4"/>
            <w:tcBorders/>
            <w:vAlign w:val="center"/>
          </w:tcPr>
          <w:p>
            <w:pPr>
              <w:pStyle w:val="style0"/>
              <w:jc w:val="center"/>
              <w:rPr>
                <w:rFonts w:hint="default"/>
                <w:color w:val="auto"/>
                <w:szCs w:val="21"/>
              </w:rPr>
            </w:pPr>
          </w:p>
        </w:tc>
        <w:tc>
          <w:tcPr>
            <w:tcW w:w="1439" w:type="dxa"/>
            <w:tcBorders/>
            <w:vAlign w:val="center"/>
          </w:tcPr>
          <w:p>
            <w:pPr>
              <w:pStyle w:val="style0"/>
              <w:jc w:val="center"/>
              <w:rPr>
                <w:rFonts w:hint="default"/>
                <w:color w:val="auto"/>
                <w:szCs w:val="21"/>
              </w:rPr>
            </w:pPr>
            <w:r>
              <w:rPr>
                <w:rFonts w:eastAsia="仿宋_GB2312"/>
                <w:color w:val="auto"/>
                <w:szCs w:val="21"/>
              </w:rPr>
              <w:t>网  址</w:t>
            </w:r>
          </w:p>
        </w:tc>
        <w:tc>
          <w:tcPr>
            <w:tcW w:w="2507" w:type="dxa"/>
            <w:gridSpan w:val="3"/>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组织结构</w:t>
            </w:r>
          </w:p>
        </w:tc>
        <w:tc>
          <w:tcPr>
            <w:tcW w:w="7861" w:type="dxa"/>
            <w:gridSpan w:val="9"/>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法定代表人</w:t>
            </w:r>
          </w:p>
        </w:tc>
        <w:tc>
          <w:tcPr>
            <w:tcW w:w="1036" w:type="dxa"/>
            <w:tcBorders/>
            <w:vAlign w:val="center"/>
          </w:tcPr>
          <w:p>
            <w:pPr>
              <w:pStyle w:val="style0"/>
              <w:jc w:val="center"/>
              <w:rPr>
                <w:rFonts w:hint="default"/>
                <w:color w:val="auto"/>
                <w:szCs w:val="21"/>
              </w:rPr>
            </w:pPr>
            <w:r>
              <w:rPr>
                <w:rFonts w:eastAsia="仿宋_GB2312"/>
                <w:color w:val="auto"/>
                <w:szCs w:val="21"/>
              </w:rPr>
              <w:t>姓名</w:t>
            </w:r>
          </w:p>
        </w:tc>
        <w:tc>
          <w:tcPr>
            <w:tcW w:w="1179" w:type="dxa"/>
            <w:tcBorders/>
            <w:vAlign w:val="center"/>
          </w:tcPr>
          <w:p>
            <w:pPr>
              <w:pStyle w:val="style0"/>
              <w:jc w:val="center"/>
              <w:rPr>
                <w:rFonts w:hint="default"/>
                <w:color w:val="auto"/>
                <w:szCs w:val="21"/>
              </w:rPr>
            </w:pPr>
          </w:p>
        </w:tc>
        <w:tc>
          <w:tcPr>
            <w:tcW w:w="1473" w:type="dxa"/>
            <w:gridSpan w:val="2"/>
            <w:tcBorders/>
            <w:vAlign w:val="center"/>
          </w:tcPr>
          <w:p>
            <w:pPr>
              <w:pStyle w:val="style0"/>
              <w:jc w:val="center"/>
              <w:rPr>
                <w:rFonts w:hint="default"/>
                <w:color w:val="auto"/>
                <w:szCs w:val="21"/>
              </w:rPr>
            </w:pPr>
            <w:r>
              <w:rPr>
                <w:rFonts w:eastAsia="仿宋_GB2312"/>
                <w:color w:val="auto"/>
                <w:szCs w:val="21"/>
              </w:rPr>
              <w:t>技术职称</w:t>
            </w:r>
          </w:p>
        </w:tc>
        <w:tc>
          <w:tcPr>
            <w:tcW w:w="1966" w:type="dxa"/>
            <w:gridSpan w:val="3"/>
            <w:tcBorders/>
            <w:vAlign w:val="center"/>
          </w:tcPr>
          <w:p>
            <w:pPr>
              <w:pStyle w:val="style0"/>
              <w:jc w:val="center"/>
              <w:rPr>
                <w:rFonts w:hint="default"/>
                <w:color w:val="auto"/>
                <w:szCs w:val="21"/>
              </w:rPr>
            </w:pPr>
          </w:p>
        </w:tc>
        <w:tc>
          <w:tcPr>
            <w:tcW w:w="818" w:type="dxa"/>
            <w:tcBorders/>
            <w:vAlign w:val="center"/>
          </w:tcPr>
          <w:p>
            <w:pPr>
              <w:pStyle w:val="style0"/>
              <w:jc w:val="center"/>
              <w:rPr>
                <w:rFonts w:hint="default"/>
                <w:color w:val="auto"/>
                <w:szCs w:val="21"/>
              </w:rPr>
            </w:pPr>
            <w:r>
              <w:rPr>
                <w:rFonts w:eastAsia="仿宋_GB2312"/>
                <w:color w:val="auto"/>
                <w:szCs w:val="21"/>
              </w:rPr>
              <w:t>电话</w:t>
            </w:r>
          </w:p>
        </w:tc>
        <w:tc>
          <w:tcPr>
            <w:tcW w:w="1389" w:type="dxa"/>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技术负责人</w:t>
            </w:r>
          </w:p>
        </w:tc>
        <w:tc>
          <w:tcPr>
            <w:tcW w:w="1036" w:type="dxa"/>
            <w:tcBorders/>
            <w:vAlign w:val="center"/>
          </w:tcPr>
          <w:p>
            <w:pPr>
              <w:pStyle w:val="style0"/>
              <w:jc w:val="center"/>
              <w:rPr>
                <w:rFonts w:hint="default"/>
                <w:color w:val="auto"/>
                <w:szCs w:val="21"/>
              </w:rPr>
            </w:pPr>
            <w:r>
              <w:rPr>
                <w:rFonts w:eastAsia="仿宋_GB2312"/>
                <w:color w:val="auto"/>
                <w:szCs w:val="21"/>
              </w:rPr>
              <w:t>姓名</w:t>
            </w:r>
          </w:p>
        </w:tc>
        <w:tc>
          <w:tcPr>
            <w:tcW w:w="1179" w:type="dxa"/>
            <w:tcBorders/>
            <w:vAlign w:val="center"/>
          </w:tcPr>
          <w:p>
            <w:pPr>
              <w:pStyle w:val="style0"/>
              <w:jc w:val="center"/>
              <w:rPr>
                <w:rFonts w:hint="default"/>
                <w:color w:val="auto"/>
                <w:szCs w:val="21"/>
              </w:rPr>
            </w:pPr>
          </w:p>
        </w:tc>
        <w:tc>
          <w:tcPr>
            <w:tcW w:w="1473" w:type="dxa"/>
            <w:gridSpan w:val="2"/>
            <w:tcBorders/>
            <w:vAlign w:val="center"/>
          </w:tcPr>
          <w:p>
            <w:pPr>
              <w:pStyle w:val="style0"/>
              <w:jc w:val="center"/>
              <w:rPr>
                <w:rFonts w:hint="default"/>
                <w:color w:val="auto"/>
                <w:szCs w:val="21"/>
              </w:rPr>
            </w:pPr>
            <w:r>
              <w:rPr>
                <w:rFonts w:eastAsia="仿宋_GB2312"/>
                <w:color w:val="auto"/>
                <w:szCs w:val="21"/>
              </w:rPr>
              <w:t>技术职称</w:t>
            </w:r>
          </w:p>
        </w:tc>
        <w:tc>
          <w:tcPr>
            <w:tcW w:w="1966" w:type="dxa"/>
            <w:gridSpan w:val="3"/>
            <w:tcBorders/>
            <w:vAlign w:val="center"/>
          </w:tcPr>
          <w:p>
            <w:pPr>
              <w:pStyle w:val="style0"/>
              <w:jc w:val="center"/>
              <w:rPr>
                <w:rFonts w:hint="default"/>
                <w:color w:val="auto"/>
                <w:szCs w:val="21"/>
              </w:rPr>
            </w:pPr>
          </w:p>
        </w:tc>
        <w:tc>
          <w:tcPr>
            <w:tcW w:w="818" w:type="dxa"/>
            <w:tcBorders/>
            <w:vAlign w:val="center"/>
          </w:tcPr>
          <w:p>
            <w:pPr>
              <w:pStyle w:val="style0"/>
              <w:jc w:val="center"/>
              <w:rPr>
                <w:rFonts w:hint="default"/>
                <w:color w:val="auto"/>
                <w:szCs w:val="21"/>
              </w:rPr>
            </w:pPr>
            <w:r>
              <w:rPr>
                <w:rFonts w:eastAsia="仿宋_GB2312"/>
                <w:color w:val="auto"/>
                <w:szCs w:val="21"/>
              </w:rPr>
              <w:t>电话</w:t>
            </w:r>
          </w:p>
        </w:tc>
        <w:tc>
          <w:tcPr>
            <w:tcW w:w="1389" w:type="dxa"/>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成立时间</w:t>
            </w:r>
          </w:p>
        </w:tc>
        <w:tc>
          <w:tcPr>
            <w:tcW w:w="2215" w:type="dxa"/>
            <w:gridSpan w:val="2"/>
            <w:tcBorders/>
            <w:vAlign w:val="center"/>
          </w:tcPr>
          <w:p>
            <w:pPr>
              <w:pStyle w:val="style0"/>
              <w:jc w:val="center"/>
              <w:rPr>
                <w:rFonts w:hint="default"/>
                <w:color w:val="auto"/>
                <w:szCs w:val="21"/>
              </w:rPr>
            </w:pPr>
          </w:p>
        </w:tc>
        <w:tc>
          <w:tcPr>
            <w:tcW w:w="5646" w:type="dxa"/>
            <w:gridSpan w:val="7"/>
            <w:tcBorders/>
            <w:vAlign w:val="center"/>
          </w:tcPr>
          <w:p>
            <w:pPr>
              <w:pStyle w:val="style0"/>
              <w:jc w:val="center"/>
              <w:rPr>
                <w:rFonts w:hint="default"/>
                <w:color w:val="auto"/>
                <w:szCs w:val="21"/>
              </w:rPr>
            </w:pPr>
            <w:r>
              <w:rPr>
                <w:rFonts w:eastAsia="仿宋_GB2312"/>
                <w:color w:val="auto"/>
                <w:szCs w:val="21"/>
              </w:rPr>
              <w:t>员工总人数：</w:t>
            </w: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企业资质等级</w:t>
            </w:r>
          </w:p>
        </w:tc>
        <w:tc>
          <w:tcPr>
            <w:tcW w:w="1036" w:type="dxa"/>
            <w:tcBorders/>
            <w:vAlign w:val="center"/>
          </w:tcPr>
          <w:p>
            <w:pPr>
              <w:pStyle w:val="style0"/>
              <w:jc w:val="center"/>
              <w:rPr>
                <w:rFonts w:hint="default"/>
                <w:color w:val="auto"/>
                <w:szCs w:val="21"/>
              </w:rPr>
            </w:pPr>
          </w:p>
        </w:tc>
        <w:tc>
          <w:tcPr>
            <w:tcW w:w="1179" w:type="dxa"/>
            <w:tcBorders/>
            <w:vAlign w:val="center"/>
          </w:tcPr>
          <w:p>
            <w:pPr>
              <w:pStyle w:val="style0"/>
              <w:jc w:val="center"/>
              <w:rPr>
                <w:rFonts w:hint="default"/>
                <w:color w:val="auto"/>
                <w:szCs w:val="21"/>
              </w:rPr>
            </w:pPr>
          </w:p>
        </w:tc>
        <w:tc>
          <w:tcPr>
            <w:tcW w:w="1148" w:type="dxa"/>
            <w:vMerge w:val="restart"/>
            <w:tcBorders/>
            <w:vAlign w:val="center"/>
          </w:tcPr>
          <w:p>
            <w:pPr>
              <w:pStyle w:val="style0"/>
              <w:jc w:val="center"/>
              <w:rPr>
                <w:rFonts w:hint="default"/>
                <w:color w:val="auto"/>
                <w:szCs w:val="21"/>
              </w:rPr>
            </w:pPr>
            <w:r>
              <w:rPr>
                <w:rFonts w:eastAsia="仿宋_GB2312"/>
                <w:color w:val="auto"/>
                <w:szCs w:val="21"/>
              </w:rPr>
              <w:t>其中</w:t>
            </w:r>
          </w:p>
        </w:tc>
        <w:tc>
          <w:tcPr>
            <w:tcW w:w="2291" w:type="dxa"/>
            <w:gridSpan w:val="4"/>
            <w:tcBorders/>
            <w:vAlign w:val="center"/>
          </w:tcPr>
          <w:p>
            <w:pPr>
              <w:pStyle w:val="style0"/>
              <w:jc w:val="center"/>
              <w:rPr>
                <w:rFonts w:hint="default"/>
                <w:color w:val="auto"/>
                <w:szCs w:val="21"/>
              </w:rPr>
            </w:pPr>
            <w:r>
              <w:rPr>
                <w:rFonts w:eastAsia="仿宋_GB2312"/>
                <w:color w:val="auto"/>
                <w:szCs w:val="21"/>
              </w:rPr>
              <w:t>总监理工程师人员</w:t>
            </w:r>
          </w:p>
        </w:tc>
        <w:tc>
          <w:tcPr>
            <w:tcW w:w="2207" w:type="dxa"/>
            <w:gridSpan w:val="2"/>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营业执照号</w:t>
            </w:r>
          </w:p>
        </w:tc>
        <w:tc>
          <w:tcPr>
            <w:tcW w:w="1036" w:type="dxa"/>
            <w:tcBorders/>
            <w:vAlign w:val="center"/>
          </w:tcPr>
          <w:p>
            <w:pPr>
              <w:pStyle w:val="style0"/>
              <w:jc w:val="center"/>
              <w:rPr>
                <w:rFonts w:hint="default"/>
                <w:color w:val="auto"/>
                <w:szCs w:val="21"/>
              </w:rPr>
            </w:pPr>
          </w:p>
        </w:tc>
        <w:tc>
          <w:tcPr>
            <w:tcW w:w="1179" w:type="dxa"/>
            <w:tcBorders/>
            <w:vAlign w:val="center"/>
          </w:tcPr>
          <w:p>
            <w:pPr>
              <w:pStyle w:val="style0"/>
              <w:jc w:val="center"/>
              <w:rPr>
                <w:rFonts w:hint="default"/>
                <w:color w:val="auto"/>
                <w:szCs w:val="21"/>
              </w:rPr>
            </w:pPr>
          </w:p>
        </w:tc>
        <w:tc>
          <w:tcPr>
            <w:tcW w:w="1148" w:type="dxa"/>
            <w:vMerge w:val="continue"/>
            <w:tcBorders/>
            <w:vAlign w:val="center"/>
          </w:tcPr>
          <w:p>
            <w:pPr>
              <w:pStyle w:val="style0"/>
              <w:jc w:val="center"/>
              <w:rPr>
                <w:rFonts w:hint="default"/>
                <w:color w:val="auto"/>
                <w:szCs w:val="21"/>
              </w:rPr>
            </w:pPr>
          </w:p>
        </w:tc>
        <w:tc>
          <w:tcPr>
            <w:tcW w:w="2291" w:type="dxa"/>
            <w:gridSpan w:val="4"/>
            <w:tcBorders/>
            <w:vAlign w:val="center"/>
          </w:tcPr>
          <w:p>
            <w:pPr>
              <w:pStyle w:val="style0"/>
              <w:jc w:val="center"/>
              <w:rPr>
                <w:rFonts w:hint="default"/>
                <w:color w:val="auto"/>
                <w:szCs w:val="21"/>
              </w:rPr>
            </w:pPr>
            <w:r>
              <w:rPr>
                <w:rFonts w:eastAsia="仿宋_GB2312"/>
                <w:color w:val="auto"/>
                <w:szCs w:val="21"/>
              </w:rPr>
              <w:t>高级职称人员</w:t>
            </w:r>
          </w:p>
        </w:tc>
        <w:tc>
          <w:tcPr>
            <w:tcW w:w="2207" w:type="dxa"/>
            <w:gridSpan w:val="2"/>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注册资金</w:t>
            </w:r>
          </w:p>
        </w:tc>
        <w:tc>
          <w:tcPr>
            <w:tcW w:w="1036" w:type="dxa"/>
            <w:tcBorders/>
            <w:vAlign w:val="center"/>
          </w:tcPr>
          <w:p>
            <w:pPr>
              <w:pStyle w:val="style0"/>
              <w:jc w:val="center"/>
              <w:rPr>
                <w:rFonts w:hint="default"/>
                <w:color w:val="auto"/>
                <w:szCs w:val="21"/>
              </w:rPr>
            </w:pPr>
          </w:p>
        </w:tc>
        <w:tc>
          <w:tcPr>
            <w:tcW w:w="1179" w:type="dxa"/>
            <w:tcBorders/>
            <w:vAlign w:val="center"/>
          </w:tcPr>
          <w:p>
            <w:pPr>
              <w:pStyle w:val="style0"/>
              <w:jc w:val="center"/>
              <w:rPr>
                <w:rFonts w:hint="default"/>
                <w:color w:val="auto"/>
                <w:szCs w:val="21"/>
              </w:rPr>
            </w:pPr>
          </w:p>
        </w:tc>
        <w:tc>
          <w:tcPr>
            <w:tcW w:w="1148" w:type="dxa"/>
            <w:vMerge w:val="continue"/>
            <w:tcBorders/>
            <w:vAlign w:val="center"/>
          </w:tcPr>
          <w:p>
            <w:pPr>
              <w:pStyle w:val="style0"/>
              <w:jc w:val="center"/>
              <w:rPr>
                <w:rFonts w:hint="default"/>
                <w:color w:val="auto"/>
                <w:szCs w:val="21"/>
              </w:rPr>
            </w:pPr>
          </w:p>
        </w:tc>
        <w:tc>
          <w:tcPr>
            <w:tcW w:w="2291" w:type="dxa"/>
            <w:gridSpan w:val="4"/>
            <w:tcBorders/>
            <w:vAlign w:val="center"/>
          </w:tcPr>
          <w:p>
            <w:pPr>
              <w:pStyle w:val="style0"/>
              <w:jc w:val="center"/>
              <w:rPr>
                <w:rFonts w:hint="default"/>
                <w:color w:val="auto"/>
                <w:szCs w:val="21"/>
              </w:rPr>
            </w:pPr>
            <w:r>
              <w:rPr>
                <w:rFonts w:eastAsia="仿宋_GB2312"/>
                <w:color w:val="auto"/>
                <w:szCs w:val="21"/>
              </w:rPr>
              <w:t>中级职称人员</w:t>
            </w:r>
          </w:p>
        </w:tc>
        <w:tc>
          <w:tcPr>
            <w:tcW w:w="2207" w:type="dxa"/>
            <w:gridSpan w:val="2"/>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开户银行</w:t>
            </w:r>
          </w:p>
        </w:tc>
        <w:tc>
          <w:tcPr>
            <w:tcW w:w="1036" w:type="dxa"/>
            <w:tcBorders/>
            <w:vAlign w:val="center"/>
          </w:tcPr>
          <w:p>
            <w:pPr>
              <w:pStyle w:val="style0"/>
              <w:jc w:val="center"/>
              <w:rPr>
                <w:rFonts w:hint="default"/>
                <w:color w:val="auto"/>
                <w:szCs w:val="21"/>
              </w:rPr>
            </w:pPr>
          </w:p>
        </w:tc>
        <w:tc>
          <w:tcPr>
            <w:tcW w:w="1179" w:type="dxa"/>
            <w:tcBorders/>
            <w:vAlign w:val="center"/>
          </w:tcPr>
          <w:p>
            <w:pPr>
              <w:pStyle w:val="style0"/>
              <w:jc w:val="center"/>
              <w:rPr>
                <w:rFonts w:hint="default"/>
                <w:color w:val="auto"/>
                <w:szCs w:val="21"/>
              </w:rPr>
            </w:pPr>
          </w:p>
        </w:tc>
        <w:tc>
          <w:tcPr>
            <w:tcW w:w="1148" w:type="dxa"/>
            <w:vMerge w:val="continue"/>
            <w:tcBorders/>
            <w:vAlign w:val="center"/>
          </w:tcPr>
          <w:p>
            <w:pPr>
              <w:pStyle w:val="style0"/>
              <w:jc w:val="center"/>
              <w:rPr>
                <w:rFonts w:hint="default"/>
                <w:color w:val="auto"/>
                <w:szCs w:val="21"/>
              </w:rPr>
            </w:pPr>
          </w:p>
        </w:tc>
        <w:tc>
          <w:tcPr>
            <w:tcW w:w="2291" w:type="dxa"/>
            <w:gridSpan w:val="4"/>
            <w:tcBorders/>
            <w:vAlign w:val="center"/>
          </w:tcPr>
          <w:p>
            <w:pPr>
              <w:pStyle w:val="style0"/>
              <w:jc w:val="center"/>
              <w:rPr>
                <w:rFonts w:hint="default"/>
                <w:color w:val="auto"/>
                <w:szCs w:val="21"/>
              </w:rPr>
            </w:pPr>
            <w:r>
              <w:rPr>
                <w:rFonts w:eastAsia="仿宋_GB2312"/>
                <w:color w:val="auto"/>
                <w:szCs w:val="21"/>
              </w:rPr>
              <w:t>技术人员</w:t>
            </w:r>
          </w:p>
        </w:tc>
        <w:tc>
          <w:tcPr>
            <w:tcW w:w="2207" w:type="dxa"/>
            <w:gridSpan w:val="2"/>
            <w:tcBorders/>
            <w:vAlign w:val="center"/>
          </w:tcPr>
          <w:p>
            <w:pPr>
              <w:pStyle w:val="style0"/>
              <w:jc w:val="center"/>
              <w:rPr>
                <w:rFonts w:hint="default"/>
                <w:color w:val="auto"/>
                <w:szCs w:val="21"/>
              </w:rPr>
            </w:pPr>
          </w:p>
        </w:tc>
      </w:tr>
      <w:tr>
        <w:tblPrEx/>
        <w:trPr>
          <w:trHeight w:val="567"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账号</w:t>
            </w:r>
          </w:p>
        </w:tc>
        <w:tc>
          <w:tcPr>
            <w:tcW w:w="1036" w:type="dxa"/>
            <w:tcBorders/>
            <w:vAlign w:val="center"/>
          </w:tcPr>
          <w:p>
            <w:pPr>
              <w:pStyle w:val="style0"/>
              <w:jc w:val="center"/>
              <w:rPr>
                <w:rFonts w:hint="default"/>
                <w:color w:val="auto"/>
                <w:szCs w:val="21"/>
              </w:rPr>
            </w:pPr>
          </w:p>
        </w:tc>
        <w:tc>
          <w:tcPr>
            <w:tcW w:w="1179" w:type="dxa"/>
            <w:tcBorders/>
            <w:vAlign w:val="center"/>
          </w:tcPr>
          <w:p>
            <w:pPr>
              <w:pStyle w:val="style0"/>
              <w:jc w:val="center"/>
              <w:rPr>
                <w:rFonts w:hint="default"/>
                <w:color w:val="auto"/>
                <w:szCs w:val="21"/>
              </w:rPr>
            </w:pPr>
          </w:p>
        </w:tc>
        <w:tc>
          <w:tcPr>
            <w:tcW w:w="1148" w:type="dxa"/>
            <w:vMerge w:val="continue"/>
            <w:tcBorders/>
            <w:vAlign w:val="center"/>
          </w:tcPr>
          <w:p>
            <w:pPr>
              <w:pStyle w:val="style0"/>
              <w:jc w:val="center"/>
              <w:rPr>
                <w:rFonts w:hint="default"/>
                <w:color w:val="auto"/>
                <w:szCs w:val="21"/>
              </w:rPr>
            </w:pPr>
          </w:p>
        </w:tc>
        <w:tc>
          <w:tcPr>
            <w:tcW w:w="2291" w:type="dxa"/>
            <w:gridSpan w:val="4"/>
            <w:tcBorders/>
            <w:vAlign w:val="center"/>
          </w:tcPr>
          <w:p>
            <w:pPr>
              <w:pStyle w:val="style0"/>
              <w:jc w:val="center"/>
              <w:rPr>
                <w:rFonts w:hint="default"/>
                <w:color w:val="auto"/>
                <w:szCs w:val="21"/>
              </w:rPr>
            </w:pPr>
            <w:r>
              <w:rPr>
                <w:rFonts w:eastAsia="仿宋_GB2312"/>
                <w:color w:val="auto"/>
                <w:szCs w:val="21"/>
              </w:rPr>
              <w:t>各类注册人员</w:t>
            </w:r>
          </w:p>
        </w:tc>
        <w:tc>
          <w:tcPr>
            <w:tcW w:w="2207" w:type="dxa"/>
            <w:gridSpan w:val="2"/>
            <w:tcBorders/>
            <w:vAlign w:val="center"/>
          </w:tcPr>
          <w:p>
            <w:pPr>
              <w:pStyle w:val="style0"/>
              <w:jc w:val="center"/>
              <w:rPr>
                <w:rFonts w:hint="default"/>
                <w:color w:val="auto"/>
                <w:szCs w:val="21"/>
              </w:rPr>
            </w:pPr>
          </w:p>
        </w:tc>
      </w:tr>
      <w:tr>
        <w:tblPrEx/>
        <w:trPr>
          <w:trHeight w:val="2552"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经营范围</w:t>
            </w:r>
          </w:p>
        </w:tc>
        <w:tc>
          <w:tcPr>
            <w:tcW w:w="7861" w:type="dxa"/>
            <w:gridSpan w:val="9"/>
            <w:tcBorders/>
            <w:vAlign w:val="center"/>
          </w:tcPr>
          <w:p>
            <w:pPr>
              <w:pStyle w:val="style0"/>
              <w:jc w:val="center"/>
              <w:rPr>
                <w:rFonts w:hint="default"/>
                <w:color w:val="auto"/>
                <w:szCs w:val="21"/>
              </w:rPr>
            </w:pPr>
          </w:p>
        </w:tc>
      </w:tr>
      <w:tr>
        <w:tblPrEx/>
        <w:trPr>
          <w:trHeight w:val="1076" w:hRule="atLeast"/>
          <w:jc w:val="center"/>
        </w:trPr>
        <w:tc>
          <w:tcPr>
            <w:tcW w:w="1768" w:type="dxa"/>
            <w:tcBorders/>
            <w:vAlign w:val="center"/>
          </w:tcPr>
          <w:p>
            <w:pPr>
              <w:pStyle w:val="style0"/>
              <w:jc w:val="center"/>
              <w:rPr>
                <w:rFonts w:hint="default"/>
                <w:color w:val="auto"/>
                <w:szCs w:val="21"/>
              </w:rPr>
            </w:pPr>
            <w:r>
              <w:rPr>
                <w:rFonts w:eastAsia="仿宋_GB2312"/>
                <w:color w:val="auto"/>
                <w:szCs w:val="21"/>
              </w:rPr>
              <w:t>备注</w:t>
            </w:r>
          </w:p>
        </w:tc>
        <w:tc>
          <w:tcPr>
            <w:tcW w:w="7861" w:type="dxa"/>
            <w:gridSpan w:val="9"/>
            <w:tcBorders/>
            <w:vAlign w:val="center"/>
          </w:tcPr>
          <w:p>
            <w:pPr>
              <w:pStyle w:val="style0"/>
              <w:jc w:val="center"/>
              <w:rPr>
                <w:rFonts w:hint="default"/>
                <w:color w:val="auto"/>
                <w:szCs w:val="21"/>
              </w:rPr>
            </w:pPr>
          </w:p>
        </w:tc>
      </w:tr>
    </w:tbl>
    <w:p>
      <w:pPr>
        <w:pStyle w:val="style0"/>
        <w:spacing w:lineRule="auto" w:line="300"/>
        <w:ind w:left="720" w:hanging="720" w:hangingChars="300"/>
        <w:rPr>
          <w:rFonts w:hint="default"/>
          <w:color w:val="auto"/>
          <w:sz w:val="18"/>
          <w:szCs w:val="18"/>
        </w:rPr>
      </w:pPr>
      <w:r>
        <w:rPr>
          <w:rFonts w:eastAsia="黑体"/>
          <w:color w:val="auto"/>
        </w:rPr>
        <w:br w:type="page"/>
      </w:r>
    </w:p>
    <w:p>
      <w:pPr>
        <w:pStyle w:val="style0"/>
        <w:spacing w:lineRule="auto" w:line="300"/>
        <w:ind w:left="540" w:hanging="540" w:hangingChars="300"/>
        <w:rPr>
          <w:rFonts w:hint="default"/>
          <w:color w:val="auto"/>
          <w:sz w:val="18"/>
          <w:szCs w:val="18"/>
        </w:rPr>
      </w:pPr>
    </w:p>
    <w:bookmarkStart w:id="184" w:name="_Toc300678583"/>
    <w:p>
      <w:pPr>
        <w:pStyle w:val="style4"/>
        <w:keepNext w:val="false"/>
        <w:keepLines w:val="false"/>
        <w:ind w:firstLine="241" w:firstLineChars="100"/>
        <w:jc w:val="center"/>
        <w:rPr>
          <w:rFonts w:ascii="宋体" w:hAnsi="宋体" w:hint="default"/>
          <w:bCs w:val="false"/>
          <w:color w:val="auto"/>
        </w:rPr>
      </w:pPr>
      <w:r>
        <w:rPr>
          <w:rFonts w:ascii="宋体" w:hAnsi="宋体"/>
          <w:bCs w:val="false"/>
          <w:color w:val="auto"/>
        </w:rPr>
        <w:t>（2）投标人证件复印件</w:t>
      </w:r>
    </w:p>
    <w:p>
      <w:pPr>
        <w:pStyle w:val="style0"/>
        <w:spacing w:lineRule="auto" w:line="360"/>
        <w:ind w:firstLine="600" w:firstLineChars="250"/>
        <w:rPr>
          <w:rFonts w:eastAsia="仿宋_GB2312" w:hint="default"/>
          <w:color w:val="auto"/>
          <w:szCs w:val="21"/>
        </w:rPr>
      </w:pPr>
      <w:r>
        <w:rPr>
          <w:rFonts w:eastAsia="仿宋_GB2312"/>
          <w:color w:val="auto"/>
          <w:szCs w:val="21"/>
        </w:rPr>
        <w:t>说明：复印件包括企业营业执照、资质证书的复印件。同时，请</w:t>
      </w:r>
      <w:r>
        <w:rPr>
          <w:rFonts w:eastAsia="仿宋_GB2312"/>
          <w:color w:val="auto"/>
        </w:rPr>
        <w:t>省外入湘企业附在 “湖南省住房和城乡建设网” 进行基本信息登记</w:t>
      </w:r>
      <w:r>
        <w:rPr>
          <w:rFonts w:eastAsia="仿宋_GB2312"/>
          <w:bCs/>
          <w:color w:val="auto"/>
        </w:rPr>
        <w:t>的网页截图</w:t>
      </w:r>
      <w:r>
        <w:rPr>
          <w:rFonts w:eastAsia="仿宋_GB2312"/>
          <w:color w:val="auto"/>
          <w:szCs w:val="21"/>
        </w:rPr>
        <w:t>。</w:t>
      </w:r>
    </w:p>
    <w:p>
      <w:pPr>
        <w:pStyle w:val="style4"/>
        <w:keepNext w:val="false"/>
        <w:keepLines w:val="false"/>
        <w:ind w:firstLine="241" w:firstLineChars="100"/>
        <w:jc w:val="center"/>
        <w:rPr>
          <w:rFonts w:ascii="宋体" w:hAnsi="宋体" w:hint="default"/>
          <w:bCs w:val="false"/>
          <w:color w:val="auto"/>
        </w:rPr>
      </w:pPr>
    </w:p>
    <w:p>
      <w:pPr>
        <w:pStyle w:val="style4"/>
        <w:keepNext w:val="false"/>
        <w:keepLines w:val="false"/>
        <w:ind w:firstLine="241" w:firstLineChars="100"/>
        <w:jc w:val="center"/>
        <w:rPr>
          <w:rFonts w:ascii="宋体" w:hAnsi="宋体" w:hint="default"/>
          <w:bCs w:val="false"/>
          <w:color w:val="auto"/>
        </w:rPr>
      </w:pPr>
    </w:p>
    <w:p>
      <w:pPr>
        <w:pStyle w:val="style4"/>
        <w:keepNext w:val="false"/>
        <w:keepLines w:val="false"/>
        <w:ind w:firstLine="241" w:firstLineChars="100"/>
        <w:jc w:val="center"/>
        <w:rPr>
          <w:rFonts w:ascii="宋体" w:hAnsi="宋体" w:hint="default"/>
          <w:bCs w:val="false"/>
          <w:color w:val="auto"/>
        </w:rPr>
      </w:pPr>
      <w:r>
        <w:rPr>
          <w:rFonts w:ascii="宋体" w:hAnsi="宋体"/>
          <w:bCs w:val="false"/>
          <w:color w:val="auto"/>
        </w:rPr>
        <w:t>（3）近年完成的类似工程业绩情况表</w:t>
      </w:r>
      <w:bookmarkEnd w:id="184"/>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2783"/>
        <w:gridCol w:w="6846"/>
      </w:tblGrid>
      <w:tr>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项目名称</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项目所在地</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委托人名称</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委托人地址</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委托人联系人及电话</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合同价格</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监理服务期限</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监理内容</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总监理工程师及电话</w:t>
            </w:r>
          </w:p>
        </w:tc>
        <w:tc>
          <w:tcPr>
            <w:tcW w:w="6846" w:type="dxa"/>
            <w:tcBorders/>
            <w:vAlign w:val="center"/>
          </w:tcPr>
          <w:p>
            <w:pPr>
              <w:pStyle w:val="style0"/>
              <w:jc w:val="center"/>
              <w:rPr>
                <w:rFonts w:hint="default"/>
                <w:color w:val="auto"/>
                <w:szCs w:val="21"/>
              </w:rPr>
            </w:pPr>
          </w:p>
        </w:tc>
      </w:tr>
      <w:tr>
        <w:tblPrEx/>
        <w:trPr>
          <w:trHeight w:val="1251"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项目描述</w:t>
            </w:r>
          </w:p>
        </w:tc>
        <w:tc>
          <w:tcPr>
            <w:tcW w:w="6846" w:type="dxa"/>
            <w:tcBorders/>
            <w:vAlign w:val="center"/>
          </w:tcPr>
          <w:p>
            <w:pPr>
              <w:pStyle w:val="style0"/>
              <w:jc w:val="center"/>
              <w:rPr>
                <w:rFonts w:hint="default"/>
                <w:color w:val="auto"/>
                <w:szCs w:val="21"/>
              </w:rPr>
            </w:pPr>
          </w:p>
        </w:tc>
      </w:tr>
      <w:tr>
        <w:tblPrEx/>
        <w:trPr>
          <w:trHeight w:val="624" w:hRule="atLeast"/>
          <w:jc w:val="center"/>
        </w:trPr>
        <w:tc>
          <w:tcPr>
            <w:tcW w:w="2783" w:type="dxa"/>
            <w:tcBorders/>
            <w:vAlign w:val="center"/>
          </w:tcPr>
          <w:p>
            <w:pPr>
              <w:pStyle w:val="style0"/>
              <w:jc w:val="center"/>
              <w:rPr>
                <w:rFonts w:hint="default"/>
                <w:color w:val="auto"/>
                <w:szCs w:val="21"/>
              </w:rPr>
            </w:pPr>
            <w:r>
              <w:rPr>
                <w:rFonts w:eastAsia="仿宋_GB2312"/>
                <w:color w:val="auto"/>
                <w:szCs w:val="21"/>
              </w:rPr>
              <w:t>备注</w:t>
            </w:r>
          </w:p>
        </w:tc>
        <w:tc>
          <w:tcPr>
            <w:tcW w:w="6846" w:type="dxa"/>
            <w:tcBorders/>
            <w:vAlign w:val="center"/>
          </w:tcPr>
          <w:p>
            <w:pPr>
              <w:pStyle w:val="style0"/>
              <w:jc w:val="center"/>
              <w:rPr>
                <w:rFonts w:hint="default"/>
                <w:color w:val="auto"/>
                <w:szCs w:val="21"/>
              </w:rPr>
            </w:pPr>
          </w:p>
        </w:tc>
      </w:tr>
    </w:tbl>
    <w:p>
      <w:pPr>
        <w:pStyle w:val="style0"/>
        <w:spacing w:lineRule="auto" w:line="300"/>
        <w:ind w:left="720" w:hanging="720" w:hangingChars="300"/>
        <w:rPr>
          <w:rFonts w:eastAsia="仿宋_GB2312" w:hint="default"/>
          <w:color w:val="auto"/>
          <w:szCs w:val="21"/>
        </w:rPr>
      </w:pPr>
      <w:r>
        <w:rPr>
          <w:rFonts w:eastAsia="仿宋_GB2312"/>
          <w:color w:val="auto"/>
          <w:szCs w:val="21"/>
        </w:rPr>
        <w:t>说明：1.类似工程监理业绩考核期限1080天，自监理业务手册中建设单位签字之日起至提交响应文件截止之日止。</w:t>
      </w:r>
    </w:p>
    <w:p>
      <w:pPr>
        <w:pStyle w:val="style0"/>
        <w:spacing w:lineRule="auto" w:line="300"/>
        <w:rPr>
          <w:rFonts w:eastAsia="仿宋_GB2312" w:hint="default"/>
          <w:color w:val="auto"/>
          <w:szCs w:val="21"/>
        </w:rPr>
      </w:pPr>
      <w:r>
        <w:rPr>
          <w:rFonts w:eastAsia="仿宋_GB2312"/>
          <w:color w:val="auto"/>
          <w:szCs w:val="21"/>
        </w:rPr>
        <w:t xml:space="preserve">      2.请附类似工程监理业绩证明资料复印件（具体要求见本招标文件第二章投标人须知前附表）</w:t>
      </w:r>
      <w:bookmarkStart w:id="185" w:name="_Toc300678584"/>
      <w:r>
        <w:rPr>
          <w:rFonts w:eastAsia="仿宋_GB2312"/>
          <w:color w:val="auto"/>
          <w:szCs w:val="21"/>
        </w:rPr>
        <w:t>。</w:t>
      </w:r>
    </w:p>
    <w:bookmarkEnd w:id="185"/>
    <w:p>
      <w:pPr>
        <w:pStyle w:val="style0"/>
        <w:spacing w:lineRule="exact" w:line="400"/>
        <w:rPr>
          <w:rFonts w:eastAsia="仿宋_GB2312" w:hint="default"/>
          <w:color w:val="auto"/>
          <w:szCs w:val="21"/>
        </w:rPr>
      </w:pPr>
    </w:p>
    <w:p>
      <w:pPr>
        <w:pStyle w:val="style3"/>
        <w:rPr>
          <w:rFonts w:eastAsia="仿宋_GB2312"/>
          <w:color w:val="auto"/>
          <w:szCs w:val="21"/>
        </w:rPr>
      </w:pPr>
    </w:p>
    <w:p>
      <w:pPr>
        <w:pStyle w:val="style0"/>
        <w:rPr>
          <w:rFonts w:eastAsia="仿宋_GB2312" w:hint="default"/>
          <w:color w:val="auto"/>
          <w:szCs w:val="21"/>
        </w:rPr>
      </w:pPr>
    </w:p>
    <w:p>
      <w:pPr>
        <w:pStyle w:val="style3"/>
        <w:rPr>
          <w:color w:val="auto"/>
        </w:rPr>
      </w:pPr>
    </w:p>
    <w:p>
      <w:pPr>
        <w:pStyle w:val="style0"/>
        <w:rPr>
          <w:rFonts w:hint="default"/>
          <w:b/>
          <w:color w:val="auto"/>
          <w:szCs w:val="28"/>
        </w:rPr>
      </w:pPr>
      <w:r>
        <w:rPr>
          <w:b/>
          <w:color w:val="auto"/>
          <w:szCs w:val="28"/>
        </w:rPr>
        <w:t>（4）现场安全质量管理评价情况</w:t>
      </w:r>
    </w:p>
    <w:p>
      <w:pPr>
        <w:pStyle w:val="style0"/>
        <w:rPr>
          <w:rFonts w:hint="default"/>
          <w:color w:val="auto"/>
          <w:szCs w:val="21"/>
        </w:rPr>
      </w:pPr>
    </w:p>
    <w:tbl>
      <w:tblPr>
        <w:tblStyle w:val="style105"/>
        <w:tblW w:w="0" w:type="auto"/>
        <w:tblInd w:w="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007"/>
        <w:gridCol w:w="5953"/>
      </w:tblGrid>
      <w:tr>
        <w:trPr>
          <w:trHeight w:val="1206" w:hRule="atLeast"/>
        </w:trPr>
        <w:tc>
          <w:tcPr>
            <w:tcW w:w="3007" w:type="dxa"/>
            <w:tcBorders/>
            <w:vAlign w:val="center"/>
          </w:tcPr>
          <w:p>
            <w:pPr>
              <w:pStyle w:val="style0"/>
              <w:spacing w:lineRule="exact" w:line="360"/>
              <w:jc w:val="center"/>
              <w:rPr>
                <w:rFonts w:eastAsia="仿宋_GB2312" w:hint="default"/>
                <w:color w:val="auto"/>
                <w:szCs w:val="21"/>
              </w:rPr>
            </w:pPr>
            <w:r>
              <w:rPr>
                <w:rFonts w:eastAsia="仿宋_GB2312"/>
                <w:color w:val="auto"/>
                <w:szCs w:val="21"/>
              </w:rPr>
              <w:t>提交响应文件截止之时</w:t>
            </w:r>
          </w:p>
          <w:p>
            <w:pPr>
              <w:pStyle w:val="style0"/>
              <w:spacing w:lineRule="exact" w:line="360"/>
              <w:jc w:val="center"/>
              <w:rPr>
                <w:rFonts w:eastAsia="仿宋_GB2312" w:hint="default"/>
                <w:color w:val="auto"/>
                <w:szCs w:val="21"/>
              </w:rPr>
            </w:pPr>
            <w:r>
              <w:rPr>
                <w:rFonts w:eastAsia="仿宋_GB2312"/>
                <w:color w:val="auto"/>
                <w:szCs w:val="21"/>
              </w:rPr>
              <w:t>最新公布的现场安全</w:t>
            </w:r>
          </w:p>
          <w:p>
            <w:pPr>
              <w:pStyle w:val="style0"/>
              <w:spacing w:lineRule="exact" w:line="360"/>
              <w:jc w:val="center"/>
              <w:rPr>
                <w:rFonts w:hint="default"/>
                <w:color w:val="auto"/>
                <w:szCs w:val="21"/>
              </w:rPr>
            </w:pPr>
            <w:r>
              <w:rPr>
                <w:rFonts w:eastAsia="仿宋_GB2312"/>
                <w:color w:val="auto"/>
                <w:szCs w:val="21"/>
              </w:rPr>
              <w:t>质量管理评价结果</w:t>
            </w:r>
          </w:p>
        </w:tc>
        <w:tc>
          <w:tcPr>
            <w:tcW w:w="5953" w:type="dxa"/>
            <w:tcBorders/>
            <w:vAlign w:val="center"/>
          </w:tcPr>
          <w:p>
            <w:pPr>
              <w:pStyle w:val="style0"/>
              <w:spacing w:lineRule="exact" w:line="360"/>
              <w:jc w:val="left"/>
              <w:rPr>
                <w:rFonts w:hint="default"/>
                <w:color w:val="auto"/>
                <w:szCs w:val="21"/>
              </w:rPr>
            </w:pPr>
            <w:r>
              <w:rPr>
                <w:rFonts w:eastAsia="仿宋_GB2312"/>
                <w:color w:val="auto"/>
                <w:szCs w:val="21"/>
              </w:rPr>
              <w:t>请附“湖南省住房城乡建设网”上查询的</w:t>
            </w:r>
            <w:r>
              <w:rPr>
                <w:rFonts w:eastAsia="仿宋_GB2312"/>
                <w:bCs/>
                <w:color w:val="auto"/>
                <w:szCs w:val="21"/>
              </w:rPr>
              <w:t>企业现场安全质量管理评价结果</w:t>
            </w:r>
            <w:r>
              <w:rPr>
                <w:rFonts w:eastAsia="仿宋_GB2312"/>
                <w:color w:val="auto"/>
                <w:szCs w:val="21"/>
              </w:rPr>
              <w:t>详细信息网页截图</w:t>
            </w:r>
          </w:p>
        </w:tc>
      </w:tr>
      <w:tr>
        <w:tblPrEx/>
        <w:trPr>
          <w:trHeight w:val="1123" w:hRule="atLeast"/>
        </w:trPr>
        <w:tc>
          <w:tcPr>
            <w:tcW w:w="3007" w:type="dxa"/>
            <w:tcBorders/>
            <w:vAlign w:val="center"/>
          </w:tcPr>
          <w:p>
            <w:pPr>
              <w:pStyle w:val="style0"/>
              <w:spacing w:lineRule="exact" w:line="360"/>
              <w:ind w:firstLine="480" w:firstLineChars="200"/>
              <w:jc w:val="center"/>
              <w:rPr>
                <w:rFonts w:hint="default"/>
                <w:color w:val="auto"/>
                <w:szCs w:val="21"/>
              </w:rPr>
            </w:pPr>
            <w:r>
              <w:rPr>
                <w:rFonts w:eastAsia="仿宋_GB2312"/>
                <w:color w:val="auto"/>
                <w:szCs w:val="21"/>
              </w:rPr>
              <w:t>没有在监工程的投标人</w:t>
            </w:r>
          </w:p>
        </w:tc>
        <w:tc>
          <w:tcPr>
            <w:tcW w:w="5953" w:type="dxa"/>
            <w:tcBorders/>
            <w:vAlign w:val="center"/>
          </w:tcPr>
          <w:p>
            <w:pPr>
              <w:pStyle w:val="style0"/>
              <w:spacing w:lineRule="exact" w:line="360"/>
              <w:ind w:firstLine="240" w:firstLineChars="100"/>
              <w:jc w:val="left"/>
              <w:rPr>
                <w:rFonts w:hint="default"/>
                <w:color w:val="auto"/>
                <w:szCs w:val="21"/>
              </w:rPr>
            </w:pPr>
            <w:r>
              <w:rPr>
                <w:rFonts w:eastAsia="仿宋_GB2312"/>
                <w:color w:val="auto"/>
                <w:szCs w:val="21"/>
              </w:rPr>
              <w:t>请“√”选</w:t>
            </w:r>
          </w:p>
        </w:tc>
      </w:tr>
      <w:tr>
        <w:tblPrEx/>
        <w:trPr>
          <w:trHeight w:val="1125" w:hRule="atLeast"/>
        </w:trPr>
        <w:tc>
          <w:tcPr>
            <w:tcW w:w="3007" w:type="dxa"/>
            <w:vMerge w:val="restart"/>
            <w:tcBorders/>
            <w:vAlign w:val="center"/>
          </w:tcPr>
          <w:p>
            <w:pPr>
              <w:pStyle w:val="style0"/>
              <w:spacing w:lineRule="exact" w:line="360"/>
              <w:jc w:val="center"/>
              <w:rPr>
                <w:rFonts w:eastAsia="仿宋_GB2312" w:hint="default"/>
                <w:color w:val="auto"/>
                <w:szCs w:val="21"/>
              </w:rPr>
            </w:pPr>
            <w:r>
              <w:rPr>
                <w:rFonts w:eastAsia="仿宋_GB2312"/>
                <w:color w:val="auto"/>
                <w:szCs w:val="21"/>
              </w:rPr>
              <w:t>取得监理企业</w:t>
            </w:r>
          </w:p>
          <w:p>
            <w:pPr>
              <w:pStyle w:val="style0"/>
              <w:spacing w:lineRule="exact" w:line="360"/>
              <w:jc w:val="center"/>
              <w:rPr>
                <w:rFonts w:hint="default"/>
                <w:color w:val="auto"/>
                <w:szCs w:val="21"/>
              </w:rPr>
            </w:pPr>
            <w:r>
              <w:rPr>
                <w:rFonts w:eastAsia="仿宋_GB2312"/>
                <w:color w:val="auto"/>
                <w:szCs w:val="21"/>
              </w:rPr>
              <w:t>资质证书不满720天的投标人</w:t>
            </w:r>
          </w:p>
        </w:tc>
        <w:tc>
          <w:tcPr>
            <w:tcW w:w="5953" w:type="dxa"/>
            <w:tcBorders/>
            <w:vAlign w:val="center"/>
          </w:tcPr>
          <w:p>
            <w:pPr>
              <w:pStyle w:val="style0"/>
              <w:spacing w:lineRule="exact" w:line="360"/>
              <w:jc w:val="left"/>
              <w:rPr>
                <w:rFonts w:hint="default"/>
                <w:color w:val="auto"/>
                <w:szCs w:val="21"/>
              </w:rPr>
            </w:pPr>
            <w:r>
              <w:rPr>
                <w:rFonts w:eastAsia="仿宋_GB2312"/>
                <w:color w:val="auto"/>
                <w:szCs w:val="21"/>
              </w:rPr>
              <w:t>请附“湖南省住房城乡建设网”上查询的全省</w:t>
            </w:r>
            <w:r>
              <w:rPr>
                <w:rFonts w:eastAsia="仿宋_GB2312"/>
                <w:bCs/>
                <w:color w:val="auto"/>
                <w:szCs w:val="21"/>
              </w:rPr>
              <w:t>现场安全质量管理评价分值的平均值的</w:t>
            </w:r>
            <w:r>
              <w:rPr>
                <w:rFonts w:eastAsia="仿宋_GB2312"/>
                <w:color w:val="auto"/>
                <w:szCs w:val="21"/>
              </w:rPr>
              <w:t>详细网页截图</w:t>
            </w:r>
          </w:p>
        </w:tc>
      </w:tr>
      <w:tr>
        <w:tblPrEx/>
        <w:trPr>
          <w:trHeight w:val="1373" w:hRule="atLeast"/>
        </w:trPr>
        <w:tc>
          <w:tcPr>
            <w:tcW w:w="3007" w:type="dxa"/>
            <w:vMerge w:val="continue"/>
            <w:tcBorders/>
            <w:vAlign w:val="center"/>
          </w:tcPr>
          <w:p>
            <w:pPr>
              <w:pStyle w:val="style0"/>
              <w:spacing w:lineRule="exact" w:line="360"/>
              <w:jc w:val="center"/>
              <w:rPr>
                <w:rFonts w:hint="default"/>
                <w:color w:val="auto"/>
                <w:szCs w:val="21"/>
              </w:rPr>
            </w:pPr>
          </w:p>
        </w:tc>
        <w:tc>
          <w:tcPr>
            <w:tcW w:w="5953" w:type="dxa"/>
            <w:tcBorders/>
            <w:vAlign w:val="center"/>
          </w:tcPr>
          <w:p>
            <w:pPr>
              <w:pStyle w:val="style0"/>
              <w:spacing w:lineRule="exact" w:line="360"/>
              <w:jc w:val="left"/>
              <w:rPr>
                <w:rFonts w:hint="default"/>
                <w:color w:val="auto"/>
                <w:szCs w:val="21"/>
              </w:rPr>
            </w:pPr>
            <w:r>
              <w:rPr>
                <w:rFonts w:eastAsia="仿宋_GB2312"/>
                <w:color w:val="auto"/>
                <w:szCs w:val="21"/>
              </w:rPr>
              <w:t>投标人</w:t>
            </w:r>
            <w:r>
              <w:rPr>
                <w:rFonts w:eastAsia="仿宋_GB2312"/>
                <w:bCs/>
                <w:color w:val="auto"/>
                <w:szCs w:val="21"/>
              </w:rPr>
              <w:t>现场安全质量管理评价分值高于</w:t>
            </w:r>
            <w:r>
              <w:rPr>
                <w:rFonts w:eastAsia="仿宋_GB2312"/>
                <w:color w:val="auto"/>
                <w:szCs w:val="21"/>
              </w:rPr>
              <w:t>全省</w:t>
            </w:r>
            <w:r>
              <w:rPr>
                <w:rFonts w:eastAsia="仿宋_GB2312"/>
                <w:bCs/>
                <w:color w:val="auto"/>
                <w:szCs w:val="21"/>
              </w:rPr>
              <w:t>平均值的，请附</w:t>
            </w:r>
            <w:r>
              <w:rPr>
                <w:rFonts w:eastAsia="仿宋_GB2312"/>
                <w:color w:val="auto"/>
                <w:szCs w:val="21"/>
              </w:rPr>
              <w:t>“湖南省住房城乡建设网”上查询的</w:t>
            </w:r>
            <w:r>
              <w:rPr>
                <w:rFonts w:eastAsia="仿宋_GB2312"/>
                <w:bCs/>
                <w:color w:val="auto"/>
                <w:szCs w:val="21"/>
              </w:rPr>
              <w:t>企业现场安全质量管理评价结果</w:t>
            </w:r>
            <w:r>
              <w:rPr>
                <w:rFonts w:eastAsia="仿宋_GB2312"/>
                <w:color w:val="auto"/>
                <w:szCs w:val="21"/>
              </w:rPr>
              <w:t>详细信息网页截图</w:t>
            </w:r>
          </w:p>
        </w:tc>
      </w:tr>
    </w:tbl>
    <w:p>
      <w:pPr>
        <w:pStyle w:val="style4"/>
        <w:keepNext w:val="false"/>
        <w:keepLines w:val="false"/>
        <w:rPr>
          <w:rFonts w:ascii="Times New Roman" w:eastAsia="黑体" w:hAnsi="Times New Roman" w:hint="default"/>
          <w:b w:val="false"/>
          <w:bCs w:val="false"/>
          <w:color w:val="auto"/>
        </w:rPr>
      </w:pPr>
    </w:p>
    <w:p>
      <w:pPr>
        <w:pStyle w:val="style0"/>
        <w:rPr>
          <w:rFonts w:eastAsia="仿宋_GB2312" w:hint="eastAsia"/>
        </w:rPr>
      </w:pPr>
    </w:p>
    <w:p>
      <w:pPr>
        <w:pStyle w:val="style4"/>
        <w:keepNext w:val="false"/>
        <w:keepLines w:val="false"/>
        <w:ind w:firstLine="241" w:firstLineChars="100"/>
        <w:jc w:val="center"/>
        <w:rPr>
          <w:rFonts w:ascii="宋体" w:hAnsi="宋体"/>
          <w:bCs w:val="false"/>
          <w:sz w:val="24"/>
        </w:rPr>
      </w:pPr>
      <w:r>
        <w:rPr>
          <w:rFonts w:ascii="宋体" w:hAnsi="宋体"/>
          <w:bCs w:val="false"/>
          <w:sz w:val="24"/>
        </w:rPr>
        <w:t>（</w:t>
      </w:r>
      <w:r>
        <w:rPr>
          <w:rFonts w:ascii="宋体" w:hAnsi="宋体" w:hint="eastAsia"/>
          <w:bCs w:val="false"/>
          <w:sz w:val="24"/>
        </w:rPr>
        <w:t>5</w:t>
      </w:r>
      <w:r>
        <w:rPr>
          <w:rFonts w:ascii="宋体" w:hAnsi="宋体"/>
          <w:bCs w:val="false"/>
          <w:sz w:val="24"/>
        </w:rPr>
        <w:t>）信用评价</w:t>
      </w:r>
      <w:r>
        <w:rPr>
          <w:rFonts w:ascii="宋体" w:hAnsi="宋体" w:hint="eastAsia"/>
          <w:bCs w:val="false"/>
          <w:sz w:val="24"/>
        </w:rPr>
        <w:t>情况（</w:t>
      </w:r>
      <w:r>
        <w:rPr>
          <w:rFonts w:ascii="宋体" w:hAnsi="宋体" w:hint="eastAsia"/>
          <w:bCs w:val="false"/>
          <w:sz w:val="24"/>
        </w:rPr>
        <w:sym w:font="Wingdings" w:char="a8"/>
      </w:r>
      <w:r>
        <w:rPr>
          <w:rFonts w:ascii="宋体" w:hAnsi="宋体"/>
          <w:bCs w:val="false"/>
          <w:sz w:val="24"/>
        </w:rPr>
        <w:t>本项目适用</w:t>
      </w:r>
      <w:r>
        <w:rPr>
          <w:rFonts w:ascii="宋体" w:hAnsi="宋体" w:hint="eastAsia"/>
          <w:bCs w:val="false"/>
          <w:sz w:val="24"/>
        </w:rPr>
        <w:t>，</w:t>
      </w:r>
      <w:r>
        <w:rPr>
          <w:rFonts w:ascii="Segoe UI Emoji" w:cs="Segoe UI Emoji" w:eastAsia="仿宋_GB2312" w:hAnsi="Segoe UI Emoji" w:hint="eastAsia"/>
          <w:szCs w:val="21"/>
          <w:lang w:eastAsia="zh-CN"/>
        </w:rPr>
        <w:t>☑</w:t>
      </w:r>
      <w:r>
        <w:rPr>
          <w:rFonts w:ascii="宋体" w:hAnsi="宋体"/>
          <w:bCs w:val="false"/>
          <w:sz w:val="24"/>
        </w:rPr>
        <w:t>本项目不适用</w:t>
      </w:r>
      <w:r>
        <w:rPr>
          <w:rFonts w:ascii="宋体" w:hAnsi="宋体" w:hint="eastAsia"/>
          <w:bCs w:val="false"/>
          <w:sz w:val="24"/>
        </w:rPr>
        <w:t>）</w:t>
      </w:r>
    </w:p>
    <w:tbl>
      <w:tblPr>
        <w:tblStyle w:val="style105"/>
        <w:tblW w:w="0" w:type="auto"/>
        <w:tblInd w:w="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2992"/>
        <w:gridCol w:w="5923"/>
      </w:tblGrid>
      <w:tr>
        <w:trPr>
          <w:trHeight w:val="1019" w:hRule="atLeast"/>
        </w:trPr>
        <w:tc>
          <w:tcPr>
            <w:tcW w:w="2992" w:type="dxa"/>
            <w:tcBorders/>
            <w:vAlign w:val="center"/>
          </w:tcPr>
          <w:p>
            <w:pPr>
              <w:pStyle w:val="style0"/>
              <w:jc w:val="center"/>
              <w:rPr>
                <w:rFonts w:eastAsia="仿宋_GB2312" w:hint="eastAsia"/>
                <w:szCs w:val="21"/>
              </w:rPr>
            </w:pPr>
            <w:r>
              <w:rPr>
                <w:rFonts w:eastAsia="仿宋_GB2312" w:hint="eastAsia"/>
                <w:szCs w:val="21"/>
              </w:rPr>
              <w:t>提交投标文件截止之时</w:t>
            </w:r>
          </w:p>
          <w:p>
            <w:pPr>
              <w:pStyle w:val="style0"/>
              <w:jc w:val="center"/>
              <w:rPr>
                <w:rFonts w:hint="eastAsia"/>
                <w:szCs w:val="21"/>
              </w:rPr>
            </w:pPr>
            <w:r>
              <w:rPr>
                <w:rFonts w:eastAsia="仿宋_GB2312" w:hint="eastAsia"/>
                <w:szCs w:val="21"/>
              </w:rPr>
              <w:t>最新公布的信用评价结果</w:t>
            </w:r>
          </w:p>
        </w:tc>
        <w:tc>
          <w:tcPr>
            <w:tcW w:w="5923" w:type="dxa"/>
            <w:tcBorders/>
            <w:vAlign w:val="center"/>
          </w:tcPr>
          <w:p>
            <w:pPr>
              <w:pStyle w:val="style0"/>
              <w:jc w:val="left"/>
              <w:rPr>
                <w:rFonts w:hint="eastAsia"/>
                <w:szCs w:val="21"/>
              </w:rPr>
            </w:pPr>
            <w:r>
              <w:rPr>
                <w:rFonts w:eastAsia="仿宋_GB2312" w:hint="eastAsia"/>
                <w:szCs w:val="21"/>
              </w:rPr>
              <w:t>请附“</w:t>
            </w:r>
            <w:r>
              <w:rPr>
                <w:rFonts w:eastAsia="仿宋_GB2312"/>
                <w:szCs w:val="21"/>
              </w:rPr>
              <w:t>湖南省住房城乡建设网</w:t>
            </w:r>
            <w:r>
              <w:rPr>
                <w:rFonts w:eastAsia="仿宋_GB2312" w:hint="eastAsia"/>
                <w:szCs w:val="21"/>
              </w:rPr>
              <w:t>”</w:t>
            </w:r>
            <w:r>
              <w:rPr>
                <w:rFonts w:eastAsia="仿宋_GB2312"/>
                <w:szCs w:val="21"/>
              </w:rPr>
              <w:t>上查询的</w:t>
            </w:r>
            <w:r>
              <w:rPr>
                <w:rFonts w:eastAsia="仿宋_GB2312"/>
                <w:bCs/>
                <w:szCs w:val="21"/>
              </w:rPr>
              <w:t>信用评价结果</w:t>
            </w:r>
            <w:r>
              <w:rPr>
                <w:rFonts w:eastAsia="仿宋_GB2312"/>
                <w:szCs w:val="21"/>
              </w:rPr>
              <w:t>详细信息网页截图</w:t>
            </w:r>
          </w:p>
        </w:tc>
      </w:tr>
      <w:tr>
        <w:tblPrEx/>
        <w:trPr>
          <w:trHeight w:val="1029" w:hRule="atLeast"/>
        </w:trPr>
        <w:tc>
          <w:tcPr>
            <w:tcW w:w="2992" w:type="dxa"/>
            <w:tcBorders/>
            <w:vAlign w:val="center"/>
          </w:tcPr>
          <w:p>
            <w:pPr>
              <w:pStyle w:val="style0"/>
              <w:jc w:val="center"/>
              <w:rPr>
                <w:szCs w:val="21"/>
              </w:rPr>
            </w:pPr>
            <w:r>
              <w:rPr>
                <w:rFonts w:eastAsia="仿宋_GB2312" w:hint="eastAsia"/>
                <w:szCs w:val="21"/>
              </w:rPr>
              <w:t>未参加信用评价的投标人</w:t>
            </w:r>
          </w:p>
        </w:tc>
        <w:tc>
          <w:tcPr>
            <w:tcW w:w="5923" w:type="dxa"/>
            <w:tcBorders/>
            <w:vAlign w:val="center"/>
          </w:tcPr>
          <w:p>
            <w:pPr>
              <w:pStyle w:val="style0"/>
              <w:jc w:val="left"/>
              <w:rPr>
                <w:rFonts w:hint="eastAsia"/>
                <w:szCs w:val="21"/>
              </w:rPr>
            </w:pPr>
            <w:r>
              <w:rPr>
                <w:rFonts w:eastAsia="仿宋_GB2312" w:hint="eastAsia"/>
                <w:szCs w:val="21"/>
              </w:rPr>
              <w:t>请“√”选</w:t>
            </w:r>
          </w:p>
        </w:tc>
      </w:tr>
      <w:tr>
        <w:tblPrEx/>
        <w:trPr>
          <w:trHeight w:val="2006" w:hRule="atLeast"/>
        </w:trPr>
        <w:tc>
          <w:tcPr>
            <w:tcW w:w="2992" w:type="dxa"/>
            <w:vMerge w:val="restart"/>
            <w:tcBorders/>
            <w:vAlign w:val="center"/>
          </w:tcPr>
          <w:p>
            <w:pPr>
              <w:pStyle w:val="style0"/>
              <w:jc w:val="center"/>
              <w:rPr>
                <w:rFonts w:eastAsia="仿宋_GB2312" w:hint="eastAsia"/>
                <w:szCs w:val="21"/>
              </w:rPr>
            </w:pPr>
            <w:r>
              <w:rPr>
                <w:rFonts w:eastAsia="仿宋_GB2312" w:hint="eastAsia"/>
                <w:szCs w:val="21"/>
              </w:rPr>
              <w:t>取得监理企业</w:t>
            </w:r>
          </w:p>
          <w:p>
            <w:pPr>
              <w:pStyle w:val="style0"/>
              <w:jc w:val="center"/>
              <w:rPr>
                <w:szCs w:val="21"/>
              </w:rPr>
            </w:pPr>
            <w:r>
              <w:rPr>
                <w:rFonts w:eastAsia="仿宋_GB2312" w:hint="eastAsia"/>
                <w:szCs w:val="21"/>
              </w:rPr>
              <w:t>资质证书不满720天的投标人</w:t>
            </w:r>
          </w:p>
        </w:tc>
        <w:tc>
          <w:tcPr>
            <w:tcW w:w="5923" w:type="dxa"/>
            <w:tcBorders/>
            <w:vAlign w:val="center"/>
          </w:tcPr>
          <w:p>
            <w:pPr>
              <w:pStyle w:val="style0"/>
              <w:jc w:val="left"/>
              <w:rPr>
                <w:rFonts w:eastAsia="仿宋_GB2312" w:hint="eastAsia"/>
                <w:szCs w:val="21"/>
              </w:rPr>
            </w:pPr>
            <w:r>
              <w:rPr>
                <w:rFonts w:eastAsia="仿宋_GB2312" w:hint="eastAsia"/>
                <w:szCs w:val="21"/>
              </w:rPr>
              <w:t>请附“</w:t>
            </w:r>
            <w:r>
              <w:rPr>
                <w:rFonts w:eastAsia="仿宋_GB2312"/>
                <w:szCs w:val="21"/>
              </w:rPr>
              <w:t>湖南省住房城乡建设网</w:t>
            </w:r>
            <w:r>
              <w:rPr>
                <w:rFonts w:eastAsia="仿宋_GB2312" w:hint="eastAsia"/>
                <w:szCs w:val="21"/>
              </w:rPr>
              <w:t>”</w:t>
            </w:r>
            <w:r>
              <w:rPr>
                <w:rFonts w:eastAsia="仿宋_GB2312"/>
                <w:szCs w:val="21"/>
              </w:rPr>
              <w:t>上查询的</w:t>
            </w:r>
            <w:r>
              <w:rPr>
                <w:rFonts w:eastAsia="仿宋_GB2312" w:hint="eastAsia"/>
                <w:szCs w:val="21"/>
              </w:rPr>
              <w:t>全省信用</w:t>
            </w:r>
            <w:r>
              <w:rPr>
                <w:rFonts w:eastAsia="仿宋_GB2312"/>
                <w:bCs/>
                <w:szCs w:val="21"/>
              </w:rPr>
              <w:t>评价</w:t>
            </w:r>
            <w:r>
              <w:rPr>
                <w:rFonts w:eastAsia="仿宋_GB2312" w:hint="eastAsia"/>
                <w:bCs/>
                <w:szCs w:val="21"/>
              </w:rPr>
              <w:t>分值的平均值的</w:t>
            </w:r>
            <w:r>
              <w:rPr>
                <w:rFonts w:eastAsia="仿宋_GB2312"/>
                <w:szCs w:val="21"/>
              </w:rPr>
              <w:t>详细网页截图</w:t>
            </w:r>
            <w:r>
              <w:rPr>
                <w:rFonts w:eastAsia="仿宋_GB2312" w:hint="eastAsia"/>
                <w:szCs w:val="21"/>
              </w:rPr>
              <w:t>。</w:t>
            </w:r>
          </w:p>
          <w:p>
            <w:pPr>
              <w:pStyle w:val="style0"/>
              <w:jc w:val="left"/>
              <w:rPr>
                <w:rFonts w:hint="eastAsia"/>
                <w:szCs w:val="21"/>
              </w:rPr>
            </w:pPr>
            <w:r>
              <w:rPr>
                <w:rFonts w:eastAsia="仿宋_GB2312" w:hint="eastAsia"/>
                <w:szCs w:val="21"/>
              </w:rPr>
              <w:t>发生了信用评价标准中列示的不良信息的，请在此将不良信息予以列示</w:t>
            </w:r>
          </w:p>
        </w:tc>
      </w:tr>
      <w:tr>
        <w:tblPrEx/>
        <w:trPr>
          <w:trHeight w:val="1151" w:hRule="atLeast"/>
        </w:trPr>
        <w:tc>
          <w:tcPr>
            <w:tcW w:w="2992" w:type="dxa"/>
            <w:vMerge w:val="continue"/>
            <w:tcBorders/>
            <w:vAlign w:val="center"/>
          </w:tcPr>
          <w:p>
            <w:pPr>
              <w:pStyle w:val="style0"/>
              <w:jc w:val="center"/>
              <w:rPr>
                <w:rFonts w:hint="eastAsia"/>
                <w:szCs w:val="21"/>
              </w:rPr>
            </w:pPr>
          </w:p>
        </w:tc>
        <w:tc>
          <w:tcPr>
            <w:tcW w:w="5923" w:type="dxa"/>
            <w:tcBorders/>
            <w:vAlign w:val="center"/>
          </w:tcPr>
          <w:p>
            <w:pPr>
              <w:pStyle w:val="style0"/>
              <w:jc w:val="left"/>
              <w:rPr>
                <w:rFonts w:hint="eastAsia"/>
                <w:szCs w:val="21"/>
              </w:rPr>
            </w:pPr>
            <w:r>
              <w:rPr>
                <w:rFonts w:eastAsia="仿宋_GB2312" w:hint="eastAsia"/>
                <w:szCs w:val="21"/>
              </w:rPr>
              <w:t>投标人</w:t>
            </w:r>
            <w:r>
              <w:rPr>
                <w:rFonts w:eastAsia="仿宋_GB2312" w:hint="eastAsia"/>
                <w:bCs/>
                <w:szCs w:val="21"/>
              </w:rPr>
              <w:t>信用</w:t>
            </w:r>
            <w:r>
              <w:rPr>
                <w:rFonts w:eastAsia="仿宋_GB2312"/>
                <w:bCs/>
                <w:szCs w:val="21"/>
              </w:rPr>
              <w:t>评价</w:t>
            </w:r>
            <w:r>
              <w:rPr>
                <w:rFonts w:eastAsia="仿宋_GB2312" w:hint="eastAsia"/>
                <w:bCs/>
                <w:szCs w:val="21"/>
              </w:rPr>
              <w:t>分值高于</w:t>
            </w:r>
            <w:r>
              <w:rPr>
                <w:rFonts w:eastAsia="仿宋_GB2312" w:hint="eastAsia"/>
                <w:szCs w:val="21"/>
              </w:rPr>
              <w:t>全省</w:t>
            </w:r>
            <w:r>
              <w:rPr>
                <w:rFonts w:eastAsia="仿宋_GB2312" w:hint="eastAsia"/>
                <w:bCs/>
                <w:szCs w:val="21"/>
              </w:rPr>
              <w:t>平均值的，请附</w:t>
            </w:r>
            <w:r>
              <w:rPr>
                <w:rFonts w:eastAsia="仿宋_GB2312" w:hint="eastAsia"/>
                <w:szCs w:val="21"/>
              </w:rPr>
              <w:t>“</w:t>
            </w:r>
            <w:r>
              <w:rPr>
                <w:rFonts w:eastAsia="仿宋_GB2312"/>
                <w:szCs w:val="21"/>
              </w:rPr>
              <w:t>湖南省住房城乡建设网</w:t>
            </w:r>
            <w:r>
              <w:rPr>
                <w:rFonts w:eastAsia="仿宋_GB2312" w:hint="eastAsia"/>
                <w:szCs w:val="21"/>
              </w:rPr>
              <w:t>”</w:t>
            </w:r>
            <w:r>
              <w:rPr>
                <w:rFonts w:eastAsia="仿宋_GB2312"/>
                <w:szCs w:val="21"/>
              </w:rPr>
              <w:t>上查询的</w:t>
            </w:r>
            <w:r>
              <w:rPr>
                <w:rFonts w:eastAsia="仿宋_GB2312"/>
                <w:bCs/>
                <w:szCs w:val="21"/>
              </w:rPr>
              <w:t>信用评价结果</w:t>
            </w:r>
            <w:r>
              <w:rPr>
                <w:rFonts w:eastAsia="仿宋_GB2312"/>
                <w:szCs w:val="21"/>
              </w:rPr>
              <w:t>详细信息网页截图</w:t>
            </w:r>
          </w:p>
        </w:tc>
      </w:tr>
    </w:tbl>
    <w:p>
      <w:pPr>
        <w:pStyle w:val="style0"/>
        <w:rPr>
          <w:rFonts w:eastAsia="仿宋_GB2312" w:hint="default"/>
          <w:color w:val="auto"/>
        </w:rPr>
      </w:pPr>
      <w:r>
        <w:rPr>
          <w:rFonts w:ascii="宋体" w:hAnsi="宋体"/>
          <w:bCs w:val="false"/>
          <w:sz w:val="24"/>
        </w:rPr>
        <w:br w:type="page"/>
      </w:r>
    </w:p>
    <w:p>
      <w:pPr>
        <w:pStyle w:val="style0"/>
        <w:rPr>
          <w:rFonts w:eastAsia="仿宋_GB2312" w:hint="default"/>
          <w:color w:val="auto"/>
        </w:rPr>
      </w:pPr>
    </w:p>
    <w:bookmarkStart w:id="186" w:name="_Toc300678589"/>
    <w:p>
      <w:pPr>
        <w:pStyle w:val="style4"/>
        <w:keepNext w:val="false"/>
        <w:keepLines w:val="false"/>
        <w:ind w:firstLine="241" w:firstLineChars="100"/>
        <w:jc w:val="center"/>
        <w:rPr>
          <w:rFonts w:ascii="宋体" w:hAnsi="宋体" w:hint="default"/>
          <w:bCs w:val="false"/>
          <w:color w:val="auto"/>
        </w:rPr>
      </w:pPr>
      <w:r>
        <w:rPr>
          <w:rFonts w:ascii="宋体" w:hAnsi="宋体"/>
          <w:bCs w:val="false"/>
          <w:color w:val="auto"/>
        </w:rPr>
        <w:t>（6）</w:t>
      </w:r>
      <w:bookmarkEnd w:id="186"/>
      <w:r>
        <w:rPr>
          <w:rFonts w:ascii="宋体" w:hAnsi="宋体"/>
          <w:bCs w:val="false"/>
          <w:color w:val="auto"/>
        </w:rPr>
        <w:t>拟任总监理工程师、专业监理工程师不良信息证明资料复印件</w:t>
      </w:r>
    </w:p>
    <w:p>
      <w:pPr>
        <w:pStyle w:val="style0"/>
        <w:spacing w:lineRule="exact" w:line="380"/>
        <w:rPr>
          <w:rFonts w:eastAsia="黑体" w:hint="default"/>
          <w:b/>
          <w:bCs/>
          <w:color w:val="auto"/>
          <w:sz w:val="30"/>
          <w:szCs w:val="30"/>
        </w:rPr>
      </w:pPr>
      <w:r>
        <w:rPr>
          <w:rFonts w:eastAsia="仿宋_GB2312"/>
          <w:color w:val="auto"/>
        </w:rPr>
        <w:t xml:space="preserve">  说明：不良信息的证明文件是指</w:t>
      </w:r>
      <w:r>
        <w:rPr>
          <w:rFonts w:eastAsia="仿宋_GB2312"/>
          <w:color w:val="auto"/>
          <w:szCs w:val="21"/>
        </w:rPr>
        <w:t>《湖南省房屋建筑和市政基础设施工程监理招标投标信用评价管理实施细则》（湘建监督[2019]161号）附件列示的相关文件。</w:t>
      </w:r>
      <w:r>
        <w:rPr>
          <w:rFonts w:eastAsia="仿宋_GB2312"/>
          <w:bCs/>
          <w:color w:val="auto"/>
          <w:szCs w:val="21"/>
        </w:rPr>
        <w:t>建筑工程监理质量安全生产标准化季度项目考评不合格项目以湖南省住房城乡建设厅公布文件为准。</w:t>
      </w:r>
      <w:bookmarkStart w:id="187" w:name="_Toc300678591"/>
    </w:p>
    <w:bookmarkStart w:id="188" w:name="_Toc300678592"/>
    <w:bookmarkEnd w:id="187"/>
    <w:p>
      <w:pPr>
        <w:pStyle w:val="style2"/>
        <w:keepNext w:val="false"/>
        <w:keepLines w:val="false"/>
        <w:spacing w:before="0" w:after="0" w:lineRule="auto" w:line="360"/>
        <w:jc w:val="center"/>
        <w:rPr>
          <w:rFonts w:ascii="黑体" w:eastAsia="黑体" w:hAnsi="黑体" w:hint="default"/>
          <w:bCs w:val="false"/>
          <w:color w:val="auto"/>
          <w:sz w:val="30"/>
        </w:rPr>
      </w:pPr>
      <w:r>
        <w:rPr>
          <w:color w:val="auto"/>
        </w:rPr>
        <w:br w:type="page"/>
      </w:r>
      <w:bookmarkStart w:id="189" w:name="_Toc27550624"/>
      <w:bookmarkStart w:id="190" w:name="_Toc9178588"/>
      <w:r>
        <w:rPr>
          <w:rFonts w:ascii="黑体" w:eastAsia="黑体" w:hAnsi="黑体" w:hint="eastAsia"/>
          <w:bCs w:val="false"/>
          <w:color w:val="auto"/>
          <w:sz w:val="30"/>
          <w:lang w:val="en-US" w:eastAsia="zh-CN"/>
        </w:rPr>
        <w:t>8</w:t>
      </w:r>
      <w:r>
        <w:rPr>
          <w:rFonts w:ascii="黑体" w:eastAsia="黑体" w:hAnsi="黑体"/>
          <w:bCs w:val="false"/>
          <w:color w:val="auto"/>
          <w:sz w:val="30"/>
        </w:rPr>
        <w:t>.承 诺 书</w:t>
      </w:r>
      <w:bookmarkEnd w:id="188"/>
      <w:bookmarkEnd w:id="189"/>
      <w:bookmarkEnd w:id="190"/>
    </w:p>
    <w:p>
      <w:pPr>
        <w:pStyle w:val="style0"/>
        <w:snapToGrid w:val="false"/>
        <w:spacing w:lineRule="auto" w:line="360"/>
        <w:rPr>
          <w:rFonts w:eastAsia="黑体" w:hint="default"/>
          <w:color w:val="auto"/>
          <w:sz w:val="30"/>
          <w:szCs w:val="32"/>
        </w:rPr>
      </w:pPr>
    </w:p>
    <w:p>
      <w:pPr>
        <w:pStyle w:val="style0"/>
        <w:snapToGrid w:val="false"/>
        <w:spacing w:lineRule="auto" w:line="360"/>
        <w:jc w:val="center"/>
        <w:rPr>
          <w:rFonts w:hint="default"/>
          <w:b/>
          <w:color w:val="auto"/>
          <w:sz w:val="28"/>
          <w:szCs w:val="28"/>
        </w:rPr>
      </w:pPr>
      <w:r>
        <w:rPr>
          <w:b/>
          <w:color w:val="auto"/>
          <w:sz w:val="28"/>
          <w:szCs w:val="28"/>
        </w:rPr>
        <w:t>（1）投标承诺书</w:t>
      </w:r>
    </w:p>
    <w:p>
      <w:pPr>
        <w:pStyle w:val="style0"/>
        <w:snapToGrid w:val="false"/>
        <w:spacing w:lineRule="auto" w:line="360"/>
        <w:rPr>
          <w:rFonts w:eastAsia="仿宋_GB2312" w:hint="default"/>
          <w:color w:val="auto"/>
        </w:rPr>
      </w:pPr>
      <w:r>
        <w:rPr>
          <w:rFonts w:eastAsia="仿宋_GB2312"/>
          <w:color w:val="auto"/>
          <w:u w:val="single"/>
        </w:rPr>
        <w:t xml:space="preserve">                     </w:t>
      </w:r>
      <w:r>
        <w:rPr>
          <w:rFonts w:eastAsia="仿宋_GB2312"/>
          <w:color w:val="auto"/>
        </w:rPr>
        <w:t>（招标人名称）：</w:t>
      </w:r>
    </w:p>
    <w:p>
      <w:pPr>
        <w:pStyle w:val="style0"/>
        <w:snapToGrid w:val="false"/>
        <w:spacing w:lineRule="auto" w:line="360"/>
        <w:ind w:firstLine="480" w:firstLineChars="200"/>
        <w:rPr>
          <w:rFonts w:eastAsia="仿宋_GB2312" w:hint="default"/>
          <w:color w:val="auto"/>
        </w:rPr>
      </w:pPr>
      <w:r>
        <w:rPr>
          <w:rFonts w:eastAsia="仿宋_GB2312"/>
          <w:color w:val="auto"/>
        </w:rPr>
        <w:t>我方在此声明：</w:t>
      </w:r>
    </w:p>
    <w:p>
      <w:pPr>
        <w:pStyle w:val="style0"/>
        <w:snapToGrid w:val="false"/>
        <w:spacing w:lineRule="auto" w:line="360"/>
        <w:ind w:firstLine="480" w:firstLineChars="200"/>
        <w:rPr>
          <w:rFonts w:eastAsia="仿宋_GB2312" w:hint="default"/>
          <w:color w:val="auto"/>
        </w:rPr>
      </w:pPr>
      <w:r>
        <w:rPr>
          <w:rFonts w:eastAsia="仿宋_GB2312"/>
          <w:color w:val="auto"/>
        </w:rPr>
        <w:t>1.我方拟派往</w:t>
      </w:r>
      <w:r>
        <w:rPr>
          <w:rFonts w:eastAsia="仿宋_GB2312"/>
          <w:color w:val="auto"/>
          <w:u w:val="single"/>
        </w:rPr>
        <w:t xml:space="preserve">   招标项目及标段       </w:t>
      </w:r>
      <w:r>
        <w:rPr>
          <w:rFonts w:eastAsia="仿宋_GB2312"/>
          <w:color w:val="auto"/>
        </w:rPr>
        <w:t xml:space="preserve"> 的总监理工程师和专业监理工程师能够到位履行职责，如不能到位，我方自愿接受处罚和被予不良行为记录。</w:t>
      </w:r>
    </w:p>
    <w:p>
      <w:pPr>
        <w:pStyle w:val="style0"/>
        <w:snapToGrid w:val="false"/>
        <w:spacing w:lineRule="auto" w:line="360"/>
        <w:ind w:firstLine="480" w:firstLineChars="200"/>
        <w:rPr>
          <w:rFonts w:eastAsia="仿宋_GB2312" w:hint="default"/>
          <w:color w:val="auto"/>
        </w:rPr>
      </w:pPr>
      <w:r>
        <w:rPr>
          <w:rFonts w:eastAsia="仿宋_GB2312"/>
          <w:color w:val="auto"/>
        </w:rPr>
        <w:t>2.我方不存在第二章“投标人须知”第1.4.3项规定的任何一种情形。</w:t>
      </w:r>
    </w:p>
    <w:p>
      <w:pPr>
        <w:pStyle w:val="style0"/>
        <w:snapToGrid w:val="false"/>
        <w:spacing w:lineRule="auto" w:line="360"/>
        <w:ind w:firstLine="480" w:firstLineChars="200"/>
        <w:rPr>
          <w:rFonts w:eastAsia="仿宋_GB2312" w:hint="default"/>
          <w:color w:val="auto"/>
          <w:lang w:val="sq-AL"/>
        </w:rPr>
      </w:pPr>
      <w:r>
        <w:rPr>
          <w:rFonts w:eastAsia="仿宋_GB2312"/>
          <w:color w:val="auto"/>
          <w:lang w:val="sq-AL"/>
        </w:rPr>
        <w:t>3.我方严格遵守相关法律法规规定，没有串通投标、资质挂靠等违法、违规行为，响应文件所投入的管理、技术人员均为我公司正式在职人员。</w:t>
      </w:r>
    </w:p>
    <w:p>
      <w:pPr>
        <w:pStyle w:val="style0"/>
        <w:snapToGrid w:val="false"/>
        <w:spacing w:lineRule="auto" w:line="360"/>
        <w:ind w:firstLine="480" w:firstLineChars="200"/>
        <w:rPr>
          <w:rFonts w:eastAsia="仿宋_GB2312" w:hint="default"/>
          <w:color w:val="auto"/>
          <w:lang w:val="sq-AL"/>
        </w:rPr>
      </w:pPr>
      <w:r>
        <w:rPr>
          <w:rFonts w:eastAsia="仿宋_GB2312"/>
          <w:color w:val="auto"/>
          <w:lang w:val="sq-AL"/>
        </w:rPr>
        <w:t>4.我方保证提供的资质、业绩等证明材料真实、合法、有效，</w:t>
      </w:r>
      <w:r>
        <w:rPr>
          <w:rFonts w:eastAsia="仿宋_GB2312"/>
          <w:color w:val="auto"/>
        </w:rPr>
        <w:t>并愿意承担因我方就此弄虚作假所引起的一切后果。</w:t>
      </w:r>
    </w:p>
    <w:p>
      <w:pPr>
        <w:pStyle w:val="style0"/>
        <w:snapToGrid w:val="false"/>
        <w:spacing w:lineRule="auto" w:line="360"/>
        <w:ind w:firstLine="480" w:firstLineChars="200"/>
        <w:rPr>
          <w:rFonts w:eastAsia="仿宋_GB2312" w:hint="default"/>
          <w:color w:val="auto"/>
          <w:lang w:val="sq-AL"/>
        </w:rPr>
      </w:pPr>
      <w:r>
        <w:rPr>
          <w:rFonts w:eastAsia="仿宋_GB2312"/>
          <w:color w:val="auto"/>
          <w:lang w:val="sq-AL"/>
        </w:rPr>
        <w:t>5.我方不参与不正当竞争，不向招标人、招标代理机构、交易中心、评标专家以及行业监督部门行贿以谋取不正当利益。</w:t>
      </w:r>
    </w:p>
    <w:p>
      <w:pPr>
        <w:pStyle w:val="style0"/>
        <w:snapToGrid w:val="false"/>
        <w:spacing w:lineRule="auto" w:line="360"/>
        <w:ind w:firstLine="480" w:firstLineChars="200"/>
        <w:rPr>
          <w:rFonts w:eastAsia="仿宋_GB2312" w:hint="default"/>
          <w:color w:val="auto"/>
          <w:lang w:val="sq-AL"/>
        </w:rPr>
      </w:pPr>
      <w:r>
        <w:rPr>
          <w:rFonts w:eastAsia="仿宋_GB2312"/>
          <w:color w:val="auto"/>
          <w:lang w:val="sq-AL"/>
        </w:rPr>
        <w:t>6.我方严格按照招、响应文件约定签订合同，不将中标项目转包或违法分包。</w:t>
      </w:r>
    </w:p>
    <w:p>
      <w:pPr>
        <w:pStyle w:val="style0"/>
        <w:snapToGrid w:val="false"/>
        <w:spacing w:lineRule="auto" w:line="360"/>
        <w:ind w:firstLine="480" w:firstLineChars="200"/>
        <w:rPr>
          <w:rFonts w:eastAsia="仿宋_GB2312" w:hint="default"/>
          <w:color w:val="auto"/>
        </w:rPr>
      </w:pPr>
      <w:r>
        <w:rPr>
          <w:rFonts w:eastAsia="仿宋_GB2312"/>
          <w:color w:val="auto"/>
          <w:lang w:val="sq-AL"/>
        </w:rPr>
        <w:t>7.</w:t>
      </w:r>
      <w:r>
        <w:rPr>
          <w:rFonts w:eastAsia="仿宋_GB2312"/>
          <w:color w:val="auto"/>
        </w:rPr>
        <w:t>一旦我方中标，保证</w:t>
      </w:r>
      <w:r>
        <w:rPr>
          <w:rFonts w:eastAsia="仿宋_GB2312"/>
          <w:bCs/>
          <w:color w:val="auto"/>
        </w:rPr>
        <w:t>按建设行政主管部门规定配备现场监理部键岗位人员，如总监有在监工程的，按规定配备总监代表。同时</w:t>
      </w:r>
      <w:r>
        <w:rPr>
          <w:rFonts w:eastAsia="仿宋_GB2312"/>
          <w:color w:val="auto"/>
          <w:lang w:val="sq-AL"/>
        </w:rPr>
        <w:t>保证项目关键岗位人员能够按期到位，特殊情况需要变更的，严格按程序办理。</w:t>
      </w:r>
    </w:p>
    <w:p>
      <w:pPr>
        <w:pStyle w:val="style0"/>
        <w:snapToGrid w:val="false"/>
        <w:spacing w:lineRule="auto" w:line="360"/>
        <w:ind w:firstLine="480" w:firstLineChars="200"/>
        <w:rPr>
          <w:rFonts w:eastAsia="仿宋_GB2312" w:hint="default"/>
          <w:color w:val="auto"/>
        </w:rPr>
      </w:pPr>
      <w:r>
        <w:rPr>
          <w:rFonts w:eastAsia="仿宋_GB2312"/>
          <w:color w:val="auto"/>
        </w:rPr>
        <w:t>特此承诺！</w:t>
      </w:r>
    </w:p>
    <w:p>
      <w:pPr>
        <w:pStyle w:val="style0"/>
        <w:snapToGrid w:val="false"/>
        <w:spacing w:lineRule="auto" w:line="360"/>
        <w:ind w:right="420" w:firstLine="5760" w:firstLineChars="2400"/>
        <w:rPr>
          <w:rFonts w:eastAsia="仿宋_GB2312" w:hint="default"/>
          <w:color w:val="auto"/>
        </w:rPr>
      </w:pPr>
      <w:r>
        <w:rPr>
          <w:rFonts w:eastAsia="仿宋_GB2312"/>
          <w:color w:val="auto"/>
        </w:rPr>
        <w:t>投  标  人： （盖单位章）</w:t>
      </w:r>
    </w:p>
    <w:p>
      <w:pPr>
        <w:pStyle w:val="style0"/>
        <w:snapToGrid w:val="false"/>
        <w:spacing w:lineRule="auto" w:line="360"/>
        <w:ind w:firstLine="480" w:firstLineChars="200"/>
        <w:jc w:val="right"/>
        <w:rPr>
          <w:rFonts w:eastAsia="仿宋_GB2312" w:hint="default"/>
          <w:color w:val="auto"/>
        </w:rPr>
      </w:pPr>
      <w:r>
        <w:rPr>
          <w:rFonts w:eastAsia="仿宋_GB2312"/>
          <w:color w:val="auto"/>
        </w:rPr>
        <w:t xml:space="preserve"> 法定代表人或其委托代理人：（签字或盖章）</w:t>
      </w:r>
    </w:p>
    <w:p>
      <w:pPr>
        <w:pStyle w:val="style0"/>
        <w:snapToGrid w:val="false"/>
        <w:spacing w:lineRule="auto" w:line="360"/>
        <w:ind w:firstLine="480" w:firstLineChars="200"/>
        <w:jc w:val="right"/>
        <w:rPr>
          <w:rFonts w:eastAsia="仿宋_GB2312" w:hint="default"/>
          <w:color w:val="auto"/>
        </w:rPr>
      </w:pPr>
      <w:r>
        <w:rPr>
          <w:rFonts w:eastAsia="仿宋_GB2312"/>
          <w:color w:val="auto"/>
        </w:rPr>
        <w:t xml:space="preserve">   年   月   日</w:t>
      </w:r>
    </w:p>
    <w:p>
      <w:pPr>
        <w:pStyle w:val="style0"/>
        <w:jc w:val="left"/>
        <w:rPr>
          <w:rFonts w:eastAsia="黑体" w:hint="default"/>
          <w:bCs/>
          <w:color w:val="auto"/>
          <w:kern w:val="0"/>
          <w:sz w:val="32"/>
          <w:szCs w:val="32"/>
        </w:rPr>
      </w:pPr>
    </w:p>
    <w:p>
      <w:pPr>
        <w:pStyle w:val="style3"/>
        <w:rPr>
          <w:rFonts w:eastAsia="黑体"/>
          <w:color w:val="auto"/>
          <w:kern w:val="0"/>
          <w:sz w:val="32"/>
        </w:rPr>
      </w:pPr>
    </w:p>
    <w:p>
      <w:pPr>
        <w:pStyle w:val="style0"/>
        <w:rPr>
          <w:rFonts w:eastAsia="黑体" w:hint="default"/>
          <w:bCs/>
          <w:color w:val="auto"/>
          <w:kern w:val="0"/>
          <w:sz w:val="32"/>
          <w:szCs w:val="32"/>
        </w:rPr>
      </w:pPr>
    </w:p>
    <w:p>
      <w:pPr>
        <w:pStyle w:val="style3"/>
        <w:rPr>
          <w:rFonts w:eastAsia="黑体"/>
          <w:color w:val="auto"/>
          <w:kern w:val="0"/>
          <w:sz w:val="32"/>
        </w:rPr>
      </w:pPr>
    </w:p>
    <w:p>
      <w:pPr>
        <w:pStyle w:val="style0"/>
        <w:rPr/>
      </w:pPr>
    </w:p>
    <w:p>
      <w:pPr>
        <w:pStyle w:val="style0"/>
        <w:rPr>
          <w:rFonts w:hint="default"/>
          <w:color w:val="auto"/>
        </w:rPr>
      </w:pPr>
    </w:p>
    <w:bookmarkStart w:id="191" w:name="_Toc27550625"/>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hint="eastAsia"/>
          <w:bCs w:val="false"/>
          <w:color w:val="auto"/>
          <w:sz w:val="30"/>
          <w:lang w:val="en-US" w:eastAsia="zh-CN"/>
        </w:rPr>
        <w:t>9</w:t>
      </w:r>
      <w:r>
        <w:rPr>
          <w:rFonts w:ascii="黑体" w:eastAsia="黑体" w:hAnsi="黑体"/>
          <w:bCs w:val="false"/>
          <w:color w:val="auto"/>
          <w:sz w:val="30"/>
        </w:rPr>
        <w:t>.投标信息表</w:t>
      </w:r>
      <w:bookmarkEnd w:id="191"/>
    </w:p>
    <w:tbl>
      <w:tblPr>
        <w:tblStyle w:val="style105"/>
        <w:tblW w:w="0" w:type="auto"/>
        <w:jc w:val="center"/>
        <w:tblBorders>
          <w:top w:val="single" w:sz="8" w:space="0" w:color="000000"/>
          <w:left w:val="single" w:sz="8" w:space="0" w:color="000000"/>
          <w:bottom w:val="single" w:sz="8" w:space="0" w:color="000000"/>
          <w:right w:val="single" w:sz="8" w:space="0" w:color="000000"/>
          <w:insideH w:val="none" w:sz="0" w:space="0" w:color="auto"/>
          <w:insideV w:val="none" w:sz="0" w:space="0" w:color="auto"/>
        </w:tblBorders>
        <w:tblLayout w:type="fixed"/>
        <w:tblCellMar>
          <w:top w:w="0" w:type="dxa"/>
          <w:left w:w="0" w:type="dxa"/>
          <w:bottom w:w="0" w:type="dxa"/>
          <w:right w:w="0" w:type="dxa"/>
        </w:tblCellMar>
      </w:tblPr>
      <w:tblGrid>
        <w:gridCol w:w="1425"/>
        <w:gridCol w:w="1121"/>
        <w:gridCol w:w="1166"/>
        <w:gridCol w:w="5810"/>
      </w:tblGrid>
      <w:tr>
        <w:trPr>
          <w:trHeight w:val="456" w:hRule="atLeast"/>
          <w:jc w:val="center"/>
        </w:trPr>
        <w:tc>
          <w:tcPr>
            <w:tcW w:w="2546" w:type="dxa"/>
            <w:gridSpan w:val="2"/>
            <w:tcBorders>
              <w:top w:val="single" w:sz="4" w:space="0" w:color="auto"/>
              <w:left w:val="single" w:sz="8" w:space="0" w:color="000000"/>
              <w:bottom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投标人</w:t>
            </w:r>
          </w:p>
        </w:tc>
        <w:tc>
          <w:tcPr>
            <w:tcW w:w="6976" w:type="dxa"/>
            <w:gridSpan w:val="2"/>
            <w:tcBorders>
              <w:top w:val="single" w:sz="4" w:space="0" w:color="auto"/>
              <w:left w:val="nil"/>
              <w:bottom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r>
      <w:tr>
        <w:tblPrEx/>
        <w:trPr>
          <w:trHeight w:val="459" w:hRule="atLeast"/>
          <w:jc w:val="center"/>
        </w:trPr>
        <w:tc>
          <w:tcPr>
            <w:tcW w:w="2546" w:type="dxa"/>
            <w:gridSpan w:val="2"/>
            <w:tcBorders>
              <w:top w:val="nil"/>
              <w:left w:val="single" w:sz="8" w:space="0" w:color="000000"/>
              <w:bottom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投标报价</w:t>
            </w:r>
          </w:p>
        </w:tc>
        <w:tc>
          <w:tcPr>
            <w:tcW w:w="6976" w:type="dxa"/>
            <w:gridSpan w:val="2"/>
            <w:tcBorders>
              <w:top w:val="nil"/>
              <w:left w:val="nil"/>
              <w:bottom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r>
      <w:tr>
        <w:tblPrEx/>
        <w:trPr>
          <w:trHeight w:val="117" w:hRule="atLeast"/>
          <w:jc w:val="center"/>
        </w:trPr>
        <w:tc>
          <w:tcPr>
            <w:tcW w:w="2546" w:type="dxa"/>
            <w:gridSpan w:val="2"/>
            <w:vMerge w:val="restart"/>
            <w:tcBorders>
              <w:top w:val="nil"/>
              <w:left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工程业绩</w:t>
            </w:r>
          </w:p>
        </w:tc>
        <w:tc>
          <w:tcPr>
            <w:tcW w:w="1166" w:type="dxa"/>
            <w:tcBorders>
              <w:top w:val="nil"/>
              <w:left w:val="nil"/>
              <w:bottom w:val="single" w:sz="4" w:space="0" w:color="auto"/>
              <w:right w:val="single" w:sz="8" w:space="0" w:color="000000"/>
            </w:tcBorders>
            <w:tcMar>
              <w:left w:w="108" w:type="dxa"/>
              <w:right w:w="108" w:type="dxa"/>
            </w:tcMar>
            <w:vAlign w:val="center"/>
          </w:tcPr>
          <w:p>
            <w:pPr>
              <w:pStyle w:val="style0"/>
              <w:spacing w:before="100" w:after="100"/>
              <w:ind w:firstLine="360" w:firstLineChars="150"/>
              <w:jc w:val="left"/>
              <w:rPr>
                <w:rFonts w:hint="default"/>
                <w:color w:val="auto"/>
                <w:kern w:val="0"/>
                <w:szCs w:val="21"/>
              </w:rPr>
            </w:pPr>
            <w:r>
              <w:rPr>
                <w:rFonts w:eastAsia="仿宋_GB2312"/>
                <w:color w:val="auto"/>
                <w:kern w:val="0"/>
                <w:szCs w:val="21"/>
              </w:rPr>
              <w:t>1</w:t>
            </w:r>
          </w:p>
        </w:tc>
        <w:tc>
          <w:tcPr>
            <w:tcW w:w="5810" w:type="dxa"/>
            <w:tcBorders>
              <w:top w:val="nil"/>
              <w:left w:val="nil"/>
              <w:bottom w:val="single" w:sz="4" w:space="0" w:color="auto"/>
              <w:right w:val="single" w:sz="8" w:space="0" w:color="000000"/>
            </w:tcBorders>
            <w:tcMar/>
            <w:vAlign w:val="center"/>
          </w:tcPr>
          <w:p>
            <w:pPr>
              <w:pStyle w:val="style0"/>
              <w:spacing w:before="100" w:after="100"/>
              <w:jc w:val="left"/>
              <w:rPr>
                <w:rFonts w:hint="default"/>
                <w:color w:val="auto"/>
                <w:kern w:val="0"/>
                <w:szCs w:val="21"/>
              </w:rPr>
            </w:pPr>
          </w:p>
        </w:tc>
      </w:tr>
      <w:tr>
        <w:tblPrEx/>
        <w:trPr>
          <w:trHeight w:val="116" w:hRule="atLeast"/>
          <w:jc w:val="center"/>
        </w:trPr>
        <w:tc>
          <w:tcPr>
            <w:tcW w:w="2546" w:type="dxa"/>
            <w:gridSpan w:val="2"/>
            <w:vMerge w:val="continue"/>
            <w:tcBorders>
              <w:left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tcBorders>
              <w:top w:val="nil"/>
              <w:left w:val="nil"/>
              <w:bottom w:val="single" w:sz="4" w:space="0" w:color="auto"/>
              <w:right w:val="single" w:sz="8" w:space="0" w:color="000000"/>
            </w:tcBorders>
            <w:tcMar>
              <w:left w:w="108" w:type="dxa"/>
              <w:right w:w="108" w:type="dxa"/>
            </w:tcMar>
            <w:vAlign w:val="center"/>
          </w:tcPr>
          <w:p>
            <w:pPr>
              <w:pStyle w:val="style0"/>
              <w:spacing w:before="100" w:after="100"/>
              <w:jc w:val="left"/>
              <w:rPr>
                <w:rFonts w:hint="default"/>
                <w:color w:val="auto"/>
                <w:kern w:val="0"/>
                <w:szCs w:val="21"/>
              </w:rPr>
            </w:pPr>
            <w:r>
              <w:rPr>
                <w:rFonts w:eastAsia="仿宋_GB2312"/>
                <w:color w:val="auto"/>
                <w:kern w:val="0"/>
                <w:szCs w:val="21"/>
              </w:rPr>
              <w:t xml:space="preserve">   2</w:t>
            </w:r>
          </w:p>
        </w:tc>
        <w:tc>
          <w:tcPr>
            <w:tcW w:w="5810" w:type="dxa"/>
            <w:tcBorders>
              <w:top w:val="nil"/>
              <w:left w:val="nil"/>
              <w:bottom w:val="single" w:sz="4" w:space="0" w:color="auto"/>
              <w:right w:val="single" w:sz="8" w:space="0" w:color="000000"/>
            </w:tcBorders>
            <w:tcMar/>
            <w:vAlign w:val="center"/>
          </w:tcPr>
          <w:p>
            <w:pPr>
              <w:pStyle w:val="style0"/>
              <w:spacing w:before="100" w:after="100"/>
              <w:jc w:val="left"/>
              <w:rPr>
                <w:rFonts w:hint="default"/>
                <w:color w:val="auto"/>
                <w:kern w:val="0"/>
                <w:szCs w:val="21"/>
              </w:rPr>
            </w:pPr>
          </w:p>
        </w:tc>
      </w:tr>
      <w:tr>
        <w:tblPrEx/>
        <w:trPr>
          <w:trHeight w:val="116" w:hRule="atLeast"/>
          <w:jc w:val="center"/>
        </w:trPr>
        <w:tc>
          <w:tcPr>
            <w:tcW w:w="2546" w:type="dxa"/>
            <w:gridSpan w:val="2"/>
            <w:vMerge w:val="continue"/>
            <w:tcBorders>
              <w:left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tcBorders>
              <w:top w:val="nil"/>
              <w:left w:val="nil"/>
              <w:bottom w:val="single" w:sz="4" w:space="0" w:color="auto"/>
              <w:right w:val="single" w:sz="8" w:space="0" w:color="000000"/>
            </w:tcBorders>
            <w:tcMar>
              <w:left w:w="108" w:type="dxa"/>
              <w:right w:w="108" w:type="dxa"/>
            </w:tcMar>
            <w:vAlign w:val="center"/>
          </w:tcPr>
          <w:p>
            <w:pPr>
              <w:pStyle w:val="style0"/>
              <w:spacing w:before="100" w:after="100"/>
              <w:jc w:val="left"/>
              <w:rPr>
                <w:rFonts w:hint="default"/>
                <w:color w:val="auto"/>
                <w:kern w:val="0"/>
                <w:szCs w:val="21"/>
              </w:rPr>
            </w:pPr>
            <w:r>
              <w:rPr>
                <w:rFonts w:eastAsia="仿宋_GB2312"/>
                <w:color w:val="auto"/>
                <w:kern w:val="0"/>
                <w:szCs w:val="21"/>
              </w:rPr>
              <w:t xml:space="preserve">   3</w:t>
            </w:r>
          </w:p>
        </w:tc>
        <w:tc>
          <w:tcPr>
            <w:tcW w:w="5810" w:type="dxa"/>
            <w:tcBorders>
              <w:top w:val="nil"/>
              <w:left w:val="nil"/>
              <w:bottom w:val="single" w:sz="4" w:space="0" w:color="auto"/>
              <w:right w:val="single" w:sz="8" w:space="0" w:color="000000"/>
            </w:tcBorders>
            <w:tcMar/>
            <w:vAlign w:val="center"/>
          </w:tcPr>
          <w:p>
            <w:pPr>
              <w:pStyle w:val="style0"/>
              <w:spacing w:before="100" w:after="100"/>
              <w:jc w:val="left"/>
              <w:rPr>
                <w:rFonts w:hint="default"/>
                <w:color w:val="auto"/>
                <w:kern w:val="0"/>
                <w:szCs w:val="21"/>
              </w:rPr>
            </w:pPr>
          </w:p>
        </w:tc>
      </w:tr>
      <w:tr>
        <w:tblPrEx/>
        <w:trPr>
          <w:trHeight w:val="116" w:hRule="atLeast"/>
          <w:jc w:val="center"/>
        </w:trPr>
        <w:tc>
          <w:tcPr>
            <w:tcW w:w="2546" w:type="dxa"/>
            <w:gridSpan w:val="2"/>
            <w:vMerge w:val="continue"/>
            <w:tcBorders>
              <w:left w:val="single" w:sz="8" w:space="0" w:color="000000"/>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tcBorders>
              <w:top w:val="nil"/>
              <w:left w:val="nil"/>
              <w:bottom w:val="single" w:sz="4" w:space="0" w:color="auto"/>
              <w:right w:val="single" w:sz="8" w:space="0" w:color="000000"/>
            </w:tcBorders>
            <w:tcMar>
              <w:left w:w="108" w:type="dxa"/>
              <w:right w:w="108" w:type="dxa"/>
            </w:tcMar>
            <w:vAlign w:val="center"/>
          </w:tcPr>
          <w:p>
            <w:pPr>
              <w:pStyle w:val="style0"/>
              <w:spacing w:before="100" w:after="100"/>
              <w:jc w:val="left"/>
              <w:rPr>
                <w:rFonts w:hint="default"/>
                <w:color w:val="auto"/>
                <w:kern w:val="0"/>
                <w:szCs w:val="21"/>
              </w:rPr>
            </w:pPr>
            <w:r>
              <w:rPr>
                <w:rFonts w:eastAsia="仿宋_GB2312"/>
                <w:color w:val="auto"/>
                <w:kern w:val="0"/>
                <w:szCs w:val="21"/>
              </w:rPr>
              <w:t xml:space="preserve"> …….</w:t>
            </w:r>
          </w:p>
        </w:tc>
        <w:tc>
          <w:tcPr>
            <w:tcW w:w="5810" w:type="dxa"/>
            <w:tcBorders>
              <w:top w:val="nil"/>
              <w:left w:val="nil"/>
              <w:bottom w:val="single" w:sz="4" w:space="0" w:color="auto"/>
              <w:right w:val="single" w:sz="8" w:space="0" w:color="000000"/>
            </w:tcBorders>
            <w:tcMar/>
            <w:vAlign w:val="center"/>
          </w:tcPr>
          <w:p>
            <w:pPr>
              <w:pStyle w:val="style0"/>
              <w:spacing w:before="100" w:after="100"/>
              <w:jc w:val="left"/>
              <w:rPr>
                <w:rFonts w:hint="default"/>
                <w:color w:val="auto"/>
                <w:kern w:val="0"/>
                <w:szCs w:val="21"/>
              </w:rPr>
            </w:pPr>
          </w:p>
        </w:tc>
      </w:tr>
      <w:tr>
        <w:tblPrEx/>
        <w:trPr>
          <w:trHeight w:val="80" w:hRule="atLeast"/>
          <w:jc w:val="center"/>
        </w:trPr>
        <w:tc>
          <w:tcPr>
            <w:tcW w:w="2546" w:type="dxa"/>
            <w:gridSpan w:val="2"/>
            <w:vMerge w:val="restart"/>
            <w:tcBorders>
              <w:top w:val="single" w:sz="4" w:space="0" w:color="auto"/>
              <w:left w:val="single" w:sz="4" w:space="0" w:color="auto"/>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获奖情况</w:t>
            </w:r>
          </w:p>
        </w:tc>
        <w:tc>
          <w:tcPr>
            <w:tcW w:w="1166" w:type="dxa"/>
            <w:vMerge w:val="restart"/>
            <w:tcBorders>
              <w:top w:val="single" w:sz="4" w:space="0" w:color="auto"/>
              <w:left w:val="nil"/>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国家级</w:t>
            </w:r>
          </w:p>
        </w:tc>
        <w:tc>
          <w:tcPr>
            <w:tcW w:w="5810" w:type="dxa"/>
            <w:tcBorders>
              <w:top w:val="single" w:sz="4" w:space="0" w:color="auto"/>
              <w:left w:val="nil"/>
              <w:bottom w:val="single" w:sz="4" w:space="0" w:color="auto"/>
              <w:right w:val="single" w:sz="4" w:space="0" w:color="auto"/>
            </w:tcBorders>
            <w:tcMar/>
            <w:vAlign w:val="center"/>
          </w:tcPr>
          <w:p>
            <w:pPr>
              <w:pStyle w:val="style0"/>
              <w:spacing w:before="100" w:after="100"/>
              <w:jc w:val="left"/>
              <w:rPr>
                <w:rFonts w:hint="default"/>
                <w:color w:val="auto"/>
                <w:kern w:val="0"/>
                <w:szCs w:val="21"/>
              </w:rPr>
            </w:pPr>
            <w:r>
              <w:rPr>
                <w:rFonts w:eastAsia="仿宋_GB2312"/>
                <w:color w:val="auto"/>
                <w:kern w:val="0"/>
                <w:szCs w:val="21"/>
              </w:rPr>
              <w:t>1.</w:t>
            </w:r>
          </w:p>
        </w:tc>
      </w:tr>
      <w:tr>
        <w:tblPrEx/>
        <w:trPr>
          <w:trHeight w:val="77" w:hRule="atLeast"/>
          <w:jc w:val="center"/>
        </w:trPr>
        <w:tc>
          <w:tcPr>
            <w:tcW w:w="2546" w:type="dxa"/>
            <w:gridSpan w:val="2"/>
            <w:vMerge w:val="continue"/>
            <w:tcBorders>
              <w:left w:val="single" w:sz="4" w:space="0" w:color="auto"/>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vMerge w:val="continue"/>
            <w:tcBorders>
              <w:left w:val="nil"/>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c>
          <w:tcPr>
            <w:tcW w:w="5810" w:type="dxa"/>
            <w:tcBorders>
              <w:top w:val="single" w:sz="4" w:space="0" w:color="auto"/>
              <w:left w:val="nil"/>
              <w:bottom w:val="single" w:sz="4" w:space="0" w:color="auto"/>
              <w:right w:val="single" w:sz="4" w:space="0" w:color="auto"/>
            </w:tcBorders>
            <w:tcMar/>
            <w:vAlign w:val="center"/>
          </w:tcPr>
          <w:p>
            <w:pPr>
              <w:pStyle w:val="style0"/>
              <w:spacing w:before="100" w:after="100"/>
              <w:jc w:val="left"/>
              <w:rPr>
                <w:rFonts w:hint="default"/>
                <w:color w:val="auto"/>
                <w:kern w:val="0"/>
                <w:szCs w:val="21"/>
              </w:rPr>
            </w:pPr>
            <w:r>
              <w:rPr>
                <w:rFonts w:eastAsia="仿宋_GB2312"/>
                <w:color w:val="auto"/>
                <w:kern w:val="0"/>
                <w:szCs w:val="21"/>
              </w:rPr>
              <w:t>2.</w:t>
            </w:r>
          </w:p>
        </w:tc>
      </w:tr>
      <w:tr>
        <w:tblPrEx/>
        <w:trPr>
          <w:trHeight w:val="77" w:hRule="atLeast"/>
          <w:jc w:val="center"/>
        </w:trPr>
        <w:tc>
          <w:tcPr>
            <w:tcW w:w="2546" w:type="dxa"/>
            <w:gridSpan w:val="2"/>
            <w:vMerge w:val="continue"/>
            <w:tcBorders>
              <w:left w:val="single" w:sz="4" w:space="0" w:color="auto"/>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vMerge w:val="continue"/>
            <w:tcBorders>
              <w:left w:val="nil"/>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c>
          <w:tcPr>
            <w:tcW w:w="5810" w:type="dxa"/>
            <w:tcBorders>
              <w:top w:val="single" w:sz="4" w:space="0" w:color="auto"/>
              <w:left w:val="nil"/>
              <w:bottom w:val="single" w:sz="4" w:space="0" w:color="auto"/>
              <w:right w:val="single" w:sz="4" w:space="0" w:color="auto"/>
            </w:tcBorders>
            <w:tcMar/>
            <w:vAlign w:val="center"/>
          </w:tcPr>
          <w:p>
            <w:pPr>
              <w:pStyle w:val="style0"/>
              <w:spacing w:before="100" w:after="100"/>
              <w:jc w:val="left"/>
              <w:rPr>
                <w:rFonts w:hint="default"/>
                <w:color w:val="auto"/>
                <w:kern w:val="0"/>
                <w:szCs w:val="21"/>
              </w:rPr>
            </w:pPr>
            <w:r>
              <w:rPr>
                <w:rFonts w:eastAsia="仿宋_GB2312"/>
                <w:color w:val="auto"/>
                <w:kern w:val="0"/>
                <w:szCs w:val="21"/>
              </w:rPr>
              <w:t>……….</w:t>
            </w:r>
          </w:p>
        </w:tc>
      </w:tr>
      <w:tr>
        <w:tblPrEx/>
        <w:trPr>
          <w:trHeight w:val="77" w:hRule="atLeast"/>
          <w:jc w:val="center"/>
        </w:trPr>
        <w:tc>
          <w:tcPr>
            <w:tcW w:w="2546" w:type="dxa"/>
            <w:gridSpan w:val="2"/>
            <w:vMerge w:val="continue"/>
            <w:tcBorders>
              <w:left w:val="single" w:sz="4" w:space="0" w:color="auto"/>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vMerge w:val="restart"/>
            <w:tcBorders>
              <w:top w:val="single" w:sz="4" w:space="0" w:color="auto"/>
              <w:left w:val="nil"/>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省级</w:t>
            </w:r>
          </w:p>
        </w:tc>
        <w:tc>
          <w:tcPr>
            <w:tcW w:w="5810" w:type="dxa"/>
            <w:tcBorders>
              <w:top w:val="single" w:sz="4" w:space="0" w:color="auto"/>
              <w:left w:val="nil"/>
              <w:bottom w:val="single" w:sz="4" w:space="0" w:color="auto"/>
              <w:right w:val="single" w:sz="4" w:space="0" w:color="auto"/>
            </w:tcBorders>
            <w:tcMar/>
            <w:vAlign w:val="center"/>
          </w:tcPr>
          <w:p>
            <w:pPr>
              <w:pStyle w:val="style0"/>
              <w:spacing w:before="100" w:after="100"/>
              <w:jc w:val="left"/>
              <w:rPr>
                <w:rFonts w:hint="default"/>
                <w:color w:val="auto"/>
                <w:kern w:val="0"/>
                <w:szCs w:val="21"/>
              </w:rPr>
            </w:pPr>
            <w:r>
              <w:rPr>
                <w:rFonts w:eastAsia="仿宋_GB2312"/>
                <w:color w:val="auto"/>
                <w:kern w:val="0"/>
                <w:szCs w:val="21"/>
              </w:rPr>
              <w:t>1.</w:t>
            </w:r>
          </w:p>
        </w:tc>
      </w:tr>
      <w:tr>
        <w:tblPrEx/>
        <w:trPr>
          <w:trHeight w:val="77" w:hRule="atLeast"/>
          <w:jc w:val="center"/>
        </w:trPr>
        <w:tc>
          <w:tcPr>
            <w:tcW w:w="2546" w:type="dxa"/>
            <w:gridSpan w:val="2"/>
            <w:vMerge w:val="continue"/>
            <w:tcBorders>
              <w:left w:val="single" w:sz="4" w:space="0" w:color="auto"/>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vMerge w:val="continue"/>
            <w:tcBorders>
              <w:left w:val="nil"/>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c>
          <w:tcPr>
            <w:tcW w:w="5810" w:type="dxa"/>
            <w:tcBorders>
              <w:top w:val="single" w:sz="4" w:space="0" w:color="auto"/>
              <w:left w:val="nil"/>
              <w:bottom w:val="single" w:sz="4" w:space="0" w:color="auto"/>
              <w:right w:val="single" w:sz="4" w:space="0" w:color="auto"/>
            </w:tcBorders>
            <w:tcMar/>
            <w:vAlign w:val="center"/>
          </w:tcPr>
          <w:p>
            <w:pPr>
              <w:pStyle w:val="style0"/>
              <w:spacing w:before="100" w:after="100"/>
              <w:jc w:val="left"/>
              <w:rPr>
                <w:rFonts w:hint="default"/>
                <w:color w:val="auto"/>
                <w:kern w:val="0"/>
                <w:szCs w:val="21"/>
              </w:rPr>
            </w:pPr>
            <w:r>
              <w:rPr>
                <w:rFonts w:eastAsia="仿宋_GB2312"/>
                <w:color w:val="auto"/>
                <w:kern w:val="0"/>
                <w:szCs w:val="21"/>
              </w:rPr>
              <w:t>2.</w:t>
            </w:r>
          </w:p>
        </w:tc>
      </w:tr>
      <w:tr>
        <w:tblPrEx/>
        <w:trPr>
          <w:trHeight w:val="77" w:hRule="atLeast"/>
          <w:jc w:val="center"/>
        </w:trPr>
        <w:tc>
          <w:tcPr>
            <w:tcW w:w="2546" w:type="dxa"/>
            <w:gridSpan w:val="2"/>
            <w:vMerge w:val="continue"/>
            <w:tcBorders>
              <w:left w:val="single" w:sz="4" w:space="0" w:color="auto"/>
              <w:right w:val="single" w:sz="8" w:space="0" w:color="000000"/>
            </w:tcBorders>
            <w:tcMar>
              <w:left w:w="108" w:type="dxa"/>
              <w:right w:w="108" w:type="dxa"/>
            </w:tcMar>
            <w:vAlign w:val="center"/>
          </w:tcPr>
          <w:p>
            <w:pPr>
              <w:pStyle w:val="style0"/>
              <w:spacing w:before="100" w:after="100"/>
              <w:jc w:val="center"/>
              <w:rPr>
                <w:rFonts w:hint="default"/>
                <w:color w:val="auto"/>
                <w:kern w:val="0"/>
                <w:szCs w:val="21"/>
              </w:rPr>
            </w:pPr>
          </w:p>
        </w:tc>
        <w:tc>
          <w:tcPr>
            <w:tcW w:w="1166" w:type="dxa"/>
            <w:vMerge w:val="continue"/>
            <w:tcBorders>
              <w:left w:val="nil"/>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c>
          <w:tcPr>
            <w:tcW w:w="5810" w:type="dxa"/>
            <w:tcBorders>
              <w:top w:val="single" w:sz="4" w:space="0" w:color="auto"/>
              <w:left w:val="nil"/>
              <w:bottom w:val="single" w:sz="4" w:space="0" w:color="auto"/>
              <w:right w:val="single" w:sz="4" w:space="0" w:color="auto"/>
            </w:tcBorders>
            <w:tcMar/>
            <w:vAlign w:val="center"/>
          </w:tcPr>
          <w:p>
            <w:pPr>
              <w:pStyle w:val="style0"/>
              <w:spacing w:before="100" w:after="100"/>
              <w:jc w:val="left"/>
              <w:rPr>
                <w:rFonts w:hint="default"/>
                <w:color w:val="auto"/>
                <w:kern w:val="0"/>
                <w:szCs w:val="21"/>
              </w:rPr>
            </w:pPr>
            <w:r>
              <w:rPr>
                <w:rFonts w:eastAsia="仿宋_GB2312"/>
                <w:color w:val="auto"/>
                <w:kern w:val="0"/>
                <w:szCs w:val="21"/>
              </w:rPr>
              <w:t>………</w:t>
            </w:r>
          </w:p>
        </w:tc>
      </w:tr>
      <w:tr>
        <w:tblPrEx/>
        <w:trPr>
          <w:trHeight w:val="459" w:hRule="atLeast"/>
          <w:jc w:val="center"/>
        </w:trPr>
        <w:tc>
          <w:tcPr>
            <w:tcW w:w="1425" w:type="dxa"/>
            <w:vMerge w:val="restart"/>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总监理工程师</w:t>
            </w:r>
          </w:p>
        </w:tc>
        <w:tc>
          <w:tcPr>
            <w:tcW w:w="1121"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姓    名</w:t>
            </w:r>
          </w:p>
        </w:tc>
        <w:tc>
          <w:tcPr>
            <w:tcW w:w="6976" w:type="dxa"/>
            <w:gridSpan w:val="2"/>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r>
      <w:tr>
        <w:tblPrEx/>
        <w:trPr>
          <w:trHeight w:val="416" w:hRule="atLeast"/>
          <w:jc w:val="center"/>
        </w:trPr>
        <w:tc>
          <w:tcPr>
            <w:tcW w:w="1425" w:type="dxa"/>
            <w:vMerge w:val="continue"/>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rPr>
                <w:rFonts w:hint="default"/>
                <w:color w:val="auto"/>
                <w:szCs w:val="21"/>
              </w:rPr>
            </w:pPr>
          </w:p>
        </w:tc>
        <w:tc>
          <w:tcPr>
            <w:tcW w:w="1121"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工程业绩</w:t>
            </w:r>
          </w:p>
        </w:tc>
        <w:tc>
          <w:tcPr>
            <w:tcW w:w="6976" w:type="dxa"/>
            <w:gridSpan w:val="2"/>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r>
      <w:tr>
        <w:tblPrEx/>
        <w:trPr>
          <w:trHeight w:val="368" w:hRule="atLeast"/>
          <w:jc w:val="center"/>
        </w:trPr>
        <w:tc>
          <w:tcPr>
            <w:tcW w:w="1425" w:type="dxa"/>
            <w:vMerge w:val="continue"/>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rPr>
                <w:rFonts w:hint="default"/>
                <w:color w:val="auto"/>
                <w:szCs w:val="21"/>
              </w:rPr>
            </w:pPr>
          </w:p>
        </w:tc>
        <w:tc>
          <w:tcPr>
            <w:tcW w:w="1121" w:type="dxa"/>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r>
              <w:rPr>
                <w:rFonts w:eastAsia="仿宋_GB2312"/>
                <w:color w:val="auto"/>
                <w:kern w:val="0"/>
                <w:szCs w:val="21"/>
              </w:rPr>
              <w:t xml:space="preserve">奖励情况 </w:t>
            </w:r>
          </w:p>
        </w:tc>
        <w:tc>
          <w:tcPr>
            <w:tcW w:w="6976" w:type="dxa"/>
            <w:gridSpan w:val="2"/>
            <w:tcBorders>
              <w:top w:val="single" w:sz="4" w:space="0" w:color="auto"/>
              <w:left w:val="single" w:sz="4" w:space="0" w:color="auto"/>
              <w:bottom w:val="single" w:sz="4" w:space="0" w:color="auto"/>
              <w:right w:val="single" w:sz="4" w:space="0" w:color="auto"/>
            </w:tcBorders>
            <w:tcMar>
              <w:left w:w="108" w:type="dxa"/>
              <w:right w:w="108" w:type="dxa"/>
            </w:tcMar>
            <w:vAlign w:val="center"/>
          </w:tcPr>
          <w:p>
            <w:pPr>
              <w:pStyle w:val="style0"/>
              <w:spacing w:before="100" w:after="100"/>
              <w:jc w:val="center"/>
              <w:rPr>
                <w:rFonts w:hint="default"/>
                <w:color w:val="auto"/>
                <w:kern w:val="0"/>
                <w:szCs w:val="21"/>
              </w:rPr>
            </w:pPr>
          </w:p>
        </w:tc>
      </w:tr>
    </w:tbl>
    <w:p>
      <w:pPr>
        <w:pStyle w:val="style0"/>
        <w:rPr>
          <w:rFonts w:eastAsia="仿宋" w:hint="default"/>
          <w:color w:val="auto"/>
        </w:rPr>
      </w:pPr>
    </w:p>
    <w:bookmarkStart w:id="192" w:name="_Toc9178589"/>
    <w:p>
      <w:pPr>
        <w:pStyle w:val="style2"/>
        <w:keepNext w:val="false"/>
        <w:keepLines w:val="false"/>
        <w:spacing w:before="0" w:after="0" w:lineRule="auto" w:line="360"/>
        <w:jc w:val="center"/>
        <w:rPr>
          <w:rFonts w:ascii="宋体" w:hAnsi="宋体" w:hint="default"/>
          <w:bCs w:val="false"/>
          <w:color w:val="auto"/>
          <w:sz w:val="30"/>
        </w:rPr>
      </w:pPr>
    </w:p>
    <w:p>
      <w:pPr>
        <w:pStyle w:val="style2"/>
        <w:keepNext w:val="false"/>
        <w:keepLines w:val="false"/>
        <w:spacing w:before="0" w:after="0" w:lineRule="auto" w:line="360"/>
        <w:jc w:val="center"/>
        <w:rPr>
          <w:rFonts w:ascii="宋体" w:hAnsi="宋体" w:hint="default"/>
          <w:bCs w:val="false"/>
          <w:color w:val="auto"/>
          <w:sz w:val="30"/>
        </w:rPr>
      </w:pPr>
    </w:p>
    <w:p>
      <w:pPr>
        <w:pStyle w:val="style2"/>
        <w:keepNext w:val="false"/>
        <w:keepLines w:val="false"/>
        <w:spacing w:before="0" w:after="0" w:lineRule="auto" w:line="360"/>
        <w:jc w:val="center"/>
        <w:rPr>
          <w:rFonts w:ascii="宋体" w:hAnsi="宋体" w:hint="default"/>
          <w:bCs w:val="false"/>
          <w:color w:val="auto"/>
          <w:sz w:val="30"/>
        </w:rPr>
      </w:pPr>
    </w:p>
    <w:p>
      <w:pPr>
        <w:pStyle w:val="style0"/>
        <w:rPr>
          <w:rFonts w:hint="default"/>
          <w:color w:val="auto"/>
          <w:sz w:val="30"/>
        </w:rPr>
      </w:pPr>
    </w:p>
    <w:p>
      <w:pPr>
        <w:pStyle w:val="style3"/>
        <w:rPr>
          <w:bCs w:val="false"/>
          <w:color w:val="auto"/>
          <w:sz w:val="30"/>
        </w:rPr>
      </w:pPr>
    </w:p>
    <w:bookmarkStart w:id="193" w:name="_Toc27550626"/>
    <w:p>
      <w:pPr>
        <w:pStyle w:val="style2"/>
        <w:keepNext w:val="false"/>
        <w:keepLines w:val="false"/>
        <w:spacing w:before="0" w:after="0" w:lineRule="auto" w:line="360"/>
        <w:jc w:val="center"/>
        <w:rPr>
          <w:rFonts w:ascii="黑体" w:eastAsia="黑体" w:hAnsi="黑体" w:hint="default"/>
          <w:bCs w:val="false"/>
          <w:color w:val="auto"/>
          <w:sz w:val="30"/>
        </w:rPr>
      </w:pPr>
      <w:r>
        <w:rPr>
          <w:rFonts w:ascii="黑体" w:eastAsia="黑体" w:hAnsi="黑体" w:hint="eastAsia"/>
          <w:bCs w:val="false"/>
          <w:color w:val="auto"/>
          <w:sz w:val="30"/>
          <w:lang w:val="en-US" w:eastAsia="zh-CN"/>
        </w:rPr>
        <w:t>10</w:t>
      </w:r>
      <w:r>
        <w:rPr>
          <w:rFonts w:ascii="黑体" w:eastAsia="黑体" w:hAnsi="黑体"/>
          <w:bCs w:val="false"/>
          <w:color w:val="auto"/>
          <w:sz w:val="30"/>
        </w:rPr>
        <w:t>.其他</w:t>
      </w:r>
      <w:bookmarkEnd w:id="192"/>
      <w:bookmarkEnd w:id="193"/>
    </w:p>
    <w:p>
      <w:pPr>
        <w:pStyle w:val="style0"/>
        <w:rPr>
          <w:rFonts w:eastAsia="仿宋_GB2312" w:hint="default"/>
          <w:color w:val="auto"/>
        </w:rPr>
      </w:pPr>
    </w:p>
    <w:bookmarkStart w:id="194" w:name="_Toc27550627"/>
    <w:p>
      <w:pPr>
        <w:pStyle w:val="style2"/>
        <w:keepNext w:val="false"/>
        <w:keepLines w:val="false"/>
        <w:spacing w:before="0" w:after="0" w:lineRule="auto" w:line="360"/>
        <w:jc w:val="center"/>
        <w:rPr>
          <w:rFonts w:ascii="宋体" w:hAnsi="宋体"/>
          <w:sz w:val="24"/>
          <w:szCs w:val="24"/>
        </w:rPr>
      </w:pPr>
      <w:r>
        <w:rPr>
          <w:rFonts w:eastAsia="黑体" w:hint="eastAsia"/>
          <w:kern w:val="32"/>
        </w:rPr>
        <w:t>二、</w:t>
      </w:r>
      <w:r>
        <w:rPr>
          <w:rFonts w:ascii="Times New Roman" w:eastAsia="黑体" w:hAnsi="Times New Roman" w:hint="eastAsia"/>
          <w:b w:val="false"/>
          <w:bCs w:val="false"/>
          <w:sz w:val="30"/>
        </w:rPr>
        <w:t>监理大纲格式</w:t>
      </w:r>
      <w:r>
        <w:rPr>
          <w:rFonts w:ascii="黑体" w:eastAsia="黑体" w:hAnsi="黑体" w:hint="eastAsia"/>
          <w:b w:val="false"/>
          <w:sz w:val="24"/>
          <w:szCs w:val="24"/>
        </w:rPr>
        <w:t>（</w:t>
      </w:r>
      <w:r>
        <w:rPr>
          <w:rFonts w:ascii="黑体" w:eastAsia="黑体" w:hAnsi="黑体" w:hint="eastAsia"/>
          <w:b w:val="false"/>
          <w:sz w:val="24"/>
          <w:szCs w:val="24"/>
        </w:rPr>
        <w:sym w:font="Wingdings" w:char="a8"/>
      </w:r>
      <w:r>
        <w:rPr>
          <w:rFonts w:ascii="黑体" w:eastAsia="黑体" w:hAnsi="黑体"/>
          <w:b w:val="false"/>
          <w:sz w:val="24"/>
          <w:szCs w:val="24"/>
        </w:rPr>
        <w:t>本项目适用</w:t>
      </w:r>
      <w:r>
        <w:rPr>
          <w:rFonts w:ascii="黑体" w:eastAsia="黑体" w:hAnsi="黑体" w:hint="eastAsia"/>
          <w:b w:val="false"/>
          <w:sz w:val="24"/>
          <w:szCs w:val="24"/>
        </w:rPr>
        <w:t>，</w:t>
      </w:r>
      <w:r>
        <w:rPr>
          <w:rFonts w:ascii="Segoe UI Emoji" w:cs="Segoe UI Emoji" w:eastAsia="仿宋_GB2312" w:hAnsi="Segoe UI Emoji" w:hint="eastAsia"/>
          <w:szCs w:val="21"/>
          <w:lang w:eastAsia="zh-CN"/>
        </w:rPr>
        <w:t>☑</w:t>
      </w:r>
      <w:r>
        <w:rPr>
          <w:rFonts w:ascii="黑体" w:eastAsia="黑体" w:hAnsi="黑体"/>
          <w:b w:val="false"/>
          <w:sz w:val="24"/>
          <w:szCs w:val="24"/>
        </w:rPr>
        <w:t>本项目不适用</w:t>
      </w:r>
      <w:r>
        <w:rPr>
          <w:rFonts w:ascii="黑体" w:eastAsia="黑体" w:hAnsi="黑体" w:hint="eastAsia"/>
          <w:b w:val="false"/>
          <w:sz w:val="24"/>
          <w:szCs w:val="24"/>
        </w:rPr>
        <w:t>）</w:t>
      </w:r>
      <w:bookmarkEnd w:id="194"/>
    </w:p>
    <w:p>
      <w:pPr>
        <w:pStyle w:val="style0"/>
        <w:adjustRightInd w:val="false"/>
        <w:snapToGrid w:val="false"/>
        <w:spacing w:lineRule="auto" w:line="360"/>
        <w:jc w:val="center"/>
        <w:rPr>
          <w:rFonts w:eastAsia="黑体" w:hint="eastAsia"/>
          <w:sz w:val="28"/>
          <w:szCs w:val="28"/>
        </w:rPr>
      </w:pPr>
    </w:p>
    <w:p>
      <w:pPr>
        <w:pStyle w:val="style0"/>
        <w:adjustRightInd w:val="false"/>
        <w:snapToGrid w:val="false"/>
        <w:spacing w:lineRule="auto" w:line="360"/>
        <w:jc w:val="center"/>
        <w:rPr>
          <w:rFonts w:eastAsia="黑体"/>
          <w:sz w:val="28"/>
          <w:szCs w:val="28"/>
        </w:rPr>
      </w:pPr>
      <w:r>
        <w:rPr>
          <w:rFonts w:eastAsia="黑体" w:hint="eastAsia"/>
          <w:sz w:val="28"/>
          <w:szCs w:val="28"/>
        </w:rPr>
        <w:t>监理大纲</w:t>
      </w:r>
      <w:r>
        <w:rPr>
          <w:rFonts w:eastAsia="黑体"/>
          <w:sz w:val="28"/>
          <w:szCs w:val="28"/>
        </w:rPr>
        <w:t>编制要求</w:t>
      </w:r>
    </w:p>
    <w:p>
      <w:pPr>
        <w:pStyle w:val="style0"/>
        <w:spacing w:lineRule="auto" w:line="360"/>
        <w:ind w:firstLine="480" w:firstLineChars="200"/>
        <w:rPr>
          <w:rFonts w:ascii="宋体" w:eastAsia="仿宋_GB2312" w:hAnsi="宋体"/>
          <w:szCs w:val="21"/>
        </w:rPr>
      </w:pPr>
      <w:r>
        <w:rPr>
          <w:rFonts w:ascii="宋体" w:eastAsia="仿宋_GB2312" w:hAnsi="宋体" w:hint="eastAsia"/>
          <w:szCs w:val="21"/>
        </w:rPr>
        <w:t>（一）</w:t>
      </w:r>
      <w:r>
        <w:rPr>
          <w:rFonts w:ascii="宋体" w:eastAsia="仿宋_GB2312" w:hAnsi="宋体"/>
        </w:rPr>
        <w:t>“综合评估法</w:t>
      </w:r>
      <w:r>
        <w:rPr>
          <w:rFonts w:ascii="宋体" w:cs="宋体" w:eastAsia="仿宋_GB2312" w:hAnsi="宋体" w:hint="eastAsia"/>
        </w:rPr>
        <w:t>Ⅱ</w:t>
      </w:r>
      <w:r>
        <w:rPr>
          <w:rFonts w:ascii="宋体" w:eastAsia="仿宋_GB2312" w:hAnsi="宋体"/>
        </w:rPr>
        <w:t>”的</w:t>
      </w:r>
      <w:r>
        <w:rPr>
          <w:rFonts w:ascii="宋体" w:eastAsia="仿宋_GB2312" w:hAnsi="宋体" w:hint="eastAsia"/>
        </w:rPr>
        <w:t>监理大纲</w:t>
      </w:r>
      <w:r>
        <w:rPr>
          <w:rFonts w:ascii="宋体" w:eastAsia="仿宋_GB2312" w:hAnsi="宋体"/>
          <w:szCs w:val="21"/>
        </w:rPr>
        <w:t>采用暗标评审方式，投标人应当根据</w:t>
      </w:r>
      <w:r>
        <w:rPr>
          <w:rFonts w:ascii="宋体" w:eastAsia="仿宋_GB2312" w:hAnsi="宋体"/>
        </w:rPr>
        <w:t>湘建监督〔2018〕</w:t>
      </w:r>
      <w:r>
        <w:rPr>
          <w:rFonts w:ascii="宋体" w:eastAsia="仿宋_GB2312" w:hAnsi="宋体" w:hint="eastAsia"/>
        </w:rPr>
        <w:t>172</w:t>
      </w:r>
      <w:r>
        <w:rPr>
          <w:rFonts w:ascii="宋体" w:eastAsia="仿宋_GB2312" w:hAnsi="宋体"/>
        </w:rPr>
        <w:t>号文件规定的评审内容编制</w:t>
      </w:r>
      <w:r>
        <w:rPr>
          <w:rFonts w:ascii="宋体" w:eastAsia="仿宋_GB2312" w:hAnsi="宋体" w:hint="eastAsia"/>
        </w:rPr>
        <w:t>监理大纲</w:t>
      </w:r>
      <w:r>
        <w:rPr>
          <w:rFonts w:ascii="宋体" w:eastAsia="仿宋_GB2312" w:hAnsi="宋体"/>
        </w:rPr>
        <w:t>，具体</w:t>
      </w:r>
      <w:r>
        <w:rPr>
          <w:rFonts w:ascii="宋体" w:eastAsia="仿宋_GB2312" w:hAnsi="宋体"/>
          <w:szCs w:val="21"/>
        </w:rPr>
        <w:t>包括下列内容（按此顺序）：</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szCs w:val="21"/>
        </w:rPr>
        <w:t>1．</w:t>
      </w:r>
      <w:r>
        <w:rPr>
          <w:rFonts w:ascii="宋体" w:eastAsia="仿宋_GB2312" w:hAnsi="宋体" w:hint="eastAsia"/>
          <w:szCs w:val="21"/>
        </w:rPr>
        <w:t>工程重点难点分析</w:t>
      </w:r>
      <w:r>
        <w:rPr>
          <w:rFonts w:ascii="宋体" w:eastAsia="仿宋_GB2312" w:hAnsi="宋体"/>
          <w:szCs w:val="21"/>
        </w:rPr>
        <w:t>；</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szCs w:val="21"/>
        </w:rPr>
        <w:t>2．</w:t>
      </w:r>
      <w:r>
        <w:rPr>
          <w:rFonts w:ascii="宋体" w:eastAsia="仿宋_GB2312" w:hAnsi="宋体" w:hint="eastAsia"/>
          <w:szCs w:val="21"/>
        </w:rPr>
        <w:t>工程质量控制方案</w:t>
      </w:r>
      <w:r>
        <w:rPr>
          <w:rFonts w:ascii="宋体" w:eastAsia="仿宋_GB2312" w:hAnsi="宋体"/>
          <w:szCs w:val="21"/>
        </w:rPr>
        <w:t>；</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szCs w:val="21"/>
        </w:rPr>
        <w:t>3．</w:t>
      </w:r>
      <w:r>
        <w:rPr>
          <w:rFonts w:ascii="宋体" w:eastAsia="仿宋_GB2312" w:hAnsi="宋体" w:hint="eastAsia"/>
          <w:szCs w:val="21"/>
        </w:rPr>
        <w:t>工程造价控制方案</w:t>
      </w:r>
      <w:r>
        <w:rPr>
          <w:rFonts w:ascii="宋体" w:eastAsia="仿宋_GB2312" w:hAnsi="宋体"/>
          <w:szCs w:val="21"/>
        </w:rPr>
        <w:t>；</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szCs w:val="21"/>
        </w:rPr>
        <w:t>4．</w:t>
      </w:r>
      <w:r>
        <w:rPr>
          <w:rFonts w:ascii="宋体" w:eastAsia="仿宋_GB2312" w:hAnsi="宋体" w:hint="eastAsia"/>
          <w:szCs w:val="21"/>
        </w:rPr>
        <w:t>工程进度控制方案</w:t>
      </w:r>
      <w:r>
        <w:rPr>
          <w:rFonts w:ascii="宋体" w:eastAsia="仿宋_GB2312" w:hAnsi="宋体"/>
          <w:szCs w:val="21"/>
        </w:rPr>
        <w:t>；</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szCs w:val="21"/>
        </w:rPr>
        <w:t>5．</w:t>
      </w:r>
      <w:r>
        <w:rPr>
          <w:rFonts w:ascii="宋体" w:eastAsia="仿宋_GB2312" w:hAnsi="宋体" w:hint="eastAsia"/>
          <w:szCs w:val="21"/>
        </w:rPr>
        <w:t>安全生产管理方案</w:t>
      </w:r>
      <w:r>
        <w:rPr>
          <w:rFonts w:ascii="宋体" w:eastAsia="仿宋_GB2312" w:hAnsi="宋体"/>
          <w:szCs w:val="21"/>
        </w:rPr>
        <w:t>；</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szCs w:val="21"/>
        </w:rPr>
        <w:t>6．</w:t>
      </w:r>
      <w:r>
        <w:rPr>
          <w:rFonts w:ascii="宋体" w:eastAsia="仿宋_GB2312" w:hAnsi="宋体" w:hint="eastAsia"/>
          <w:szCs w:val="21"/>
        </w:rPr>
        <w:t>信息管理和合同管理方案</w:t>
      </w:r>
      <w:r>
        <w:rPr>
          <w:rFonts w:ascii="宋体" w:eastAsia="仿宋_GB2312" w:hAnsi="宋体"/>
          <w:szCs w:val="21"/>
        </w:rPr>
        <w:t>；</w:t>
      </w:r>
    </w:p>
    <w:p>
      <w:pPr>
        <w:pStyle w:val="style0"/>
        <w:adjustRightInd w:val="false"/>
        <w:snapToGrid w:val="false"/>
        <w:spacing w:lineRule="auto" w:line="360"/>
        <w:ind w:firstLine="480" w:firstLineChars="200"/>
        <w:jc w:val="left"/>
        <w:rPr>
          <w:rFonts w:ascii="宋体" w:eastAsia="仿宋_GB2312" w:hAnsi="宋体" w:hint="eastAsia"/>
          <w:szCs w:val="21"/>
        </w:rPr>
      </w:pPr>
      <w:r>
        <w:rPr>
          <w:rFonts w:ascii="宋体" w:eastAsia="仿宋_GB2312" w:hAnsi="宋体"/>
          <w:szCs w:val="21"/>
        </w:rPr>
        <w:t>7．</w:t>
      </w:r>
      <w:r>
        <w:rPr>
          <w:rFonts w:ascii="宋体" w:eastAsia="仿宋_GB2312" w:hAnsi="宋体" w:hint="eastAsia"/>
          <w:szCs w:val="21"/>
        </w:rPr>
        <w:t>环境保护及文明施工管理方案</w:t>
      </w:r>
      <w:r>
        <w:rPr>
          <w:rFonts w:ascii="宋体" w:eastAsia="仿宋_GB2312" w:hAnsi="宋体" w:hint="eastAsia"/>
          <w:bCs/>
        </w:rPr>
        <w:t>；</w:t>
      </w:r>
    </w:p>
    <w:p>
      <w:pPr>
        <w:pStyle w:val="style0"/>
        <w:adjustRightInd w:val="false"/>
        <w:snapToGrid w:val="false"/>
        <w:spacing w:lineRule="auto" w:line="360"/>
        <w:ind w:firstLine="480" w:firstLineChars="200"/>
        <w:jc w:val="left"/>
        <w:rPr>
          <w:rFonts w:ascii="宋体" w:eastAsia="仿宋_GB2312" w:hAnsi="宋体"/>
          <w:szCs w:val="21"/>
        </w:rPr>
      </w:pPr>
      <w:r>
        <w:rPr>
          <w:rFonts w:ascii="宋体" w:eastAsia="仿宋_GB2312" w:hAnsi="宋体" w:hint="eastAsia"/>
          <w:szCs w:val="21"/>
        </w:rPr>
        <w:t>8.组织协调方案；</w:t>
      </w:r>
    </w:p>
    <w:p>
      <w:pPr>
        <w:pStyle w:val="style0"/>
        <w:adjustRightInd w:val="false"/>
        <w:snapToGrid w:val="false"/>
        <w:spacing w:lineRule="auto" w:line="360"/>
        <w:ind w:firstLine="480" w:firstLineChars="200"/>
        <w:jc w:val="left"/>
        <w:rPr>
          <w:rFonts w:ascii="宋体" w:eastAsia="仿宋_GB2312" w:hAnsi="宋体" w:hint="eastAsia"/>
          <w:szCs w:val="21"/>
        </w:rPr>
      </w:pPr>
      <w:r>
        <w:rPr>
          <w:rFonts w:ascii="宋体" w:eastAsia="仿宋_GB2312" w:hAnsi="宋体" w:hint="eastAsia"/>
          <w:szCs w:val="21"/>
        </w:rPr>
        <w:t>9</w:t>
      </w:r>
      <w:r>
        <w:rPr>
          <w:rFonts w:ascii="宋体" w:eastAsia="仿宋_GB2312" w:hAnsi="宋体"/>
          <w:szCs w:val="21"/>
        </w:rPr>
        <w:t>.</w:t>
      </w:r>
      <w:r>
        <w:rPr>
          <w:rFonts w:ascii="宋体" w:eastAsia="仿宋_GB2312" w:hAnsi="宋体" w:hint="eastAsia"/>
          <w:szCs w:val="21"/>
        </w:rPr>
        <w:t>合理化建议。</w:t>
      </w:r>
    </w:p>
    <w:p>
      <w:pPr>
        <w:pStyle w:val="style0"/>
        <w:spacing w:lineRule="auto" w:line="360"/>
        <w:ind w:firstLine="120" w:firstLineChars="50"/>
        <w:rPr>
          <w:rFonts w:ascii="宋体" w:eastAsia="仿宋_GB2312" w:hAnsi="宋体"/>
          <w:szCs w:val="21"/>
        </w:rPr>
      </w:pPr>
      <w:r>
        <w:rPr>
          <w:rFonts w:ascii="宋体" w:eastAsia="仿宋_GB2312" w:hAnsi="宋体" w:hint="eastAsia"/>
          <w:szCs w:val="21"/>
        </w:rPr>
        <w:t>（二）监理大纲（</w:t>
      </w:r>
      <w:r>
        <w:rPr>
          <w:rFonts w:ascii="宋体" w:eastAsia="仿宋_GB2312" w:hAnsi="宋体"/>
          <w:szCs w:val="21"/>
        </w:rPr>
        <w:t>暗标</w:t>
      </w:r>
      <w:r>
        <w:rPr>
          <w:rFonts w:ascii="宋体" w:eastAsia="仿宋_GB2312" w:hAnsi="宋体" w:hint="eastAsia"/>
          <w:szCs w:val="21"/>
        </w:rPr>
        <w:t>）</w:t>
      </w:r>
      <w:r>
        <w:rPr>
          <w:rFonts w:ascii="宋体" w:eastAsia="仿宋_GB2312" w:hAnsi="宋体"/>
          <w:szCs w:val="21"/>
        </w:rPr>
        <w:t>制作要求</w:t>
      </w:r>
    </w:p>
    <w:p>
      <w:pPr>
        <w:pStyle w:val="style0"/>
        <w:spacing w:lineRule="auto" w:line="360"/>
        <w:ind w:firstLine="240" w:firstLineChars="100"/>
        <w:rPr>
          <w:rFonts w:ascii="宋体" w:eastAsia="仿宋_GB2312" w:hAnsi="宋体"/>
        </w:rPr>
      </w:pPr>
      <w:r>
        <w:rPr>
          <w:rFonts w:ascii="宋体" w:eastAsia="仿宋_GB2312" w:hAnsi="宋体"/>
        </w:rPr>
        <w:t>1.应在“</w:t>
      </w:r>
      <w:r>
        <w:rPr>
          <w:rFonts w:ascii="宋体" w:eastAsia="仿宋_GB2312" w:hAnsi="宋体" w:hint="eastAsia"/>
        </w:rPr>
        <w:t>监理大纲</w:t>
      </w:r>
      <w:r>
        <w:rPr>
          <w:rFonts w:ascii="宋体" w:eastAsia="仿宋_GB2312" w:hAnsi="宋体"/>
        </w:rPr>
        <w:t>暗标”页签中导入电子招标文件生成相关评审模块的目录，并在各评审模块目录中导入相关文件。</w:t>
      </w:r>
    </w:p>
    <w:p>
      <w:pPr>
        <w:pStyle w:val="style0"/>
        <w:spacing w:lineRule="auto" w:line="360"/>
        <w:rPr>
          <w:rFonts w:ascii="宋体" w:eastAsia="仿宋_GB2312" w:hAnsi="宋体"/>
        </w:rPr>
      </w:pPr>
      <w:r>
        <w:rPr>
          <w:rFonts w:ascii="宋体" w:eastAsia="仿宋_GB2312" w:hAnsi="宋体"/>
        </w:rPr>
        <w:t xml:space="preserve">  2.编制“</w:t>
      </w:r>
      <w:r>
        <w:rPr>
          <w:rFonts w:ascii="宋体" w:eastAsia="仿宋_GB2312" w:hAnsi="宋体" w:hint="eastAsia"/>
        </w:rPr>
        <w:t>监理大纲</w:t>
      </w:r>
      <w:r>
        <w:rPr>
          <w:rFonts w:ascii="宋体" w:eastAsia="仿宋_GB2312" w:hAnsi="宋体"/>
        </w:rPr>
        <w:t>暗标”各评审模块的文件时，每个评审模块的文件须独立生成连续的页码。</w:t>
      </w:r>
    </w:p>
    <w:p>
      <w:pPr>
        <w:pStyle w:val="style0"/>
        <w:spacing w:lineRule="auto" w:line="360"/>
        <w:rPr>
          <w:rFonts w:ascii="宋体" w:eastAsia="仿宋_GB2312" w:hAnsi="宋体"/>
        </w:rPr>
      </w:pPr>
      <w:r>
        <w:rPr>
          <w:rFonts w:ascii="宋体" w:eastAsia="仿宋_GB2312" w:hAnsi="宋体"/>
        </w:rPr>
        <w:t xml:space="preserve">  3.</w:t>
      </w:r>
      <w:r>
        <w:rPr>
          <w:rFonts w:ascii="宋体" w:cs="宋体" w:eastAsia="仿宋_GB2312" w:hAnsi="宋体" w:hint="eastAsia"/>
          <w:bCs/>
          <w:szCs w:val="21"/>
        </w:rPr>
        <w:t>投标文件的“监理大纲暗标”内不得出现投标人名称或者出现任何能直接判断出投标人名称的内容。否则，监理大纲评审计零分。出现不符合招标文件规定格式等错误的，由评标委员会集体评议，每一项扣1分，最多扣6分。</w:t>
      </w:r>
    </w:p>
    <w:p>
      <w:pPr>
        <w:pStyle w:val="style4102"/>
        <w:rPr>
          <w:rFonts w:hint="default"/>
        </w:rPr>
      </w:pPr>
    </w:p>
    <w:sectPr>
      <w:footerReference w:type="default" r:id="rId2"/>
      <w:pgSz w:w="11906" w:h="16838" w:orient="portrait"/>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7a"/>
    <w:family w:val="auto"/>
    <w:pitch w:val="default"/>
    <w:sig w:usb0="E0002AFF" w:usb1="C0007841" w:usb2="00000009" w:usb3="00000000" w:csb0="400001FF" w:csb1="FFFF0000"/>
  </w:font>
  <w:font w:name="宋体">
    <w:altName w:val="宋体"/>
    <w:panose1 w:val="02010600030001010101"/>
    <w:charset w:val="7a"/>
    <w:family w:val="auto"/>
    <w:pitch w:val="default"/>
    <w:sig w:usb0="000000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AFF" w:usb1="C0007843"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A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00002FF" w:usb1="4000ACFF" w:usb2="00000001" w:usb3="00000000" w:csb0="2000019F" w:csb1="00000000"/>
  </w:font>
  <w:font w:name="Cambria">
    <w:altName w:val="Cambria"/>
    <w:panose1 w:val="02040503050004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华文中宋">
    <w:altName w:val="宋体"/>
    <w:panose1 w:val="02010600040001010101"/>
    <w:charset w:val="86"/>
    <w:family w:val="auto"/>
    <w:pitch w:val="default"/>
    <w:sig w:usb0="00000000" w:usb1="00000000" w:usb2="00000010" w:usb3="00000000" w:csb0="0004009F" w:csb1="00000000"/>
  </w:font>
  <w:font w:name="Wingdings 2">
    <w:altName w:val="Wingdings"/>
    <w:panose1 w:val="05020102010005070707"/>
    <w:charset w:val="02"/>
    <w:family w:val="roman"/>
    <w:pitch w:val="default"/>
    <w:sig w:usb0="00000000" w:usb1="00000000" w:usb2="00000000" w:usb3="00000000" w:csb0="80000000" w:csb1="00000000"/>
  </w:font>
  <w:font w:name="Segoe UI Emoji">
    <w:altName w:val="Segoe UI"/>
    <w:panose1 w:val="00000000000000000000"/>
    <w:charset w:val="00"/>
    <w:family w:val="swiss"/>
    <w:pitch w:val="default"/>
    <w:sig w:usb0="00000000" w:usb1="00000000" w:usb2="00000000" w:usb3="00000000" w:csb0="00000001" w:csb1="00000000"/>
  </w:font>
  <w:font w:name="仿宋">
    <w:altName w:val="仿宋"/>
    <w:panose1 w:val="02010609060001010101"/>
    <w:charset w:val="86"/>
    <w:family w:val="modern"/>
    <w:pitch w:val="default"/>
    <w:sig w:usb0="800002BF" w:usb1="38CF7CFA" w:usb2="00000016" w:usb3="00000000" w:csb0="00040001" w:csb1="00000000"/>
  </w:font>
  <w:font w:name="Segoe UI">
    <w:altName w:val="Segoe UI"/>
    <w:panose1 w:val="020b0502040002020203"/>
    <w:charset w:val="00"/>
    <w:family w:val="auto"/>
    <w:pitch w:val="default"/>
    <w:sig w:usb0="E10022FF" w:usb1="C000E47F" w:usb2="00000029" w:usb3="00000000" w:csb0="200001DF" w:csb1="20000000"/>
  </w:font>
</w:fonts>
</file>

<file path=word/footer1.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p>
    <w:pPr>
      <w:pStyle w:val="style32"/>
      <w:rPr>
        <w:rFonts w:hint="default"/>
      </w:rPr>
    </w:pPr>
    <w:r>
      <w:rPr/>
      <mc:AlternateContent>
        <mc:Choice Requires="wps">
          <w:drawing>
            <wp:anchor distT="0" distB="0" distL="0" distR="0" simplePos="false" relativeHeight="2"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097" name="文本框 2"/>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097">
                      <w:txbxContent>
                        <w:p>
                          <w:pPr>
                            <w:pStyle w:val="style32"/>
                            <w:rPr>
                              <w:rFonts w:hint="default"/>
                            </w:rPr>
                          </w:pPr>
                          <w:r>
                            <w:rPr/>
                            <w:fldChar w:fldCharType="begin"/>
                          </w:r>
                          <w:r>
                            <w:instrText xml:space="preserve"> PAGE  \* MERGEFORMAT </w:instrText>
                          </w:r>
                          <w:r>
                            <w:rPr/>
                            <w:fldChar w:fldCharType="separate"/>
                          </w:r>
                          <w:r>
                            <w:rPr>
                              <w:rFonts w:hint="default"/>
                            </w:rPr>
                            <w:t>10</w:t>
                          </w:r>
                          <w:r>
                            <w:rPr/>
                            <w:fldChar w:fldCharType="end"/>
                          </w:r>
                        </w:p>
                      </w:txbxContent>
                    </wps:txbx>
                    <wps:bodyPr lIns="0" rIns="0" tIns="0" bIns="0" vert="horz" anchor="t" wrap="none">
                      <a:prstTxWarp prst="textNoShape"/>
                      <a:spAutoFit/>
                    </wps:bodyPr>
                  </wps:wsp>
                </a:graphicData>
              </a:graphic>
            </wp:anchor>
          </w:drawing>
        </mc:Choice>
        <mc:Fallback>
          <w:pict>
            <v:rect id="4097" filled="f" stroked="f" style="position:absolute;margin-left:0.0pt;margin-top:0.0pt;width:144.0pt;height:144.0pt;z-index:2;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pPr>
                      <w:pStyle w:val="style32"/>
                      <w:rPr>
                        <w:rFonts w:hint="default"/>
                      </w:rPr>
                    </w:pPr>
                    <w:r>
                      <w:rPr/>
                      <w:fldChar w:fldCharType="begin"/>
                    </w:r>
                    <w:r>
                      <w:instrText xml:space="preserve"> PAGE  \* MERGEFORMAT </w:instrText>
                    </w:r>
                    <w:r>
                      <w:rPr/>
                      <w:fldChar w:fldCharType="separate"/>
                    </w:r>
                    <w:r>
                      <w:rPr>
                        <w:rFonts w:hint="default"/>
                      </w:rPr>
                      <w:t>10</w:t>
                    </w:r>
                    <w:r>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00"/>
  <w:embedSystemFonts/>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1"/>
  <w:displayVerticalDrawingGridEvery w:val="1"/>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宋体" w:hAnsi="Times New Roman"/>
      </w:rPr>
    </w:rPrDefault>
    <w:pPrDefault>
      <w:pPr/>
    </w:pPrDefault>
  </w:docDefaults>
  <w:style w:type="paragraph" w:default="1" w:styleId="style0">
    <w:name w:val="Normal"/>
    <w:next w:val="style4097"/>
    <w:qFormat/>
    <w:uiPriority w:val="0"/>
    <w:pPr>
      <w:widowControl w:val="false"/>
      <w:jc w:val="both"/>
    </w:pPr>
    <w:rPr>
      <w:rFonts w:ascii="宋体" w:cs="Times New Roman" w:eastAsia="宋体" w:hAnsi="宋体" w:hint="eastAsia"/>
      <w:kern w:val="2"/>
      <w:sz w:val="24"/>
      <w:szCs w:val="24"/>
      <w:lang w:val="en-US" w:bidi="ar-SA" w:eastAsia="zh-CN"/>
    </w:rPr>
  </w:style>
  <w:style w:type="paragraph" w:styleId="style1">
    <w:name w:val="heading 1"/>
    <w:basedOn w:val="style0"/>
    <w:next w:val="style0"/>
    <w:qFormat/>
    <w:uiPriority w:val="0"/>
    <w:pPr>
      <w:keepNext/>
      <w:spacing w:before="240" w:after="60"/>
      <w:outlineLvl w:val="0"/>
    </w:pPr>
    <w:rPr>
      <w:rFonts w:ascii="Cambria" w:hAnsi="Cambria"/>
      <w:b/>
      <w:bCs/>
      <w:kern w:val="32"/>
      <w:sz w:val="32"/>
      <w:szCs w:val="32"/>
    </w:rPr>
  </w:style>
  <w:style w:type="paragraph" w:styleId="style2">
    <w:name w:val="heading 2"/>
    <w:basedOn w:val="style0"/>
    <w:next w:val="style0"/>
    <w:qFormat/>
    <w:uiPriority w:val="0"/>
    <w:pPr>
      <w:keepNext/>
      <w:keepLines/>
      <w:spacing w:before="260" w:after="260" w:lineRule="auto" w:line="413"/>
      <w:outlineLvl w:val="1"/>
    </w:pPr>
    <w:rPr>
      <w:rFonts w:ascii="Cambria" w:hAnsi="Cambria"/>
      <w:b/>
      <w:bCs/>
      <w:sz w:val="32"/>
      <w:szCs w:val="32"/>
    </w:rPr>
  </w:style>
  <w:style w:type="paragraph" w:styleId="style3">
    <w:name w:val="heading 3"/>
    <w:basedOn w:val="style0"/>
    <w:next w:val="style0"/>
    <w:qFormat/>
    <w:uiPriority w:val="0"/>
    <w:pPr>
      <w:spacing w:lineRule="auto" w:line="360"/>
      <w:outlineLvl w:val="2"/>
    </w:pPr>
    <w:rPr>
      <w:rFonts w:hint="default"/>
      <w:b/>
      <w:bCs/>
      <w:szCs w:val="32"/>
    </w:rPr>
  </w:style>
  <w:style w:type="paragraph" w:styleId="style4">
    <w:name w:val="heading 4"/>
    <w:basedOn w:val="style0"/>
    <w:next w:val="style0"/>
    <w:link w:val="style4101"/>
    <w:qFormat/>
    <w:uiPriority w:val="0"/>
    <w:pPr>
      <w:keepNext/>
      <w:keepLines/>
      <w:spacing w:lineRule="auto" w:line="360"/>
      <w:outlineLvl w:val="3"/>
    </w:pPr>
    <w:rPr>
      <w:rFonts w:ascii="Arial" w:hAnsi="Arial"/>
      <w:b/>
      <w:bCs/>
      <w:szCs w:val="28"/>
    </w:rPr>
  </w:style>
  <w:style w:type="character" w:default="1" w:styleId="style65">
    <w:name w:val="Default Paragraph Font"/>
    <w:next w:val="style65"/>
    <w:qFormat/>
    <w:uiPriority w:val="1"/>
  </w:style>
  <w:style w:type="table" w:default="1" w:styleId="style105">
    <w:name w:val="Normal Table"/>
    <w:next w:val="style105"/>
    <w:qFormat/>
    <w:uiPriority w:val="99"/>
    <w:pPr/>
    <w:rPr/>
    <w:tblPr>
      <w:tblCellMar>
        <w:top w:w="0" w:type="dxa"/>
        <w:left w:w="108" w:type="dxa"/>
        <w:bottom w:w="0" w:type="dxa"/>
        <w:right w:w="108" w:type="dxa"/>
      </w:tblCellMar>
    </w:tblPr>
    <w:tcPr>
      <w:tcBorders/>
    </w:tcPr>
  </w:style>
  <w:style w:type="paragraph" w:customStyle="1" w:styleId="style4097">
    <w:name w:val="列出段落1"/>
    <w:basedOn w:val="style0"/>
    <w:next w:val="style4097"/>
    <w:qFormat/>
    <w:uiPriority w:val="99"/>
    <w:pPr>
      <w:ind w:firstLine="420" w:firstLineChars="200"/>
    </w:pPr>
    <w:rPr/>
  </w:style>
  <w:style w:type="paragraph" w:styleId="style30">
    <w:name w:val="annotation text"/>
    <w:basedOn w:val="style0"/>
    <w:next w:val="style30"/>
    <w:qFormat/>
    <w:uiPriority w:val="0"/>
    <w:pPr>
      <w:jc w:val="left"/>
    </w:pPr>
    <w:rPr/>
  </w:style>
  <w:style w:type="paragraph" w:styleId="style66">
    <w:name w:val="Body Text"/>
    <w:basedOn w:val="style0"/>
    <w:next w:val="style66"/>
    <w:qFormat/>
    <w:uiPriority w:val="0"/>
    <w:pPr>
      <w:spacing w:after="120"/>
    </w:pPr>
    <w:rPr/>
  </w:style>
  <w:style w:type="paragraph" w:styleId="style21">
    <w:name w:val="toc 3"/>
    <w:basedOn w:val="style0"/>
    <w:next w:val="style0"/>
    <w:qFormat/>
    <w:uiPriority w:val="39"/>
    <w:pPr>
      <w:ind w:left="840" w:leftChars="400"/>
    </w:pPr>
    <w:rPr/>
  </w:style>
  <w:style w:type="paragraph" w:styleId="style90">
    <w:name w:val="Plain Text"/>
    <w:basedOn w:val="style0"/>
    <w:next w:val="style90"/>
    <w:qFormat/>
    <w:uiPriority w:val="0"/>
    <w:pPr/>
    <w:rPr>
      <w:rFonts w:eastAsia="仿宋_GB2312" w:hAnsi="Courier New"/>
      <w:sz w:val="32"/>
    </w:rPr>
  </w:style>
  <w:style w:type="paragraph" w:styleId="style32">
    <w:name w:val="footer"/>
    <w:basedOn w:val="style0"/>
    <w:next w:val="style32"/>
    <w:qFormat/>
    <w:uiPriority w:val="99"/>
    <w:pPr>
      <w:tabs>
        <w:tab w:val="center" w:leader="none" w:pos="4153"/>
        <w:tab w:val="right" w:leader="none" w:pos="8306"/>
      </w:tabs>
      <w:snapToGrid w:val="false"/>
      <w:jc w:val="left"/>
    </w:pPr>
    <w:rPr>
      <w:sz w:val="18"/>
      <w:szCs w:val="18"/>
    </w:rPr>
  </w:style>
  <w:style w:type="paragraph" w:styleId="style31">
    <w:name w:val="header"/>
    <w:basedOn w:val="style0"/>
    <w:next w:val="style31"/>
    <w:qFormat/>
    <w:uiPriority w:val="0"/>
    <w:pPr>
      <w:pBdr>
        <w:left w:val="none" w:sz="0" w:space="4" w:color="auto"/>
        <w:right w:val="none" w:sz="0" w:space="4" w:color="auto"/>
        <w:top w:val="none" w:sz="0" w:space="1" w:color="auto"/>
        <w:bottom w:val="none" w:sz="0" w:space="1" w:color="auto"/>
      </w:pBdr>
      <w:tabs>
        <w:tab w:val="center" w:leader="none" w:pos="4153"/>
        <w:tab w:val="right" w:leader="none" w:pos="8306"/>
      </w:tabs>
      <w:snapToGrid w:val="false"/>
    </w:pPr>
    <w:rPr>
      <w:sz w:val="18"/>
    </w:rPr>
  </w:style>
  <w:style w:type="paragraph" w:styleId="style19">
    <w:name w:val="toc 1"/>
    <w:basedOn w:val="style0"/>
    <w:next w:val="style0"/>
    <w:qFormat/>
    <w:uiPriority w:val="39"/>
    <w:pPr/>
  </w:style>
  <w:style w:type="paragraph" w:styleId="style20">
    <w:name w:val="toc 2"/>
    <w:basedOn w:val="style0"/>
    <w:next w:val="style0"/>
    <w:qFormat/>
    <w:uiPriority w:val="39"/>
    <w:pPr>
      <w:ind w:left="420" w:leftChars="200"/>
    </w:pPr>
    <w:rPr/>
  </w:style>
  <w:style w:type="paragraph" w:styleId="style94">
    <w:name w:val="Normal (Web)"/>
    <w:basedOn w:val="style0"/>
    <w:next w:val="style94"/>
    <w:uiPriority w:val="0"/>
    <w:pPr>
      <w:widowControl/>
      <w:spacing w:before="100" w:beforeAutospacing="true" w:after="100" w:afterAutospacing="true"/>
      <w:jc w:val="left"/>
    </w:pPr>
    <w:rPr>
      <w:rFonts w:ascii="Times New Roman" w:cs="Times New Roman" w:eastAsia="宋体" w:hAnsi="Times New Roman" w:hint="default"/>
      <w:kern w:val="0"/>
    </w:rPr>
  </w:style>
  <w:style w:type="character" w:styleId="style85">
    <w:name w:val="Hyperlink"/>
    <w:next w:val="style85"/>
    <w:qFormat/>
    <w:uiPriority w:val="99"/>
    <w:rPr>
      <w:color w:val="0000ff"/>
      <w:u w:val="single"/>
    </w:rPr>
  </w:style>
  <w:style w:type="paragraph" w:customStyle="1" w:styleId="style4098">
    <w:name w:val="CM178"/>
    <w:basedOn w:val="style4099"/>
    <w:next w:val="style4099"/>
    <w:qFormat/>
    <w:uiPriority w:val="0"/>
    <w:pPr>
      <w:spacing w:after="858"/>
    </w:pPr>
    <w:rPr>
      <w:rFonts w:ascii="Times New Roman"/>
      <w:color w:val="auto"/>
    </w:rPr>
  </w:style>
  <w:style w:type="paragraph" w:customStyle="1" w:styleId="style4099">
    <w:name w:val="Default"/>
    <w:next w:val="style4099"/>
    <w:qFormat/>
    <w:uiPriority w:val="0"/>
    <w:pPr>
      <w:widowControl w:val="false"/>
      <w:autoSpaceDE w:val="false"/>
      <w:autoSpaceDN w:val="false"/>
      <w:adjustRightInd w:val="false"/>
    </w:pPr>
    <w:rPr>
      <w:rFonts w:ascii="宋体" w:cs="Times New Roman" w:eastAsia="宋体" w:hAnsi="Calibri"/>
      <w:color w:val="000000"/>
      <w:sz w:val="24"/>
      <w:lang w:val="en-US" w:bidi="ar-SA" w:eastAsia="zh-CN"/>
    </w:rPr>
  </w:style>
  <w:style w:type="paragraph" w:customStyle="1" w:styleId="style4100">
    <w:name w:val="p0"/>
    <w:basedOn w:val="style0"/>
    <w:next w:val="style4100"/>
    <w:qFormat/>
    <w:uiPriority w:val="0"/>
    <w:pPr>
      <w:widowControl/>
    </w:pPr>
    <w:rPr>
      <w:szCs w:val="21"/>
    </w:rPr>
  </w:style>
  <w:style w:type="character" w:customStyle="1" w:styleId="style4101">
    <w:name w:val="标题 4 Char"/>
    <w:next w:val="style4101"/>
    <w:link w:val="style4"/>
    <w:qFormat/>
    <w:uiPriority w:val="0"/>
    <w:rPr>
      <w:rFonts w:ascii="Arial" w:hAnsi="Arial"/>
      <w:b/>
      <w:bCs/>
      <w:szCs w:val="28"/>
    </w:rPr>
  </w:style>
  <w:style w:type="paragraph" w:styleId="style179">
    <w:name w:val="List Paragraph"/>
    <w:basedOn w:val="style0"/>
    <w:next w:val="style179"/>
    <w:qFormat/>
    <w:uiPriority w:val="0"/>
    <w:pPr>
      <w:ind w:firstLine="420" w:firstLineChars="200"/>
    </w:pPr>
    <w:rPr>
      <w:rFonts w:ascii="Calibri" w:hAnsi="Calibri"/>
      <w:szCs w:val="22"/>
    </w:rPr>
  </w:style>
  <w:style w:type="paragraph" w:customStyle="1" w:styleId="style4102">
    <w:name w:val="样式2"/>
    <w:basedOn w:val="style1"/>
    <w:next w:val="style4102"/>
    <w:qFormat/>
    <w:uiPriority w:val="0"/>
    <w:pPr>
      <w:jc w:val="left"/>
    </w:pPr>
    <w:rPr>
      <w:rFonts w:ascii="Times New Roman" w:cs="Times New Roman" w:eastAsia="宋体" w:hAnsi="Times New Roman"/>
      <w:b w:val="false"/>
      <w:kern w:val="2"/>
      <w:sz w:val="28"/>
      <w:szCs w:val="21"/>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Words>33814</Words>
  <Pages>76</Pages>
  <Characters>35874</Characters>
  <Application>WPS Office</Application>
  <DocSecurity>0</DocSecurity>
  <Paragraphs>2446</Paragraphs>
  <ScaleCrop>false</ScaleCrop>
  <Company>微软中国</Company>
  <LinksUpToDate>false</LinksUpToDate>
  <CharactersWithSpaces>39458</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2020-08-26T03:18:00Z</dcterms:created>
  <dc:creator>Administrator</dc:creator>
  <lastModifiedBy>YAL-AL00</lastModifiedBy>
  <dcterms:modified xsi:type="dcterms:W3CDTF">2020-12-20T11:08:34Z</dcterms:modified>
  <revision>3</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