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602" w:beforeAutospacing="0" w:after="796" w:afterAutospacing="0" w:line="450" w:lineRule="atLeast"/>
        <w:ind w:left="0" w:right="0"/>
        <w:jc w:val="center"/>
        <w:rPr>
          <w:b/>
          <w:bCs/>
          <w:color w:val="333333"/>
          <w:sz w:val="39"/>
          <w:szCs w:val="39"/>
        </w:rPr>
      </w:pPr>
      <w:r>
        <w:rPr>
          <w:b/>
          <w:bCs/>
          <w:color w:val="333333"/>
          <w:sz w:val="39"/>
          <w:szCs w:val="39"/>
        </w:rPr>
        <w:t>养老机构管理办法</w:t>
      </w:r>
    </w:p>
    <w:p>
      <w:pPr>
        <w:pStyle w:val="2"/>
        <w:keepNext w:val="0"/>
        <w:keepLines w:val="0"/>
        <w:widowControl/>
        <w:suppressLineNumbers w:val="0"/>
        <w:spacing w:before="602" w:beforeAutospacing="0" w:after="796" w:afterAutospacing="0" w:line="450" w:lineRule="atLeast"/>
        <w:ind w:left="0" w:right="0" w:firstLine="0" w:firstLineChars="400"/>
        <w:jc w:val="left"/>
        <w:rPr>
          <w:rFonts w:hint="eastAsia" w:ascii="宋体" w:hAnsi="宋体" w:eastAsia="宋体" w:cs="宋体"/>
          <w:color w:val="333333"/>
          <w:sz w:val="28"/>
          <w:szCs w:val="28"/>
          <w:lang w:val="en-US" w:eastAsia="zh-CN"/>
        </w:rPr>
      </w:pPr>
      <w:r>
        <w:rPr>
          <w:rFonts w:hint="eastAsia" w:ascii="微软雅黑" w:hAnsi="微软雅黑" w:eastAsia="微软雅黑" w:cs="微软雅黑"/>
          <w:kern w:val="0"/>
          <w:sz w:val="0"/>
          <w:szCs w:val="0"/>
          <w:u w:val="none"/>
          <w:bdr w:val="none" w:color="auto" w:sz="0" w:space="0"/>
          <w:lang w:val="en-US" w:eastAsia="zh-CN" w:bidi="ar"/>
        </w:rPr>
        <w:fldChar w:fldCharType="begin"/>
      </w:r>
      <w:r>
        <w:rPr>
          <w:rFonts w:hint="eastAsia" w:ascii="微软雅黑" w:hAnsi="微软雅黑" w:eastAsia="微软雅黑" w:cs="微软雅黑"/>
          <w:kern w:val="0"/>
          <w:sz w:val="0"/>
          <w:szCs w:val="0"/>
          <w:u w:val="none"/>
          <w:bdr w:val="none" w:color="auto" w:sz="0" w:space="0"/>
          <w:lang w:val="en-US" w:eastAsia="zh-CN" w:bidi="ar"/>
        </w:rPr>
        <w:instrText xml:space="preserve"> HYPERLINK "javascript:;" </w:instrText>
      </w:r>
      <w:r>
        <w:rPr>
          <w:rFonts w:hint="eastAsia" w:ascii="微软雅黑" w:hAnsi="微软雅黑" w:eastAsia="微软雅黑" w:cs="微软雅黑"/>
          <w:kern w:val="0"/>
          <w:sz w:val="0"/>
          <w:szCs w:val="0"/>
          <w:u w:val="none"/>
          <w:bdr w:val="none" w:color="auto" w:sz="0" w:space="0"/>
          <w:lang w:val="en-US" w:eastAsia="zh-CN" w:bidi="ar"/>
        </w:rPr>
        <w:fldChar w:fldCharType="separate"/>
      </w:r>
      <w:r>
        <w:rPr>
          <w:rFonts w:hint="eastAsia" w:ascii="微软雅黑" w:hAnsi="微软雅黑" w:eastAsia="微软雅黑" w:cs="微软雅黑"/>
          <w:kern w:val="0"/>
          <w:sz w:val="0"/>
          <w:szCs w:val="0"/>
          <w:u w:val="none"/>
          <w:bdr w:val="none" w:color="auto" w:sz="0" w:space="0"/>
          <w:lang w:val="en-US" w:eastAsia="zh-CN" w:bidi="ar"/>
        </w:rPr>
        <w:fldChar w:fldCharType="end"/>
      </w:r>
      <w:r>
        <w:rPr>
          <w:rFonts w:hint="eastAsia" w:ascii="宋体" w:hAnsi="宋体" w:eastAsia="宋体" w:cs="宋体"/>
          <w:color w:val="333333"/>
          <w:sz w:val="28"/>
          <w:szCs w:val="28"/>
        </w:rPr>
        <w:t>中华人民共和国民政部令 第66号</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    《养老机构管理办法》已经2020年</w:t>
      </w:r>
      <w:bookmarkStart w:id="0" w:name="_GoBack"/>
      <w:bookmarkEnd w:id="0"/>
      <w:r>
        <w:rPr>
          <w:rFonts w:hint="eastAsia" w:ascii="宋体" w:hAnsi="宋体" w:eastAsia="宋体" w:cs="宋体"/>
          <w:color w:val="333333"/>
          <w:sz w:val="28"/>
          <w:szCs w:val="28"/>
        </w:rPr>
        <w:t xml:space="preserve">8月21日民政部部务会议通过，现予公布，自2020年11月1日起施行。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w:t>
      </w:r>
      <w:r>
        <w:rPr>
          <w:rFonts w:hint="eastAsia" w:ascii="宋体" w:hAnsi="宋体" w:eastAsia="宋体" w:cs="宋体"/>
          <w:color w:val="333333"/>
          <w:sz w:val="28"/>
          <w:szCs w:val="28"/>
          <w:lang w:val="en-US" w:eastAsia="zh-CN"/>
        </w:rPr>
        <w:t xml:space="preserve"> </w:t>
      </w:r>
      <w:r>
        <w:rPr>
          <w:rFonts w:hint="eastAsia" w:ascii="宋体" w:hAnsi="宋体" w:eastAsia="宋体" w:cs="宋体"/>
          <w:color w:val="333333"/>
          <w:sz w:val="28"/>
          <w:szCs w:val="28"/>
        </w:rPr>
        <w:t xml:space="preserve"> 2020年9月1日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    第一章  总 则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    第一条  为了规范对养老机构的管理，促进养老服务健康发展，根据《中华人民共和国老年人权益保障法》和有关法律、行政法规，制定本办法。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    第二条  本办法所称养老机构是指依法办理登记，为老年人提供全日集中住宿和照料护理服务，床位数在10张以上的机构。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    养老机构包括营利性养老机构和非营利性养老机构。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    第三条  县级以上人民政府民政部门负责养老机构的指导、监督和管理。其他有关部门依照职责分工对养老机构实施监督。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    第四条  养老机构应当按照建筑、消防、食品安全、医疗卫生、特种设备等法律、法规和强制性标准开展服务活动。 养老机构及其工作人员应当依法保障收住老年人的人身权、财产权等合法权益。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    第五条  入住养老机构的老年人及其代理人应当遵守养老机构的规章制度，维护养老机构正常服务秩序。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    第六条  政府投资兴办的养老机构在满足特困人员集中供养需求的前提下，优先保障经济困难的孤寡、失能、高龄、计划生育特殊家庭等老年人的服务需求。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    政府投资兴办的养老机构，可以采取委托管理、租赁经营等方式，交由社会力量运营管理。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    第七条  民政部门应当会同有关部门采取措施，鼓励、支持企业事业单位、社会组织或者个人兴办、运营养老机构。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    鼓励自然人、法人或者其他组织依法为养老机构提供捐赠和志愿服务。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    第八条  鼓励养老机构加入养老服务行业组织，加强行业自律和诚信建设，促进行业规范有序发展。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    第二章  备案办理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    第九条  设立营利性养老机构，应当在市场监督管理部门办理登记。设立非营利性养老机构，应当依法办理相应的登记。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    养老机构登记后即可开展服务活动。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    第十条  营利性养老机构办理备案，应当在收住老年人后10个工作日以内向服务场所所在地的县级人民政府民政部门提出。非营利性养老机构办理备案，应当在收住老年人后10个工作日以内向登记管理机关同级的人民政府民政部门提出。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    第十一条  养老机构办理备案，应当向民政部门提交备案申请书、养老机构登记证书、符合本办法第四条要求的承诺书等材料，并对真实性负责。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    备案申请书应当包括下列内容：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    （一）养老机构基本情况，包括名称、住所、法定代表人或者主要负责人信息等；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    （二）服务场所权属；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    （三）养老床位数量；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    （四）服务设施面积；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    （五）联系人和联系方式。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    民政部门应当加强信息化建设，逐步实现网上备案。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    第十二条  民政部门收到养老机构备案材料后，对材料齐全的，应当出具备案回执；材料不齐全的，应当指导养老机构补正。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    第十三条  已经备案的养老机构变更名称、法定代表人或者主要负责人等登记事项，或者变更服务场所权属、养老床位数量、服务设施面积等事项的，应当及时向原备案民政部门办理变更备案。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在原备案机关辖区内变更服务场所的，应当及时向原备案民政部门办理变更备案。营利性养老机构跨原备案机关辖区变更服务场所的，应当及时向变更后的服务场所所在地县级人民政府民政部门办理备案。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    第十四条  民政部门应当通过政府网站、政务新媒体、办事大厅公示栏、服务窗口等途径向社会公开备案事项及流程、材料清单等信息。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    民政部门应当依托全国一体化在线政务服务平台，推进登记管理机关、备案机关信息系统互联互通、数据共享。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    第三章  服务规范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    第十五条  养老机构应当建立入院评估制度，对老年人的身心状况进行评估，并根据评估结果确定照料护理等级。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    老年人身心状况发生变化，需要变更照料护理等级的，养老机构应当重新进行评估。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    养老机构确定或者变更老年人照料护理等级，应当经老年人或者其代理人同意。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    第十六条  养老机构应当与老年人或者其代理人签订服务协议，明确当事人的权利和义务。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    服务协议一般包括下列条款：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    （一）养老机构的名称、住所、法定代表人或者主要负责人、联系方式；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    （二）老年人或者其代理人和紧急联系人的姓名、住址、身份证明、联系方式；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    （三）照料护理等级和服务内容、服务方式；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    （四）收费标准和费用支付方式；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    （五）服务期限和场所；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    （六）协议变更、解除与终止的条件；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    （七）暂停或者终止服务时老年人安置方式；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    （八）违约责任和争议解决方式；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    （九）当事人协商一致的其他内容。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    第十七条  养老机构按照服务协议为老年人提供生活照料、康复护理、精神慰藉、文化娱乐等服务。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    第十八条  养老机构应当为老年人提供饮食、起居、清洁、卫生等生活照料服务。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    养老机构应当提供符合老年人住宿条件的居住用房，并配备适合老年人安全保护要求的设施、设备及用具，定期对老年人的活动场所和物品进行消毒和清洗。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    养老机构提供的饮食应当符合食品安全要求、适宜老年人食用、有利于老年人营养平衡、符合民族风俗习惯。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    第十九条  养老机构应当为老年人建立健康档案，开展日常保健知识宣传，做好疾病预防工作。养老机构在老年人突发危重疾病时，应当及时转送医疗机构救治并通知其紧急联系人。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    养老机构可以通过设立医疗机构或者采取与周边医疗机构合作的方式，为老年人提供医疗服务。养老机构设立医疗机构的，应当按照医疗机构管理相关法律法规进行管理。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    第二十条  养老机构发现老年人为传染病病人或者疑似传染病病人的，应当及时向附近的疾病预防控制机构或者医疗机构报告，配合实施卫生处理、隔离等预防控制措施。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    养老机构发现老年人为疑似精神障碍患者的，应当依照精神卫生相关法律法规的规定处理。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    第二十一条  养老机构应当根据需要为老年人提供情绪疏导、心理咨询、危机干预等精神慰藉服务。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    第二十二条  养老机构应当开展适合老年人的文化、教育、体育、娱乐活动，丰富老年人的精神文化生活。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    养老机构开展文化、教育、体育、娱乐活动时，应当为老年人提供必要的安全防护措施。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    第二十三条  养老机构应当为老年人家庭成员看望或者问候老年人提供便利，为老年人联系家庭成员提供帮助。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    第二十四条  鼓励养老机构运营社区养老服务设施，或者上门为居家老年人提供助餐、助浴、助洁等服务。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    第四章  运营管理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    第二十五条  养老机构应当按照国家有关规定建立健全安全、消防、食品、卫生、财务、档案管理等规章制度，制定服务标准和工作流程，并予以公开。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    第二十六条  养老机构应当配备与服务和运营相适应的工作人员，并依法与其签订聘用合同或者劳动合同，定期开展职业道德教育和业务培训。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    养老机构中从事医疗、康复、消防等服务的人员，应当具备相应的职业资格。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    养老机构应当加强对养老护理人员的职业技能培训，建立健全体现职业技能等级等因素的薪酬制度。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    第二十七条  养老机构应当依照其登记类型、经营性质、运营方式、设施设备条件、管理水平、服务质量、照料护理等级等因素合理确定服务项目的收费标准，并遵守国家和地方政府价格管理有关规定。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    养老机构应当在醒目位置公示各类服务项目收费标准和收费依据，接受社会监督。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    第二十八条  养老机构应当实行24小时值班，做好老年人安全保障工作。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    养老机构应当在各出入口、接待大厅、值班室、楼道、食堂等公共场所安装视频监控设施，并妥善保管视频监控记录。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    第二十九条  养老机构内设食堂的，应当取得市场监督管理部门颁发的食品经营许可证，严格遵守相关法律、法规和食品安全标准，执行原料控制、餐具饮具清洗消毒、食品留样等制度，并依法开展食堂食品安全自查。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    养老机构从供餐单位订餐的，应当从取得食品生产经营许可的供餐单位订购，并按照要求对订购的食品进行查验。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    第三十条  养老机构应当依法履行消防安全职责，健全消防安全管理制度，实行消防工作责任制，配置消防设施、器材并定期检测、维修，开展日常防火巡查、检查，定期组织灭火和应急疏散消防安全培训。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    养老机构的法定代表人或者主要负责人对本单位消防安全工作全面负责，属于消防安全重点单位的养老机构应当确定消防安全管理人，负责组织实施本单位消防安全管理工作，并报告当地消防救援机构。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    第三十一条  养老机构应当依法制定自然灾害、事故灾难、公共卫生事件、社会安全事件等突发事件应急预案，在场所内配备报警装置和必要的应急救援设备、设施，定期开展突发事件应急演练。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    突发事件发生后，养老机构应当立即启动应急预案，采取防止危害扩大的必要处置措施，同时根据突发事件应对管理职责分工向有关部门和民政部门报告。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    第三十二条  养老机构应当建立老年人信息档案，收集和妥善保管服务协议等相关资料。档案的保管期限不少于服务协议期满后五年。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    养老机构及其工作人员应当保护老年人的个人信息和隐私。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    第三十三条  养老机构应当按照国家有关规定接受、使用捐赠、资助。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    鼓励养老机构为社会工作者、志愿者在机构内开展服务提供便利。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    第三十四条  鼓励养老机构投保责任保险，降低机构运营风险。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    第三十五条  养老机构因变更或者终止等原因暂停、终止服务的，应当在合理期限内提前书面通知老年人或者其代理人，并书面告知民政部门。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    老年人需要安置的，养老机构应当根据服务协议约定与老年人或者其代理人协商确定安置事宜。民政部门应当为养老机构妥善安置老年人提供帮助。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    养老机构终止服务后，应当依法清算并办理注销登记。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    第五章  监督检查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    第三十六条  民政部门应当加强对养老机构服务和运营的监督检查，发现违反本办法规定的，及时依法予以处理并向社会公布。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    民政部门在监督检查中发现养老机构存在应当由其他部门查处的违法违规行为的，及时通报有关部门处理。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    第三十七条  民政部门依法履行监督检查职责，可以采取以下措施：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    （一）向养老机构和个人了解情况；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    （二）进入涉嫌违法的养老机构进行现场检查；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    （三）查阅或者复制有关合同、票据、账簿及其他有关资料；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    （四）发现养老机构存在可能危及人身健康和生命财产安全风险的，责令限期改正，逾期不改正的，责令停业整顿。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    民政部门实施监督检查时，监督检查人员不得少于2人，应当出示执法证件。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    对民政部门依法进行的监督检查，养老机构应当配合，如实提供相关资料和信息，不得隐瞒、拒绝、阻碍。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    第三十八条  对已经备案的养老机构，备案民政部门应当自备案之日起20个工作日以内进行现场检查，并核实备案信息；对未备案的养老机构，服务场所所在地的县级人民政府民政部门应当自发现其收住老年人之日起20个工作日以内进行现场检查，并督促及时备案。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    民政部门应当每年对养老机构服务安全和质量进行不少于一次的现场检查。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    第三十九条  民政部门应当采取随机抽取检查对象、随机选派检查人员的方式对养老机构实施监督检查。抽查情况及查处结果应当及时向社会公布。 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    民政部门应当结合养老机构的服务规模、信用记录、风险程度等情况，确定抽查比例和频次。对违法失信、风险高的养老机构，适当提高抽查比例和频次，依法依规实施严管和惩戒。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    第四十条  民政部门应当加强对养老机构非法集资的防范、监测和预警工作，发现养老机构涉嫌非法集资的，按照有关规定及时移交相关部门。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    第四十一条  民政部门应当充分利用信息技术手段，加强对养老机构的监督检查，提高监管能力和水平。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    第四十二条  民政部门应当定期开展养老服务行业统计工作，养老机构应当及时准确报送相关信息。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    第四十三条  养老机构应当听取老年人或者其代理人的意见和建议，发挥其对养老机构服务和运营的监督促进作用。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    第四十四条  民政部门应当畅通对养老机构的举报投诉渠道，依法及时处理有关举报投诉。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    第四十五条  民政部门发现个人或者组织未经登记以养老机构名义开展活动的，应当书面通报相关登记管理机关，并配合做好查处工作。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    第六章  法律责任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    第四十六条  养老机构有下列行为之一的，由民政部门责令改正，给予警告；情节严重的，处以3万元以下的罚款：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    （一）未建立入院评估制度或者未按照规定开展评估活动的；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    （二）未与老年人或者其代理人签订服务协议，或者未按照协议约定提供服务的；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    （三）未按照有关强制性国家标准提供服务的；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    （四）工作人员的资格不符合规定的；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    （五）利用养老机构的房屋、场地、设施开展与养老服务宗旨无关的活动的；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    （六）未依照本办法规定预防和处置突发事件的；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    （七）歧视、侮辱、虐待老年人以及其他侵害老年人人身和财产权益行为的；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    （八）向负责监督检查的民政部门隐瞒有关情况、提供虚假材料或者拒绝提供反映其活动情况真实材料的；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    （九）法律、法规、规章规定的其他违法行为。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    养老机构及其工作人员违反本办法有关规定，构成违反治安管理行为的，依法给予治安管理处罚；构成犯罪的，依法追究刑事责任。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    第四十七条  民政部门及其工作人员在监督管理工作中滥用职权、玩忽职守、徇私舞弊的，对直接负责的主管人员和其他责任人员依法依规给予处分；构成犯罪的，依法追究刑事责任。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    第七章  附 则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xml:space="preserve">    第四十八条  国家对农村五保供养服务机构的管理有特别规定的，依照其规定办理。 </w:t>
      </w:r>
      <w:r>
        <w:rPr>
          <w:rFonts w:hint="eastAsia" w:ascii="宋体" w:hAnsi="宋体" w:eastAsia="宋体" w:cs="宋体"/>
          <w:color w:val="333333"/>
          <w:sz w:val="28"/>
          <w:szCs w:val="28"/>
        </w:rPr>
        <w:br w:type="textWrapping"/>
      </w:r>
      <w:r>
        <w:rPr>
          <w:rFonts w:hint="eastAsia" w:ascii="宋体" w:hAnsi="宋体" w:eastAsia="宋体" w:cs="宋体"/>
          <w:color w:val="333333"/>
          <w:sz w:val="28"/>
          <w:szCs w:val="28"/>
        </w:rPr>
        <w:t>    第四十九条  本办法自2020年11月1日起施行。2013年6月28日民政部发布的《养老机构管理办法》同时废止</w:t>
      </w:r>
      <w:r>
        <w:rPr>
          <w:rFonts w:hint="eastAsia" w:ascii="宋体" w:hAnsi="宋体" w:eastAsia="宋体" w:cs="宋体"/>
          <w:color w:val="333333"/>
          <w:sz w:val="28"/>
          <w:szCs w:val="28"/>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5MjQ4M2U2ZWI2Y2IwMWU1MmUzY2VjODZjOGQxMzEifQ=="/>
    <w:docVar w:name="KSO_WPS_MARK_KEY" w:val="a3209279-68be-4624-acaa-e8925bb6b5f3"/>
  </w:docVars>
  <w:rsids>
    <w:rsidRoot w:val="00000000"/>
    <w:rsid w:val="53CA1BA0"/>
    <w:rsid w:val="652B5058"/>
    <w:rsid w:val="721C67CE"/>
    <w:rsid w:val="745D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18"/>
      <w:szCs w:val="18"/>
      <w:lang w:val="en-US" w:eastAsia="zh-CN" w:bidi="ar"/>
    </w:rPr>
  </w:style>
  <w:style w:type="character" w:styleId="6">
    <w:name w:val="FollowedHyperlink"/>
    <w:basedOn w:val="5"/>
    <w:uiPriority w:val="0"/>
    <w:rPr>
      <w:color w:val="800080"/>
      <w:u w:val="none"/>
    </w:rPr>
  </w:style>
  <w:style w:type="character" w:styleId="7">
    <w:name w:val="Emphasis"/>
    <w:basedOn w:val="5"/>
    <w:qFormat/>
    <w:uiPriority w:val="0"/>
  </w:style>
  <w:style w:type="character" w:styleId="8">
    <w:name w:val="HTML Definition"/>
    <w:basedOn w:val="5"/>
    <w:uiPriority w:val="0"/>
  </w:style>
  <w:style w:type="character" w:styleId="9">
    <w:name w:val="HTML Acronym"/>
    <w:basedOn w:val="5"/>
    <w:uiPriority w:val="0"/>
    <w:rPr>
      <w:bdr w:val="none" w:color="auto" w:sz="0" w:space="0"/>
    </w:rPr>
  </w:style>
  <w:style w:type="character" w:styleId="10">
    <w:name w:val="HTML Variable"/>
    <w:basedOn w:val="5"/>
    <w:uiPriority w:val="0"/>
  </w:style>
  <w:style w:type="character" w:styleId="11">
    <w:name w:val="Hyperlink"/>
    <w:basedOn w:val="5"/>
    <w:uiPriority w:val="0"/>
    <w:rPr>
      <w:color w:val="0000FF"/>
      <w:u w:val="none"/>
    </w:rPr>
  </w:style>
  <w:style w:type="character" w:styleId="12">
    <w:name w:val="HTML Code"/>
    <w:basedOn w:val="5"/>
    <w:uiPriority w:val="0"/>
    <w:rPr>
      <w:rFonts w:ascii="微软雅黑" w:hAnsi="微软雅黑" w:eastAsia="微软雅黑" w:cs="微软雅黑"/>
      <w:sz w:val="18"/>
      <w:szCs w:val="18"/>
      <w:bdr w:val="none" w:color="auto" w:sz="0" w:space="0"/>
    </w:rPr>
  </w:style>
  <w:style w:type="character" w:styleId="13">
    <w:name w:val="HTML Cite"/>
    <w:basedOn w:val="5"/>
    <w:uiPriority w:val="0"/>
  </w:style>
  <w:style w:type="character" w:customStyle="1" w:styleId="14">
    <w:name w:val="a_p_1"/>
    <w:basedOn w:val="5"/>
    <w:uiPriority w:val="0"/>
    <w:rPr>
      <w:sz w:val="27"/>
      <w:szCs w:val="27"/>
    </w:rPr>
  </w:style>
  <w:style w:type="character" w:customStyle="1" w:styleId="15">
    <w:name w:val="dropselect_box"/>
    <w:basedOn w:val="5"/>
    <w:uiPriority w:val="0"/>
  </w:style>
  <w:style w:type="character" w:customStyle="1" w:styleId="16">
    <w:name w:val="dropselect_box1"/>
    <w:basedOn w:val="5"/>
    <w:uiPriority w:val="0"/>
    <w:rPr>
      <w:bdr w:val="single" w:color="CCCCCC" w:sz="6" w:space="0"/>
    </w:rPr>
  </w:style>
  <w:style w:type="character" w:customStyle="1" w:styleId="17">
    <w:name w:val="exap"/>
    <w:basedOn w:val="5"/>
    <w:uiPriority w:val="0"/>
    <w:rPr>
      <w:sz w:val="27"/>
      <w:szCs w:val="27"/>
    </w:rPr>
  </w:style>
  <w:style w:type="character" w:customStyle="1" w:styleId="18">
    <w:name w:val="voice-voicer-speakerprocesser-position-action-icon"/>
    <w:basedOn w:val="5"/>
    <w:uiPriority w:val="0"/>
  </w:style>
  <w:style w:type="character" w:customStyle="1" w:styleId="19">
    <w:name w:val="ul_li_a_1"/>
    <w:basedOn w:val="5"/>
    <w:uiPriority w:val="0"/>
    <w:rPr>
      <w:b/>
      <w:bCs/>
      <w:color w:val="FFFFFF"/>
    </w:rPr>
  </w:style>
  <w:style w:type="character" w:customStyle="1" w:styleId="20">
    <w:name w:val="a_p_2"/>
    <w:basedOn w:val="5"/>
    <w:uiPriority w:val="0"/>
  </w:style>
  <w:style w:type="character" w:customStyle="1" w:styleId="21">
    <w:name w:val="a_p_21"/>
    <w:basedOn w:val="5"/>
    <w:uiPriority w:val="0"/>
    <w:rPr>
      <w:sz w:val="27"/>
      <w:szCs w:val="27"/>
    </w:rPr>
  </w:style>
  <w:style w:type="character" w:customStyle="1" w:styleId="22">
    <w:name w:val="a_p_3"/>
    <w:basedOn w:val="5"/>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2024-11-14T00:50:35Z</dcterms:created>
  <dc:creator>Administrator</dc:creator>
  <cp:lastModifiedBy>Administrator</cp:lastModifiedBy>
  <dcterms:modified xsi:type="dcterms:W3CDTF">2024-11-14T00:53:29Z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A88C75EE38234524AE968CCAF9C15FFA</vt:lpwstr>
  </property>
</Properties>
</file>