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DD442C">
      <w:pPr>
        <w:adjustRightInd w:val="0"/>
        <w:snapToGrid w:val="0"/>
        <w:spacing w:line="560" w:lineRule="exact"/>
        <w:rPr>
          <w:rFonts w:ascii="Times New Roman" w:hAnsi="Times New Roman" w:eastAsia="方正小标宋简体"/>
          <w:sz w:val="44"/>
          <w:szCs w:val="44"/>
        </w:rPr>
      </w:pPr>
    </w:p>
    <w:p w14:paraId="16B4481A">
      <w:pPr>
        <w:adjustRightInd w:val="0"/>
        <w:snapToGrid w:val="0"/>
        <w:spacing w:line="56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2025年中央农业防灾减灾和水利救灾资金（动物防疫补助）</w:t>
      </w:r>
      <w:r>
        <w:rPr>
          <w:rFonts w:ascii="Times New Roman" w:hAnsi="Times New Roman" w:eastAsia="方正小标宋简体"/>
          <w:sz w:val="44"/>
          <w:szCs w:val="44"/>
        </w:rPr>
        <w:t>分配使用</w:t>
      </w:r>
      <w:r>
        <w:rPr>
          <w:rFonts w:hint="eastAsia" w:ascii="Times New Roman" w:hAnsi="Times New Roman" w:eastAsia="方正小标宋简体"/>
          <w:sz w:val="44"/>
          <w:szCs w:val="44"/>
        </w:rPr>
        <w:t>情况</w:t>
      </w:r>
    </w:p>
    <w:p w14:paraId="3C8A09DE">
      <w:pPr>
        <w:spacing w:line="560" w:lineRule="exact"/>
        <w:jc w:val="center"/>
        <w:rPr>
          <w:rFonts w:ascii="Times New Roman" w:hAnsi="Times New Roman" w:eastAsia="方正小标宋简体"/>
          <w:sz w:val="44"/>
          <w:szCs w:val="44"/>
        </w:rPr>
      </w:pPr>
    </w:p>
    <w:p w14:paraId="2E87A317">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eastAsia="仿宋_GB2312" w:cs="Times New Roman"/>
          <w:sz w:val="32"/>
          <w:szCs w:val="32"/>
        </w:rPr>
      </w:pPr>
      <w:bookmarkStart w:id="0" w:name="_GoBack"/>
      <w:r>
        <w:rPr>
          <w:rFonts w:hint="default" w:ascii="Times New Roman" w:hAnsi="Times New Roman" w:eastAsia="仿宋_GB2312" w:cs="Times New Roman"/>
          <w:sz w:val="32"/>
          <w:szCs w:val="32"/>
        </w:rPr>
        <w:t>根据《湖南省财政厅关于下达2025年中央农业防灾减灾和水利救灾资金（动物防疫补助）预算的通知》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湘财预〔2025〕5号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，收到上级专项资金</w:t>
      </w:r>
      <w:r>
        <w:rPr>
          <w:rFonts w:hint="eastAsia" w:ascii="Times New Roman" w:hAnsi="Times New Roman" w:eastAsia="仿宋_GB2312" w:cs="Times New Roman"/>
          <w:sz w:val="32"/>
          <w:szCs w:val="32"/>
          <w:lang w:val="en-US" w:eastAsia="zh-CN"/>
        </w:rPr>
        <w:t>221.94</w:t>
      </w:r>
      <w:r>
        <w:rPr>
          <w:rFonts w:hint="default" w:ascii="Times New Roman" w:hAnsi="Times New Roman" w:eastAsia="仿宋_GB2312" w:cs="Times New Roman"/>
          <w:sz w:val="32"/>
          <w:szCs w:val="32"/>
        </w:rPr>
        <w:t>万元。</w:t>
      </w:r>
    </w:p>
    <w:p w14:paraId="7C47411B">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一、资金使用要求</w:t>
      </w:r>
    </w:p>
    <w:p w14:paraId="694C134B">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根据资金指标文要求，</w:t>
      </w:r>
      <w:r>
        <w:rPr>
          <w:rFonts w:hint="eastAsia" w:ascii="Times New Roman" w:hAnsi="Times New Roman" w:eastAsia="仿宋_GB2312" w:cs="Times New Roman"/>
          <w:sz w:val="32"/>
          <w:szCs w:val="32"/>
          <w:lang w:val="en-US" w:eastAsia="zh-CN"/>
        </w:rPr>
        <w:t>59万元用于强制免疫劳务补助，6.6万元用于强制免疫“先打后补”，156.34万元用于养殖环节病死动物无害化处理补助。</w:t>
      </w:r>
    </w:p>
    <w:p w14:paraId="0174D923">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二、拟实施项目及资金安排情况</w:t>
      </w:r>
    </w:p>
    <w:p w14:paraId="6012387D">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拟聘请社会化服务公司或村级动物防疫员进村入户开展散养户强制免疫工作，安排资金59万元；安排规模养殖场强制免疫“先打后补”补助6.6万元；安排补助道县泉朗生物资源利用有限公司156.34万元。共安排221.94万元。</w:t>
      </w:r>
      <w:r>
        <w:rPr>
          <w:rFonts w:hint="default" w:ascii="Times New Roman" w:hAnsi="Times New Roman" w:eastAsia="仿宋_GB2312" w:cs="Times New Roman"/>
          <w:sz w:val="32"/>
          <w:szCs w:val="32"/>
          <w:lang w:val="en-US" w:eastAsia="zh-CN"/>
        </w:rPr>
        <w:t>具体分配如下：</w:t>
      </w:r>
    </w:p>
    <w:p w14:paraId="0C18696F">
      <w:pPr>
        <w:keepNext w:val="0"/>
        <w:keepLines w:val="0"/>
        <w:pageBreakBefore w:val="0"/>
        <w:widowControl w:val="0"/>
        <w:kinsoku/>
        <w:wordWrap/>
        <w:overflowPunct/>
        <w:topLinePunct w:val="0"/>
        <w:autoSpaceDE/>
        <w:autoSpaceDN/>
        <w:bidi w:val="0"/>
        <w:adjustRightInd w:val="0"/>
        <w:snapToGrid w:val="0"/>
        <w:spacing w:line="500" w:lineRule="exact"/>
        <w:ind w:firstLine="643"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1、强制免疫劳务补助59万元。</w:t>
      </w:r>
      <w:r>
        <w:rPr>
          <w:rFonts w:hint="eastAsia" w:ascii="Times New Roman" w:hAnsi="Times New Roman" w:eastAsia="仿宋_GB2312" w:cs="Times New Roman"/>
          <w:sz w:val="32"/>
          <w:szCs w:val="32"/>
          <w:lang w:val="en-US" w:eastAsia="zh-CN"/>
        </w:rPr>
        <w:t>2025年村级劳务补助按照合并前699个村计算，每个村春秋两季各安排劳务补助资金420元，共840元/年/村。经验收合格后，通过阳光审批平台惠农“一卡通”发放给村级防疫员。若聘请社会化第三方劳务服务公司开展此项工作，则先发放给劳务服务公司再发放给村级防疫员。</w:t>
      </w:r>
    </w:p>
    <w:p w14:paraId="7DB29E04">
      <w:pPr>
        <w:keepNext w:val="0"/>
        <w:keepLines w:val="0"/>
        <w:pageBreakBefore w:val="0"/>
        <w:widowControl w:val="0"/>
        <w:kinsoku/>
        <w:wordWrap/>
        <w:overflowPunct/>
        <w:topLinePunct w:val="0"/>
        <w:autoSpaceDE/>
        <w:autoSpaceDN/>
        <w:bidi w:val="0"/>
        <w:adjustRightInd w:val="0"/>
        <w:snapToGrid w:val="0"/>
        <w:spacing w:line="500" w:lineRule="exact"/>
        <w:ind w:leftChars="0" w:firstLine="643" w:firstLineChars="200"/>
        <w:textAlignment w:val="auto"/>
        <w:rPr>
          <w:rFonts w:hint="eastAsia" w:eastAsia="仿宋_GB2312" w:cs="Times New Roman"/>
          <w:sz w:val="32"/>
          <w:szCs w:val="32"/>
          <w:lang w:val="en-US" w:eastAsia="zh-CN"/>
        </w:rPr>
      </w:pPr>
      <w:r>
        <w:rPr>
          <w:rFonts w:hint="eastAsia" w:eastAsia="仿宋_GB2312" w:cs="Times New Roman"/>
          <w:b/>
          <w:bCs/>
          <w:sz w:val="32"/>
          <w:szCs w:val="32"/>
          <w:lang w:val="en-US" w:eastAsia="zh-CN"/>
        </w:rPr>
        <w:t>2、</w:t>
      </w:r>
      <w:r>
        <w:rPr>
          <w:rFonts w:hint="eastAsia" w:ascii="Times New Roman" w:hAnsi="Times New Roman" w:eastAsia="仿宋_GB2312" w:cs="Times New Roman"/>
          <w:b/>
          <w:bCs/>
          <w:sz w:val="32"/>
          <w:szCs w:val="32"/>
          <w:lang w:val="en-US" w:eastAsia="zh-CN"/>
        </w:rPr>
        <w:t>规模养殖场强制免疫“先打后补”补助6.6万元</w:t>
      </w:r>
      <w:r>
        <w:rPr>
          <w:rFonts w:hint="eastAsia" w:eastAsia="仿宋_GB2312" w:cs="Times New Roman"/>
          <w:b/>
          <w:bCs/>
          <w:sz w:val="32"/>
          <w:szCs w:val="32"/>
          <w:lang w:val="en-US" w:eastAsia="zh-CN"/>
        </w:rPr>
        <w:t>。</w:t>
      </w:r>
      <w:r>
        <w:rPr>
          <w:rFonts w:hint="eastAsia" w:ascii="Times New Roman" w:hAnsi="Times New Roman" w:eastAsia="仿宋_GB2312" w:cs="Times New Roman"/>
          <w:sz w:val="32"/>
          <w:szCs w:val="32"/>
          <w:lang w:val="en-US" w:eastAsia="zh-CN"/>
        </w:rPr>
        <w:t>6.6万元全部安排用于全县规模养殖场强制免疫“先打后补”补助。规模养殖场自行购买疫苗，开展免疫后，通过“湖南</w:t>
      </w:r>
      <w:r>
        <w:rPr>
          <w:rFonts w:hint="eastAsia" w:eastAsia="仿宋_GB2312" w:cs="Times New Roman"/>
          <w:sz w:val="32"/>
          <w:szCs w:val="32"/>
          <w:lang w:val="en-US" w:eastAsia="zh-CN"/>
        </w:rPr>
        <w:t>智慧兽医”平台上传资料数据，根据全年的检疫出栏数平台自行生成补助金额，个人账户</w:t>
      </w:r>
      <w:r>
        <w:rPr>
          <w:rFonts w:hint="eastAsia" w:ascii="Times New Roman" w:hAnsi="Times New Roman" w:eastAsia="仿宋_GB2312" w:cs="Times New Roman"/>
          <w:sz w:val="32"/>
          <w:szCs w:val="32"/>
          <w:lang w:val="en-US" w:eastAsia="zh-CN"/>
        </w:rPr>
        <w:t>通过阳光审批平台惠农“一卡通”发放，公司账户通过对公账户拨付</w:t>
      </w:r>
      <w:r>
        <w:rPr>
          <w:rFonts w:hint="eastAsia" w:eastAsia="仿宋_GB2312" w:cs="Times New Roman"/>
          <w:sz w:val="32"/>
          <w:szCs w:val="32"/>
          <w:lang w:val="en-US" w:eastAsia="zh-CN"/>
        </w:rPr>
        <w:t>。2025年“先打后补”预计需补助70万元。差额部分从2024年结余的“先打后补”专项资金40万元，2023年结余的“先打后补”专项资金23万元中解决。</w:t>
      </w:r>
    </w:p>
    <w:p w14:paraId="7D52C71C">
      <w:pPr>
        <w:keepNext w:val="0"/>
        <w:keepLines w:val="0"/>
        <w:pageBreakBefore w:val="0"/>
        <w:widowControl w:val="0"/>
        <w:kinsoku/>
        <w:wordWrap/>
        <w:overflowPunct/>
        <w:topLinePunct w:val="0"/>
        <w:autoSpaceDE/>
        <w:autoSpaceDN/>
        <w:bidi w:val="0"/>
        <w:adjustRightInd w:val="0"/>
        <w:snapToGrid w:val="0"/>
        <w:spacing w:line="500" w:lineRule="exact"/>
        <w:ind w:firstLine="643" w:firstLineChars="200"/>
        <w:textAlignment w:val="auto"/>
        <w:rPr>
          <w:rFonts w:hint="eastAsia" w:eastAsia="仿宋_GB2312" w:cs="Times New Roman"/>
          <w:sz w:val="32"/>
          <w:szCs w:val="32"/>
          <w:lang w:val="en-US" w:eastAsia="zh-CN"/>
        </w:rPr>
      </w:pPr>
      <w:r>
        <w:rPr>
          <w:rFonts w:hint="eastAsia" w:eastAsia="仿宋_GB2312" w:cs="Times New Roman"/>
          <w:b/>
          <w:bCs/>
          <w:sz w:val="32"/>
          <w:szCs w:val="32"/>
          <w:lang w:val="en-US" w:eastAsia="zh-CN"/>
        </w:rPr>
        <w:t>3、</w:t>
      </w:r>
      <w:r>
        <w:rPr>
          <w:rFonts w:hint="eastAsia" w:ascii="Times New Roman" w:hAnsi="Times New Roman" w:eastAsia="仿宋_GB2312" w:cs="Times New Roman"/>
          <w:b/>
          <w:bCs/>
          <w:sz w:val="32"/>
          <w:szCs w:val="32"/>
          <w:lang w:val="en-US" w:eastAsia="zh-CN"/>
        </w:rPr>
        <w:t>补助道县泉朗生物资源利用有限公司养殖环节病死生猪无害化处理补助156.34万元。</w:t>
      </w:r>
      <w:r>
        <w:rPr>
          <w:rFonts w:hint="default" w:eastAsia="仿宋_GB2312" w:cs="Times New Roman"/>
          <w:sz w:val="32"/>
          <w:szCs w:val="32"/>
          <w:lang w:val="en-US" w:eastAsia="zh-CN"/>
        </w:rPr>
        <w:t>202</w:t>
      </w:r>
      <w:r>
        <w:rPr>
          <w:rFonts w:hint="eastAsia" w:eastAsia="仿宋_GB2312" w:cs="Times New Roman"/>
          <w:sz w:val="32"/>
          <w:szCs w:val="32"/>
          <w:lang w:val="en-US" w:eastAsia="zh-CN"/>
        </w:rPr>
        <w:t>4</w:t>
      </w:r>
      <w:r>
        <w:rPr>
          <w:rFonts w:hint="default" w:eastAsia="仿宋_GB2312" w:cs="Times New Roman"/>
          <w:sz w:val="32"/>
          <w:szCs w:val="32"/>
          <w:lang w:val="en-US" w:eastAsia="zh-CN"/>
        </w:rPr>
        <w:t>年我县养殖环节无害化处理病死猪</w:t>
      </w:r>
      <w:r>
        <w:rPr>
          <w:rFonts w:hint="eastAsia" w:eastAsia="仿宋_GB2312" w:cs="Times New Roman"/>
          <w:sz w:val="32"/>
          <w:szCs w:val="32"/>
          <w:lang w:val="en-US" w:eastAsia="zh-CN"/>
        </w:rPr>
        <w:t>43487</w:t>
      </w:r>
      <w:r>
        <w:rPr>
          <w:rFonts w:hint="default" w:eastAsia="仿宋_GB2312" w:cs="Times New Roman"/>
          <w:sz w:val="32"/>
          <w:szCs w:val="32"/>
          <w:lang w:val="en-US" w:eastAsia="zh-CN"/>
        </w:rPr>
        <w:t>头，</w:t>
      </w:r>
      <w:r>
        <w:rPr>
          <w:rFonts w:hint="eastAsia" w:eastAsia="仿宋_GB2312" w:cs="Times New Roman"/>
          <w:sz w:val="32"/>
          <w:szCs w:val="32"/>
          <w:lang w:val="en-US" w:eastAsia="zh-CN"/>
        </w:rPr>
        <w:t>核减2023年度不符合要求的1970头，应补助41517头（大于50厘米的5442头，小于50厘米的36075头）。</w:t>
      </w:r>
      <w:r>
        <w:rPr>
          <w:rFonts w:hint="default" w:eastAsia="仿宋_GB2312" w:cs="Times New Roman"/>
          <w:sz w:val="32"/>
          <w:szCs w:val="32"/>
          <w:lang w:val="en-US" w:eastAsia="zh-CN"/>
        </w:rPr>
        <w:t>按照“谁处理，补给谁”的原则，对病死猪收集、转运、无害化处理等环节的实施者予以补助</w:t>
      </w:r>
      <w:r>
        <w:rPr>
          <w:rFonts w:hint="eastAsia" w:eastAsia="仿宋_GB2312" w:cs="Times New Roman"/>
          <w:sz w:val="32"/>
          <w:szCs w:val="32"/>
          <w:lang w:val="en-US" w:eastAsia="zh-CN"/>
        </w:rPr>
        <w:t>。中央资金是按照长度小于50厘米补助40元/头，大于50厘米补助50元/头，省资金不论大小补助10元/头。</w:t>
      </w:r>
    </w:p>
    <w:p w14:paraId="5263C07B">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eastAsia="仿宋_GB2312" w:cs="Times New Roman"/>
          <w:sz w:val="32"/>
          <w:szCs w:val="32"/>
          <w:lang w:val="en-US" w:eastAsia="zh-CN"/>
        </w:rPr>
      </w:pPr>
    </w:p>
    <w:p w14:paraId="655A0EFD">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eastAsia="仿宋_GB2312" w:cs="Times New Roman"/>
          <w:sz w:val="32"/>
          <w:szCs w:val="32"/>
          <w:lang w:val="en-US" w:eastAsia="zh-CN"/>
        </w:rPr>
      </w:pPr>
    </w:p>
    <w:p w14:paraId="3553AB60">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ascii="Times New Roman" w:hAnsi="Times New Roman" w:eastAsia="仿宋"/>
          <w:sz w:val="32"/>
          <w:szCs w:val="32"/>
        </w:rPr>
      </w:pPr>
    </w:p>
    <w:p w14:paraId="2BA3E9E1">
      <w:pPr>
        <w:keepNext w:val="0"/>
        <w:keepLines w:val="0"/>
        <w:pageBreakBefore w:val="0"/>
        <w:widowControl w:val="0"/>
        <w:kinsoku/>
        <w:wordWrap/>
        <w:overflowPunct/>
        <w:topLinePunct w:val="0"/>
        <w:autoSpaceDE/>
        <w:autoSpaceDN/>
        <w:bidi w:val="0"/>
        <w:adjustRightInd w:val="0"/>
        <w:snapToGrid w:val="0"/>
        <w:spacing w:line="500" w:lineRule="exact"/>
        <w:jc w:val="right"/>
        <w:textAlignment w:val="auto"/>
        <w:rPr>
          <w:rFonts w:ascii="Times New Roman" w:hAnsi="Times New Roman" w:eastAsia="仿宋"/>
          <w:sz w:val="32"/>
          <w:szCs w:val="32"/>
        </w:rPr>
      </w:pPr>
      <w:r>
        <w:rPr>
          <w:rFonts w:ascii="Times New Roman" w:hAnsi="Times New Roman" w:eastAsia="仿宋"/>
          <w:sz w:val="32"/>
          <w:szCs w:val="32"/>
        </w:rPr>
        <w:t>宁远县农业农村局</w:t>
      </w:r>
    </w:p>
    <w:p w14:paraId="476EC325">
      <w:pPr>
        <w:keepNext w:val="0"/>
        <w:keepLines w:val="0"/>
        <w:pageBreakBefore w:val="0"/>
        <w:widowControl w:val="0"/>
        <w:kinsoku/>
        <w:wordWrap/>
        <w:overflowPunct/>
        <w:topLinePunct w:val="0"/>
        <w:autoSpaceDE/>
        <w:autoSpaceDN/>
        <w:bidi w:val="0"/>
        <w:adjustRightInd w:val="0"/>
        <w:snapToGrid w:val="0"/>
        <w:spacing w:line="500" w:lineRule="exact"/>
        <w:jc w:val="right"/>
        <w:textAlignment w:val="auto"/>
        <w:rPr>
          <w:rFonts w:ascii="Times New Roman" w:hAnsi="Times New Roman" w:eastAsia="仿宋"/>
          <w:sz w:val="32"/>
          <w:szCs w:val="32"/>
        </w:rPr>
      </w:pPr>
      <w:r>
        <w:rPr>
          <w:rFonts w:ascii="Times New Roman" w:hAnsi="Times New Roman" w:eastAsia="仿宋"/>
          <w:sz w:val="32"/>
          <w:szCs w:val="32"/>
        </w:rPr>
        <w:t>202</w:t>
      </w:r>
      <w:r>
        <w:rPr>
          <w:rFonts w:hint="eastAsia" w:ascii="Times New Roman" w:hAnsi="Times New Roman" w:eastAsia="仿宋"/>
          <w:sz w:val="32"/>
          <w:szCs w:val="32"/>
        </w:rPr>
        <w:t>5</w:t>
      </w:r>
      <w:r>
        <w:rPr>
          <w:rFonts w:ascii="Times New Roman" w:hAnsi="Times New Roman" w:eastAsia="仿宋"/>
          <w:sz w:val="32"/>
          <w:szCs w:val="32"/>
        </w:rPr>
        <w:t>年</w:t>
      </w:r>
      <w:r>
        <w:rPr>
          <w:rFonts w:hint="eastAsia" w:ascii="Times New Roman" w:hAnsi="Times New Roman" w:eastAsia="仿宋"/>
          <w:sz w:val="32"/>
          <w:szCs w:val="32"/>
        </w:rPr>
        <w:t>1</w:t>
      </w:r>
      <w:r>
        <w:rPr>
          <w:rFonts w:hint="eastAsia" w:ascii="Times New Roman" w:hAnsi="Times New Roman" w:eastAsia="仿宋"/>
          <w:sz w:val="32"/>
          <w:szCs w:val="32"/>
          <w:lang w:val="en-US" w:eastAsia="zh-CN"/>
        </w:rPr>
        <w:t>1</w:t>
      </w:r>
      <w:r>
        <w:rPr>
          <w:rFonts w:ascii="Times New Roman" w:hAnsi="Times New Roman" w:eastAsia="仿宋"/>
          <w:sz w:val="32"/>
          <w:szCs w:val="32"/>
        </w:rPr>
        <w:t>月</w:t>
      </w:r>
      <w:r>
        <w:rPr>
          <w:rFonts w:hint="eastAsia" w:ascii="Times New Roman" w:hAnsi="Times New Roman" w:eastAsia="仿宋"/>
          <w:sz w:val="32"/>
          <w:szCs w:val="32"/>
        </w:rPr>
        <w:t>1</w:t>
      </w:r>
      <w:r>
        <w:rPr>
          <w:rFonts w:hint="eastAsia" w:ascii="Times New Roman" w:hAnsi="Times New Roman" w:eastAsia="仿宋"/>
          <w:sz w:val="32"/>
          <w:szCs w:val="32"/>
          <w:lang w:val="en-US" w:eastAsia="zh-CN"/>
        </w:rPr>
        <w:t>0</w:t>
      </w:r>
      <w:r>
        <w:rPr>
          <w:rFonts w:hint="eastAsia" w:ascii="Times New Roman" w:hAnsi="Times New Roman" w:eastAsia="仿宋"/>
          <w:sz w:val="32"/>
          <w:szCs w:val="32"/>
        </w:rPr>
        <w:t>日</w:t>
      </w:r>
    </w:p>
    <w:p w14:paraId="1C7A811C">
      <w:pPr>
        <w:keepNext w:val="0"/>
        <w:keepLines w:val="0"/>
        <w:pageBreakBefore w:val="0"/>
        <w:widowControl w:val="0"/>
        <w:kinsoku/>
        <w:wordWrap/>
        <w:overflowPunct/>
        <w:topLinePunct w:val="0"/>
        <w:autoSpaceDE/>
        <w:autoSpaceDN/>
        <w:bidi w:val="0"/>
        <w:spacing w:line="500" w:lineRule="exact"/>
        <w:textAlignment w:val="auto"/>
        <w:rPr>
          <w:rFonts w:ascii="Times New Roman" w:hAnsi="Times New Roman" w:eastAsia="仿宋"/>
          <w:sz w:val="32"/>
          <w:szCs w:val="32"/>
        </w:rPr>
      </w:pPr>
    </w:p>
    <w:bookmarkEnd w:id="0"/>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877D5">
    <w:pPr>
      <w:pStyle w:val="7"/>
    </w:pPr>
    <w:r>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luSI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BGW5IjgCAABvBAAADgAAAAAAAAABACAAAAAfAQAAZHJzL2Uyb0RvYy54&#10;bWxQSwUGAAAAAAYABgBZAQAAyQUAAAAA&#10;">
          <v:path/>
          <v:fill on="f" focussize="0,0"/>
          <v:stroke on="f" weight="0.5pt" joinstyle="miter"/>
          <v:imagedata o:title=""/>
          <o:lock v:ext="edit"/>
          <v:textbox inset="0mm,0mm,0mm,0mm" style="mso-fit-shape-to-text:t;">
            <w:txbxContent>
              <w:p w14:paraId="32D3A0D4">
                <w:pPr>
                  <w:pStyle w:val="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lkMmY2ZDEwNDMzOWUwZTY5MTVkZTc1ZWFjNDYxYzQifQ=="/>
  </w:docVars>
  <w:rsids>
    <w:rsidRoot w:val="008716F2"/>
    <w:rsid w:val="0003503D"/>
    <w:rsid w:val="00035644"/>
    <w:rsid w:val="00133BCE"/>
    <w:rsid w:val="00147896"/>
    <w:rsid w:val="00151D02"/>
    <w:rsid w:val="001A4D9C"/>
    <w:rsid w:val="00220920"/>
    <w:rsid w:val="0031146D"/>
    <w:rsid w:val="00337A7C"/>
    <w:rsid w:val="00370FBB"/>
    <w:rsid w:val="00392A6F"/>
    <w:rsid w:val="003F7439"/>
    <w:rsid w:val="0040338D"/>
    <w:rsid w:val="004E0D1D"/>
    <w:rsid w:val="004F4529"/>
    <w:rsid w:val="0065339B"/>
    <w:rsid w:val="00732062"/>
    <w:rsid w:val="0078690A"/>
    <w:rsid w:val="007D797B"/>
    <w:rsid w:val="007F0FAE"/>
    <w:rsid w:val="007F44B6"/>
    <w:rsid w:val="008716F2"/>
    <w:rsid w:val="00A55460"/>
    <w:rsid w:val="00CE4074"/>
    <w:rsid w:val="00CF3FFA"/>
    <w:rsid w:val="00DC16C3"/>
    <w:rsid w:val="00E8562E"/>
    <w:rsid w:val="00EA0EF3"/>
    <w:rsid w:val="00EB7CC5"/>
    <w:rsid w:val="00ED0CB3"/>
    <w:rsid w:val="00F52293"/>
    <w:rsid w:val="00FD2A8D"/>
    <w:rsid w:val="00FD5D7C"/>
    <w:rsid w:val="00FD68EA"/>
    <w:rsid w:val="01AF0E8E"/>
    <w:rsid w:val="01EC29A2"/>
    <w:rsid w:val="066E6735"/>
    <w:rsid w:val="077C1812"/>
    <w:rsid w:val="08532698"/>
    <w:rsid w:val="0913309C"/>
    <w:rsid w:val="094D404D"/>
    <w:rsid w:val="09687C5E"/>
    <w:rsid w:val="09846133"/>
    <w:rsid w:val="09953EF7"/>
    <w:rsid w:val="0A00672A"/>
    <w:rsid w:val="0A8E184E"/>
    <w:rsid w:val="0B046162"/>
    <w:rsid w:val="0B275F39"/>
    <w:rsid w:val="0BC7369A"/>
    <w:rsid w:val="0CE361E4"/>
    <w:rsid w:val="0E43752E"/>
    <w:rsid w:val="0E4950EA"/>
    <w:rsid w:val="0F9119CD"/>
    <w:rsid w:val="118C6DDD"/>
    <w:rsid w:val="12D05183"/>
    <w:rsid w:val="140137CB"/>
    <w:rsid w:val="14371823"/>
    <w:rsid w:val="15D66ED9"/>
    <w:rsid w:val="17FD402A"/>
    <w:rsid w:val="19C3765C"/>
    <w:rsid w:val="1A667A9A"/>
    <w:rsid w:val="1C827473"/>
    <w:rsid w:val="1C9343DB"/>
    <w:rsid w:val="1E327A0F"/>
    <w:rsid w:val="232272BA"/>
    <w:rsid w:val="249C309C"/>
    <w:rsid w:val="24B650FE"/>
    <w:rsid w:val="267C7B66"/>
    <w:rsid w:val="26F742F8"/>
    <w:rsid w:val="27DC49F9"/>
    <w:rsid w:val="28A16ED3"/>
    <w:rsid w:val="29021560"/>
    <w:rsid w:val="296028EA"/>
    <w:rsid w:val="2B694AEE"/>
    <w:rsid w:val="2D2A2DD1"/>
    <w:rsid w:val="2E145D75"/>
    <w:rsid w:val="307F23CB"/>
    <w:rsid w:val="31063D61"/>
    <w:rsid w:val="33B20462"/>
    <w:rsid w:val="340C5B48"/>
    <w:rsid w:val="357C38EC"/>
    <w:rsid w:val="36F854AB"/>
    <w:rsid w:val="39225E0E"/>
    <w:rsid w:val="397B72CC"/>
    <w:rsid w:val="3A0E0140"/>
    <w:rsid w:val="3ACA4067"/>
    <w:rsid w:val="3BC45516"/>
    <w:rsid w:val="3C93248C"/>
    <w:rsid w:val="3D060202"/>
    <w:rsid w:val="40926822"/>
    <w:rsid w:val="422053A1"/>
    <w:rsid w:val="44D72976"/>
    <w:rsid w:val="44F81D12"/>
    <w:rsid w:val="46381A63"/>
    <w:rsid w:val="4BA426B2"/>
    <w:rsid w:val="4C22182B"/>
    <w:rsid w:val="4CE30CC8"/>
    <w:rsid w:val="4E842A21"/>
    <w:rsid w:val="500D7107"/>
    <w:rsid w:val="51FF0866"/>
    <w:rsid w:val="53B13BBE"/>
    <w:rsid w:val="56904288"/>
    <w:rsid w:val="56B130C4"/>
    <w:rsid w:val="586C4558"/>
    <w:rsid w:val="59052163"/>
    <w:rsid w:val="597C3347"/>
    <w:rsid w:val="5B2F631C"/>
    <w:rsid w:val="5BF8682E"/>
    <w:rsid w:val="5E3B2A02"/>
    <w:rsid w:val="5EE74938"/>
    <w:rsid w:val="5FD17AC2"/>
    <w:rsid w:val="60226850"/>
    <w:rsid w:val="640A4F40"/>
    <w:rsid w:val="64A511E7"/>
    <w:rsid w:val="64B758B2"/>
    <w:rsid w:val="66DE76B0"/>
    <w:rsid w:val="67317098"/>
    <w:rsid w:val="6A8B4D12"/>
    <w:rsid w:val="6C0C59DE"/>
    <w:rsid w:val="6C377242"/>
    <w:rsid w:val="6C691082"/>
    <w:rsid w:val="6E58315D"/>
    <w:rsid w:val="705A59E5"/>
    <w:rsid w:val="713F44A4"/>
    <w:rsid w:val="71853D1A"/>
    <w:rsid w:val="754B541B"/>
    <w:rsid w:val="758659D0"/>
    <w:rsid w:val="75E570B6"/>
    <w:rsid w:val="76601B5F"/>
    <w:rsid w:val="76601C90"/>
    <w:rsid w:val="778E3C21"/>
    <w:rsid w:val="78520C1D"/>
    <w:rsid w:val="7CC36EE8"/>
    <w:rsid w:val="7CCB5D3B"/>
    <w:rsid w:val="7EAC4545"/>
    <w:rsid w:val="7F530E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line="700" w:lineRule="exact"/>
      <w:jc w:val="center"/>
      <w:outlineLvl w:val="0"/>
    </w:pPr>
    <w:rPr>
      <w:rFonts w:eastAsia="方正小标宋简体"/>
      <w:bCs/>
      <w:kern w:val="44"/>
      <w:sz w:val="44"/>
      <w:szCs w:val="44"/>
    </w:rPr>
  </w:style>
  <w:style w:type="paragraph" w:styleId="3">
    <w:name w:val="heading 4"/>
    <w:basedOn w:val="1"/>
    <w:next w:val="1"/>
    <w:qFormat/>
    <w:uiPriority w:val="0"/>
    <w:pPr>
      <w:adjustRightInd w:val="0"/>
      <w:snapToGrid w:val="0"/>
      <w:spacing w:line="579" w:lineRule="atLeast"/>
      <w:ind w:firstLine="200" w:firstLineChars="200"/>
      <w:outlineLvl w:val="3"/>
    </w:pPr>
    <w:rPr>
      <w:rFonts w:eastAsia="仿宋_GB2312"/>
      <w:bCs/>
      <w:sz w:val="32"/>
      <w:szCs w:val="28"/>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index 5"/>
    <w:next w:val="1"/>
    <w:qFormat/>
    <w:uiPriority w:val="0"/>
    <w:pPr>
      <w:widowControl w:val="0"/>
      <w:spacing w:line="560" w:lineRule="exact"/>
      <w:jc w:val="both"/>
    </w:pPr>
    <w:rPr>
      <w:rFonts w:ascii="仿宋_GB2312" w:hAnsi="Times New Roman" w:eastAsia="仿宋_GB2312" w:cs="Times New Roman"/>
      <w:spacing w:val="-1"/>
      <w:kern w:val="2"/>
      <w:sz w:val="32"/>
      <w:szCs w:val="32"/>
      <w:lang w:val="en-US" w:eastAsia="zh-CN" w:bidi="ar-SA"/>
    </w:rPr>
  </w:style>
  <w:style w:type="paragraph" w:styleId="5">
    <w:name w:val="Body Text 3"/>
    <w:basedOn w:val="1"/>
    <w:qFormat/>
    <w:uiPriority w:val="0"/>
    <w:pPr>
      <w:spacing w:after="120"/>
    </w:pPr>
    <w:rPr>
      <w:sz w:val="16"/>
      <w:szCs w:val="16"/>
    </w:rPr>
  </w:style>
  <w:style w:type="paragraph" w:styleId="6">
    <w:name w:val="Body Text Indent"/>
    <w:basedOn w:val="1"/>
    <w:next w:val="7"/>
    <w:qFormat/>
    <w:uiPriority w:val="99"/>
    <w:pPr>
      <w:spacing w:after="120"/>
      <w:ind w:left="420" w:leftChars="200"/>
    </w:pPr>
  </w:style>
  <w:style w:type="paragraph" w:styleId="7">
    <w:name w:val="footer"/>
    <w:basedOn w:val="1"/>
    <w:next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0"/>
    <w:rPr>
      <w:rFonts w:ascii="Times New Roman" w:hAnsi="Times New Roman"/>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1">
    <w:name w:val="Body Text First Indent 2"/>
    <w:basedOn w:val="6"/>
    <w:qFormat/>
    <w:uiPriority w:val="99"/>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4F9612-DE85-4409-8FFF-75E1A4823E74}">
  <ds:schemaRefs/>
</ds:datastoreItem>
</file>

<file path=docProps/app.xml><?xml version="1.0" encoding="utf-8"?>
<Properties xmlns="http://schemas.openxmlformats.org/officeDocument/2006/extended-properties" xmlns:vt="http://schemas.openxmlformats.org/officeDocument/2006/docPropsVTypes">
  <Template>Normal.dotm</Template>
  <Pages>2</Pages>
  <Words>822</Words>
  <Characters>924</Characters>
  <Lines>20</Lines>
  <Paragraphs>8</Paragraphs>
  <TotalTime>0</TotalTime>
  <ScaleCrop>false</ScaleCrop>
  <LinksUpToDate>false</LinksUpToDate>
  <CharactersWithSpaces>924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2022-05-25T01:01:00Z</dcterms:created>
  <dc:creator>Administrator</dc:creator>
  <cp:lastModifiedBy>私属。</cp:lastModifiedBy>
  <cp:lastPrinted>2025-02-27T07:47:00Z</cp:lastPrinted>
  <dcterms:modified xsi:type="dcterms:W3CDTF">2025-11-11T00:46:02Z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52400C2AE79A4E45A1FD0980FE059D6D_13</vt:lpwstr>
  </property>
  <property fmtid="{D5CDD505-2E9C-101B-9397-08002B2CF9AE}" pid="4" name="KSOTemplateDocerSaveRecord">
    <vt:lpwstr>eyJoZGlkIjoiOWQ1MWVkNjYxNjk1YzAyOTk1NmM4OWVmMGM0MzIzZWYiLCJ1c2VySWQiOiIzNTE5MjQxNDYifQ==</vt:lpwstr>
  </property>
</Properties>
</file>