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22848"/>
      <w:r>
        <w:rPr>
          <w:rFonts w:hint="eastAsia" w:ascii="Times New Roman" w:hAnsi="方正公文小标宋" w:eastAsia="方正公文小标宋"/>
          <w:snapToGrid/>
          <w:kern w:val="0"/>
          <w:sz w:val="84"/>
          <w:szCs w:val="84"/>
        </w:rPr>
        <w:t>湖南省永州市宁远县桐木漯瑶族</w:t>
      </w:r>
      <w:bookmarkEnd w:id="0"/>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10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3" w:name="_GoBack"/>
          <w:bookmarkEnd w:id="13"/>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_Toc31082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_Toc31082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_Toc11819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_Toc11819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13</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_Toc3802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_Toc3802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49</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949"/>
      <w:bookmarkStart w:id="2" w:name="_Toc172077551"/>
      <w:bookmarkStart w:id="3" w:name="_Toc172077416"/>
      <w:bookmarkStart w:id="4" w:name="_Toc3108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组织开展人大换届工作，召开乡人民代表大会，组织人大代表依法开展视察、调研和监督，办理人大代表建议或议案，开展民生实事项目票决制并进行监督，支持人大代表依法履职。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推进绿色能源及竹木加工业发展，建设集中式屋顶光伏；扩大“七姊妹”辣椒种植；打造“生态石蛙、黄鸭叫、水库鱼、鲜干竹笋”林下特色种养产业集群；建设500亩糯高粱集中示范基地。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负责瑶族文化传承与保护工作，开展民族文化交流和乡成立逢十周年庆祝活动。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打造桐木漯“山上有风车、山中有瑶寨、山下有平湖、山前有古居”的“瑶韵风林”“四山”文旅融合品牌。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坚持党管武装，负责兵役登记、兵员征集、民兵整组、国防动员、国防教育，加快乡村退役军人荣誉墙建设，推进“双拥”共建。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承办12345热线和网上群众工作云平台等转办的涉及本乡职责权限内事项。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417"/>
      <w:bookmarkStart w:id="6" w:name="_Toc172077552"/>
      <w:bookmarkStart w:id="7" w:name="_Toc172077950"/>
      <w:bookmarkStart w:id="8" w:name="_Toc1181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1.牵头制定“两癌”筛查项目计划，做好检查技术服务、救助控制、督导监测、经费拨付等工作机制，确保检查有序开展。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2.加强对生猪屠宰活动的日常监督检查，建立建全随机抽查机制，加强对生猪定点屠宰厂（场）质量安全管理状况的监督检查；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2.对非本乡户籍的流浪乞讨人员，及时联系县民政局、县公安局将其护送到救助站。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2.开展乡村咨询论证会，梳理上报乡村意见；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3.对修改完善的乡规划成果进行审议；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6.负责做好全区供电线路及设备的除雪防冻、检查、维护和抢修等工作，及时排除电力设施障碍和恢复电力供应，确保供电安全。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3.开展本乡防洪工程、山洪灾害危险区、地质灾害隐患点等各类风险隐患点巡查巡护、隐患排查；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5.组建乡村两级食品安全协管员和信息员队伍。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监督管理</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951"/>
      <w:bookmarkStart w:id="10" w:name="_Toc172077553"/>
      <w:bookmarkStart w:id="11" w:name="_Toc172077418"/>
      <w:bookmarkStart w:id="12" w:name="_Toc3802"/>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D3F0242-F5BD-43FB-9597-31C69B76D22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ADFC32E2-F16D-41FB-A3B7-0FA9323E6E92}"/>
  </w:font>
  <w:font w:name="方正公文仿宋">
    <w:altName w:val="仿宋"/>
    <w:panose1 w:val="02000000000000000000"/>
    <w:charset w:val="86"/>
    <w:family w:val="auto"/>
    <w:pitch w:val="default"/>
    <w:sig w:usb0="00000000" w:usb1="00000000" w:usb2="00000010" w:usb3="00000000" w:csb0="00040000" w:csb1="00000000"/>
    <w:embedRegular r:id="rId3" w:fontKey="{B37ACD39-6124-4CAD-805E-9106150654BC}"/>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F81AB491-0B84-4DB7-BF91-5728661D9DF7}"/>
  </w:font>
  <w:font w:name="方正小标宋_GBK">
    <w:panose1 w:val="02000000000000000000"/>
    <w:charset w:val="86"/>
    <w:family w:val="script"/>
    <w:pitch w:val="default"/>
    <w:sig w:usb0="A00002BF" w:usb1="38CF7CFA" w:usb2="00082016" w:usb3="00000000" w:csb0="00040001" w:csb1="00000000"/>
    <w:embedRegular r:id="rId5" w:fontKey="{73C75BDC-9D26-45B9-8E0F-F4369D4D2389}"/>
  </w:font>
  <w:font w:name="方正公文黑体">
    <w:altName w:val="黑体"/>
    <w:panose1 w:val="02000000000000000000"/>
    <w:charset w:val="86"/>
    <w:family w:val="auto"/>
    <w:pitch w:val="default"/>
    <w:sig w:usb0="00000000" w:usb1="00000000" w:usb2="00000010" w:usb3="00000000" w:csb0="00040000" w:csb1="00000000"/>
    <w:embedRegular r:id="rId6" w:fontKey="{6313F6F7-B738-4128-B8A4-454EEFC1234C}"/>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24B26EA"/>
    <w:rsid w:val="17C506D0"/>
    <w:rsid w:val="3145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37896</Words>
  <Characters>38891</Characters>
  <Lines>1</Lines>
  <Paragraphs>1</Paragraphs>
  <TotalTime>0</TotalTime>
  <ScaleCrop>false</ScaleCrop>
  <LinksUpToDate>false</LinksUpToDate>
  <CharactersWithSpaces>39177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2025-07-15T02:45:53Z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eyJoZGlkIjoiNzkxYmM1MzIxNWIwNjMyNDRiZGIxYzg1OWVlYzJkNmUiLCJ1c2VySWQiOiIxMDQwNjgyOTk3In0=</vt:lpwstr>
  </property>
  <property fmtid="{D5CDD505-2E9C-101B-9397-08002B2CF9AE}" pid="3" name="KSOProductBuildVer">
    <vt:lpwstr>2052-12.1.0.15712</vt:lpwstr>
  </property>
  <property fmtid="{D5CDD505-2E9C-101B-9397-08002B2CF9AE}" pid="4" name="ICV">
    <vt:lpwstr>9AD1B858D4BD4B438153C2147458353C_13</vt:lpwstr>
  </property>
</Properties>
</file>