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湖南省永州市宁远县湾井镇人民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25024"/>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271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3" w:name="_GoBack"/>
          <w:bookmarkEnd w:id="13"/>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_Toc10251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_Toc10251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_Toc8231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_Toc8231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_Toc15499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_Toc15499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49</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551"/>
      <w:bookmarkStart w:id="2" w:name="_Toc172077416"/>
      <w:bookmarkStart w:id="3" w:name="_Toc172077949"/>
      <w:bookmarkStart w:id="4" w:name="_Toc102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度挖掘湾井特色，结合中国农业大学宁远科技小院科研成果，大力发展大米、淮山、鸡蛋、状元水丸子、兰海酿辣椒等特色农产品及美食，深度融合创新品牌，打造“远山坝”品牌，发展壮大宁远县十里画廊农旅专业合作社联合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充分挖掘红军文化、状元文化、民俗文化、朵山书画文化等乡村文化旅游资源，依托下灌村4A级景区、东江村民俗博物馆、十里画廊等景点，倾力打造片区旅游，推动农文旅研深度融合发展。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552"/>
      <w:bookmarkStart w:id="6" w:name="_Toc172077950"/>
      <w:bookmarkStart w:id="7" w:name="_Toc172077417"/>
      <w:bookmarkStart w:id="8" w:name="_Toc823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4.对永久性基本农田“非粮化”情况进行全面摸底，掌握具体情况，并对不同类型的“非粮化”行为进行分类处置；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418"/>
      <w:bookmarkStart w:id="10" w:name="_Toc172077951"/>
      <w:bookmarkStart w:id="11" w:name="_Toc172077553"/>
      <w:bookmarkStart w:id="12" w:name="_Toc15499"/>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3ED5DF1-A322-46B3-B41B-718AFF33EB6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D0467D40-D108-49F4-A131-4FD7F2EE3D7E}"/>
  </w:font>
  <w:font w:name="方正公文仿宋">
    <w:altName w:val="仿宋"/>
    <w:panose1 w:val="02000000000000000000"/>
    <w:charset w:val="86"/>
    <w:family w:val="auto"/>
    <w:pitch w:val="default"/>
    <w:sig w:usb0="00000000" w:usb1="00000000" w:usb2="00000010" w:usb3="00000000" w:csb0="00040000" w:csb1="00000000"/>
    <w:embedRegular r:id="rId3" w:fontKey="{F75BB6DC-E332-4001-BF3A-B6D020BB8785}"/>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FBC533BC-AB5E-45C4-83B4-3467F1099414}"/>
  </w:font>
  <w:font w:name="方正小标宋_GBK">
    <w:altName w:val="微软雅黑"/>
    <w:panose1 w:val="00000000000000000000"/>
    <w:charset w:val="86"/>
    <w:family w:val="script"/>
    <w:pitch w:val="default"/>
    <w:sig w:usb0="00000000" w:usb1="00000000" w:usb2="00000000" w:usb3="00000000" w:csb0="00040000" w:csb1="00000000"/>
    <w:embedRegular r:id="rId5" w:fontKey="{0E78EABF-CB08-43B2-85FB-96B2E0A9F921}"/>
  </w:font>
  <w:font w:name="方正公文黑体">
    <w:altName w:val="黑体"/>
    <w:panose1 w:val="02000000000000000000"/>
    <w:charset w:val="86"/>
    <w:family w:val="auto"/>
    <w:pitch w:val="default"/>
    <w:sig w:usb0="00000000" w:usb1="00000000" w:usb2="00000010" w:usb3="00000000" w:csb0="00040000" w:csb1="00000000"/>
    <w:embedRegular r:id="rId6" w:fontKey="{D501D4CF-E0B6-41EF-BB26-E0D038A32991}"/>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0EB44F3"/>
    <w:rsid w:val="5C0C2945"/>
    <w:rsid w:val="6493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38145</Words>
  <Characters>39146</Characters>
  <Lines>1</Lines>
  <Paragraphs>1</Paragraphs>
  <TotalTime>0</TotalTime>
  <ScaleCrop>false</ScaleCrop>
  <LinksUpToDate>false</LinksUpToDate>
  <CharactersWithSpaces>39432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2025-07-15T02:47:49Z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eyJoZGlkIjoiNDdmODEzMDQwOThmYTkzNDExMWY5NDJjMWQ5YWZjYzkiLCJ1c2VySWQiOiI0MTIwNDE4NTcifQ==</vt:lpwstr>
  </property>
  <property fmtid="{D5CDD505-2E9C-101B-9397-08002B2CF9AE}" pid="3" name="KSOProductBuildVer">
    <vt:lpwstr>2052-12.1.0.15712</vt:lpwstr>
  </property>
  <property fmtid="{D5CDD505-2E9C-101B-9397-08002B2CF9AE}" pid="4" name="ICV">
    <vt:lpwstr>33F4B637BBCE4EDA9C615F4AE5EBC58A_13</vt:lpwstr>
  </property>
</Properties>
</file>