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湖南省永州市宁远县水市镇人民</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11207"/>
      <w:r>
        <w:rPr>
          <w:rFonts w:hint="eastAsia" w:ascii="Times New Roman" w:hAnsi="方正公文小标宋" w:eastAsia="方正公文小标宋"/>
          <w:snapToGrid/>
          <w:kern w:val="0"/>
          <w:sz w:val="84"/>
          <w:szCs w:val="84"/>
        </w:rPr>
        <w:t>政府履行职责事项清单</w:t>
      </w:r>
      <w:bookmarkEnd w:id="0"/>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029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_Toc28735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_Toc28735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_Toc1848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_Toc1848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13</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_Toc28831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_Toc28831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50</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28735"/>
      <w:bookmarkStart w:id="2" w:name="_Toc172077416"/>
      <w:bookmarkStart w:id="3" w:name="_Toc172077551"/>
      <w:bookmarkStart w:id="4"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val="en-US" w:eastAsia="zh-CN" w:bidi="ar"/>
              </w:rPr>
              <w:t>社区）</w:t>
            </w:r>
            <w:r>
              <w:rPr>
                <w:rFonts w:hint="eastAsia" w:ascii="Times New Roman" w:hAnsi="方正公文仿宋" w:eastAsia="方正公文仿宋"/>
                <w:kern w:val="0"/>
                <w:szCs w:val="21"/>
                <w:lang w:bidi="ar"/>
              </w:rPr>
              <w:t>“两委”干部的教育、培训、监督、考核、评先评优、薪资福利工作，抓好村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w:t>
            </w:r>
            <w:r>
              <w:rPr>
                <w:rFonts w:hint="eastAsia" w:ascii="Times New Roman" w:hAnsi="方正公文仿宋" w:eastAsia="方正公文仿宋"/>
                <w:kern w:val="0"/>
                <w:szCs w:val="21"/>
                <w:lang w:eastAsia="zh-CN" w:bidi="ar"/>
              </w:rPr>
              <w:t>（居）</w:t>
            </w:r>
            <w:r>
              <w:rPr>
                <w:rFonts w:hint="eastAsia" w:ascii="Times New Roman" w:hAnsi="方正公文仿宋" w:eastAsia="方正公文仿宋"/>
                <w:kern w:val="0"/>
                <w:szCs w:val="21"/>
                <w:lang w:bidi="ar"/>
              </w:rPr>
              <w:t>民委员会、村</w:t>
            </w:r>
            <w:r>
              <w:rPr>
                <w:rFonts w:hint="eastAsia" w:ascii="Times New Roman" w:hAnsi="方正公文仿宋" w:eastAsia="方正公文仿宋"/>
                <w:kern w:val="0"/>
                <w:szCs w:val="21"/>
                <w:lang w:eastAsia="zh-CN" w:bidi="ar"/>
              </w:rPr>
              <w:t>（居）</w:t>
            </w:r>
            <w:r>
              <w:rPr>
                <w:rFonts w:hint="eastAsia" w:ascii="Times New Roman" w:hAnsi="方正公文仿宋" w:eastAsia="方正公文仿宋"/>
                <w:kern w:val="0"/>
                <w:szCs w:val="21"/>
                <w:lang w:bidi="ar"/>
              </w:rPr>
              <w:t>务监督委员会规范化建设和换届指导工作，建立健全议事决策和监督机制，支持村</w:t>
            </w:r>
            <w:r>
              <w:rPr>
                <w:rFonts w:hint="eastAsia" w:ascii="Times New Roman" w:hAnsi="方正公文仿宋" w:eastAsia="方正公文仿宋"/>
                <w:kern w:val="0"/>
                <w:szCs w:val="21"/>
                <w:lang w:eastAsia="zh-CN" w:bidi="ar"/>
              </w:rPr>
              <w:t>（居）</w:t>
            </w:r>
            <w:r>
              <w:rPr>
                <w:rFonts w:hint="eastAsia" w:ascii="Times New Roman" w:hAnsi="方正公文仿宋" w:eastAsia="方正公文仿宋"/>
                <w:kern w:val="0"/>
                <w:szCs w:val="21"/>
                <w:lang w:bidi="ar"/>
              </w:rPr>
              <w:t>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）党群（便民）服务中心（站）标准化、规范化建设及活动场所的管理，规范党徽党旗的使用和村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级党务、财务、村</w:t>
            </w:r>
            <w:r>
              <w:rPr>
                <w:rFonts w:hint="eastAsia" w:ascii="Times New Roman" w:hAnsi="方正公文仿宋" w:eastAsia="方正公文仿宋"/>
                <w:kern w:val="0"/>
                <w:szCs w:val="21"/>
                <w:lang w:eastAsia="zh-CN" w:bidi="ar"/>
              </w:rPr>
              <w:t>（居）</w:t>
            </w:r>
            <w:r>
              <w:rPr>
                <w:rFonts w:hint="eastAsia" w:ascii="Times New Roman" w:hAnsi="方正公文仿宋" w:eastAsia="方正公文仿宋"/>
                <w:kern w:val="0"/>
                <w:szCs w:val="21"/>
                <w:lang w:bidi="ar"/>
              </w:rPr>
              <w:t>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拓宽乡村振兴产业渠道，发展油茶、水稻、鹰嘴桃、黄金贡柚、奈李、沃柑、手工红薯粉等特色农产品，培育壮大九嶷山兔、肉牛养殖、鳗鱼养殖等产业。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依托水市人文特色，大力扶持推广水市大菜、卜家干鱼、土匪菜、灯盏粑粑、水市糯米冰棍等美食特色品牌。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制定或修订村规民约</w:t>
            </w:r>
            <w:r>
              <w:rPr>
                <w:rFonts w:hint="eastAsia" w:ascii="Times New Roman" w:hAnsi="方正公文仿宋" w:eastAsia="方正公文仿宋"/>
                <w:kern w:val="0"/>
                <w:szCs w:val="21"/>
                <w:lang w:eastAsia="zh-CN" w:bidi="ar"/>
              </w:rPr>
              <w:t>（居民公约）</w:t>
            </w:r>
            <w:r>
              <w:rPr>
                <w:rFonts w:hint="eastAsia" w:ascii="Times New Roman" w:hAnsi="方正公文仿宋" w:eastAsia="方正公文仿宋"/>
                <w:kern w:val="0"/>
                <w:szCs w:val="21"/>
                <w:lang w:bidi="ar"/>
              </w:rPr>
              <w:t>、成立红白理事会、道德评议会、村</w:t>
            </w:r>
            <w:r>
              <w:rPr>
                <w:rFonts w:hint="eastAsia" w:ascii="Times New Roman" w:hAnsi="方正公文仿宋" w:eastAsia="方正公文仿宋"/>
                <w:kern w:val="0"/>
                <w:szCs w:val="21"/>
                <w:lang w:eastAsia="zh-CN" w:bidi="ar"/>
              </w:rPr>
              <w:t>（居）</w:t>
            </w:r>
            <w:r>
              <w:rPr>
                <w:rFonts w:hint="eastAsia" w:ascii="Times New Roman" w:hAnsi="方正公文仿宋" w:eastAsia="方正公文仿宋"/>
                <w:kern w:val="0"/>
                <w:szCs w:val="21"/>
                <w:lang w:bidi="ar"/>
              </w:rPr>
              <w:t>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做好传统村落、历史文化名村的保护工作，加强冬瓜冲村土楼建筑技艺的保护和传承。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挖掘乡村旅游资源，打造大界、水市社区、游鱼井、上游、冬瓜冲等乡村旅游景点，推动农文旅深度融合发展。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利用大界村“红军长征故道”、烈士陵园、先锋村红军墙、红军桥、周家村红军指挥部旧址（祠堂），小南海战斗遗址，发展红色旅游产业。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级财务监督管理、代理村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级财务会计记账和核算、村</w:t>
            </w:r>
            <w:r>
              <w:rPr>
                <w:rFonts w:hint="eastAsia" w:ascii="Times New Roman" w:hAnsi="方正公文仿宋" w:eastAsia="方正公文仿宋"/>
                <w:kern w:val="0"/>
                <w:szCs w:val="21"/>
                <w:lang w:eastAsia="zh-CN" w:bidi="ar"/>
              </w:rPr>
              <w:t>（居）</w:t>
            </w:r>
            <w:r>
              <w:rPr>
                <w:rFonts w:hint="eastAsia" w:ascii="Times New Roman" w:hAnsi="方正公文仿宋" w:eastAsia="方正公文仿宋"/>
                <w:kern w:val="0"/>
                <w:szCs w:val="21"/>
                <w:lang w:bidi="ar"/>
              </w:rPr>
              <w:t>民委员会财务审计和村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950"/>
      <w:bookmarkStart w:id="6" w:name="_Toc172077552"/>
      <w:bookmarkStart w:id="7" w:name="_Toc172077417"/>
      <w:bookmarkStart w:id="8" w:name="_Toc1848"/>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w:t>
            </w:r>
            <w:bookmarkStart w:id="13" w:name="_GoBack"/>
            <w:r>
              <w:rPr>
                <w:rFonts w:hint="eastAsia" w:ascii="Times New Roman" w:hAnsi="方正公文仿宋" w:eastAsia="方正公文仿宋"/>
                <w:kern w:val="0"/>
                <w:szCs w:val="21"/>
                <w:lang w:bidi="ar"/>
              </w:rPr>
              <w:t>县人社局</w:t>
            </w:r>
            <w:bookmarkEnd w:id="13"/>
            <w:r>
              <w:rPr>
                <w:rFonts w:hint="eastAsia" w:ascii="Times New Roman" w:hAnsi="方正公文仿宋" w:eastAsia="方正公文仿宋"/>
                <w:kern w:val="0"/>
                <w:szCs w:val="21"/>
                <w:lang w:bidi="ar"/>
              </w:rPr>
              <w:t>办理工资异动审批手续。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做好涔天河灌区渠道建设后续管护工作。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1.根据需要，向上级汇报，按实际增设出水口；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2.负责协调后续遗留问题处理，包括人行便桥，耕地水渠水沟恢复、拖欠农民工工资等问题。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1.巡查发现安全隐患并及时上报；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2.做好群众工作和矛盾纠纷调解。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val="en-US" w:eastAsia="zh-CN" w:bidi="ar"/>
              </w:rPr>
              <w:t>九</w:t>
            </w:r>
            <w:r>
              <w:rPr>
                <w:rStyle w:val="16"/>
                <w:rFonts w:hint="eastAsia" w:ascii="Times New Roman" w:hAnsi="方正公文黑体" w:eastAsia="方正公文黑体"/>
                <w:color w:val="auto"/>
                <w:lang w:bidi="ar"/>
              </w:rPr>
              <w:t>、社会保障（3项）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一</w:t>
            </w:r>
            <w:r>
              <w:rPr>
                <w:rStyle w:val="16"/>
                <w:rFonts w:hint="eastAsia" w:ascii="Times New Roman" w:hAnsi="方正公文黑体" w:eastAsia="方正公文黑体"/>
                <w:color w:val="auto"/>
                <w:lang w:bidi="ar"/>
              </w:rPr>
              <w:t>、生态环保（6项）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二</w:t>
            </w:r>
            <w:r>
              <w:rPr>
                <w:rStyle w:val="16"/>
                <w:rFonts w:hint="eastAsia" w:ascii="Times New Roman" w:hAnsi="方正公文黑体" w:eastAsia="方正公文黑体"/>
                <w:color w:val="auto"/>
                <w:lang w:bidi="ar"/>
              </w:rPr>
              <w:t>、城乡建设（6项）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三</w:t>
            </w:r>
            <w:r>
              <w:rPr>
                <w:rStyle w:val="16"/>
                <w:rFonts w:hint="eastAsia" w:ascii="Times New Roman" w:hAnsi="方正公文黑体" w:eastAsia="方正公文黑体"/>
                <w:color w:val="auto"/>
                <w:lang w:bidi="ar"/>
              </w:rPr>
              <w:t>、交通运输（1项）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四</w:t>
            </w:r>
            <w:r>
              <w:rPr>
                <w:rStyle w:val="16"/>
                <w:rFonts w:hint="eastAsia" w:ascii="Times New Roman" w:hAnsi="方正公文黑体" w:eastAsia="方正公文黑体"/>
                <w:color w:val="auto"/>
                <w:lang w:bidi="ar"/>
              </w:rPr>
              <w:t>、文化和旅游（3项）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五</w:t>
            </w:r>
            <w:r>
              <w:rPr>
                <w:rStyle w:val="16"/>
                <w:rFonts w:hint="eastAsia" w:ascii="Times New Roman" w:hAnsi="方正公文黑体" w:eastAsia="方正公文黑体"/>
                <w:color w:val="auto"/>
                <w:lang w:bidi="ar"/>
              </w:rPr>
              <w:t>、卫生健康（3项）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六</w:t>
            </w:r>
            <w:r>
              <w:rPr>
                <w:rStyle w:val="16"/>
                <w:rFonts w:hint="eastAsia" w:ascii="Times New Roman" w:hAnsi="方正公文黑体" w:eastAsia="方正公文黑体"/>
                <w:color w:val="auto"/>
                <w:lang w:bidi="ar"/>
              </w:rPr>
              <w:t>、应急管理及消防（8项）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七</w:t>
            </w:r>
            <w:r>
              <w:rPr>
                <w:rStyle w:val="16"/>
                <w:rFonts w:hint="eastAsia" w:ascii="Times New Roman" w:hAnsi="方正公文黑体" w:eastAsia="方正公文黑体"/>
                <w:color w:val="auto"/>
                <w:lang w:bidi="ar"/>
              </w:rPr>
              <w:t>、市场监管（2项）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28831"/>
      <w:bookmarkStart w:id="10" w:name="_Toc172077418"/>
      <w:bookmarkStart w:id="11" w:name="_Toc172077951"/>
      <w:bookmarkStart w:id="12" w:name="_Toc172077553"/>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6EBFA56-8B96-4FB8-A0C4-9B942B646B2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5C476E65-4FD2-4ACA-B029-7BB20BA22402}"/>
  </w:font>
  <w:font w:name="方正公文仿宋">
    <w:altName w:val="仿宋"/>
    <w:panose1 w:val="02000000000000000000"/>
    <w:charset w:val="86"/>
    <w:family w:val="auto"/>
    <w:pitch w:val="default"/>
    <w:sig w:usb0="00000000" w:usb1="00000000" w:usb2="00000010" w:usb3="00000000" w:csb0="00040000" w:csb1="00000000"/>
    <w:embedRegular r:id="rId3" w:fontKey="{78E6EB10-1432-4331-94BF-D33BFBEFEC6D}"/>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6B0A706A-BD81-4BF0-828E-B7B8184D83F7}"/>
  </w:font>
  <w:font w:name="方正小标宋_GBK">
    <w:panose1 w:val="02000000000000000000"/>
    <w:charset w:val="86"/>
    <w:family w:val="script"/>
    <w:pitch w:val="default"/>
    <w:sig w:usb0="A00002BF" w:usb1="38CF7CFA" w:usb2="00082016" w:usb3="00000000" w:csb0="00040001" w:csb1="00000000"/>
    <w:embedRegular r:id="rId5" w:fontKey="{8776A026-C687-4DF2-822B-6367B2A3E9C0}"/>
  </w:font>
  <w:font w:name="方正公文黑体">
    <w:panose1 w:val="02000500000000000000"/>
    <w:charset w:val="86"/>
    <w:family w:val="auto"/>
    <w:pitch w:val="default"/>
    <w:sig w:usb0="A00002BF" w:usb1="38CF7CFA" w:usb2="00000016" w:usb3="00000000" w:csb0="00040001" w:csb1="00000000"/>
    <w:embedRegular r:id="rId6" w:fontKey="{D92B126D-7C32-4A53-A54B-00D251BF26B2}"/>
  </w:font>
  <w:font w:name="方正仿宋简体">
    <w:altName w:val="微软雅黑"/>
    <w:panose1 w:val="00000000000000000000"/>
    <w:charset w:val="86"/>
    <w:family w:val="auto"/>
    <w:pitch w:val="default"/>
    <w:sig w:usb0="00000000" w:usb1="00000000" w:usb2="00000000" w:usb3="00000000" w:csb0="00040000" w:csb1="00000000"/>
    <w:embedRegular r:id="rId7" w:fontKey="{63E7D910-367B-4F60-81A7-C9BDE9F8AA66}"/>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36C52BA"/>
    <w:rsid w:val="06AE3D97"/>
    <w:rsid w:val="09CE3AAA"/>
    <w:rsid w:val="0BA63A89"/>
    <w:rsid w:val="0BD5447F"/>
    <w:rsid w:val="0E391AB1"/>
    <w:rsid w:val="0E8A7E3C"/>
    <w:rsid w:val="10182E93"/>
    <w:rsid w:val="115350C8"/>
    <w:rsid w:val="11DF0A6D"/>
    <w:rsid w:val="147C10A3"/>
    <w:rsid w:val="16E30754"/>
    <w:rsid w:val="1808630A"/>
    <w:rsid w:val="1A1C4CF1"/>
    <w:rsid w:val="1A3674DF"/>
    <w:rsid w:val="1A70017D"/>
    <w:rsid w:val="25DF2B3E"/>
    <w:rsid w:val="2F0957D2"/>
    <w:rsid w:val="30051C7D"/>
    <w:rsid w:val="31AB0563"/>
    <w:rsid w:val="35325715"/>
    <w:rsid w:val="361901FE"/>
    <w:rsid w:val="3DA54918"/>
    <w:rsid w:val="41243966"/>
    <w:rsid w:val="461B536E"/>
    <w:rsid w:val="48194A85"/>
    <w:rsid w:val="499F0DB5"/>
    <w:rsid w:val="4C532ADA"/>
    <w:rsid w:val="4F477C20"/>
    <w:rsid w:val="4F625FE5"/>
    <w:rsid w:val="51113B69"/>
    <w:rsid w:val="56AD4A20"/>
    <w:rsid w:val="59B960C5"/>
    <w:rsid w:val="5CE82AF2"/>
    <w:rsid w:val="616844A7"/>
    <w:rsid w:val="63847915"/>
    <w:rsid w:val="63CE715B"/>
    <w:rsid w:val="651824B1"/>
    <w:rsid w:val="65414924"/>
    <w:rsid w:val="69644797"/>
    <w:rsid w:val="69B7696B"/>
    <w:rsid w:val="6E724746"/>
    <w:rsid w:val="709020CD"/>
    <w:rsid w:val="73807372"/>
    <w:rsid w:val="7CB87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38241</Words>
  <Characters>39250</Characters>
  <Lines>1</Lines>
  <Paragraphs>1</Paragraphs>
  <TotalTime>5</TotalTime>
  <ScaleCrop>false</ScaleCrop>
  <LinksUpToDate>false</LinksUpToDate>
  <CharactersWithSpaces>39545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2025-07-18T01:15:41Z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eyJoZGlkIjoiYTBlNDAwOWY0YzI5NGUxZTg4MzVmNDZkMmZiZTRhZDciLCJ1c2VySWQiOiI0NTU0MzQ0ODMifQ==</vt:lpwstr>
  </property>
  <property fmtid="{D5CDD505-2E9C-101B-9397-08002B2CF9AE}" pid="3" name="KSOProductBuildVer">
    <vt:lpwstr>2052-12.1.0.15712</vt:lpwstr>
  </property>
  <property fmtid="{D5CDD505-2E9C-101B-9397-08002B2CF9AE}" pid="4" name="ICV">
    <vt:lpwstr>C798034501884964ACF2FA6ADC65CF7A_13</vt:lpwstr>
  </property>
</Properties>
</file>