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湖南省永州市宁远县舜陵街道办</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2837"/>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bookmarkStart w:id="12" w:name="_GoBack"/>
          <w:bookmarkEnd w:id="12"/>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color w:val="auto"/>
              <w:spacing w:val="7"/>
              <w:sz w:val="32"/>
              <w:szCs w:val="32"/>
              <w:lang w:eastAsia="zh-CN"/>
            </w:rPr>
            <w:instrText xml:space="preserve">TOC \o "1-1" \h \u </w:instrText>
          </w:r>
          <w:r>
            <w:rPr>
              <w:rFonts w:hint="eastAsia" w:ascii="方正公文小标宋" w:hAnsi="方正公文小标宋" w:eastAsia="方正公文小标宋" w:cs="方正公文小标宋"/>
              <w:color w:val="auto"/>
              <w:spacing w:val="7"/>
              <w:sz w:val="32"/>
              <w:szCs w:val="32"/>
              <w:lang w:eastAsia="zh-CN"/>
            </w:rPr>
            <w:fldChar w:fldCharType="separate"/>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_Toc23687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_Toc23687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_Toc1736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_Toc1736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12</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_Toc29609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_Toc29609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61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
            <w:jc w:val="both"/>
            <w:outlineLvl w:val="9"/>
            <w:rPr>
              <w:rFonts w:ascii="Times New Roman" w:hAnsi="Times New Roman" w:eastAsia="方正小标宋_GBK" w:cs="Times New Roman"/>
              <w:color w:val="auto"/>
              <w:spacing w:val="7"/>
              <w:sz w:val="44"/>
              <w:szCs w:val="44"/>
              <w:lang w:eastAsia="zh-CN"/>
            </w:rPr>
          </w:pPr>
          <w:r>
            <w:rPr>
              <w:rFonts w:hint="eastAsia" w:ascii="方正公文小标宋" w:hAnsi="方正公文小标宋" w:eastAsia="方正公文小标宋" w:cs="方正公文小标宋"/>
              <w:color w:val="auto"/>
              <w:spacing w:val="7"/>
              <w:sz w:val="32"/>
              <w:szCs w:val="32"/>
              <w:lang w:eastAsia="zh-CN"/>
            </w:rPr>
            <w:fldChar w:fldCharType="end"/>
          </w:r>
        </w:p>
      </w:sdtContent>
    </w:sdt>
    <w:p>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23687"/>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负责村（社区）“两委”干部的教育、培训、监督、考核、评先评优、薪资福利工作，抓好村（社区）“两委”干部后备力量培育储备。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负责街道党工委下辖党组织的成立、撤销、调整、换届和管理，整顿软弱涣散基层党组织，指导落实“三会一课”、主题党日，组织开展“双述双评”工作。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落实党建引领基层治理工作，加强村（居）民委员会、村（居）务监督委员会规范化建设和换届指导工作，建立健全议事决策和监督机制，支持村（居）民委员会依法开展自治活动,提升管理服务效能。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联络、服务辖区上级党代表，推动党代表积极履职。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负责街道村（社区）党群(便民）服务中心（站）标准化、规范化建设及活动场所的管理，规范党徽党旗的使用和村级组织活动场所挂牌。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加强城市社区党建工作，打造党建引领城市“四化”（组织体系化、管理智能化、治理协同化、服务精细化）治理品牌。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选举县人大代表，加强人大代表履职平台建设，组织人大代表开展视察调研，办理人大代表议案、建议，落实街道居民议事机制。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负责街道村（社区）妇联组织建设，宣传普及妇女儿童相关法律法规，关心关爱、服务妇女儿童，维护妇女儿童合法权益，引导培育良好家风，促进妇女全面发展。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负责法律顾问日常管理，指导做好村（社区）公共法律服务等工作。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倡导、推进移风易俗，指导村（社区）制定或修订村（居）规民约、成立红白理事会、道德评议会、村民议事会、禁毒禁赌会，积极推进婚事新办、丧事简办、孝亲敬老。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加强志愿者队伍建设，开展志愿服务工作。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督促落实“门前三包”责任制，保持门前环境整洁畅通有序，维护责任区内绿化设施。</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加强日常巡查，发现违反土地管理法律法规行为线索及时核实查处，对超出权限的及时上报。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开展大气、油烟污染防治宣传教育工作，制止、上报无需专业力量即可判定的大气、油烟环境污染和生态破坏行为。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负责辖区老旧小区、雨污分流管网、城区背街小巷提质改造政策宣传、摸底、申报工作，调处项目实施过程中的矛盾纠纷。</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挖掘乡村旅游资源，打造乡村旅游景点，推动农文旅深度融合发展。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tblPrEx>
          <w:tblCellMar>
            <w:top w:w="0" w:type="dxa"/>
            <w:left w:w="108" w:type="dxa"/>
            <w:bottom w:w="0" w:type="dxa"/>
            <w:right w:w="108" w:type="dxa"/>
          </w:tblCellMar>
        </w:tblPrEx>
        <w:trPr>
          <w:cantSplit/>
          <w:trHeight w:val="9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坚持党管武装，负责兵役登记、兵员征集、民兵整组、国防动员、国防教育，加快街道、村（社区）退役军人荣誉墙建设，推进“双拥”共建。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承办12345热线和网上群众工作云平台等转办的涉及本街道职责权限内事项。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依法组织开展村级财务监督管理、代理村级财务会计记账和核算、村（居）民委员会财务审计和村（社区）“两委”班子成员任期经济责任审计。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1736"/>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2.出具村（社区）党组织书记候选人预备人选现实表现材料。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1.对县直机关派驻街道机构人员进行业务指导、考核。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2.县直机关派驻街道机构主要负责人的任免、评先评优事前书面征求街道党工委意见。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3.推动成果综合运用，作为村（社区）“两委”换届的重要依据。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按照“一人一档”要求，收集《村（社区）党组织书记基本情况备案表》、考核材料、学历材料、入党材料、表彰奖励材料、有关违纪违法情况的材料、任免材料并上报。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做好从乡镇（街道）事业编人员、优秀村党组织书记、到村任职过的选调生、第一书记、驻村工作队员“五方面人员”中择优选拔乡镇领导班子成员工作。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1.做好违规被抽借调街道人员摸底上报工作；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统一管理全县乡镇（街道）农村党员档案。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5.机关事业单位工作人员工资异动后及时向县委组织部、县人社局办理工资异动审批手续。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1.牵头完善党的组织体系和工作体系，指导加强小区党建联建。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2.将小区党群活动中心用房和居民公益性服务设施列入交房验收环节，并按县自然资源局规划条件要求验收；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1.深入调查摸底，确定小区是否具备成立党支部条件；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2.选优小区党支部书记，配强支委班子；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4.督促小区党支部规范开展党组织活动。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5.负责听取街道党工委工作汇报，以及组织人事、意识形态、保密工作、上轮巡察整改情况专题汇报。涉及重要问题需单独谈话的，可按规定开展“一对一”谈话；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1.召开专题会议，学习中央、省委、市委、县委关于巡察工作新精神、新要求新部署，研究配合巡察工作的有关工作安排；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县委社工部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加强城市社区专职工作人员队伍建设管理。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县委社工部：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1.负责牵头组织社区工作者招聘；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2.负责落实薪酬待遇保障，科学设定社区工作者薪酬构成和岗位等级薪酬标准，定期动态调整；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3.负责健全考核奖惩机制，制定社区工作者年度考核指导方案，健全新招聘社区专职工作人员试用期筛选机制，完善社区工作者罢免、解聘相关退出机制。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4.同县委社工部每年至少对社区党组织书记、社区居民委员会主任培训1次，对其他社区工作者每3年轮训1次。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1.负责牵头组织社区专职工作者招聘；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2.根据实际情况，有针对性地对社区党组织书记进行培养锻炼；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3.为社区专职工作人员建立人事档案，及时更新核对档案信息内容，由街道集中管理；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4.核实社区专职工作者工作年限，核算薪酬待遇；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5.组织对社区专职工作人员进行年度考核，并上报县委社会工作部。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206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244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336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2.受理街道及项目实施主体申报工作；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35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357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2.负责打击破坏电力设施的违法犯罪行为。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26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324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47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做好涔天河灌区渠道建设后续管护工作。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1.根据需要，向上级汇报，按实际增设出水口；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2.负责协调后续遗留问题处理，包括人行便桥，耕地水渠水沟恢复、拖欠农民工工资等问题。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1.巡查发现安全隐患并及时上报；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2.做好群众工作和矛盾纠纷调解。</w:t>
            </w:r>
          </w:p>
        </w:tc>
      </w:tr>
      <w:tr>
        <w:tblPrEx>
          <w:tblCellMar>
            <w:top w:w="0" w:type="dxa"/>
            <w:left w:w="108" w:type="dxa"/>
            <w:bottom w:w="0" w:type="dxa"/>
            <w:right w:w="108" w:type="dxa"/>
          </w:tblCellMar>
        </w:tblPrEx>
        <w:trPr>
          <w:cantSplit/>
          <w:trHeight w:val="24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391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680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97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 w:val="18"/>
                <w:szCs w:val="18"/>
                <w:lang w:bidi="ar"/>
              </w:rPr>
              <w:t>县</w:t>
            </w:r>
            <w:r>
              <w:rPr>
                <w:rFonts w:hint="eastAsia" w:ascii="Times New Roman" w:hAnsi="方正公文仿宋" w:eastAsia="方正公文仿宋" w:cs="Arial"/>
                <w:kern w:val="0"/>
                <w:sz w:val="18"/>
                <w:szCs w:val="18"/>
                <w:lang w:bidi="ar"/>
              </w:rPr>
              <w:t>委政法委：</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1.负责校园周边环境综合治理工作的统筹协调。</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县教育局：</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2.组织全县中小学校进行排查摸底。</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县公安局：</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4.打击非法载运学生行为。</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县应急管理局：</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县文化旅游广电体育局：</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6.加强学校及周边文化市场监管，开展校园周边文化市场综合整治。</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县交通运输局：</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县市场监督管理局：</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8.负责查处学校及周边有证经营场所的“三无”食品；</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9.加强对学校及周边食品安全监督管理，严防中毒事故发生。</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县住房和城乡建设局：</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10.校园及周边限额以上房屋建筑工程安全监督管理。</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县城市管理和综合执法局：</w:t>
            </w:r>
            <w:r>
              <w:rPr>
                <w:rFonts w:hint="eastAsia" w:ascii="Times New Roman" w:hAnsi="方正公文仿宋" w:eastAsia="方正公文仿宋" w:cs="Arial"/>
                <w:kern w:val="0"/>
                <w:sz w:val="18"/>
                <w:szCs w:val="18"/>
                <w:lang w:bidi="ar"/>
              </w:rPr>
              <w:br w:type="textWrapping"/>
            </w:r>
            <w:r>
              <w:rPr>
                <w:rFonts w:hint="eastAsia" w:ascii="Times New Roman" w:hAnsi="方正公文仿宋" w:eastAsia="方正公文仿宋" w:cs="Arial"/>
                <w:kern w:val="0"/>
                <w:sz w:val="18"/>
                <w:szCs w:val="18"/>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483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805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规范养犬行为。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1.负责办理养犬许可，捕杀狂犬、处置流浪犬；查处犬只扰民、放任犬只恐吓他人、纵犬伤人等违反治安管理的行为；查处未经允许养犬、违法携犬出户等违法行为。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犬只免疫监管，按照便民原则，设置犬只免疫点；负责犬只免疫，根据检疫申报依法对犬只出具检疫证明；建立犬只疫情监测网络，对犬只疫情进行监测；依法监督管理犬只诊疗、规模养殖等活动；依法审查和监督管理犬只留检场所的动物防疫条件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3.负责狂犬病等疾病的预防知识宣传：监测人患狂犬病等疫情；做好狂犬病毒暴露者的预防接种及诊治工作。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4.负责查处城市规划区内影响城市市容、环境卫生的养犬行为和违法占道进行犬只经营活动的行为；指导和监督公园、广场等公共场所设置犬只进入标识。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1.通过多种形式，开展依法养犬、文明养犬、狂犬病防治知识的宣传教育；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2.指导村（社区）协助开展养犬管理工作，对违法养犬行为予以劝阻，并向有关部门报告；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3.指导村（社区）以及居民住宅小区业主大会就本区域内养犬有关事项制定公约，并组织实施。</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291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3.参与制定农机补贴政策具体实施方案，开展政策解读。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289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382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424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9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31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439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31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做好农贸市场及周边秩序维护工作。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城市管理和综合执法局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1.监管市场经营主体，查处无照经营及违规经营行为；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2.排查食品等产品质量问题，保障商品质量安全；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3.规范市场交易秩序，调解消费纠纷矛盾。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4.整治市场周边占道经营乱象，规范市场周边摊位摆放秩序；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5.清理乱堆乱放杂物，维护周边市容环境；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6.查处市场周边私搭乱建行为，保障场地合规使用。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7.组织消防知识培训，排查消防设施隐患。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8.引导市场规范运营，推进市场升级改造，牵头组织市场安全隐患排查整改。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9.负责督促制定应急预案方案，落实安全制度，排查安全隐患。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1.开展市场周边巡查，发现问题及时上报；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2.对市场周边乱摆、乱占经营行为进行劝阻。</w:t>
            </w:r>
          </w:p>
        </w:tc>
      </w:tr>
      <w:tr>
        <w:tblPrEx>
          <w:tblCellMar>
            <w:top w:w="0" w:type="dxa"/>
            <w:left w:w="108" w:type="dxa"/>
            <w:bottom w:w="0" w:type="dxa"/>
            <w:right w:w="108" w:type="dxa"/>
          </w:tblCellMar>
        </w:tblPrEx>
        <w:trPr>
          <w:cantSplit/>
          <w:trHeight w:val="47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规范物业管理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1.负责对物业服务质量进行监督管理；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2.负责对物业招投标活动进行监督管理；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4.处理物业管理中的投诉、对专项维修资金缴存、使用情况进行监督管理，对尚未划分物业管理区域并已投入使用的，会同街道征求业主意见后予以核定划分。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5.对已评定的商品住宅物业服务等级进行备案审查。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1.依法监督指导业主大会成立、业主委员会的选举工作；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2.督促业主大会和业主委员会依法履行职责，调解物业管理纠纷，协调物业管理与社区建设关系；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4.依申请提供小区物业应急管理，指导督促居委会组织不超过一年的基本保洁、秩序维护等服务；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5、对辖区小区物业服务企业运行情况进行年度评估，并将结果反馈至县住建局。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277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510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2.对非本街道户籍的流浪乞讨人员，及时联系县民政局、县公安局将其护送到救助站。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3.对本街道户籍的流浪乞讨人员，及时通知其亲属接回，并</w:t>
            </w:r>
            <w:r>
              <w:rPr>
                <w:rFonts w:hint="eastAsia" w:ascii="Times New Roman" w:hAnsi="方正公文仿宋" w:eastAsia="方正公文仿宋"/>
                <w:kern w:val="0"/>
                <w:szCs w:val="21"/>
                <w:lang w:eastAsia="zh-CN" w:bidi="ar"/>
              </w:rPr>
              <w:t>给予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82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69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504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2.提供最新国土变更调查数据、规划底图，培训街道人员使用卫片系统；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80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十一、生态环保（8项）</w:t>
            </w:r>
          </w:p>
        </w:tc>
      </w:tr>
      <w:tr>
        <w:tblPrEx>
          <w:tblCellMar>
            <w:top w:w="0" w:type="dxa"/>
            <w:left w:w="108" w:type="dxa"/>
            <w:bottom w:w="0" w:type="dxa"/>
            <w:right w:w="108" w:type="dxa"/>
          </w:tblCellMar>
        </w:tblPrEx>
        <w:trPr>
          <w:cantSplit/>
          <w:trHeight w:val="46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69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1.开展声环境功能区划定和评估；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2.开展声环境质量监测；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2.开展建设项目噪声污染防治分析、预测和评估；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5.负责交通运输工具运行过程中产生的噪声污染防治（城市道路除外）；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6.负责协调调度高速公路运营单位进行噪声污染防治。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7.负责权限内社会生活噪声和市政道路产生的噪声污染防治。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8.负责在举行中等、高等学校招生考试等特殊活动期间严防噪声污染。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tblPrEx>
          <w:tblCellMar>
            <w:top w:w="0" w:type="dxa"/>
            <w:left w:w="108" w:type="dxa"/>
            <w:bottom w:w="0" w:type="dxa"/>
            <w:right w:w="108" w:type="dxa"/>
          </w:tblCellMar>
        </w:tblPrEx>
        <w:trPr>
          <w:cantSplit/>
          <w:trHeight w:val="275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28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3.加强自用船舶登记和管理，督促船舶所有人、使用人遵守有关规定。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30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533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烟花爆竹燃放管理。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1.划定禁止燃放烟花爆竹区域；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2.统筹协调各部门共同落实烟花爆竹燃放管理规定；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3.对违反烟花爆竹燃放管理规定的行为进行处罚。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市生态环境局宁远分局、县应急管理局、县公安局依职责开展相关工作。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1.宣传烟花爆竹燃放规定；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2.发现违反规定燃放烟花爆竹行为及时劝导并上报。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26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24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2.开展街道村咨询论证会，梳理上报街道村意见；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3.对修改完善的街道规划成果进行审议；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42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2.负责居民自建房安全综合</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开展屋顶棚架安全隐患排查治理。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1.通过媒体、公告、宜传册等多种方式，广泛宜传屋顶棚架安全隐患排查与治理的重要性，提高公众的安全意识和法律意识；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2.负责制定全县(或城区)范围内屋顶棚架安全隐患排查与治理的政策、方案及工作计划，明确排查对象、范围、时间节点及工作要求；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3.组织专业执法队伍，对城区内的建筑物屋顶棚架进行全覆盖、拉网式的安全隐患排查。对发现的安全隐患进行详细登记，建立台账，并下达整改通知书，要求相关责任人限期整改；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4.加强对屋顶棚架执法监管，对逾期未整改或整改不到位的，依法采取强制措施如拆除等，确保安全隐患得到彻底消除。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1.宣传屋顶棚架安全隐患排查与治理政策，动员居民积极配合排查整治工作；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2.对辖区内的建筑物屋顶棚架进行摸底排查，有安全隐患的及时上报；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3.参与县城市管理和综合执法局开展的屋顶棚架安全隐患整治工作。对需要拆除或加固的棚架，协助做好居民的思想工作；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4.参与县城市管理和综合执法局组织的对已整改屋顶棚架的定期巡查和复查。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9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28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52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2.做好街道村（社区）防控工作。</w:t>
            </w:r>
          </w:p>
        </w:tc>
      </w:tr>
      <w:tr>
        <w:tblPrEx>
          <w:tblCellMar>
            <w:top w:w="0" w:type="dxa"/>
            <w:left w:w="108" w:type="dxa"/>
            <w:bottom w:w="0" w:type="dxa"/>
            <w:right w:w="108" w:type="dxa"/>
          </w:tblCellMar>
        </w:tblPrEx>
        <w:trPr>
          <w:cantSplit/>
          <w:trHeight w:val="1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78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 w:val="16"/>
                <w:szCs w:val="16"/>
                <w:lang w:bidi="ar"/>
              </w:rPr>
              <w:t>县住房和城乡建设局：</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1.负责房屋建筑和市政基础设施建设等行业领域的“打非治违”工作。</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县应急管理局：</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2.负责非煤矿山、危险化学品、烟花爆竹、工贸等行业领域的“打非治违”工作。</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县发展和改革局：</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3.负责通信建设工程、能源安全、电力、粮食流通加工行业等领域的“打非治违”工作。</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县教育局：</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4.负责教育系统安全领域的“打非治违”工作。</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县公安局：</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5.负责道路交通、民爆物品以及危险化学品和烟花爆竹运输等领域的“打非治违”工作，打击暴力抗法行为。</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县自然资源局：</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6.负责国土空间规划、矿产资源等行业领域的“打非治违”工作。</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市生态环境局宁远分局：</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7.负责环境安全、废弃危险化学品等行业领域的“打非治违”工作。</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县交通运输局：</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8.负责水上交通、道路客货运输和公路建设工程等行业领域的“打非治违”工作。</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县农业农村局和县水利局：</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9.负责河道采砂、水库水利设施、水电站建设工程、农药监督管理等行业领域的“打非治违”工作。</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县文旅广体局：</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10.负责文化、旅游市场和体育等行业领域的“打非治违”工作。</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县卫生健康局：</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11.负责卫生健康系统安全领域的“打非治违”工作。</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县市场监督管理局：</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12.负责特种设备、药品、医疗器械和化妆品等行业领域的“打非治违”工作。</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县城市管理和</w:t>
            </w:r>
            <w:r>
              <w:rPr>
                <w:rFonts w:hint="eastAsia" w:ascii="Times New Roman" w:hAnsi="方正公文仿宋" w:eastAsia="方正公文仿宋"/>
                <w:kern w:val="0"/>
                <w:sz w:val="16"/>
                <w:szCs w:val="16"/>
                <w:lang w:eastAsia="zh-CN" w:bidi="ar"/>
              </w:rPr>
              <w:t>综合</w:t>
            </w:r>
            <w:r>
              <w:rPr>
                <w:rFonts w:hint="eastAsia" w:ascii="Times New Roman" w:hAnsi="方正公文仿宋" w:eastAsia="方正公文仿宋"/>
                <w:kern w:val="0"/>
                <w:sz w:val="16"/>
                <w:szCs w:val="16"/>
                <w:lang w:bidi="ar"/>
              </w:rPr>
              <w:t>执法局：</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13.负责燃气、液化气等行业领域的“打非治违”工作。</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县消防救援大队：</w:t>
            </w:r>
            <w:r>
              <w:rPr>
                <w:rFonts w:hint="eastAsia" w:ascii="Times New Roman" w:hAnsi="方正公文仿宋" w:eastAsia="方正公文仿宋"/>
                <w:kern w:val="0"/>
                <w:sz w:val="16"/>
                <w:szCs w:val="16"/>
                <w:lang w:bidi="ar"/>
              </w:rPr>
              <w:br w:type="textWrapping"/>
            </w:r>
            <w:r>
              <w:rPr>
                <w:rFonts w:hint="eastAsia" w:ascii="Times New Roman" w:hAnsi="方正公文仿宋" w:eastAsia="方正公文仿宋"/>
                <w:kern w:val="0"/>
                <w:sz w:val="16"/>
                <w:szCs w:val="16"/>
                <w:lang w:bidi="ar"/>
              </w:rPr>
              <w:t>14.负责消防领域的“打非治违”工作。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41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2.依托街道综合应急救援队伍，组织开展自然灾害防范日常演练，做好人防、物防、技防等准备工作；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732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2.依托街道综合应急救援队伍，组织开展地震和地质灾害防范日常演练，做好人防、物防、技防等准备工作；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526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2.依托街道综合应急救援队伍，组织开展防汛抗旱防范日常演练，做好人防、物防、技防等准备工作；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3.开展本街道防洪工程、山洪灾害危险区、地质灾害隐患点等各类风险隐患点巡查巡护、隐患排查；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823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5.组建街道村两级食品安全协管员和信息员队伍。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077418"/>
      <w:bookmarkStart w:id="11" w:name="_Toc29609"/>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对驾驶电动自行车未悬挂合法有效的号牌的处罚。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工作方式：县应急管理局负责对建设单位建设项目安全设施竣工后未进行检验、检测；申请建设项目安全审查时提供虚假文件、资料的处罚。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工作方式：县应急管理局负责对小型露天采石场未配备一名专业技术人员，或者聘用专业技术人员、注册安全工程师、委托相关技术服务机构为其提供安全生产管理服务的处罚。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工作方式：县应急管理局负责对小型露天采石场未将废石、废渣排放到废石场；废石场的设置不符合设计要求和有关安全规定；在顺山或顺沟排放废石、废渣，没有防止泥石流的具体措施的处罚。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工作方式：县应急管理局负责对小型露天采石场电气设备没有接地、过流、漏电保护装置。变电所没有独立的避雷系统和防火、防潮与防止小动物窜入带电部位的措施的处罚。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工作方式：县应急管理局负责对小型露天采石场没有制定完善的防洪措施。对开采境界上方汇水影响安全的，没有设置截水沟的处罚。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工作方式：由县应急管理局负责烟花爆竹经营（零售）许可证换证现场核查。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810079F-6782-4AF3-B201-0AE95A7B5F6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216A7516-6646-4DDF-9848-BE6DB427E422}"/>
  </w:font>
  <w:font w:name="方正公文仿宋">
    <w:altName w:val="仿宋"/>
    <w:panose1 w:val="02000000000000000000"/>
    <w:charset w:val="86"/>
    <w:family w:val="auto"/>
    <w:pitch w:val="default"/>
    <w:sig w:usb0="00000000" w:usb1="00000000" w:usb2="00000010" w:usb3="00000000" w:csb0="00040000" w:csb1="00000000"/>
    <w:embedRegular r:id="rId3" w:fontKey="{EC60A0A5-A15E-474F-88CC-3E6D93EDC002}"/>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23A2E86B-DBFF-4171-A922-8D5A853B8E42}"/>
  </w:font>
  <w:font w:name="方正小标宋_GBK">
    <w:panose1 w:val="02000000000000000000"/>
    <w:charset w:val="86"/>
    <w:family w:val="script"/>
    <w:pitch w:val="default"/>
    <w:sig w:usb0="A00002BF" w:usb1="38CF7CFA" w:usb2="00082016" w:usb3="00000000" w:csb0="00040001" w:csb1="00000000"/>
    <w:embedRegular r:id="rId5" w:fontKey="{9329D264-D2B6-4F37-9ED0-CD0C7A0FEBB0}"/>
  </w:font>
  <w:font w:name="方正公文黑体">
    <w:altName w:val="黑体"/>
    <w:panose1 w:val="02000000000000000000"/>
    <w:charset w:val="86"/>
    <w:family w:val="auto"/>
    <w:pitch w:val="default"/>
    <w:sig w:usb0="00000000" w:usb1="00000000" w:usb2="00000010" w:usb3="00000000" w:csb0="00040000" w:csb1="00000000"/>
    <w:embedRegular r:id="rId6" w:fontKey="{99BE831A-7765-4DB4-AA99-1B82B874C6E9}"/>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7516ECD"/>
    <w:rsid w:val="080D0854"/>
    <w:rsid w:val="132FE8D1"/>
    <w:rsid w:val="13AF6A6B"/>
    <w:rsid w:val="17FBC3E8"/>
    <w:rsid w:val="255FA510"/>
    <w:rsid w:val="25E44C9E"/>
    <w:rsid w:val="27D848BC"/>
    <w:rsid w:val="2CEF2515"/>
    <w:rsid w:val="2DD91F4F"/>
    <w:rsid w:val="2FDF7368"/>
    <w:rsid w:val="35FFD49A"/>
    <w:rsid w:val="3E0D5768"/>
    <w:rsid w:val="3E5FE291"/>
    <w:rsid w:val="3FFCEFBB"/>
    <w:rsid w:val="3FFE3564"/>
    <w:rsid w:val="3FFF481B"/>
    <w:rsid w:val="4AFE8BD1"/>
    <w:rsid w:val="4E7F8203"/>
    <w:rsid w:val="4F8FEB4B"/>
    <w:rsid w:val="4FED95D8"/>
    <w:rsid w:val="4FF9F056"/>
    <w:rsid w:val="53148A8D"/>
    <w:rsid w:val="54DDCE9D"/>
    <w:rsid w:val="555D46CB"/>
    <w:rsid w:val="56BF8273"/>
    <w:rsid w:val="56EC9E4E"/>
    <w:rsid w:val="585C5B4B"/>
    <w:rsid w:val="599758E5"/>
    <w:rsid w:val="5C758B47"/>
    <w:rsid w:val="5D351756"/>
    <w:rsid w:val="5D7F58AF"/>
    <w:rsid w:val="5E6B33F3"/>
    <w:rsid w:val="5FBAF55C"/>
    <w:rsid w:val="5FD22EE4"/>
    <w:rsid w:val="5FD89276"/>
    <w:rsid w:val="5FFD1F1E"/>
    <w:rsid w:val="61FFC24E"/>
    <w:rsid w:val="64F135DC"/>
    <w:rsid w:val="657D8F3A"/>
    <w:rsid w:val="661AB9D7"/>
    <w:rsid w:val="6857D4D4"/>
    <w:rsid w:val="6A9FDC9A"/>
    <w:rsid w:val="6BB822A4"/>
    <w:rsid w:val="6CFEC4DF"/>
    <w:rsid w:val="6CFF6673"/>
    <w:rsid w:val="6D58EB77"/>
    <w:rsid w:val="6F7F911C"/>
    <w:rsid w:val="72D5AE4D"/>
    <w:rsid w:val="733E6507"/>
    <w:rsid w:val="73DF0723"/>
    <w:rsid w:val="7779CE19"/>
    <w:rsid w:val="777F2F73"/>
    <w:rsid w:val="79C7D110"/>
    <w:rsid w:val="79FBE274"/>
    <w:rsid w:val="7AF63CA9"/>
    <w:rsid w:val="7B2F5945"/>
    <w:rsid w:val="7BBECF00"/>
    <w:rsid w:val="7BD63DF8"/>
    <w:rsid w:val="7C7F81C8"/>
    <w:rsid w:val="7CDBBBF1"/>
    <w:rsid w:val="7D77A2A1"/>
    <w:rsid w:val="7D8A5FE7"/>
    <w:rsid w:val="7DFA8017"/>
    <w:rsid w:val="7DFF2210"/>
    <w:rsid w:val="7E6F7B19"/>
    <w:rsid w:val="7EA3988A"/>
    <w:rsid w:val="7EB67ABA"/>
    <w:rsid w:val="7EE3E991"/>
    <w:rsid w:val="7EFB4750"/>
    <w:rsid w:val="7EFEC827"/>
    <w:rsid w:val="7F05D69C"/>
    <w:rsid w:val="7F6FDAD8"/>
    <w:rsid w:val="7F9B9F1A"/>
    <w:rsid w:val="7FF35E38"/>
    <w:rsid w:val="7FFA4C3C"/>
    <w:rsid w:val="7FFE92BF"/>
    <w:rsid w:val="81DE006C"/>
    <w:rsid w:val="87BEEA88"/>
    <w:rsid w:val="8B3B4BC3"/>
    <w:rsid w:val="9BEF20D5"/>
    <w:rsid w:val="9F99C6E5"/>
    <w:rsid w:val="9FF6D18E"/>
    <w:rsid w:val="A1285B00"/>
    <w:rsid w:val="A7FFD41E"/>
    <w:rsid w:val="ABEEC60D"/>
    <w:rsid w:val="AD771115"/>
    <w:rsid w:val="B36FB5B8"/>
    <w:rsid w:val="B3E793A6"/>
    <w:rsid w:val="B6BE8B15"/>
    <w:rsid w:val="B96D3A75"/>
    <w:rsid w:val="B9FFB2F8"/>
    <w:rsid w:val="BCAB5F33"/>
    <w:rsid w:val="BDFF4F74"/>
    <w:rsid w:val="BF5F37B8"/>
    <w:rsid w:val="BF9FA938"/>
    <w:rsid w:val="C31FE477"/>
    <w:rsid w:val="C795E6A6"/>
    <w:rsid w:val="CFBA53F5"/>
    <w:rsid w:val="D236970C"/>
    <w:rsid w:val="D9FF5B8A"/>
    <w:rsid w:val="DF7EC44F"/>
    <w:rsid w:val="DF9F247E"/>
    <w:rsid w:val="DFBF524C"/>
    <w:rsid w:val="DFFF0A4A"/>
    <w:rsid w:val="E25F8E4B"/>
    <w:rsid w:val="E7FF4F9D"/>
    <w:rsid w:val="E9BFFB80"/>
    <w:rsid w:val="EAFE9123"/>
    <w:rsid w:val="EB75C200"/>
    <w:rsid w:val="EE3FE284"/>
    <w:rsid w:val="EE7F29BB"/>
    <w:rsid w:val="EEFB9BF6"/>
    <w:rsid w:val="EEFE76E3"/>
    <w:rsid w:val="EF669863"/>
    <w:rsid w:val="EF6AEA18"/>
    <w:rsid w:val="EFDC887B"/>
    <w:rsid w:val="EFFBC359"/>
    <w:rsid w:val="EFFE3789"/>
    <w:rsid w:val="F16DE106"/>
    <w:rsid w:val="F1B78678"/>
    <w:rsid w:val="F5FB2BA7"/>
    <w:rsid w:val="F6F35CB1"/>
    <w:rsid w:val="F6F7AA44"/>
    <w:rsid w:val="F77701FF"/>
    <w:rsid w:val="F779B28D"/>
    <w:rsid w:val="F7F6A676"/>
    <w:rsid w:val="FBBECFC0"/>
    <w:rsid w:val="FBBFADC1"/>
    <w:rsid w:val="FC9FF57F"/>
    <w:rsid w:val="FD1F4111"/>
    <w:rsid w:val="FE3307DF"/>
    <w:rsid w:val="FE9D1C75"/>
    <w:rsid w:val="FEBF6E56"/>
    <w:rsid w:val="FED5E8C5"/>
    <w:rsid w:val="FEE39C32"/>
    <w:rsid w:val="FEE98652"/>
    <w:rsid w:val="FEEC63BD"/>
    <w:rsid w:val="FEFB2385"/>
    <w:rsid w:val="FEFB89D3"/>
    <w:rsid w:val="FF955715"/>
    <w:rsid w:val="FFDF82B8"/>
    <w:rsid w:val="FFEAD536"/>
    <w:rsid w:val="FFFB1171"/>
    <w:rsid w:val="FFFD1CCA"/>
    <w:rsid w:val="FFFF41A1"/>
    <w:rsid w:val="FFFFD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cdr14="http://schemas.microsoft.com/office/drawing/2010/chartDrawing" xmlns:w16cid="http://schemas.microsoft.com/office/word/2016/wordml/cid" xmlns:iact="http://schemas.microsoft.com/office/powerpoint/2014/inkAction" xmlns:w10="urn:schemas-microsoft-com:office:word" xmlns:wps="http://schemas.microsoft.com/office/word/2010/wordprocessingShape" xmlns:dgm1611="http://schemas.microsoft.com/office/drawing/2016/11/diagram" xmlns:odx="http://opendope.org/xpaths" xmlns:w14="http://schemas.microsoft.com/office/word/2010/wordml" xmlns:wp14="http://schemas.microsoft.com/office/word/2010/wordprocessingDrawing" xmlns:wp="http://schemas.openxmlformats.org/drawingml/2006/wordprocessingDrawing" xmlns:odi="http://opendope.org/components" xmlns:comp="http://schemas.openxmlformats.org/drawingml/2006/compatibility" xmlns:cdr="http://schemas.openxmlformats.org/drawingml/2006/chartDrawing" xmlns:sl="http://schemas.openxmlformats.org/schemaLibrary/2006/main" xmlns:odgm="http://opendope.org/SmartArt/DataHierarchy" xmlns:a16svg="http://schemas.microsoft.com/office/drawing/2016/SVG/main" xmlns:we="http://schemas.microsoft.com/office/webextensions/webextension/2010/11" xmlns:w16se="http://schemas.microsoft.com/office/word/2015/wordml/symex" xmlns:a="http://schemas.openxmlformats.org/drawingml/2006/main" xmlns:w15="http://schemas.microsoft.com/office/word/2012/wordml" xmlns:wpc="http://schemas.microsoft.com/office/word/2010/wordprocessingCanvas" xmlns:am3d="http://schemas.microsoft.com/office/drawing/2017/model3d" xmlns:adec="http://schemas.microsoft.com/office/drawing/2017/decorative" xmlns:wpg="http://schemas.microsoft.com/office/word/2010/wordprocessingGroup" xmlns:v="urn:schemas-microsoft-com:vml" xmlns:an18="http://schemas.microsoft.com/office/drawing/2018/animation" xmlns:r="http://schemas.openxmlformats.org/officeDocument/2006/relationships" xmlns:a16="http://schemas.microsoft.com/office/drawing/2014/main" xmlns:oda="http://opendope.org/answers" xmlns:cppr="http://schemas.microsoft.com/office/2006/coverPageProps" xmlns:dsp="http://schemas.microsoft.com/office/drawing/2008/diagram" xmlns:wp15="http://schemas.microsoft.com/office/word/2012/wordprocessingDrawing" xmlns:cx="http://schemas.microsoft.com/office/drawing/2014/chartex" xmlns:c16ac="http://schemas.microsoft.com/office/drawing/2014/chart/ac" xmlns:c16="http://schemas.microsoft.com/office/drawing/2014/chart" xmlns:dgm1612="http://schemas.microsoft.com/office/drawing/2016/12/diagram" xmlns:anam3d="http://schemas.microsoft.com/office/drawing/2018/animation/model3d" xmlns:pic14="http://schemas.microsoft.com/office/drawing/2010/picture" xmlns:a15="http://schemas.microsoft.com/office/drawing/2012/main" xmlns:pvml="urn:schemas-microsoft-com:office:powerpoint" xmlns:c="http://schemas.openxmlformats.org/drawingml/2006/chart" xmlns:a1611="http://schemas.microsoft.com/office/drawing/2016/11/main" xmlns:w="http://schemas.openxmlformats.org/wordprocessingml/2006/main" xmlns:ns39="http://www.w3.org/2003/InkML" xmlns:wne="http://schemas.microsoft.com/office/word/2006/wordml" xmlns:lc="http://schemas.openxmlformats.org/drawingml/2006/lockedCanvas" xmlns:msink="http://schemas.microsoft.com/ink/2010/main" xmlns:mc="http://schemas.openxmlformats.org/markup-compatibility/2006" xmlns:pic="http://schemas.openxmlformats.org/drawingml/2006/picture" xmlns:odq="http://opendope.org/questions" xmlns:a13cmd="http://schemas.microsoft.com/office/drawing/2013/main/command" xmlns:xdr="http://schemas.openxmlformats.org/drawingml/2006/spreadsheetDrawing" xmlns:thm15="http://schemas.microsoft.com/office/thememl/2012/main" xmlns:m="http://schemas.openxmlformats.org/officeDocument/2006/math" xmlns:xvml="urn:schemas-microsoft-com:office:excel" xmlns:dgm="http://schemas.openxmlformats.org/drawingml/2006/diagram" xmlns:c15="http://schemas.microsoft.com/office/drawing/2012/chart" xmlns:odc="http://opendope.org/conditions" xmlns:wetp="http://schemas.microsoft.com/office/webextensions/taskpanes/2010/11" xmlns:ns38="http://www.w3.org/1998/Math/MathML" xmlns:c173="http://schemas.microsoft.com/office/drawing/2017/03/chart" xmlns:dgm14="http://schemas.microsoft.com/office/drawing/2010/diagram" xmlns:a14="http://schemas.microsoft.com/office/drawing/2010/main" xmlns:a18hc="http://schemas.microsoft.com/office/drawing/2018/hyperlinkcolor" xmlns:o="urn:schemas-microsoft-com:office:office" xmlns:c14="http://schemas.microsoft.com/office/drawing/2007/8/2/chart" xmlns:cs="http://schemas.microsoft.com/office/drawing/2012/chartStyle"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79</Pages>
  <Words>40866</Words>
  <Characters>41945</Characters>
  <Lines>1</Lines>
  <Paragraphs>1</Paragraphs>
  <TotalTime>0</TotalTime>
  <ScaleCrop>false</ScaleCrop>
  <LinksUpToDate>false</LinksUpToDate>
  <CharactersWithSpaces>42231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豆豆zhou</cp:lastModifiedBy>
  <dcterms:modified xsi:type="dcterms:W3CDTF">2025-07-15T02:47:10Z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49DB3B849735484698E05B2FBD8F3475_13</vt:lpwstr>
  </property>
</Properties>
</file>