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4950"/>
      <w:r>
        <w:rPr>
          <w:rFonts w:hint="eastAsia" w:ascii="Times New Roman" w:hAnsi="方正公文小标宋" w:eastAsia="方正公文小标宋"/>
          <w:snapToGrid/>
          <w:kern w:val="0"/>
          <w:sz w:val="84"/>
          <w:szCs w:val="84"/>
        </w:rPr>
        <w:t>湖南省永州市宁远县棉花坪瑶族</w:t>
      </w:r>
      <w:bookmarkEnd w:id="0"/>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乡人民政府履行职责事项清单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345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3" w:name="_GoBack"/>
          <w:bookmarkEnd w:id="13"/>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_Toc16904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_Toc16904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_Toc24503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_Toc24503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_Toc10585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_Toc10585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48</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551"/>
      <w:bookmarkStart w:id="2" w:name="_Toc172077949"/>
      <w:bookmarkStart w:id="3" w:name="_Toc172077416"/>
      <w:bookmarkStart w:id="4" w:name="_Toc16904"/>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组织开展人大换届工作，召开乡人民代表大会，组织人大代表依法开展视察、调研和监督，办理人大代表建议或议案，开展民生实事项目票决制并进行监督，支持人大代表依法履职。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拓宽产业发展渠道，依托地理和资源优势，发展茶叶、油茶等特色农产品，探索发展中药材、食用菌、魔芋等林下经济，打造瑶山腊肉、竹笋等特色食品。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开展“盘王节”“坐歌堂”，乡成立逢十周年庆祝活动等瑶族文化传承与保护工作。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坚持党管武装，负责兵役登记、兵员征集、民兵整组、国防动员、国防教育，加快乡村退役军人荣誉墙建设，推进“双拥”共建。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承办12345热线和网上群众工作云平台等转办的涉及本乡职责权限内事项。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950"/>
      <w:bookmarkStart w:id="6" w:name="_Toc172077417"/>
      <w:bookmarkStart w:id="7" w:name="_Toc172077552"/>
      <w:bookmarkStart w:id="8" w:name="_Toc2450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5.负责听取乡党委工作汇报，以及组织人事、意识形态、保密工作、上轮巡察整改情况专题汇报。涉及重要问题需单独谈话的，可按规定开展“一对一”谈话；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1.牵头制定“两癌”筛查项目计划，做好检查技术服务、救助控制、督导监测、经费拨付等工作机制，确保检查有序开展。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2.加强对生猪屠宰活动的日常监督检查，建立建全随机抽查机制，加强对生猪定点屠宰厂（场）质量安全管理状况的监督检查；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2.对非本乡户籍的流浪乞讨人员，及时联系县民政局、县公安局将其护送到救助站。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3.对本乡户籍的流浪乞讨人员，及时通知其亲属接回，并</w:t>
            </w:r>
            <w:r>
              <w:rPr>
                <w:rFonts w:hint="eastAsia" w:ascii="Times New Roman" w:hAnsi="方正公文仿宋" w:eastAsia="方正公文仿宋"/>
                <w:kern w:val="0"/>
                <w:szCs w:val="21"/>
                <w:lang w:val="en-US"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2.提供最新国土变更调查数据、规划底图，培训乡人员使用卫片系统；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2.开展乡村咨询论证会，梳理上报乡村意见；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3.对修改完善的乡规划成果进行审议；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val="en-US"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6.负责做好全区供电线路及设备的除雪防冻、检查、维护和抢修等工作，及时排除电力设施障碍和恢复电力供应，确保供电安全。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2.依托乡综合应急救援队伍，组织开展自然灾害防范日常演练，做好人防、物防、技防等准备工作；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2.依托乡综合应急救援队伍，组织开展地震和地质灾害防范日常演练，做好人防、物防、技防等准备工作；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3.开展本乡防洪工程、山洪灾害危险区、地质灾害隐患点等各类风险隐患点巡查巡护、隐患排查；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5.组建乡村两级食品安全协管员和信息员队伍。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553"/>
      <w:bookmarkStart w:id="10" w:name="_Toc172077951"/>
      <w:bookmarkStart w:id="11" w:name="_Toc172077418"/>
      <w:bookmarkStart w:id="12" w:name="_Toc10585"/>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366EDF-98D7-4B16-8362-E0D66C4B0B6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A0DC2492-CB87-41E6-9DB4-09D12B83583F}"/>
  </w:font>
  <w:font w:name="方正公文仿宋">
    <w:altName w:val="仿宋"/>
    <w:panose1 w:val="02000000000000000000"/>
    <w:charset w:val="86"/>
    <w:family w:val="auto"/>
    <w:pitch w:val="default"/>
    <w:sig w:usb0="00000000" w:usb1="00000000" w:usb2="00000010" w:usb3="00000000" w:csb0="00040000" w:csb1="00000000"/>
    <w:embedRegular r:id="rId3" w:fontKey="{5557A2A6-1692-48A1-BBDC-0B6C4BEA4C6B}"/>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A112EFD9-2FD3-44EF-A631-768EA133F36A}"/>
  </w:font>
  <w:font w:name="方正小标宋_GBK">
    <w:panose1 w:val="02000000000000000000"/>
    <w:charset w:val="86"/>
    <w:family w:val="script"/>
    <w:pitch w:val="default"/>
    <w:sig w:usb0="A00002BF" w:usb1="38CF7CFA" w:usb2="00082016" w:usb3="00000000" w:csb0="00040001" w:csb1="00000000"/>
    <w:embedRegular r:id="rId5" w:fontKey="{DB74E299-35C6-48C0-A3FB-3BDE5D85BB14}"/>
  </w:font>
  <w:font w:name="方正公文黑体">
    <w:altName w:val="黑体"/>
    <w:panose1 w:val="02000000000000000000"/>
    <w:charset w:val="86"/>
    <w:family w:val="auto"/>
    <w:pitch w:val="default"/>
    <w:sig w:usb0="00000000" w:usb1="00000000" w:usb2="00000010" w:usb3="00000000" w:csb0="00040000" w:csb1="00000000"/>
    <w:embedRegular r:id="rId6" w:fontKey="{26070BB8-DD46-45B1-8695-34DB2344F3E6}"/>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3871588"/>
    <w:rsid w:val="0DC71BA8"/>
    <w:rsid w:val="178457BF"/>
    <w:rsid w:val="5A4B6673"/>
    <w:rsid w:val="6874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37923</Words>
  <Characters>38918</Characters>
  <Lines>1</Lines>
  <Paragraphs>1</Paragraphs>
  <TotalTime>0</TotalTime>
  <ScaleCrop>false</ScaleCrop>
  <LinksUpToDate>false</LinksUpToDate>
  <CharactersWithSpaces>39204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2025-07-15T02:44:03Z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eyJoZGlkIjoiZmIwMWJjZTIxNjcyZWIxYjE4ZTA2OWE3NTRiYzA1YWIiLCJ1c2VySWQiOiI0MTA3OTgwODgifQ==</vt:lpwstr>
  </property>
  <property fmtid="{D5CDD505-2E9C-101B-9397-08002B2CF9AE}" pid="3" name="KSOProductBuildVer">
    <vt:lpwstr>2052-12.1.0.15712</vt:lpwstr>
  </property>
  <property fmtid="{D5CDD505-2E9C-101B-9397-08002B2CF9AE}" pid="4" name="ICV">
    <vt:lpwstr>E975138F83D0483F80C81D7A041DDE77_13</vt:lpwstr>
  </property>
</Properties>
</file>