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湖南省永州市宁远县保安镇人民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2411"/>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13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_Toc23615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_Toc23615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_Toc13621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_Toc13621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_Toc12225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_Toc12225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48</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3" w:name="_GoBack"/>
      <w:bookmarkEnd w:id="13"/>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23615"/>
      <w:bookmarkStart w:id="2" w:name="_Toc172077416"/>
      <w:bookmarkStart w:id="3" w:name="_Toc172077949"/>
      <w:bookmarkStart w:id="4"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一、党的建设（27项）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依托革命烈士唐鉴故居，传承红色基因，宣传推广“继续奋斗”红色党建品牌。</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拓宽乡村振兴产业渠道，大力发展一只兔、一条鱼、一头猪、一片叶“四个一”产业模式。</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依托本土能人优势，培育壮大灵芝等珍贵中草药种植产业，推动实现种植、加工、销售全产业链，打造特色品牌。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417"/>
      <w:bookmarkStart w:id="6" w:name="_Toc13621"/>
      <w:bookmarkStart w:id="7" w:name="_Toc172077950"/>
      <w:bookmarkStart w:id="8"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、社会保障（3项）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、生态环保（6项）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、城乡建设（6项）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、交通运输（1项）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、文化和旅游（3项）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、卫生健康（3项）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、应急管理及消防（8项）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县卫建局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、市场监管（2项）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951"/>
      <w:bookmarkStart w:id="10" w:name="_Toc172077553"/>
      <w:bookmarkStart w:id="11" w:name="_Toc172077418"/>
      <w:bookmarkStart w:id="12" w:name="_Toc12225"/>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防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9F3A1D-5B84-404B-98D8-69B95FE2CA2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02CB5E24-D34E-4C36-B4CC-CE680610BB80}"/>
  </w:font>
  <w:font w:name="方正公文仿宋">
    <w:altName w:val="仿宋"/>
    <w:panose1 w:val="02000000000000000000"/>
    <w:charset w:val="86"/>
    <w:family w:val="auto"/>
    <w:pitch w:val="default"/>
    <w:sig w:usb0="00000000" w:usb1="00000000" w:usb2="00000010" w:usb3="00000000" w:csb0="00040000" w:csb1="00000000"/>
    <w:embedRegular r:id="rId3" w:fontKey="{F00E38C3-B7E5-447D-AF6F-8B5A3A8C5C2C}"/>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3C7671ED-0F25-45E9-B076-042724EE8A93}"/>
  </w:font>
  <w:font w:name="方正小标宋_GBK">
    <w:altName w:val="微软雅黑"/>
    <w:panose1 w:val="00000000000000000000"/>
    <w:charset w:val="86"/>
    <w:family w:val="script"/>
    <w:pitch w:val="default"/>
    <w:sig w:usb0="00000000" w:usb1="00000000" w:usb2="00000000" w:usb3="00000000" w:csb0="00040000" w:csb1="00000000"/>
    <w:embedRegular r:id="rId5" w:fontKey="{C241CAA7-3C76-48CD-B411-516A4118923C}"/>
  </w:font>
  <w:font w:name="方正公文黑体">
    <w:altName w:val="黑体"/>
    <w:panose1 w:val="02000000000000000000"/>
    <w:charset w:val="86"/>
    <w:family w:val="auto"/>
    <w:pitch w:val="default"/>
    <w:sig w:usb0="00000000" w:usb1="00000000" w:usb2="00000010" w:usb3="00000000" w:csb0="00040000" w:csb1="00000000"/>
    <w:embedRegular r:id="rId6" w:fontKey="{19289CE2-AC24-474D-AFD8-59D7EA3FE6DF}"/>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CA40C00"/>
    <w:rsid w:val="2FF41ED6"/>
    <w:rsid w:val="49FE1F7F"/>
    <w:rsid w:val="59364AF1"/>
    <w:rsid w:val="719E471F"/>
    <w:rsid w:val="7561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58</Words>
  <Characters>63</Characters>
  <Lines>1</Lines>
  <Paragraphs>1</Paragraphs>
  <TotalTime>17</TotalTime>
  <ScaleCrop>false</ScaleCrop>
  <LinksUpToDate>false</LinksUpToDate>
  <CharactersWithSpaces>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2025-07-17T09:51:51Z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FECA800EEBF341189BE4595F4CED2278_13</vt:lpwstr>
  </property>
  <property fmtid="{D5CDD505-2E9C-101B-9397-08002B2CF9AE}" pid="4" name="KSOTemplateDocerSaveRecord">
    <vt:lpwstr>eyJoZGlkIjoiNGZjMWI3M2VmYjM3YmJmZjExOWQ2MWZlNmMzZjE1ZmUiLCJ1c2VySWQiOiI3MzgxMjE4NjAifQ==</vt:lpwstr>
  </property>
</Properties>
</file>