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0409"/>
      <w:r>
        <w:rPr>
          <w:rFonts w:hint="eastAsia" w:ascii="Times New Roman" w:hAnsi="方正公文小标宋" w:eastAsia="方正公文小标宋"/>
          <w:snapToGrid/>
          <w:kern w:val="0"/>
          <w:sz w:val="84"/>
          <w:szCs w:val="84"/>
        </w:rPr>
        <w:t>湖南省永州市宁远县柏家坪镇人</w:t>
      </w:r>
      <w:bookmarkEnd w:id="0"/>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1" w:name="_Toc3077"/>
      <w:r>
        <w:rPr>
          <w:rFonts w:hint="eastAsia" w:ascii="Times New Roman" w:hAnsi="方正公文小标宋" w:eastAsia="方正公文小标宋"/>
          <w:snapToGrid/>
          <w:kern w:val="0"/>
          <w:sz w:val="84"/>
          <w:szCs w:val="84"/>
        </w:rPr>
        <w:t>民政府履行职责事项清单</w:t>
      </w:r>
      <w:bookmarkEnd w:id="1"/>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607"/>
        <w15:color w:val="DBDBDB"/>
        <w:docPartObj>
          <w:docPartGallery w:val="Table of Contents"/>
          <w:docPartUnique/>
        </w:docPartObj>
      </w:sdtPr>
      <w:sdtEndPr>
        <w:rPr>
          <w:rFonts w:hint="eastAsia" w:ascii="Arial" w:hAnsi="Arial" w:cs="Arial" w:eastAsiaTheme="minorEastAsia"/>
          <w:snapToGrid w:val="0"/>
          <w:color w:val="000000"/>
          <w:kern w:val="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4" w:name="_GoBack"/>
          <w:bookmarkEnd w:id="14"/>
          <w:r>
            <w:rPr>
              <w:rFonts w:hint="eastAsia" w:ascii="方正公文小标宋" w:hAnsi="方正公文小标宋" w:eastAsia="方正公文小标宋" w:cs="方正公文小标宋"/>
              <w:sz w:val="44"/>
              <w:szCs w:val="44"/>
            </w:rPr>
            <w:t>录</w:t>
          </w:r>
        </w:p>
        <w:p>
          <w:pPr>
            <w:pStyle w:val="21"/>
            <w:tabs>
              <w:tab w:val="right" w:leader="dot" w:pos="14001"/>
            </w:tabs>
          </w:pPr>
          <w:r>
            <w:rPr>
              <w:rFonts w:hint="eastAsia" w:eastAsiaTheme="minorEastAsia"/>
              <w:lang w:eastAsia="zh-CN"/>
            </w:rPr>
            <w:fldChar w:fldCharType="begin"/>
          </w:r>
          <w:r>
            <w:rPr>
              <w:rFonts w:hint="eastAsia" w:eastAsiaTheme="minorEastAsia"/>
              <w:lang w:eastAsia="zh-CN"/>
            </w:rPr>
            <w:instrText xml:space="preserve">TOC \o "1-1" \h \u </w:instrText>
          </w:r>
          <w:r>
            <w:rPr>
              <w:rFonts w:hint="eastAsia" w:eastAsiaTheme="minorEastAsia"/>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1.</w:t>
          </w:r>
          <w:r>
            <w:rPr>
              <w:rFonts w:hint="eastAsia" w:ascii="方正公文小标宋" w:hAnsi="方正公文小标宋" w:eastAsia="方正公文小标宋" w:cs="方正公文小标宋"/>
              <w:sz w:val="32"/>
              <w:szCs w:val="32"/>
              <w:lang w:eastAsia="zh-CN"/>
            </w:rPr>
            <w:fldChar w:fldCharType="begin"/>
          </w:r>
          <w:r>
            <w:rPr>
              <w:rFonts w:hint="eastAsia" w:ascii="方正公文小标宋" w:hAnsi="方正公文小标宋" w:eastAsia="方正公文小标宋" w:cs="方正公文小标宋"/>
              <w:sz w:val="32"/>
              <w:szCs w:val="32"/>
              <w:lang w:eastAsia="zh-CN"/>
            </w:rPr>
            <w:instrText xml:space="preserve"> HYPERLINK \l _Toc16746 </w:instrText>
          </w:r>
          <w:r>
            <w:rPr>
              <w:rFonts w:hint="eastAsia" w:ascii="方正公文小标宋" w:hAnsi="方正公文小标宋" w:eastAsia="方正公文小标宋" w:cs="方正公文小标宋"/>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_Toc16746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2.</w:t>
          </w:r>
          <w:r>
            <w:rPr>
              <w:rFonts w:hint="eastAsia" w:ascii="方正公文小标宋" w:hAnsi="方正公文小标宋" w:eastAsia="方正公文小标宋" w:cs="方正公文小标宋"/>
              <w:sz w:val="32"/>
              <w:szCs w:val="32"/>
              <w:lang w:eastAsia="zh-CN"/>
            </w:rPr>
            <w:fldChar w:fldCharType="begin"/>
          </w:r>
          <w:r>
            <w:rPr>
              <w:rFonts w:hint="eastAsia" w:ascii="方正公文小标宋" w:hAnsi="方正公文小标宋" w:eastAsia="方正公文小标宋" w:cs="方正公文小标宋"/>
              <w:sz w:val="32"/>
              <w:szCs w:val="32"/>
              <w:lang w:eastAsia="zh-CN"/>
            </w:rPr>
            <w:instrText xml:space="preserve"> HYPERLINK \l _Toc19268 </w:instrText>
          </w:r>
          <w:r>
            <w:rPr>
              <w:rFonts w:hint="eastAsia" w:ascii="方正公文小标宋" w:hAnsi="方正公文小标宋" w:eastAsia="方正公文小标宋" w:cs="方正公文小标宋"/>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_Toc19268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3.</w:t>
          </w:r>
          <w:r>
            <w:rPr>
              <w:rFonts w:hint="eastAsia" w:ascii="方正公文小标宋" w:hAnsi="方正公文小标宋" w:eastAsia="方正公文小标宋" w:cs="方正公文小标宋"/>
              <w:sz w:val="32"/>
              <w:szCs w:val="32"/>
              <w:lang w:eastAsia="zh-CN"/>
            </w:rPr>
            <w:fldChar w:fldCharType="begin"/>
          </w:r>
          <w:r>
            <w:rPr>
              <w:rFonts w:hint="eastAsia" w:ascii="方正公文小标宋" w:hAnsi="方正公文小标宋" w:eastAsia="方正公文小标宋" w:cs="方正公文小标宋"/>
              <w:sz w:val="32"/>
              <w:szCs w:val="32"/>
              <w:lang w:eastAsia="zh-CN"/>
            </w:rPr>
            <w:instrText xml:space="preserve"> HYPERLINK \l _Toc5704 </w:instrText>
          </w:r>
          <w:r>
            <w:rPr>
              <w:rFonts w:hint="eastAsia" w:ascii="方正公文小标宋" w:hAnsi="方正公文小标宋" w:eastAsia="方正公文小标宋" w:cs="方正公文小标宋"/>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_Toc5704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eastAsia="zh-CN"/>
            </w:rPr>
            <w:fldChar w:fldCharType="end"/>
          </w: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eastAsiaTheme="minorEastAsia"/>
              <w:lang w:eastAsia="zh-CN"/>
            </w:rPr>
            <w:fldChar w:fldCharType="end"/>
          </w:r>
        </w:p>
      </w:sdtContent>
    </w:sdt>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2" w:name="_Toc172077551"/>
      <w:bookmarkStart w:id="3" w:name="_Toc172077949"/>
      <w:bookmarkStart w:id="4" w:name="_Toc172077416"/>
      <w:bookmarkStart w:id="5" w:name="_Toc1674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2"/>
      <w:bookmarkEnd w:id="3"/>
      <w:bookmarkEnd w:id="4"/>
      <w:bookmarkEnd w:id="5"/>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w:t>
            </w:r>
            <w:r>
              <w:rPr>
                <w:rFonts w:hint="eastAsia" w:ascii="Times New Roman" w:hAnsi="方正公文仿宋" w:eastAsia="方正公文仿宋"/>
                <w:kern w:val="0"/>
                <w:szCs w:val="21"/>
                <w:lang w:eastAsia="zh-CN" w:bidi="ar"/>
              </w:rPr>
              <w:t>流动党支部</w:t>
            </w:r>
            <w:r>
              <w:rPr>
                <w:rFonts w:hint="eastAsia" w:ascii="Times New Roman" w:hAnsi="方正公文仿宋" w:eastAsia="方正公文仿宋"/>
                <w:kern w:val="0"/>
                <w:szCs w:val="21"/>
                <w:lang w:bidi="ar"/>
              </w:rPr>
              <w:t>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负责村（社区）“两委”干部的教育、培训、监督、考核、评先评优、薪资福利工作，抓好村（社区）“两委”干部后备力量培育储备。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做好柏忍烈士故居的保护、修缮、传承红色基因、宣传红色文化，以柏家村为试点打造红色美丽村庄。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拓宽乡村振兴产业渠道，大力发展沃柑、手工红薯粉、碱水糍粑等特</w:t>
            </w:r>
            <w:r>
              <w:rPr>
                <w:rFonts w:hint="eastAsia" w:ascii="Times New Roman" w:hAnsi="方正公文仿宋" w:eastAsia="方正公文仿宋"/>
                <w:kern w:val="0"/>
                <w:szCs w:val="21"/>
                <w:lang w:eastAsia="zh-CN" w:bidi="ar"/>
              </w:rPr>
              <w:t>色</w:t>
            </w:r>
            <w:r>
              <w:rPr>
                <w:rFonts w:hint="eastAsia" w:ascii="Times New Roman" w:hAnsi="方正公文仿宋" w:eastAsia="方正公文仿宋"/>
                <w:kern w:val="0"/>
                <w:szCs w:val="21"/>
                <w:lang w:bidi="ar"/>
              </w:rPr>
              <w:t>农产品。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负责法律顾问日常管理，指导做好村（社区）公共法律服务等工作。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w:t>
            </w:r>
            <w:r>
              <w:rPr>
                <w:rFonts w:hint="eastAsia" w:ascii="Times New Roman" w:hAnsi="方正公文仿宋" w:eastAsia="方正公文仿宋"/>
                <w:kern w:val="0"/>
                <w:szCs w:val="21"/>
                <w:lang w:eastAsia="zh-CN" w:bidi="ar"/>
              </w:rPr>
              <w:t>党委、政府</w:t>
            </w:r>
            <w:r>
              <w:rPr>
                <w:rFonts w:hint="eastAsia" w:ascii="Times New Roman" w:hAnsi="方正公文仿宋" w:eastAsia="方正公文仿宋"/>
                <w:kern w:val="0"/>
                <w:szCs w:val="21"/>
                <w:lang w:bidi="ar"/>
              </w:rPr>
              <w:t>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w:t>
            </w:r>
            <w:r>
              <w:rPr>
                <w:rFonts w:hint="eastAsia" w:ascii="Times New Roman" w:hAnsi="方正公文仿宋" w:eastAsia="方正公文仿宋"/>
                <w:kern w:val="0"/>
                <w:szCs w:val="21"/>
                <w:lang w:eastAsia="zh-CN" w:bidi="ar"/>
              </w:rPr>
              <w:t>并</w:t>
            </w:r>
            <w:r>
              <w:rPr>
                <w:rFonts w:hint="eastAsia" w:ascii="Times New Roman" w:hAnsi="方正公文仿宋" w:eastAsia="方正公文仿宋"/>
                <w:kern w:val="0"/>
                <w:szCs w:val="21"/>
                <w:lang w:bidi="ar"/>
              </w:rPr>
              <w:t>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挖掘乡村旅游资源，打造坝子头、大路尾乡村旅游景点，推动农文旅深度融合发展。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坚持党管武装，负责兵役登记、兵员征集、民兵整组、国防动员、国防教育，加快镇村（社区）退役军人荣誉墙建设，推进“双拥”共建。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077950"/>
      <w:bookmarkStart w:id="7" w:name="_Toc172077417"/>
      <w:bookmarkStart w:id="8" w:name="_Toc172077552"/>
      <w:bookmarkStart w:id="9" w:name="_Toc1926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做好村（社区）级运转经费保障和村（社区）干部及离职村（社区）干部待遇审核相关工作。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做好从乡镇事业编人员、优秀村（社区）党组织书记、到村（社区）任职过的选调生、第一书记、驻村工作队员“五方面人员”中择优选拔乡镇领导班子成员工作。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5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组织村（社区）干部体检并为其购买人身意外伤害保险。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1.负责常态化扫黑除恶斗争工作组织协调。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2.依法侦办涉黑涉恶违法犯罪。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1.开展扫黑除恶工作及相关法律法规的宣传教育，引导群众积极举报黑恶势力犯罪线索；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2.做好涉黑涉恶线索的摸排上报工作。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w:t>
            </w:r>
            <w:r>
              <w:rPr>
                <w:rFonts w:hint="eastAsia" w:ascii="Times New Roman" w:hAnsi="方正公文仿宋" w:eastAsia="方正公文仿宋"/>
                <w:kern w:val="0"/>
                <w:szCs w:val="21"/>
                <w:lang w:eastAsia="zh-CN" w:bidi="ar"/>
              </w:rPr>
              <w:t>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一林一护、一乡一警、一片一技、一村一策</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w:t>
            </w:r>
            <w:r>
              <w:rPr>
                <w:rFonts w:hint="eastAsia" w:ascii="Times New Roman" w:hAnsi="方正公文仿宋" w:eastAsia="方正公文仿宋"/>
                <w:kern w:val="0"/>
                <w:szCs w:val="21"/>
                <w:lang w:eastAsia="zh-CN" w:bidi="ar"/>
              </w:rPr>
              <w:t>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居</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诊所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w:t>
            </w:r>
            <w:r>
              <w:rPr>
                <w:rFonts w:hint="eastAsia" w:ascii="Times New Roman" w:hAnsi="方正公文仿宋" w:eastAsia="方正公文仿宋"/>
                <w:kern w:val="0"/>
                <w:szCs w:val="21"/>
                <w:lang w:eastAsia="zh-CN" w:bidi="ar"/>
              </w:rPr>
              <w:t>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72077418"/>
      <w:bookmarkStart w:id="11" w:name="_Toc172077553"/>
      <w:bookmarkStart w:id="12" w:name="_Toc172077951"/>
      <w:bookmarkStart w:id="13" w:name="_Toc5704"/>
      <w:r>
        <w:rPr>
          <w:rFonts w:hint="eastAsia" w:ascii="Times New Roman" w:hAnsi="Times New Roman" w:eastAsia="方正公文小标宋" w:cs="Times New Roman"/>
          <w:b w:val="0"/>
          <w:lang w:eastAsia="zh-CN"/>
        </w:rPr>
        <w:t>上级部门收回事项清单</w:t>
      </w:r>
      <w:bookmarkEnd w:id="10"/>
      <w:bookmarkEnd w:id="11"/>
      <w:bookmarkEnd w:id="12"/>
      <w:bookmarkEnd w:id="13"/>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婚姻关系证明、分居证明</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扩</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w:t>
            </w:r>
            <w:r>
              <w:rPr>
                <w:rFonts w:hint="eastAsia" w:ascii="Times New Roman" w:hAnsi="方正公文仿宋" w:eastAsia="方正公文仿宋"/>
                <w:kern w:val="0"/>
                <w:szCs w:val="21"/>
                <w:lang w:eastAsia="zh-CN" w:bidi="ar"/>
              </w:rPr>
              <w:t>第十四条</w:t>
            </w: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损坏消火栓、消防水池等公共消防器材和设施；
</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二</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擅自搭建临时建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构</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筑物，侵占防火间距或者堵塞消防通道；
</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三</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使用铜丝、铁丝代替保险丝，安装不合格的电气保险装置；
</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四</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在楼梯间、楼道、疏散通道、安全出口等区域停放电动车、堆放物件，占用、堵塞、封闭疏散通道、安全出口；
</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可能出现的安全问题及对策，或者未制定周密的试生产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方案，进行试生产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；未组织有关专家对试生产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方案进行审查、对试生产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条件进行检查确认的；建设单位试生产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使用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54F1E3E-E6C4-4842-AECF-3FD28A8B7F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67FF8D1B-C308-4DD7-9F3E-44DCAC82E041}"/>
  </w:font>
  <w:font w:name="方正公文仿宋">
    <w:altName w:val="仿宋"/>
    <w:panose1 w:val="02000000000000000000"/>
    <w:charset w:val="86"/>
    <w:family w:val="auto"/>
    <w:pitch w:val="default"/>
    <w:sig w:usb0="00000000" w:usb1="00000000" w:usb2="00000010" w:usb3="00000000" w:csb0="00040000" w:csb1="00000000"/>
    <w:embedRegular r:id="rId3" w:fontKey="{71288CC1-7FBC-4118-85B8-C1C0B6D3A53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9A725DD6-606F-44C3-A7FB-C1B305EBEF54}"/>
  </w:font>
  <w:font w:name="方正小标宋_GBK">
    <w:altName w:val="微软雅黑"/>
    <w:panose1 w:val="00000000000000000000"/>
    <w:charset w:val="86"/>
    <w:family w:val="script"/>
    <w:pitch w:val="default"/>
    <w:sig w:usb0="00000000" w:usb1="00000000" w:usb2="00000000" w:usb3="00000000" w:csb0="00040000" w:csb1="00000000"/>
    <w:embedRegular r:id="rId5" w:fontKey="{5DA9C9B5-8056-48E7-B5C1-5583A91576D5}"/>
  </w:font>
  <w:font w:name="方正公文黑体">
    <w:altName w:val="黑体"/>
    <w:panose1 w:val="02000000000000000000"/>
    <w:charset w:val="86"/>
    <w:family w:val="auto"/>
    <w:pitch w:val="default"/>
    <w:sig w:usb0="00000000" w:usb1="00000000" w:usb2="00000010" w:usb3="00000000" w:csb0="00040000" w:csb1="00000000"/>
    <w:embedRegular r:id="rId6" w:fontKey="{B2176FA3-42A7-45FA-8173-9B9F84F63FEF}"/>
  </w:font>
  <w:font w:name="方正仿宋简体">
    <w:altName w:val="微软雅黑"/>
    <w:panose1 w:val="00000000000000000000"/>
    <w:charset w:val="86"/>
    <w:family w:val="auto"/>
    <w:pitch w:val="default"/>
    <w:sig w:usb0="00000000" w:usb1="00000000" w:usb2="00000000" w:usb3="00000000" w:csb0="00040000" w:csb1="00000000"/>
    <w:embedRegular r:id="rId7" w:fontKey="{94337154-7098-4733-B801-903983CAE5B1}"/>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8B28DC"/>
    <w:rsid w:val="12A72EC1"/>
    <w:rsid w:val="1B0A066C"/>
    <w:rsid w:val="20CB30CF"/>
    <w:rsid w:val="28DA5330"/>
    <w:rsid w:val="2B392F1A"/>
    <w:rsid w:val="2DB56710"/>
    <w:rsid w:val="33DD5D6F"/>
    <w:rsid w:val="3B9C1702"/>
    <w:rsid w:val="3E7E3AAF"/>
    <w:rsid w:val="5EFD2846"/>
    <w:rsid w:val="67BF2725"/>
    <w:rsid w:val="6E59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38028</Words>
  <Characters>39029</Characters>
  <Lines>1</Lines>
  <Paragraphs>1</Paragraphs>
  <TotalTime>1</TotalTime>
  <ScaleCrop>false</ScaleCrop>
  <LinksUpToDate>false</LinksUpToDate>
  <CharactersWithSpaces>39458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2025-07-15T02:40:33Z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eyJoZGlkIjoiYjAyMjM0MjY2ZTI4NTU0MWQwZGQzYzZmOGFhNTgwNGUiLCJ1c2VySWQiOiI1MzA2ODkzNjcifQ==</vt:lpwstr>
  </property>
  <property fmtid="{D5CDD505-2E9C-101B-9397-08002B2CF9AE}" pid="3" name="KSOProductBuildVer">
    <vt:lpwstr>2052-12.1.0.15712</vt:lpwstr>
  </property>
  <property fmtid="{D5CDD505-2E9C-101B-9397-08002B2CF9AE}" pid="4" name="ICV">
    <vt:lpwstr>B956A085484440D7A5CA18A0E43F4F7E_13</vt:lpwstr>
  </property>
</Properties>
</file>