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b/>
          <w:bCs/>
          <w:kern w:val="0"/>
          <w:sz w:val="28"/>
          <w:szCs w:val="28"/>
        </w:rPr>
        <w:t>双季稻“早专晚优”全程机械化绿色生产技术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spacing w:line="460" w:lineRule="exact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b/>
          <w:bCs/>
          <w:kern w:val="0"/>
          <w:sz w:val="28"/>
          <w:szCs w:val="28"/>
        </w:rPr>
        <w:t>一</w:t>
      </w:r>
      <w:r>
        <w:rPr>
          <w:rFonts w:hint="eastAsia" w:ascii="宋体" w:hAnsi="宋体" w:eastAsia="宋体" w:cs="宋体"/>
          <w:kern w:val="0"/>
          <w:sz w:val="28"/>
          <w:szCs w:val="28"/>
        </w:rPr>
        <w:t>、</w:t>
      </w:r>
      <w:r>
        <w:rPr>
          <w:rFonts w:ascii="宋体" w:hAnsi="宋体" w:eastAsia="宋体" w:cs="宋体"/>
          <w:b/>
          <w:bCs/>
          <w:kern w:val="0"/>
          <w:sz w:val="28"/>
          <w:szCs w:val="28"/>
        </w:rPr>
        <w:t>技术要点</w:t>
      </w:r>
    </w:p>
    <w:p>
      <w:pPr>
        <w:widowControl/>
        <w:spacing w:line="460" w:lineRule="exact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b/>
          <w:bCs/>
          <w:kern w:val="0"/>
          <w:sz w:val="28"/>
          <w:szCs w:val="28"/>
        </w:rPr>
        <w:t>1.改早、晚稻高产品种为早稻专用稻、晚稻优质稻品种</w:t>
      </w:r>
    </w:p>
    <w:p>
      <w:pPr>
        <w:widowControl/>
        <w:spacing w:line="460" w:lineRule="exact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Helvetica" w:hAnsi="Helvetica" w:eastAsia="宋体" w:cs="Helvetica"/>
          <w:spacing w:val="15"/>
          <w:kern w:val="0"/>
          <w:sz w:val="28"/>
          <w:szCs w:val="28"/>
        </w:rPr>
        <w:t>在筛选到适合湖南双季稻搭配专用早稻品种12个、优质晚稻品种12个的基础上，实现双季稻“早专晚优”品种合理搭配（湘中以北地区：早熟品种搭配中熟品种、中熟品种搭配早熟品种；湘中以南地区：中熟品种搭配中熟品种）。</w:t>
      </w:r>
    </w:p>
    <w:p>
      <w:pPr>
        <w:widowControl/>
        <w:spacing w:line="460" w:lineRule="exact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b/>
          <w:bCs/>
          <w:kern w:val="0"/>
          <w:sz w:val="28"/>
          <w:szCs w:val="28"/>
        </w:rPr>
        <w:t>2.改传统水稻育秧方式为工厂化育秧或旱式育秧</w:t>
      </w:r>
    </w:p>
    <w:p>
      <w:pPr>
        <w:widowControl/>
        <w:spacing w:line="460" w:lineRule="exact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Helvetica" w:hAnsi="Helvetica" w:eastAsia="宋体" w:cs="Helvetica"/>
          <w:spacing w:val="15"/>
          <w:kern w:val="0"/>
          <w:sz w:val="28"/>
          <w:szCs w:val="28"/>
        </w:rPr>
        <w:t>一是将人工和流水线无序播种改为印刷播种机定位播种，实现专用早稻大田用种量由3.0-3.5 kg/亩减少为1.5-1.7 kg/亩，优质晚稻大田用种量由1.7-2.0 kg/亩减少为0.9-1.5kg/亩；</w:t>
      </w:r>
    </w:p>
    <w:p>
      <w:pPr>
        <w:widowControl/>
        <w:spacing w:line="460" w:lineRule="exact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Helvetica" w:hAnsi="Helvetica" w:eastAsia="宋体" w:cs="Helvetica"/>
          <w:spacing w:val="15"/>
          <w:kern w:val="0"/>
          <w:sz w:val="28"/>
          <w:szCs w:val="28"/>
        </w:rPr>
        <w:t>二是将传统的田间小拱棚基质/泥浆育秧改为工厂化集中育秧或旱式育秧，实现成秧率提高10%，秧龄弹性从15-20天增加到15-30天，秧苗素质大幅度提升，用工减少0.5个/亩。</w:t>
      </w:r>
    </w:p>
    <w:p>
      <w:pPr>
        <w:widowControl/>
        <w:spacing w:line="460" w:lineRule="exact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b/>
          <w:bCs/>
          <w:kern w:val="0"/>
          <w:sz w:val="28"/>
          <w:szCs w:val="28"/>
        </w:rPr>
        <w:t>3.改传统人工或机械耕整平地为激光平地</w:t>
      </w:r>
    </w:p>
    <w:p>
      <w:pPr>
        <w:widowControl/>
        <w:spacing w:line="460" w:lineRule="exact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Helvetica" w:hAnsi="Helvetica" w:eastAsia="宋体" w:cs="Helvetica"/>
          <w:spacing w:val="15"/>
          <w:kern w:val="0"/>
          <w:sz w:val="28"/>
          <w:szCs w:val="28"/>
        </w:rPr>
        <w:t>实现田块内高低差不大于3 cm，有利于杂草防控和水肥高效利用。</w:t>
      </w:r>
    </w:p>
    <w:p>
      <w:pPr>
        <w:widowControl/>
        <w:spacing w:line="460" w:lineRule="exact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b/>
          <w:bCs/>
          <w:kern w:val="0"/>
          <w:sz w:val="28"/>
          <w:szCs w:val="28"/>
        </w:rPr>
        <w:t>4.增加水稻机插密度</w:t>
      </w:r>
    </w:p>
    <w:p>
      <w:pPr>
        <w:widowControl/>
        <w:spacing w:line="460" w:lineRule="exact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Helvetica" w:hAnsi="Helvetica" w:eastAsia="宋体" w:cs="Helvetica"/>
          <w:spacing w:val="15"/>
          <w:kern w:val="0"/>
          <w:sz w:val="28"/>
          <w:szCs w:val="28"/>
        </w:rPr>
        <w:t>通过增加机插密度，减少肥料用量。机插密度早稻由每亩2万蔸增加到2.4万蔸，晚稻由每亩1.6-1.8万蔸增加到2.0-2.2万蔸。早晚稻氮肥用量由10-12 kg减少为8-10 kg，实现稻米品质提升和氮肥高效利用。</w:t>
      </w:r>
    </w:p>
    <w:p>
      <w:pPr>
        <w:widowControl/>
        <w:spacing w:line="460" w:lineRule="exact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b/>
          <w:bCs/>
          <w:kern w:val="0"/>
          <w:sz w:val="28"/>
          <w:szCs w:val="28"/>
        </w:rPr>
        <w:t>5.改淹水灌溉为干湿交替灌溉</w:t>
      </w:r>
    </w:p>
    <w:p>
      <w:pPr>
        <w:widowControl/>
        <w:spacing w:line="460" w:lineRule="exact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Helvetica" w:hAnsi="Helvetica" w:eastAsia="宋体" w:cs="Helvetica"/>
          <w:spacing w:val="15"/>
          <w:kern w:val="0"/>
          <w:sz w:val="28"/>
          <w:szCs w:val="28"/>
        </w:rPr>
        <w:t>通过双季稻以雨时蓄水深灌为主，水层保持3-5 cm；旱时浅灌溉为主，水稻在分蘖末期、拔节初期晒田5-10天，实现双季稻稻田平均节水12%。</w:t>
      </w:r>
    </w:p>
    <w:p>
      <w:pPr>
        <w:widowControl/>
        <w:spacing w:line="460" w:lineRule="exact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b/>
          <w:bCs/>
          <w:kern w:val="0"/>
          <w:sz w:val="28"/>
          <w:szCs w:val="28"/>
        </w:rPr>
        <w:t>6.改分户防治为专业化统防统治</w:t>
      </w:r>
    </w:p>
    <w:p>
      <w:pPr>
        <w:widowControl/>
        <w:spacing w:line="460" w:lineRule="exact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Helvetica" w:hAnsi="Helvetica" w:eastAsia="宋体" w:cs="Helvetica"/>
          <w:spacing w:val="15"/>
          <w:kern w:val="0"/>
          <w:sz w:val="28"/>
          <w:szCs w:val="28"/>
        </w:rPr>
        <w:t>采用病虫草害统防统治，能够减少农药用量和面源污染，节省用工和成本，分别比常规防治用工减少0.5个/亩、农药使用投入减少9.4元/亩。</w:t>
      </w:r>
    </w:p>
    <w:p>
      <w:pPr>
        <w:widowControl/>
        <w:spacing w:line="460" w:lineRule="exact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b/>
          <w:bCs/>
          <w:kern w:val="0"/>
          <w:sz w:val="28"/>
          <w:szCs w:val="28"/>
        </w:rPr>
        <w:t>7.减少机械收获损失</w:t>
      </w:r>
    </w:p>
    <w:p>
      <w:pPr>
        <w:widowControl/>
        <w:spacing w:line="460" w:lineRule="exact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Helvetica" w:hAnsi="Helvetica" w:eastAsia="宋体" w:cs="Helvetica"/>
          <w:spacing w:val="15"/>
          <w:kern w:val="0"/>
          <w:sz w:val="28"/>
          <w:szCs w:val="28"/>
        </w:rPr>
        <w:t>因地制宜选择机械和收获期，督促大户抢晴早收，规范机收作业流程，减少谷物机收损失，全喂入式控制在2.8%以下，半喂入式控制在2.5%以下。</w:t>
      </w:r>
    </w:p>
    <w:p>
      <w:pPr>
        <w:widowControl/>
        <w:spacing w:line="460" w:lineRule="exact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b/>
          <w:bCs/>
          <w:kern w:val="0"/>
          <w:sz w:val="28"/>
          <w:szCs w:val="28"/>
        </w:rPr>
        <w:t>二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eastAsia="zh-CN"/>
        </w:rPr>
        <w:t>、</w:t>
      </w:r>
      <w:r>
        <w:rPr>
          <w:rFonts w:ascii="宋体" w:hAnsi="宋体" w:eastAsia="宋体" w:cs="宋体"/>
          <w:b/>
          <w:bCs/>
          <w:kern w:val="0"/>
          <w:sz w:val="28"/>
          <w:szCs w:val="28"/>
        </w:rPr>
        <w:t>适宜区域</w:t>
      </w:r>
    </w:p>
    <w:p>
      <w:pPr>
        <w:widowControl/>
        <w:spacing w:line="460" w:lineRule="exact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kern w:val="0"/>
          <w:sz w:val="28"/>
          <w:szCs w:val="28"/>
        </w:rPr>
        <w:t>湖南省传统双季稻区。 </w:t>
      </w:r>
    </w:p>
    <w:p>
      <w:pPr>
        <w:widowControl/>
        <w:spacing w:line="460" w:lineRule="exact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b/>
          <w:bCs/>
          <w:kern w:val="0"/>
          <w:sz w:val="28"/>
          <w:szCs w:val="28"/>
        </w:rPr>
        <w:t>三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eastAsia="zh-CN"/>
        </w:rPr>
        <w:t>、</w:t>
      </w:r>
      <w:r>
        <w:rPr>
          <w:rFonts w:ascii="宋体" w:hAnsi="宋体" w:eastAsia="宋体" w:cs="宋体"/>
          <w:b/>
          <w:bCs/>
          <w:kern w:val="0"/>
          <w:sz w:val="28"/>
          <w:szCs w:val="28"/>
        </w:rPr>
        <w:t>注意事项</w:t>
      </w:r>
    </w:p>
    <w:p>
      <w:pPr>
        <w:widowControl/>
        <w:spacing w:line="460" w:lineRule="exact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Helvetica" w:hAnsi="Helvetica" w:eastAsia="宋体" w:cs="Helvetica"/>
          <w:spacing w:val="15"/>
          <w:kern w:val="0"/>
          <w:sz w:val="28"/>
          <w:szCs w:val="28"/>
        </w:rPr>
        <w:t>1.水稻机械化作业适合规模化，受制于湖南山地和丘陵地貌，多数的单个田块面积小，小型农机耕作效益依旧不高，高标准农田建设有利于更大程度上的推广此项技术。2.当前农村劳动力老龄化严重，文化水平不高，习惯沿用传统水稻耕种方式，缺少对新事物学习热情，对该项技术的推广应用存在一定程度的制约。</w:t>
      </w:r>
    </w:p>
    <w:p>
      <w:pPr>
        <w:widowControl/>
        <w:spacing w:line="460" w:lineRule="exact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b/>
          <w:bCs/>
          <w:kern w:val="0"/>
          <w:sz w:val="28"/>
          <w:szCs w:val="28"/>
        </w:rPr>
        <w:t>四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eastAsia="zh-CN"/>
        </w:rPr>
        <w:t>、</w:t>
      </w:r>
      <w:bookmarkStart w:id="0" w:name="_GoBack"/>
      <w:bookmarkEnd w:id="0"/>
      <w:r>
        <w:rPr>
          <w:rFonts w:ascii="宋体" w:hAnsi="宋体" w:eastAsia="宋体" w:cs="宋体"/>
          <w:b/>
          <w:bCs/>
          <w:kern w:val="0"/>
          <w:sz w:val="28"/>
          <w:szCs w:val="28"/>
        </w:rPr>
        <w:t>技术依托单位</w:t>
      </w:r>
    </w:p>
    <w:p>
      <w:pPr>
        <w:spacing w:line="460" w:lineRule="exact"/>
        <w:rPr>
          <w:sz w:val="28"/>
          <w:szCs w:val="28"/>
        </w:rPr>
      </w:pPr>
      <w:r>
        <w:rPr>
          <w:rFonts w:ascii="Helvetica" w:hAnsi="Helvetica" w:eastAsia="宋体" w:cs="Helvetica"/>
          <w:kern w:val="0"/>
          <w:sz w:val="28"/>
          <w:szCs w:val="28"/>
        </w:rPr>
        <w:t>湖南农业大学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F79FE"/>
    <w:rsid w:val="003372D0"/>
    <w:rsid w:val="003464DE"/>
    <w:rsid w:val="005F79FE"/>
    <w:rsid w:val="00E50223"/>
    <w:rsid w:val="79EC6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5">
    <w:name w:val="Strong"/>
    <w:basedOn w:val="4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145</Words>
  <Characters>830</Characters>
  <Lines>6</Lines>
  <Paragraphs>1</Paragraphs>
  <TotalTime>0</TotalTime>
  <ScaleCrop>false</ScaleCrop>
  <LinksUpToDate>false</LinksUpToDate>
  <CharactersWithSpaces>974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2024-03-13T00:14:00Z</dcterms:created>
  <dc:creator>lenovo</dc:creator>
  <cp:lastModifiedBy>Administrator</cp:lastModifiedBy>
  <dcterms:modified xsi:type="dcterms:W3CDTF">2024-03-18T02:15:08Z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