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eastAsia="黑体" w:cs="黑体"/>
          <w:sz w:val="44"/>
          <w:szCs w:val="44"/>
        </w:rPr>
      </w:pPr>
      <w:r>
        <w:rPr>
          <w:rFonts w:hint="eastAsia" w:ascii="黑体" w:eastAsia="黑体" w:cs="黑体"/>
          <w:sz w:val="44"/>
          <w:szCs w:val="44"/>
        </w:rPr>
        <w:t>宁远县促进旅游发展十条措施</w:t>
      </w:r>
    </w:p>
    <w:p>
      <w:pPr>
        <w:jc w:val="center"/>
        <w:rPr>
          <w:rFonts w:ascii="黑体" w:eastAsia="黑体" w:cs="黑体"/>
          <w:sz w:val="44"/>
          <w:szCs w:val="44"/>
        </w:rPr>
      </w:pPr>
    </w:p>
    <w:p>
      <w:pPr>
        <w:ind w:firstLine="640" w:firstLineChars="200"/>
        <w:rPr>
          <w:rFonts w:ascii="仿宋_GB2312" w:eastAsia="仿宋_GB2312" w:cs="仿宋_GB2312"/>
          <w:sz w:val="32"/>
          <w:szCs w:val="32"/>
        </w:rPr>
      </w:pPr>
      <w:r>
        <w:rPr>
          <w:rFonts w:hint="eastAsia" w:ascii="仿宋_GB2312" w:eastAsia="仿宋_GB2312" w:cs="仿宋_GB2312"/>
          <w:sz w:val="32"/>
          <w:szCs w:val="32"/>
        </w:rPr>
        <w:t>为深入贯彻落实习近平新时代中国特色社会主义思想，加快推动我县文化、生态、旅游产业深度融合，实现高质量发展，全面提升宁远的影响力和美誉度，全力打造国家文化生态旅游名城，根据有关文件政策精神，结合我县实际，制定如下措施。</w:t>
      </w:r>
    </w:p>
    <w:p>
      <w:pPr>
        <w:ind w:firstLine="640" w:firstLineChars="200"/>
        <w:rPr>
          <w:rFonts w:ascii="仿宋_GB2312" w:eastAsia="仿宋_GB2312" w:cs="仿宋_GB2312"/>
          <w:sz w:val="32"/>
          <w:szCs w:val="32"/>
        </w:rPr>
      </w:pPr>
      <w:r>
        <w:rPr>
          <w:rFonts w:hint="eastAsia" w:ascii="黑体" w:eastAsia="黑体" w:cs="黑体"/>
          <w:sz w:val="32"/>
          <w:szCs w:val="32"/>
        </w:rPr>
        <w:t>一、强化旅游资源统筹管理。</w:t>
      </w:r>
      <w:r>
        <w:rPr>
          <w:rFonts w:hint="eastAsia" w:ascii="仿宋_GB2312" w:eastAsia="仿宋_GB2312" w:cs="仿宋_GB2312"/>
          <w:sz w:val="32"/>
          <w:szCs w:val="32"/>
        </w:rPr>
        <w:t>加快制定出台“一规划、一办法”，即《宁远县旅游发展布局国土空间专项规划》《宁远县旅游资源统筹管理办法》。对全县旅游资源实行分级管理，建立全县重大文旅项目库。对全县核心旅游资源及重大文旅项目的开发，由县级统一评估，文旅集团或各乡镇具体实施。强化规划协同，在城市建设、乡村振兴、生态保护、重大项目建设等领域前期规划中，需充分征求文旅部门意见。（责任单位：县文旅广体局、县自然资源和规划局等相关单位）</w:t>
      </w:r>
    </w:p>
    <w:p>
      <w:pPr>
        <w:ind w:firstLine="640" w:firstLineChars="200"/>
        <w:rPr>
          <w:rFonts w:ascii="仿宋_GB2312" w:eastAsia="仿宋_GB2312" w:cs="仿宋_GB2312"/>
          <w:sz w:val="32"/>
          <w:szCs w:val="32"/>
        </w:rPr>
      </w:pPr>
      <w:r>
        <w:rPr>
          <w:rFonts w:hint="eastAsia" w:ascii="黑体" w:eastAsia="黑体" w:cs="黑体"/>
          <w:sz w:val="32"/>
          <w:szCs w:val="32"/>
        </w:rPr>
        <w:t>二、鼓励社会资本参与建设。</w:t>
      </w:r>
      <w:r>
        <w:rPr>
          <w:rFonts w:hint="eastAsia" w:ascii="仿宋_GB2312" w:eastAsia="仿宋_GB2312" w:cs="仿宋_GB2312"/>
          <w:sz w:val="32"/>
          <w:szCs w:val="32"/>
        </w:rPr>
        <w:t>社会资本参与全县文旅项目建设总投资额超过5000万元的，由县财政按固定资产实际投入资金（不含设备投入，以建安增值税发票金额为准）的</w:t>
      </w:r>
      <w:r>
        <w:rPr>
          <w:rFonts w:hint="eastAsia" w:ascii="仿宋_GB2312" w:eastAsia="仿宋_GB2312" w:cs="仿宋_GB2312"/>
          <w:color w:val="FF0000"/>
          <w:sz w:val="32"/>
          <w:szCs w:val="32"/>
        </w:rPr>
        <w:t>0.5％一1.5％</w:t>
      </w:r>
      <w:r>
        <w:rPr>
          <w:rFonts w:hint="eastAsia" w:ascii="仿宋_GB2312" w:eastAsia="仿宋_GB2312" w:cs="仿宋_GB2312"/>
          <w:sz w:val="32"/>
          <w:szCs w:val="32"/>
        </w:rPr>
        <w:t>给予扶持；自项目签约之日起三年内，由县财政按</w:t>
      </w:r>
      <w:r>
        <w:rPr>
          <w:rFonts w:hint="eastAsia" w:ascii="仿宋_GB2312" w:eastAsia="仿宋_GB2312" w:cs="仿宋_GB2312"/>
          <w:color w:val="FF0000"/>
          <w:sz w:val="32"/>
          <w:szCs w:val="32"/>
        </w:rPr>
        <w:t>生产经营性税收县级留成部分的10％</w:t>
      </w:r>
      <w:r>
        <w:rPr>
          <w:rFonts w:hint="eastAsia" w:ascii="仿宋_GB2312" w:eastAsia="仿宋_GB2312" w:cs="仿宋_GB2312"/>
          <w:sz w:val="32"/>
          <w:szCs w:val="32"/>
        </w:rPr>
        <w:t>给予扶持，自项目签约之日起第4-6年，由县财政按</w:t>
      </w:r>
      <w:r>
        <w:rPr>
          <w:rFonts w:hint="eastAsia" w:ascii="仿宋_GB2312" w:eastAsia="仿宋_GB2312" w:cs="仿宋_GB2312"/>
          <w:color w:val="FF0000"/>
          <w:sz w:val="32"/>
          <w:szCs w:val="32"/>
        </w:rPr>
        <w:t>生产经营性税收县级留成部分</w:t>
      </w:r>
      <w:r>
        <w:rPr>
          <w:rFonts w:hint="eastAsia" w:ascii="仿宋_GB2312" w:eastAsia="仿宋_GB2312" w:cs="仿宋_GB2312"/>
          <w:sz w:val="32"/>
          <w:szCs w:val="32"/>
        </w:rPr>
        <w:t>的</w:t>
      </w:r>
      <w:r>
        <w:rPr>
          <w:rFonts w:hint="eastAsia" w:ascii="仿宋_GB2312" w:eastAsia="仿宋_GB2312" w:cs="仿宋_GB2312"/>
          <w:color w:val="FF0000"/>
          <w:sz w:val="32"/>
          <w:szCs w:val="32"/>
        </w:rPr>
        <w:t>5％</w:t>
      </w:r>
      <w:r>
        <w:rPr>
          <w:rFonts w:hint="eastAsia" w:ascii="仿宋_GB2312" w:eastAsia="仿宋_GB2312" w:cs="仿宋_GB2312"/>
          <w:sz w:val="32"/>
          <w:szCs w:val="32"/>
        </w:rPr>
        <w:t>给予扶持。对社会资本总投资额超过</w:t>
      </w:r>
      <w:r>
        <w:rPr>
          <w:rFonts w:hint="eastAsia" w:ascii="仿宋_GB2312" w:eastAsia="仿宋_GB2312" w:cs="仿宋_GB2312"/>
          <w:color w:val="FF0000"/>
          <w:sz w:val="32"/>
          <w:szCs w:val="32"/>
        </w:rPr>
        <w:t>10亿元</w:t>
      </w:r>
      <w:r>
        <w:rPr>
          <w:rFonts w:hint="eastAsia" w:ascii="仿宋_GB2312" w:eastAsia="仿宋_GB2312" w:cs="仿宋_GB2312"/>
          <w:sz w:val="32"/>
          <w:szCs w:val="32"/>
        </w:rPr>
        <w:t>的项目，可优先申请纳入省市重点建设项目管理。入驻宁远（在宁远汇总缴税）的网络直播、传媒娱乐等企业和网络工作室，由县财政前三年分别按其</w:t>
      </w:r>
      <w:r>
        <w:rPr>
          <w:rFonts w:ascii="仿宋_GB2312" w:eastAsia="仿宋_GB2312" w:cs="仿宋_GB2312"/>
          <w:sz w:val="32"/>
          <w:szCs w:val="32"/>
        </w:rPr>
        <w:t>生</w:t>
      </w:r>
      <w:r>
        <w:rPr>
          <w:rFonts w:hint="eastAsia" w:ascii="仿宋_GB2312" w:eastAsia="仿宋_GB2312" w:cs="仿宋_GB2312"/>
          <w:color w:val="FF0000"/>
          <w:sz w:val="32"/>
          <w:szCs w:val="32"/>
        </w:rPr>
        <w:t>产经营性税收县级留成部分</w:t>
      </w:r>
      <w:r>
        <w:rPr>
          <w:rFonts w:hint="eastAsia" w:ascii="仿宋_GB2312" w:eastAsia="仿宋_GB2312" w:cs="仿宋_GB2312"/>
          <w:sz w:val="32"/>
          <w:szCs w:val="32"/>
        </w:rPr>
        <w:t>的</w:t>
      </w:r>
      <w:r>
        <w:rPr>
          <w:rFonts w:hint="eastAsia" w:ascii="仿宋_GB2312" w:eastAsia="仿宋_GB2312" w:cs="仿宋_GB2312"/>
          <w:color w:val="FF0000"/>
          <w:sz w:val="32"/>
          <w:szCs w:val="32"/>
        </w:rPr>
        <w:t>30%、20%、10%</w:t>
      </w:r>
      <w:r>
        <w:rPr>
          <w:rFonts w:hint="eastAsia" w:ascii="仿宋_GB2312" w:eastAsia="仿宋_GB2312" w:cs="仿宋_GB2312"/>
          <w:sz w:val="32"/>
          <w:szCs w:val="32"/>
        </w:rPr>
        <w:t>给予扶持，后续年份按其</w:t>
      </w:r>
      <w:r>
        <w:rPr>
          <w:rFonts w:ascii="仿宋_GB2312" w:eastAsia="仿宋_GB2312" w:cs="仿宋_GB2312"/>
          <w:sz w:val="32"/>
          <w:szCs w:val="32"/>
        </w:rPr>
        <w:t>生</w:t>
      </w:r>
      <w:r>
        <w:rPr>
          <w:rFonts w:hint="eastAsia" w:ascii="仿宋_GB2312" w:eastAsia="仿宋_GB2312" w:cs="仿宋_GB2312"/>
          <w:color w:val="FF0000"/>
          <w:sz w:val="32"/>
          <w:szCs w:val="32"/>
        </w:rPr>
        <w:t>产经营性税收县级留成部分</w:t>
      </w:r>
      <w:r>
        <w:rPr>
          <w:rFonts w:hint="eastAsia" w:ascii="仿宋_GB2312" w:eastAsia="仿宋_GB2312" w:cs="仿宋_GB2312"/>
          <w:sz w:val="32"/>
          <w:szCs w:val="32"/>
        </w:rPr>
        <w:t>的</w:t>
      </w:r>
      <w:r>
        <w:rPr>
          <w:rFonts w:hint="eastAsia" w:ascii="仿宋_GB2312" w:eastAsia="仿宋_GB2312" w:cs="仿宋_GB2312"/>
          <w:color w:val="FF0000"/>
          <w:sz w:val="32"/>
          <w:szCs w:val="32"/>
        </w:rPr>
        <w:t>5%</w:t>
      </w:r>
      <w:r>
        <w:rPr>
          <w:rFonts w:hint="eastAsia" w:ascii="仿宋_GB2312" w:eastAsia="仿宋_GB2312" w:cs="仿宋_GB2312"/>
          <w:sz w:val="32"/>
          <w:szCs w:val="32"/>
        </w:rPr>
        <w:t>给予扶持。（责任单位：县文旅广体局、县财政局、县发改局、县税务局）</w:t>
      </w:r>
    </w:p>
    <w:p>
      <w:pPr>
        <w:ind w:firstLine="640" w:firstLineChars="200"/>
        <w:rPr>
          <w:rFonts w:ascii="仿宋_GB2312" w:eastAsia="仿宋_GB2312" w:cs="仿宋_GB2312"/>
          <w:sz w:val="32"/>
          <w:szCs w:val="32"/>
        </w:rPr>
      </w:pPr>
      <w:r>
        <w:rPr>
          <w:rFonts w:hint="eastAsia" w:ascii="黑体" w:eastAsia="黑体" w:cs="黑体"/>
          <w:sz w:val="32"/>
          <w:szCs w:val="32"/>
        </w:rPr>
        <w:t>三、深化景区运营机制改革。</w:t>
      </w:r>
      <w:r>
        <w:rPr>
          <w:rFonts w:hint="eastAsia" w:ascii="仿宋_GB2312" w:eastAsia="仿宋_GB2312" w:cs="仿宋_GB2312"/>
          <w:sz w:val="32"/>
          <w:szCs w:val="32"/>
        </w:rPr>
        <w:t xml:space="preserve">做大做强九疑山文旅集团有限公司，推动国有景区所有权、管理权、经营权分离。引入优秀旅游管理企业，多方式开展二次消费、三次消费合作开发，切实实现游客愿留、旅游增收的目标。鼓励引进国际品牌企业、大型央企省企和知名文旅企业落户宁远并参与景区运营。（责任单位：县文旅广体局、县文旅集团、县商务局、县国资办）    </w:t>
      </w:r>
    </w:p>
    <w:p>
      <w:pPr>
        <w:ind w:firstLine="640" w:firstLineChars="200"/>
        <w:rPr>
          <w:rFonts w:ascii="仿宋_GB2312" w:eastAsia="仿宋_GB2312" w:cs="仿宋_GB2312"/>
          <w:sz w:val="32"/>
          <w:szCs w:val="32"/>
        </w:rPr>
      </w:pPr>
      <w:r>
        <w:rPr>
          <w:rFonts w:hint="eastAsia" w:ascii="黑体" w:eastAsia="黑体" w:cs="黑体"/>
          <w:sz w:val="32"/>
          <w:szCs w:val="32"/>
        </w:rPr>
        <w:t>四、加强文旅品牌创建营销。</w:t>
      </w:r>
      <w:r>
        <w:rPr>
          <w:rFonts w:ascii="仿宋_GB2312" w:eastAsia="仿宋_GB2312" w:cs="仿宋_GB2312"/>
          <w:sz w:val="32"/>
          <w:szCs w:val="32"/>
        </w:rPr>
        <w:t>以创建国家</w:t>
      </w:r>
      <w:r>
        <w:rPr>
          <w:rFonts w:hint="eastAsia" w:ascii="仿宋_GB2312" w:eastAsia="仿宋_GB2312" w:cs="仿宋_GB2312"/>
          <w:sz w:val="32"/>
          <w:szCs w:val="32"/>
        </w:rPr>
        <w:t>全域旅游示范区</w:t>
      </w:r>
      <w:r>
        <w:rPr>
          <w:rFonts w:ascii="仿宋_GB2312" w:eastAsia="仿宋_GB2312" w:cs="仿宋_GB2312"/>
          <w:sz w:val="32"/>
          <w:szCs w:val="32"/>
        </w:rPr>
        <w:t>、九嶷山舜帝陵景区创建国家5A级旅游景区为抓手，做大做强</w:t>
      </w:r>
      <w:r>
        <w:rPr>
          <w:rFonts w:hint="eastAsia" w:ascii="仿宋_GB2312" w:eastAsia="仿宋_GB2312" w:cs="Times New Roman"/>
          <w:color w:val="000000"/>
          <w:sz w:val="32"/>
          <w:szCs w:val="32"/>
        </w:rPr>
        <w:t>舜文化、瑶文化、状元文化、麻将文化、红色文化</w:t>
      </w:r>
      <w:r>
        <w:rPr>
          <w:rFonts w:ascii="仿宋_GB2312" w:eastAsia="仿宋_GB2312" w:cs="仿宋_GB2312"/>
          <w:sz w:val="32"/>
          <w:szCs w:val="32"/>
        </w:rPr>
        <w:t>“五大”</w:t>
      </w:r>
      <w:r>
        <w:rPr>
          <w:rFonts w:hint="eastAsia" w:ascii="仿宋_GB2312" w:eastAsia="仿宋_GB2312" w:cs="仿宋_GB2312"/>
          <w:sz w:val="32"/>
          <w:szCs w:val="32"/>
        </w:rPr>
        <w:t>文化</w:t>
      </w:r>
      <w:r>
        <w:rPr>
          <w:rFonts w:ascii="仿宋_GB2312" w:eastAsia="仿宋_GB2312" w:cs="仿宋_GB2312"/>
          <w:sz w:val="32"/>
          <w:szCs w:val="32"/>
        </w:rPr>
        <w:t>品牌</w:t>
      </w:r>
      <w:r>
        <w:rPr>
          <w:rFonts w:hint="eastAsia" w:ascii="仿宋_GB2312" w:eastAsia="仿宋_GB2312" w:cs="仿宋_GB2312"/>
          <w:sz w:val="32"/>
          <w:szCs w:val="32"/>
        </w:rPr>
        <w:t>。对旅游企业自主投入当年</w:t>
      </w:r>
      <w:r>
        <w:rPr>
          <w:rFonts w:hint="eastAsia" w:ascii="仿宋_GB2312" w:eastAsia="仿宋_GB2312" w:cs="仿宋_GB2312"/>
          <w:color w:val="000000"/>
          <w:sz w:val="32"/>
          <w:szCs w:val="32"/>
        </w:rPr>
        <w:t>成功创建为国家</w:t>
      </w:r>
      <w:r>
        <w:rPr>
          <w:rFonts w:hint="eastAsia" w:ascii="仿宋_GB2312" w:eastAsia="仿宋_GB2312" w:cs="仿宋_GB2312"/>
          <w:color w:val="FF0000"/>
          <w:sz w:val="32"/>
          <w:szCs w:val="32"/>
        </w:rPr>
        <w:t>（5A、4A）</w:t>
      </w:r>
      <w:r>
        <w:rPr>
          <w:rFonts w:hint="eastAsia" w:ascii="仿宋_GB2312" w:eastAsia="仿宋_GB2312" w:cs="仿宋_GB2312"/>
          <w:color w:val="000000"/>
          <w:sz w:val="32"/>
          <w:szCs w:val="32"/>
        </w:rPr>
        <w:t>级景区的，由县财政分别奖励</w:t>
      </w:r>
      <w:r>
        <w:rPr>
          <w:rFonts w:hint="eastAsia" w:ascii="仿宋_GB2312" w:eastAsia="仿宋_GB2312" w:cs="仿宋_GB2312"/>
          <w:color w:val="FF0000"/>
          <w:sz w:val="32"/>
          <w:szCs w:val="32"/>
        </w:rPr>
        <w:t>100万元、20万元</w:t>
      </w:r>
      <w:r>
        <w:rPr>
          <w:rFonts w:hint="eastAsia" w:ascii="仿宋_GB2312" w:eastAsia="仿宋_GB2312" w:cs="仿宋_GB2312"/>
          <w:color w:val="000000"/>
          <w:sz w:val="32"/>
          <w:szCs w:val="32"/>
        </w:rPr>
        <w:t>到旅游企业；对旅游</w:t>
      </w:r>
      <w:r>
        <w:rPr>
          <w:rFonts w:hint="eastAsia" w:ascii="仿宋_GB2312" w:eastAsia="仿宋_GB2312" w:cs="仿宋_GB2312"/>
          <w:color w:val="FF0000"/>
          <w:sz w:val="32"/>
          <w:szCs w:val="32"/>
        </w:rPr>
        <w:t>企业自主投资</w:t>
      </w:r>
      <w:r>
        <w:rPr>
          <w:rFonts w:hint="eastAsia" w:ascii="仿宋_GB2312" w:eastAsia="仿宋_GB2312" w:cs="仿宋_GB2312"/>
          <w:color w:val="000000"/>
          <w:sz w:val="32"/>
          <w:szCs w:val="32"/>
        </w:rPr>
        <w:t>当年成功创建为国家级、省级旅游度假区</w:t>
      </w:r>
      <w:r>
        <w:rPr>
          <w:rFonts w:hint="eastAsia" w:ascii="仿宋_GB2312" w:eastAsia="仿宋_GB2312" w:cs="仿宋_GB2312"/>
          <w:color w:val="000000"/>
          <w:sz w:val="32"/>
          <w:szCs w:val="32"/>
          <w:lang w:val="en-US" w:eastAsia="zh-CN"/>
        </w:rPr>
        <w:t>的</w:t>
      </w:r>
      <w:r>
        <w:rPr>
          <w:rFonts w:hint="eastAsia" w:ascii="仿宋_GB2312" w:eastAsia="仿宋_GB2312" w:cs="仿宋_GB2312"/>
          <w:color w:val="000000"/>
          <w:sz w:val="32"/>
          <w:szCs w:val="32"/>
        </w:rPr>
        <w:t>分别奖励</w:t>
      </w:r>
      <w:r>
        <w:rPr>
          <w:rFonts w:hint="eastAsia" w:ascii="仿宋_GB2312" w:eastAsia="仿宋_GB2312" w:cs="仿宋_GB2312"/>
          <w:color w:val="FF0000"/>
          <w:sz w:val="32"/>
          <w:szCs w:val="32"/>
        </w:rPr>
        <w:t>30万元、10万元</w:t>
      </w:r>
      <w:r>
        <w:rPr>
          <w:rFonts w:hint="eastAsia" w:ascii="仿宋_GB2312" w:eastAsia="仿宋_GB2312" w:cs="仿宋_GB2312"/>
          <w:color w:val="000000"/>
          <w:sz w:val="32"/>
          <w:szCs w:val="32"/>
        </w:rPr>
        <w:t>。对旅游</w:t>
      </w:r>
      <w:r>
        <w:rPr>
          <w:rFonts w:hint="eastAsia" w:ascii="仿宋_GB2312" w:eastAsia="仿宋_GB2312" w:cs="仿宋_GB2312"/>
          <w:color w:val="FF0000"/>
          <w:sz w:val="32"/>
          <w:szCs w:val="32"/>
        </w:rPr>
        <w:t>企业自主投资</w:t>
      </w:r>
      <w:r>
        <w:rPr>
          <w:rFonts w:hint="eastAsia" w:ascii="仿宋_GB2312" w:eastAsia="仿宋_GB2312" w:cs="仿宋_GB2312"/>
          <w:color w:val="000000"/>
          <w:sz w:val="32"/>
          <w:szCs w:val="32"/>
        </w:rPr>
        <w:t>当年成功创建的星级酒店（5星、4星、3星），由县财政分别奖励20万元、10万元、5万元</w:t>
      </w:r>
      <w:r>
        <w:rPr>
          <w:rFonts w:hint="eastAsia" w:ascii="仿宋_GB2312" w:eastAsia="仿宋_GB2312" w:cs="仿宋_GB2312"/>
          <w:color w:val="FF0000"/>
          <w:sz w:val="32"/>
          <w:szCs w:val="32"/>
        </w:rPr>
        <w:t>（升级按差额补足）</w:t>
      </w:r>
      <w:r>
        <w:rPr>
          <w:rFonts w:hint="eastAsia" w:ascii="仿宋_GB2312" w:eastAsia="仿宋_GB2312" w:cs="仿宋_GB2312"/>
          <w:color w:val="000000"/>
          <w:sz w:val="32"/>
          <w:szCs w:val="32"/>
        </w:rPr>
        <w:t>；对当年成功创建的星级</w:t>
      </w:r>
      <w:r>
        <w:rPr>
          <w:rFonts w:hint="eastAsia" w:ascii="仿宋_GB2312" w:eastAsia="仿宋_GB2312" w:cs="仿宋_GB2312"/>
          <w:color w:val="FF0000"/>
          <w:sz w:val="32"/>
          <w:szCs w:val="32"/>
        </w:rPr>
        <w:t>（5星、4星、3星）</w:t>
      </w:r>
      <w:r>
        <w:rPr>
          <w:rFonts w:hint="eastAsia" w:ascii="仿宋_GB2312" w:eastAsia="仿宋_GB2312" w:cs="仿宋_GB2312"/>
          <w:color w:val="000000"/>
          <w:sz w:val="32"/>
          <w:szCs w:val="32"/>
        </w:rPr>
        <w:t>乡村旅游区点，由县财政分别奖励</w:t>
      </w:r>
      <w:r>
        <w:rPr>
          <w:rFonts w:hint="eastAsia" w:ascii="仿宋_GB2312" w:eastAsia="仿宋_GB2312" w:cs="仿宋_GB2312"/>
          <w:color w:val="FF0000"/>
          <w:sz w:val="32"/>
          <w:szCs w:val="32"/>
        </w:rPr>
        <w:t>3万元、2万元、1万元（升级按差额补足）</w:t>
      </w:r>
      <w:r>
        <w:rPr>
          <w:rFonts w:hint="eastAsia" w:ascii="仿宋_GB2312" w:eastAsia="仿宋_GB2312" w:cs="仿宋_GB2312"/>
          <w:color w:val="000000"/>
          <w:sz w:val="32"/>
          <w:szCs w:val="32"/>
        </w:rPr>
        <w:t>；对当年成功创建的5C、4C级自驾车旅居车营地，由县财政分别奖励</w:t>
      </w:r>
      <w:r>
        <w:rPr>
          <w:rFonts w:hint="eastAsia" w:ascii="仿宋_GB2312" w:eastAsia="仿宋_GB2312" w:cs="仿宋_GB2312"/>
          <w:color w:val="FF0000"/>
          <w:sz w:val="32"/>
          <w:szCs w:val="32"/>
        </w:rPr>
        <w:t>10万元、5万元</w:t>
      </w:r>
      <w:r>
        <w:rPr>
          <w:rFonts w:hint="eastAsia" w:ascii="仿宋_GB2312" w:eastAsia="仿宋_GB2312" w:cs="仿宋_GB2312"/>
          <w:color w:val="000000"/>
          <w:sz w:val="32"/>
          <w:szCs w:val="32"/>
        </w:rPr>
        <w:t>；对当年新评为</w:t>
      </w:r>
      <w:r>
        <w:rPr>
          <w:rFonts w:hint="eastAsia" w:ascii="仿宋_GB2312" w:eastAsia="仿宋_GB2312" w:cs="仿宋_GB2312"/>
          <w:color w:val="000000"/>
          <w:sz w:val="32"/>
          <w:szCs w:val="32"/>
          <w:lang w:val="en-US" w:eastAsia="zh-CN"/>
        </w:rPr>
        <w:t>国家</w:t>
      </w:r>
      <w:r>
        <w:rPr>
          <w:rFonts w:hint="eastAsia" w:ascii="仿宋_GB2312" w:eastAsia="仿宋_GB2312" w:cs="仿宋_GB2312"/>
          <w:color w:val="000000"/>
          <w:sz w:val="32"/>
          <w:szCs w:val="32"/>
        </w:rPr>
        <w:t>甲级、乙级</w:t>
      </w:r>
      <w:r>
        <w:rPr>
          <w:rFonts w:hint="eastAsia" w:ascii="仿宋_GB2312" w:eastAsia="仿宋_GB2312" w:cs="仿宋_GB2312"/>
          <w:color w:val="000000"/>
          <w:sz w:val="32"/>
          <w:szCs w:val="32"/>
          <w:lang w:eastAsia="zh-CN"/>
        </w:rPr>
        <w:t>，</w:t>
      </w:r>
      <w:r>
        <w:rPr>
          <w:rFonts w:hint="eastAsia" w:ascii="仿宋_GB2312" w:eastAsia="仿宋_GB2312" w:cs="仿宋_GB2312"/>
          <w:color w:val="000000"/>
          <w:sz w:val="32"/>
          <w:szCs w:val="32"/>
          <w:lang w:val="en-US" w:eastAsia="zh-CN"/>
        </w:rPr>
        <w:t>省五星级、四星级、三星级</w:t>
      </w:r>
      <w:r>
        <w:rPr>
          <w:rFonts w:hint="eastAsia" w:ascii="仿宋_GB2312" w:eastAsia="仿宋_GB2312" w:cs="仿宋_GB2312"/>
          <w:color w:val="000000"/>
          <w:sz w:val="32"/>
          <w:szCs w:val="32"/>
        </w:rPr>
        <w:t>旅游民宿的，由县财政分别奖励</w:t>
      </w:r>
      <w:r>
        <w:rPr>
          <w:rFonts w:hint="eastAsia" w:ascii="仿宋_GB2312" w:eastAsia="仿宋_GB2312" w:cs="仿宋_GB2312"/>
          <w:color w:val="FF0000"/>
          <w:sz w:val="32"/>
          <w:szCs w:val="32"/>
          <w:lang w:val="en-US" w:eastAsia="zh-CN"/>
        </w:rPr>
        <w:t>6</w:t>
      </w:r>
      <w:r>
        <w:rPr>
          <w:rFonts w:hint="eastAsia" w:ascii="仿宋_GB2312" w:eastAsia="仿宋_GB2312" w:cs="仿宋_GB2312"/>
          <w:color w:val="FF0000"/>
          <w:sz w:val="32"/>
          <w:szCs w:val="32"/>
        </w:rPr>
        <w:t>万元、</w:t>
      </w:r>
      <w:r>
        <w:rPr>
          <w:rFonts w:hint="eastAsia" w:ascii="仿宋_GB2312" w:eastAsia="仿宋_GB2312" w:cs="仿宋_GB2312"/>
          <w:color w:val="FF0000"/>
          <w:sz w:val="32"/>
          <w:szCs w:val="32"/>
          <w:lang w:val="en-US" w:eastAsia="zh-CN"/>
        </w:rPr>
        <w:t>4</w:t>
      </w:r>
      <w:r>
        <w:rPr>
          <w:rFonts w:hint="eastAsia" w:ascii="仿宋_GB2312" w:eastAsia="仿宋_GB2312" w:cs="仿宋_GB2312"/>
          <w:color w:val="FF0000"/>
          <w:sz w:val="32"/>
          <w:szCs w:val="32"/>
        </w:rPr>
        <w:t>万元</w:t>
      </w:r>
      <w:r>
        <w:rPr>
          <w:rFonts w:hint="eastAsia" w:ascii="仿宋_GB2312" w:eastAsia="仿宋_GB2312" w:cs="仿宋_GB2312"/>
          <w:color w:val="FF0000"/>
          <w:sz w:val="32"/>
          <w:szCs w:val="32"/>
          <w:lang w:eastAsia="zh-CN"/>
        </w:rPr>
        <w:t>、</w:t>
      </w:r>
      <w:r>
        <w:rPr>
          <w:rFonts w:hint="eastAsia" w:ascii="仿宋_GB2312" w:eastAsia="仿宋_GB2312" w:cs="仿宋_GB2312"/>
          <w:color w:val="FF0000"/>
          <w:sz w:val="32"/>
          <w:szCs w:val="32"/>
          <w:lang w:val="en-US" w:eastAsia="zh-CN"/>
        </w:rPr>
        <w:t>2万元</w:t>
      </w:r>
      <w:r>
        <w:rPr>
          <w:rFonts w:hint="eastAsia" w:ascii="仿宋_GB2312" w:eastAsia="仿宋_GB2312" w:cs="仿宋_GB2312"/>
          <w:color w:val="000000"/>
          <w:sz w:val="32"/>
          <w:szCs w:val="32"/>
        </w:rPr>
        <w:t>。鼓励开展宣传营销。在主流新媒体</w:t>
      </w:r>
      <w:bookmarkStart w:id="0" w:name="_GoBack"/>
      <w:bookmarkEnd w:id="0"/>
      <w:r>
        <w:rPr>
          <w:rFonts w:hint="eastAsia" w:ascii="仿宋_GB2312" w:eastAsia="仿宋_GB2312" w:cs="仿宋_GB2312"/>
          <w:color w:val="000000"/>
          <w:sz w:val="32"/>
          <w:szCs w:val="32"/>
        </w:rPr>
        <w:t>平台发布宁远县文化旅游的正面原创作品，经文旅、网信等相关职能部门认定后，对观看次数达到</w:t>
      </w:r>
      <w:r>
        <w:rPr>
          <w:rFonts w:hint="eastAsia" w:ascii="仿宋_GB2312" w:eastAsia="仿宋_GB2312" w:cs="仿宋_GB2312"/>
          <w:color w:val="FF0000"/>
          <w:sz w:val="32"/>
          <w:szCs w:val="32"/>
        </w:rPr>
        <w:t>10万次、100万次、800万次、1000万次</w:t>
      </w:r>
      <w:r>
        <w:rPr>
          <w:rFonts w:hint="eastAsia" w:ascii="仿宋_GB2312" w:eastAsia="仿宋_GB2312" w:cs="仿宋_GB2312"/>
          <w:color w:val="000000"/>
          <w:sz w:val="32"/>
          <w:szCs w:val="32"/>
        </w:rPr>
        <w:t>的作品，分别奖励原创者</w:t>
      </w:r>
      <w:r>
        <w:rPr>
          <w:rFonts w:hint="eastAsia" w:ascii="仿宋_GB2312" w:eastAsia="仿宋_GB2312" w:cs="仿宋_GB2312"/>
          <w:color w:val="FF0000"/>
          <w:sz w:val="32"/>
          <w:szCs w:val="32"/>
        </w:rPr>
        <w:t>300元、2000元、6000元、1万元。</w:t>
      </w:r>
      <w:r>
        <w:rPr>
          <w:rFonts w:hint="eastAsia" w:ascii="仿宋_GB2312" w:eastAsia="仿宋_GB2312" w:cs="仿宋_GB2312"/>
          <w:sz w:val="32"/>
          <w:szCs w:val="32"/>
        </w:rPr>
        <w:t>鼓励各类旅游企业积极加入合作联盟，与盟员城市开展联动营销、巡回推介、品牌营销等活动。（责任单位：县文旅广体局、县财政局、县委网信办、县住建局）</w:t>
      </w:r>
    </w:p>
    <w:p>
      <w:pPr>
        <w:ind w:firstLine="640" w:firstLineChars="200"/>
        <w:rPr>
          <w:rFonts w:ascii="仿宋_GB2312" w:eastAsia="仿宋_GB2312" w:cs="仿宋_GB2312"/>
          <w:sz w:val="32"/>
          <w:szCs w:val="32"/>
        </w:rPr>
      </w:pPr>
      <w:r>
        <w:rPr>
          <w:rFonts w:hint="eastAsia" w:ascii="黑体" w:eastAsia="黑体" w:cs="黑体"/>
          <w:sz w:val="32"/>
          <w:szCs w:val="32"/>
        </w:rPr>
        <w:t>五、积极开展文旅节庆活动。</w:t>
      </w:r>
      <w:r>
        <w:rPr>
          <w:rFonts w:hint="eastAsia" w:ascii="仿宋_GB2312" w:eastAsia="仿宋_GB2312" w:cs="仿宋_GB2312"/>
          <w:sz w:val="32"/>
          <w:szCs w:val="32"/>
        </w:rPr>
        <w:t>突出“德孝之源，福地九嶷”宁远品牌特色，牢牢抓住寻根朝圣这张德孝品牌，积极对接粤港澳、闽浙台、东南亚等海内外舜裔宗亲，不断提升九嶷山舜文化旅游品牌知名度。每年至少举行一次省级以上文化旅游体育节庆或赛事品牌活动，结合县旅游发展大会同时举办，多方面推介宁远旅游。经县人民政府批准承办的国家、省、市级文旅体活动，实行一事一议，根据实际情况安排活动经费。简化演艺审批流程，开通审批绿色通道，针对不同规模的文艺演出，由相关职能部门细化相关标准，压缩办理时限，确保“能演尽演”。（责任单位：县文旅广体局、县财政局、县公安局、县城管执法局、县应急管理局、县卫健局、县消防救援支队）</w:t>
      </w:r>
    </w:p>
    <w:p>
      <w:pPr>
        <w:ind w:firstLine="640" w:firstLineChars="200"/>
        <w:rPr>
          <w:rFonts w:ascii="仿宋_GB2312" w:eastAsia="仿宋_GB2312" w:cs="仿宋_GB2312"/>
          <w:sz w:val="32"/>
          <w:szCs w:val="32"/>
        </w:rPr>
      </w:pPr>
      <w:r>
        <w:rPr>
          <w:rFonts w:hint="eastAsia" w:ascii="黑体" w:eastAsia="黑体" w:cs="黑体"/>
          <w:sz w:val="32"/>
          <w:szCs w:val="32"/>
        </w:rPr>
        <w:t>六、大力发展研学旅行。</w:t>
      </w:r>
      <w:r>
        <w:rPr>
          <w:rFonts w:hint="eastAsia" w:ascii="仿宋_GB2312" w:eastAsia="仿宋_GB2312" w:cs="仿宋_GB2312"/>
          <w:sz w:val="32"/>
          <w:szCs w:val="32"/>
        </w:rPr>
        <w:t>按照国家和省相关标准，在本县规划建设的研学旅行基地（营地）项目，同等享受本文件第二条措施优惠条件，并在县内组织的研学活动中优先推荐。对当年新评为国家级研学旅行基地（营地）、省级研学旅游基地、省级研学示范基地的，由县级财政分别奖励</w:t>
      </w:r>
      <w:r>
        <w:rPr>
          <w:rFonts w:hint="eastAsia" w:ascii="仿宋_GB2312" w:eastAsia="仿宋_GB2312" w:cs="仿宋_GB2312"/>
          <w:color w:val="FF0000"/>
          <w:sz w:val="32"/>
          <w:szCs w:val="32"/>
        </w:rPr>
        <w:t>20万元、10万元</w:t>
      </w:r>
      <w:r>
        <w:rPr>
          <w:rFonts w:hint="eastAsia" w:ascii="仿宋_GB2312" w:eastAsia="仿宋_GB2312" w:cs="仿宋_GB2312"/>
          <w:sz w:val="32"/>
          <w:szCs w:val="32"/>
        </w:rPr>
        <w:t>。开展“百万学子研学宁远县”活动，每学期组织</w:t>
      </w:r>
      <w:r>
        <w:rPr>
          <w:rFonts w:hint="eastAsia" w:ascii="仿宋_GB2312" w:eastAsia="仿宋_GB2312" w:cs="仿宋_GB2312"/>
          <w:color w:val="000000" w:themeColor="text1"/>
          <w:sz w:val="32"/>
          <w:szCs w:val="32"/>
          <w:u w:val="none"/>
        </w:rPr>
        <w:t>5万名</w:t>
      </w:r>
      <w:r>
        <w:rPr>
          <w:rFonts w:hint="eastAsia" w:ascii="仿宋_GB2312" w:eastAsia="仿宋_GB2312" w:cs="仿宋_GB2312"/>
          <w:sz w:val="32"/>
          <w:szCs w:val="32"/>
        </w:rPr>
        <w:t>以上中小学生在宁远县开展研学活动。（责任单位：县文旅广体局、县文旅集团、县财政局、县教育局）</w:t>
      </w:r>
    </w:p>
    <w:p>
      <w:pPr>
        <w:ind w:firstLine="640" w:firstLineChars="200"/>
        <w:rPr>
          <w:rFonts w:ascii="仿宋_GB2312" w:eastAsia="仿宋_GB2312" w:cs="仿宋_GB2312"/>
          <w:sz w:val="32"/>
          <w:szCs w:val="32"/>
        </w:rPr>
      </w:pPr>
      <w:r>
        <w:rPr>
          <w:rFonts w:hint="eastAsia" w:ascii="黑体" w:eastAsia="黑体" w:cs="黑体"/>
          <w:sz w:val="32"/>
          <w:szCs w:val="32"/>
        </w:rPr>
        <w:t>七、支持发展康养旅游。</w:t>
      </w:r>
      <w:r>
        <w:rPr>
          <w:rFonts w:hint="eastAsia" w:ascii="仿宋_GB2312" w:eastAsia="仿宋_GB2312" w:cs="仿宋_GB2312"/>
          <w:sz w:val="32"/>
          <w:szCs w:val="32"/>
        </w:rPr>
        <w:t>按照《国家康养旅游示范基地标准》,在本县建设的康养旅游基地，同等享受本文件第二条措施优惠条件。鼓励全县机关、企事业单位、社会团体对获得“劳动模范（先进工作者）”“五一劳动奖章”“三八红旗手”等群体，定期组织康养旅行。对外县来宁入住康养旅游基地、景区内酒店或民宿10天以上的，赠送景区门票。（责任单位：县文旅广体局、县文旅集团、县财政局、县卫健局、县民政局、县妇联、县总工会）</w:t>
      </w:r>
    </w:p>
    <w:p>
      <w:pPr>
        <w:ind w:firstLine="640" w:firstLineChars="200"/>
        <w:rPr>
          <w:rFonts w:ascii="仿宋_GB2312" w:eastAsia="仿宋_GB2312" w:cs="仿宋_GB2312"/>
          <w:sz w:val="32"/>
          <w:szCs w:val="32"/>
        </w:rPr>
      </w:pPr>
      <w:r>
        <w:rPr>
          <w:rFonts w:hint="eastAsia" w:ascii="黑体" w:eastAsia="黑体" w:cs="黑体"/>
          <w:sz w:val="32"/>
          <w:szCs w:val="32"/>
        </w:rPr>
        <w:t>八、整合开发旅游文创商品。</w:t>
      </w:r>
      <w:r>
        <w:rPr>
          <w:rFonts w:hint="eastAsia" w:ascii="仿宋_GB2312" w:eastAsia="仿宋_GB2312" w:cs="仿宋_GB2312"/>
          <w:sz w:val="32"/>
          <w:szCs w:val="32"/>
        </w:rPr>
        <w:t>鼓励开发、生产、销售具有本土特色的旅游商品，并在县内3A级</w:t>
      </w:r>
      <w:r>
        <w:rPr>
          <w:rFonts w:hint="eastAsia" w:ascii="仿宋_GB2312" w:eastAsia="仿宋_GB2312" w:cs="仿宋_GB2312"/>
          <w:sz w:val="32"/>
          <w:szCs w:val="32"/>
          <w:lang w:val="en-US" w:eastAsia="zh-CN"/>
        </w:rPr>
        <w:t>及</w:t>
      </w:r>
      <w:r>
        <w:rPr>
          <w:rFonts w:hint="eastAsia" w:ascii="仿宋_GB2312" w:eastAsia="仿宋_GB2312" w:cs="仿宋_GB2312"/>
          <w:sz w:val="32"/>
          <w:szCs w:val="32"/>
        </w:rPr>
        <w:t>以上景区、星级酒店、指定旅游购物场所等设立以销售本企业特色旅游商品为主的旗舰店</w:t>
      </w:r>
      <w:r>
        <w:rPr>
          <w:rFonts w:ascii="仿宋_GB2312" w:eastAsia="仿宋_GB2312" w:cs="仿宋_GB2312"/>
          <w:sz w:val="32"/>
          <w:szCs w:val="32"/>
        </w:rPr>
        <w:t>。</w:t>
      </w:r>
      <w:r>
        <w:rPr>
          <w:rFonts w:hint="eastAsia" w:ascii="仿宋_GB2312" w:eastAsia="仿宋_GB2312" w:cs="仿宋_GB2312"/>
          <w:sz w:val="32"/>
          <w:szCs w:val="32"/>
        </w:rPr>
        <w:t>（责任单位：县文旅广体局、县文旅集团、县财政局、县农业农村局、县市场监督管理局）</w:t>
      </w:r>
    </w:p>
    <w:p>
      <w:pPr>
        <w:ind w:firstLine="640" w:firstLineChars="200"/>
        <w:rPr>
          <w:rFonts w:ascii="仿宋_GB2312" w:eastAsia="仿宋_GB2312" w:cs="仿宋_GB2312"/>
          <w:sz w:val="32"/>
          <w:szCs w:val="32"/>
        </w:rPr>
      </w:pPr>
      <w:r>
        <w:rPr>
          <w:rFonts w:hint="eastAsia" w:ascii="黑体" w:eastAsia="黑体" w:cs="黑体"/>
          <w:sz w:val="32"/>
          <w:szCs w:val="32"/>
        </w:rPr>
        <w:t>九、扶持旅游行业做大做强。</w:t>
      </w:r>
      <w:r>
        <w:rPr>
          <w:rFonts w:hint="eastAsia" w:ascii="仿宋_GB2312" w:eastAsia="仿宋_GB2312" w:cs="仿宋_GB2312"/>
          <w:sz w:val="32"/>
          <w:szCs w:val="32"/>
        </w:rPr>
        <w:t>对6人以上组团游玩3个景点且住宿</w:t>
      </w:r>
      <w:r>
        <w:rPr>
          <w:rFonts w:ascii="仿宋_GB2312" w:eastAsia="仿宋_GB2312" w:cs="仿宋_GB2312"/>
          <w:sz w:val="32"/>
          <w:szCs w:val="32"/>
        </w:rPr>
        <w:t>2</w:t>
      </w:r>
      <w:r>
        <w:rPr>
          <w:rFonts w:hint="eastAsia" w:ascii="仿宋_GB2312" w:eastAsia="仿宋_GB2312" w:cs="仿宋_GB2312"/>
          <w:sz w:val="32"/>
          <w:szCs w:val="32"/>
        </w:rPr>
        <w:t>晚以上的旅行社，在享受“引客入宁”原有政策奖励外，再额外给予旅行社每人次5元的奖励。鼓励“宁远人游宁远、湖南人游宁远、两广人（广东、广西）游宁远”，每年开展2次“免费畅游宁远”活动，由县文旅部门牵头组织实施。鼓励全县机关、企事业单位和社会团体的党建、工会和公务活动，通过政府购买服务形式，由旅行社安排交通、住宿、餐饮、会务等事项。（责任单位：县文旅广体局、县财政局、县总工会）</w:t>
      </w:r>
    </w:p>
    <w:p>
      <w:pPr>
        <w:ind w:firstLine="640" w:firstLineChars="200"/>
        <w:rPr>
          <w:rFonts w:ascii="仿宋_GB2312" w:eastAsia="仿宋_GB2312" w:cs="仿宋_GB2312"/>
          <w:sz w:val="32"/>
          <w:szCs w:val="32"/>
        </w:rPr>
      </w:pPr>
      <w:r>
        <w:rPr>
          <w:rFonts w:hint="eastAsia" w:ascii="黑体" w:eastAsia="黑体" w:cs="黑体"/>
          <w:sz w:val="32"/>
          <w:szCs w:val="32"/>
        </w:rPr>
        <w:t>十、强化保障措施。</w:t>
      </w:r>
      <w:r>
        <w:rPr>
          <w:rFonts w:hint="eastAsia" w:ascii="仿宋_GB2312" w:eastAsia="仿宋_GB2312" w:cs="仿宋_GB2312"/>
          <w:color w:val="000000" w:themeColor="text1"/>
          <w:sz w:val="32"/>
          <w:szCs w:val="32"/>
          <w:u w:val="none"/>
        </w:rPr>
        <w:t>县级财政设立旅游产业发展专项资金，旅游奖励资金在旅游发展专项资金中列支。</w:t>
      </w:r>
      <w:r>
        <w:rPr>
          <w:rFonts w:hint="eastAsia" w:ascii="仿宋_GB2312" w:eastAsia="仿宋_GB2312" w:cs="仿宋_GB2312"/>
          <w:sz w:val="32"/>
          <w:szCs w:val="32"/>
        </w:rPr>
        <w:t>组建宁远旅游发展智库，加强文旅人才培养力度，县职业中专定向培育、输送文旅人才，为全县旅游发展提供智力支撑。依托宁远旅游发展智库，组织开展导游、营销、新媒体推广公益培训活动，提升全县旅游从业者素质。强化土地保障，探索推行点状、租赁等多种土地供应模式。支持利用农村集体建设用地发展旅游项目，乡村旅游设施可使用乡镇国土空间规划和村庄中预留的建设用地机动指标布局建设。将文旅产业发展工作纳入全县政府工作目标管理，对各责任单位进行绩效考核和评估。（责任单位：县财政局、县文旅广体局、县自然资源局、县绩效考核办等相关单位）</w:t>
      </w:r>
    </w:p>
    <w:p>
      <w:pPr>
        <w:ind w:firstLine="640" w:firstLineChars="200"/>
        <w:rPr>
          <w:rFonts w:ascii="仿宋_GB2312" w:eastAsia="仿宋_GB2312" w:cs="仿宋_GB2312"/>
          <w:sz w:val="32"/>
          <w:szCs w:val="32"/>
        </w:rPr>
      </w:pPr>
      <w:r>
        <w:rPr>
          <w:rFonts w:hint="eastAsia" w:ascii="仿宋_GB2312" w:eastAsia="仿宋_GB2312" w:cs="仿宋_GB2312"/>
          <w:sz w:val="32"/>
          <w:szCs w:val="32"/>
        </w:rPr>
        <w:t>本措施自发布之日起施行，每两年由县政府进行评估，根据评估意见视情况修改完善。此前有关政策与本措施不一致的，以本措施为准，奖励措施不得叠加实施。</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0" distR="0" simplePos="0" relativeHeight="251659264" behindDoc="0" locked="0" layoutInCell="1" allowOverlap="0">
              <wp:simplePos x="0" y="0"/>
              <wp:positionH relativeFrom="margin">
                <wp:align>center</wp:align>
              </wp:positionH>
              <wp:positionV relativeFrom="paragraph">
                <wp:posOffset>0</wp:posOffset>
              </wp:positionV>
              <wp:extent cx="63500" cy="139700"/>
              <wp:effectExtent l="0" t="0" r="0" b="0"/>
              <wp:wrapNone/>
              <wp:docPr id="1" name="_x0000_s1025"/>
              <wp:cNvGraphicFramePr/>
              <a:graphic xmlns:a="http://schemas.openxmlformats.org/drawingml/2006/main">
                <a:graphicData uri="http://schemas.microsoft.com/office/word/2010/wordprocessingShape">
                  <wps:wsp>
                    <wps:cNvSpPr/>
                    <wps:spPr>
                      <a:xfrm>
                        <a:off x="0" y="0"/>
                        <a:ext cx="63500" cy="139700"/>
                      </a:xfrm>
                      <a:prstGeom prst="rect">
                        <a:avLst/>
                      </a:prstGeom>
                    </wps:spPr>
                    <wps:txbx>
                      <w:txbxContent>
                        <w:p>
                          <w:pPr>
                            <w:pStyle w:val="5"/>
                          </w:pPr>
                          <w:r>
                            <w:fldChar w:fldCharType="begin"/>
                          </w:r>
                          <w:r>
                            <w:instrText xml:space="preserve"> PAGE  \* MERGEFORMAT </w:instrText>
                          </w:r>
                          <w:r>
                            <w:fldChar w:fldCharType="separate"/>
                          </w:r>
                          <w:r>
                            <w:t>5</w:t>
                          </w:r>
                          <w:r>
                            <w:fldChar w:fldCharType="end"/>
                          </w:r>
                        </w:p>
                      </w:txbxContent>
                    </wps:txbx>
                    <wps:bodyPr rot="0" vert="horz" wrap="square" lIns="0" tIns="0" rIns="0" bIns="0" anchor="t" anchorCtr="0"/>
                  </wps:wsp>
                </a:graphicData>
              </a:graphic>
            </wp:anchor>
          </w:drawing>
        </mc:Choice>
        <mc:Fallback>
          <w:pict>
            <v:rect id="_x0000_s1025" o:spid="_x0000_s1026" o:spt="1" style="position:absolute;left:0pt;margin-top:0pt;height:11pt;width:5pt;mso-position-horizontal:center;mso-position-horizontal-relative:margin;z-index:251659264;mso-width-relative:page;mso-height-relative:page;" filled="f" stroked="f" coordsize="21600,21600" o:allowoverlap="f" o:gfxdata="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ODDw6/T&#10;AAAAAwEAAA8AAAAAAAAAAQAgAAAAIgAAAGRycy9kb3ducmV2LnhtbFBLAQIUABQAAAAIAIdO4kAs&#10;JmDrswEAAHMDAAAOAAAAAAAAAAEAIAAAACIBAABkcnMvZTJvRG9jLnhtbFBLBQYAAAAABgAGAFkB&#10;AABHBQAAAAA=&#10;">
              <v:fill on="f" focussize="0,0"/>
              <v:stroke on="f"/>
              <v:imagedata o:title=""/>
              <o:lock v:ext="edit" aspectratio="f"/>
              <v:textbox inset="0mm,0mm,0mm,0mm">
                <w:txbxContent>
                  <w:p>
                    <w:pPr>
                      <w:pStyle w:val="5"/>
                    </w:pPr>
                    <w:r>
                      <w:fldChar w:fldCharType="begin"/>
                    </w:r>
                    <w:r>
                      <w:instrText xml:space="preserve"> PAGE  \* MERGEFORMAT </w:instrText>
                    </w:r>
                    <w:r>
                      <w:fldChar w:fldCharType="separate"/>
                    </w:r>
                    <w:r>
                      <w:t>5</w:t>
                    </w:r>
                    <w: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ulTrailSpace/>
    <w:doNotExpandShiftReturn/>
    <w:adjustLineHeightInTable/>
    <w:useFELayout/>
    <w:compatSetting w:name="compatibilityMode" w:uri="http://schemas.microsoft.com/office/word" w:val="12"/>
  </w:compat>
  <w:docVars>
    <w:docVar w:name="commondata" w:val="eyJoZGlkIjoiOWZlYmRlOTY2OTMzNmU0MDUzZmUxZTE5NTJmMTIyZjUifQ=="/>
  </w:docVars>
  <w:rsids>
    <w:rsidRoot w:val="00D50D58"/>
    <w:rsid w:val="000D63B4"/>
    <w:rsid w:val="006A5213"/>
    <w:rsid w:val="007D0D55"/>
    <w:rsid w:val="00962DF4"/>
    <w:rsid w:val="00BA27FD"/>
    <w:rsid w:val="00D50D58"/>
    <w:rsid w:val="0B3468C6"/>
    <w:rsid w:val="27E83E81"/>
    <w:rsid w:val="45B816DD"/>
    <w:rsid w:val="65BF42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4"/>
      <w:lang w:val="en-US" w:eastAsia="zh-CN" w:bidi="ar-SA"/>
    </w:rPr>
  </w:style>
  <w:style w:type="paragraph" w:styleId="2">
    <w:name w:val="heading 1"/>
    <w:basedOn w:val="1"/>
    <w:next w:val="1"/>
    <w:qFormat/>
    <w:uiPriority w:val="0"/>
    <w:pPr>
      <w:keepNext/>
      <w:keepLines/>
      <w:spacing w:before="340" w:beforeAutospacing="0" w:after="330" w:afterAutospacing="0" w:line="578" w:lineRule="auto"/>
      <w:outlineLvl w:val="0"/>
    </w:pPr>
    <w:rPr>
      <w:b/>
      <w:bCs/>
      <w:kern w:val="44"/>
      <w:sz w:val="44"/>
    </w:rPr>
  </w:style>
  <w:style w:type="paragraph" w:styleId="3">
    <w:name w:val="heading 2"/>
    <w:basedOn w:val="1"/>
    <w:next w:val="1"/>
    <w:qFormat/>
    <w:uiPriority w:val="0"/>
    <w:pPr>
      <w:keepNext/>
      <w:keepLines/>
      <w:spacing w:before="260" w:beforeAutospacing="0" w:after="260" w:afterAutospacing="0" w:line="415" w:lineRule="auto"/>
      <w:outlineLvl w:val="1"/>
    </w:pPr>
    <w:rPr>
      <w:rFonts w:ascii="Times New Roman" w:hAnsi="Times New Roman" w:eastAsia="黑体"/>
      <w:b/>
      <w:sz w:val="32"/>
    </w:rPr>
  </w:style>
  <w:style w:type="paragraph" w:styleId="4">
    <w:name w:val="heading 3"/>
    <w:basedOn w:val="1"/>
    <w:next w:val="1"/>
    <w:qFormat/>
    <w:uiPriority w:val="0"/>
    <w:pPr>
      <w:keepNext/>
      <w:keepLines/>
      <w:spacing w:before="260" w:beforeAutospacing="0" w:after="260" w:afterAutospacing="0" w:line="415" w:lineRule="auto"/>
      <w:outlineLvl w:val="2"/>
    </w:pPr>
    <w:rPr>
      <w:b/>
      <w:sz w:val="32"/>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2744</Words>
  <Characters>2796</Characters>
  <Lines>20</Lines>
  <Paragraphs>5</Paragraphs>
  <TotalTime>71</TotalTime>
  <ScaleCrop>false</ScaleCrop>
  <LinksUpToDate>false</LinksUpToDate>
  <CharactersWithSpaces>2800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2022-09-13T03:27:00Z</dcterms:created>
  <dc:creator>A李圭耀</dc:creator>
  <cp:lastModifiedBy>Monkey King</cp:lastModifiedBy>
  <dcterms:modified xsi:type="dcterms:W3CDTF">2023-03-03T02:18:26Z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03219CBFBAEB4435BF602FB7A1DAC632</vt:lpwstr>
  </property>
</Properties>
</file>