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5"/>
        <w:tblpPr w:leftFromText="180" w:rightFromText="180" w:vertAnchor="text" w:horzAnchor="margin" w:tblpXSpec="center" w:tblpY="189"/>
        <w:tblW w:w="916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57"/>
        <w:gridCol w:w="1972"/>
        <w:gridCol w:w="5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部门概况</w:t>
            </w: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专项名称</w:t>
            </w:r>
          </w:p>
        </w:tc>
        <w:tc>
          <w:tcPr>
            <w:tcW w:w="5633"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center"/>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离任村干部生活补助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年度预算金额</w:t>
            </w:r>
          </w:p>
        </w:tc>
        <w:tc>
          <w:tcPr>
            <w:tcW w:w="5633"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center"/>
              <w:textAlignment w:val="auto"/>
              <w:rPr>
                <w:rFonts w:hint="default"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1767690元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项目主管部门</w:t>
            </w:r>
          </w:p>
        </w:tc>
        <w:tc>
          <w:tcPr>
            <w:tcW w:w="5633"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center"/>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县委组织部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continue"/>
            <w:noWrap w:val="0"/>
            <w:vAlign w:val="top"/>
          </w:tcPr>
          <w:p>
            <w:pPr>
              <w:rPr>
                <w:rFonts w:eastAsia="仿宋_GB2312"/>
                <w:sz w:val="20"/>
                <w:szCs w:val="20"/>
              </w:rPr>
            </w:pP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项目立项目的</w:t>
            </w:r>
          </w:p>
        </w:tc>
        <w:tc>
          <w:tcPr>
            <w:tcW w:w="5633" w:type="dxa"/>
            <w:noWrap w:val="0"/>
            <w:vAlign w:val="center"/>
          </w:tcPr>
          <w:p>
            <w:pPr>
              <w:pStyle w:val="4"/>
              <w:keepNext w:val="0"/>
              <w:keepLines w:val="0"/>
              <w:pageBreakBefore w:val="0"/>
              <w:widowControl/>
              <w:kinsoku/>
              <w:wordWrap/>
              <w:overflowPunct/>
              <w:topLinePunct w:val="0"/>
              <w:autoSpaceDE/>
              <w:autoSpaceDN/>
              <w:bidi w:val="0"/>
              <w:adjustRightInd/>
              <w:snapToGrid/>
              <w:spacing w:before="0" w:after="0" w:line="300" w:lineRule="exact"/>
              <w:ind w:firstLine="400" w:firstLineChars="200"/>
              <w:jc w:val="both"/>
              <w:textAlignment w:val="auto"/>
              <w:rPr>
                <w:rFonts w:hint="eastAsia" w:eastAsia="宋体"/>
                <w:sz w:val="22"/>
                <w:szCs w:val="22"/>
                <w:lang w:eastAsia="zh-CN"/>
              </w:rPr>
            </w:pPr>
            <w:r>
              <w:rPr>
                <w:rFonts w:hint="eastAsia" w:ascii="仿宋_GB2312" w:hAnsi="仿宋_GB2312" w:eastAsia="仿宋_GB2312" w:cs="仿宋_GB2312"/>
                <w:color w:val="auto"/>
                <w:kern w:val="36"/>
                <w:sz w:val="20"/>
                <w:szCs w:val="20"/>
                <w:lang w:val="en-US" w:eastAsia="zh-CN" w:bidi="ar-SA"/>
              </w:rPr>
              <w:t>由于村干部是群众自治组织成员，性质特殊导致早年未为村干部购买社保，导致离任村干部年老后抗风险能力较差。为此，根据省市要求，对正常离职、年满60周岁、任职满一定年限的离任村干部按季度发放生活补助，用于保障离任村干部的基本养老待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绩效情况</w:t>
            </w: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jc w:val="center"/>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项目支出管理</w:t>
            </w:r>
          </w:p>
          <w:p>
            <w:pPr>
              <w:pStyle w:val="4"/>
              <w:keepNext w:val="0"/>
              <w:keepLines w:val="0"/>
              <w:pageBreakBefore w:val="0"/>
              <w:kinsoku/>
              <w:wordWrap/>
              <w:overflowPunct/>
              <w:topLinePunct w:val="0"/>
              <w:autoSpaceDE/>
              <w:autoSpaceDN/>
              <w:bidi w:val="0"/>
              <w:adjustRightInd/>
              <w:snapToGrid/>
              <w:spacing w:before="0" w:after="0" w:line="240" w:lineRule="exact"/>
              <w:jc w:val="center"/>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和使用基本情况</w:t>
            </w:r>
          </w:p>
        </w:tc>
        <w:tc>
          <w:tcPr>
            <w:tcW w:w="5633" w:type="dxa"/>
            <w:noWrap w:val="0"/>
            <w:vAlign w:val="center"/>
          </w:tcPr>
          <w:p>
            <w:pPr>
              <w:pStyle w:val="4"/>
              <w:keepNext w:val="0"/>
              <w:keepLines w:val="0"/>
              <w:pageBreakBefore w:val="0"/>
              <w:widowControl/>
              <w:kinsoku/>
              <w:wordWrap/>
              <w:overflowPunct/>
              <w:topLinePunct w:val="0"/>
              <w:autoSpaceDE/>
              <w:autoSpaceDN/>
              <w:bidi w:val="0"/>
              <w:adjustRightInd/>
              <w:snapToGrid/>
              <w:spacing w:before="0" w:after="0" w:line="300" w:lineRule="exact"/>
              <w:ind w:firstLine="401" w:firstLineChars="200"/>
              <w:jc w:val="both"/>
              <w:textAlignment w:val="auto"/>
              <w:rPr>
                <w:rFonts w:hint="default"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b/>
                <w:bCs/>
                <w:color w:val="auto"/>
                <w:kern w:val="36"/>
                <w:sz w:val="20"/>
                <w:szCs w:val="20"/>
                <w:lang w:val="en-US" w:eastAsia="zh-CN" w:bidi="ar-SA"/>
              </w:rPr>
              <w:t>1.基本情况。</w:t>
            </w:r>
            <w:r>
              <w:rPr>
                <w:rFonts w:hint="eastAsia" w:ascii="仿宋_GB2312" w:hAnsi="仿宋_GB2312" w:eastAsia="仿宋_GB2312" w:cs="仿宋_GB2312"/>
                <w:color w:val="auto"/>
                <w:kern w:val="36"/>
                <w:sz w:val="20"/>
                <w:szCs w:val="20"/>
                <w:lang w:val="en-US" w:eastAsia="zh-CN" w:bidi="ar-SA"/>
              </w:rPr>
              <w:t>正常离任村干部年满60周岁，任村主干满9年或累计15年的，发放150元/月生活补助，此外，每多任村主干1年，提高生活补助10元/月；计算年限补贴后低于200元/月的，提高到200元/月。其他村“两委”成员连续任满20年或累计25年，发放150元/月生活补助，不随任职时间提高补贴标准。</w:t>
            </w:r>
          </w:p>
          <w:p>
            <w:pPr>
              <w:pStyle w:val="4"/>
              <w:keepNext w:val="0"/>
              <w:keepLines w:val="0"/>
              <w:pageBreakBefore w:val="0"/>
              <w:widowControl/>
              <w:kinsoku/>
              <w:wordWrap/>
              <w:overflowPunct/>
              <w:topLinePunct w:val="0"/>
              <w:autoSpaceDE/>
              <w:autoSpaceDN/>
              <w:bidi w:val="0"/>
              <w:adjustRightInd/>
              <w:snapToGrid/>
              <w:spacing w:before="0" w:after="0" w:line="300" w:lineRule="exact"/>
              <w:ind w:firstLine="401" w:firstLineChars="200"/>
              <w:jc w:val="both"/>
              <w:textAlignment w:val="auto"/>
              <w:rPr>
                <w:rFonts w:hint="default" w:eastAsia="宋体"/>
                <w:sz w:val="22"/>
                <w:szCs w:val="22"/>
                <w:lang w:val="en-US" w:eastAsia="zh-CN"/>
              </w:rPr>
            </w:pPr>
            <w:r>
              <w:rPr>
                <w:rFonts w:hint="eastAsia" w:ascii="仿宋_GB2312" w:hAnsi="仿宋_GB2312" w:eastAsia="仿宋_GB2312" w:cs="仿宋_GB2312"/>
                <w:b/>
                <w:bCs/>
                <w:color w:val="auto"/>
                <w:kern w:val="36"/>
                <w:sz w:val="20"/>
                <w:szCs w:val="20"/>
                <w:lang w:val="en-US" w:eastAsia="zh-CN" w:bidi="ar-SA"/>
              </w:rPr>
              <w:t>2.支出方式。</w:t>
            </w:r>
            <w:r>
              <w:rPr>
                <w:rFonts w:hint="eastAsia" w:ascii="仿宋_GB2312" w:hAnsi="仿宋_GB2312" w:eastAsia="仿宋_GB2312" w:cs="仿宋_GB2312"/>
                <w:color w:val="auto"/>
                <w:kern w:val="36"/>
                <w:sz w:val="20"/>
                <w:szCs w:val="20"/>
                <w:lang w:val="en-US" w:eastAsia="zh-CN" w:bidi="ar-SA"/>
              </w:rPr>
              <w:t>离任村干部生活补助属于涉农资金，通过阳光审批系统按季度直接打卡发放给离任村干部个人。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6" w:hRule="atLeast"/>
        </w:trPr>
        <w:tc>
          <w:tcPr>
            <w:tcW w:w="1557" w:type="dxa"/>
            <w:vMerge w:val="continue"/>
            <w:noWrap w:val="0"/>
            <w:vAlign w:val="top"/>
          </w:tcPr>
          <w:p>
            <w:pPr>
              <w:rPr>
                <w:rFonts w:eastAsia="仿宋_GB2312"/>
                <w:sz w:val="20"/>
                <w:szCs w:val="20"/>
              </w:rPr>
            </w:pP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center"/>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项目绩效</w:t>
            </w:r>
          </w:p>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center"/>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目标完成情况</w:t>
            </w:r>
          </w:p>
        </w:tc>
        <w:tc>
          <w:tcPr>
            <w:tcW w:w="5633" w:type="dxa"/>
            <w:noWrap w:val="0"/>
            <w:vAlign w:val="center"/>
          </w:tcPr>
          <w:p>
            <w:pPr>
              <w:pStyle w:val="4"/>
              <w:keepNext w:val="0"/>
              <w:keepLines w:val="0"/>
              <w:pageBreakBefore w:val="0"/>
              <w:widowControl/>
              <w:kinsoku/>
              <w:wordWrap/>
              <w:overflowPunct/>
              <w:topLinePunct w:val="0"/>
              <w:autoSpaceDE/>
              <w:autoSpaceDN/>
              <w:bidi w:val="0"/>
              <w:adjustRightInd/>
              <w:snapToGrid/>
              <w:spacing w:before="0" w:after="0" w:line="30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2023年内县财政据实拨付了7-9月离任村干部生活补助经费176.769万元，于2023年12月22日支付给县财政局乡镇财政管理局专户176.769万元，用于阳光审批系统打卡发放，无结余资金。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trPr>
        <w:tc>
          <w:tcPr>
            <w:tcW w:w="1557" w:type="dxa"/>
            <w:vMerge w:val="restart"/>
            <w:noWrap w:val="0"/>
            <w:vAlign w:val="center"/>
          </w:tcPr>
          <w:p>
            <w:pPr>
              <w:spacing w:line="576" w:lineRule="exact"/>
              <w:jc w:val="center"/>
              <w:rPr>
                <w:rFonts w:eastAsia="仿宋_GB2312"/>
                <w:sz w:val="20"/>
                <w:szCs w:val="20"/>
              </w:rPr>
            </w:pPr>
            <w:r>
              <w:rPr>
                <w:rFonts w:eastAsia="仿宋_GB2312"/>
                <w:sz w:val="20"/>
                <w:szCs w:val="20"/>
              </w:rPr>
              <w:t>存在的问题分析及改进措施</w:t>
            </w: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存在的问题</w:t>
            </w:r>
          </w:p>
        </w:tc>
        <w:tc>
          <w:tcPr>
            <w:tcW w:w="5633" w:type="dxa"/>
            <w:noWrap w:val="0"/>
            <w:vAlign w:val="center"/>
          </w:tcPr>
          <w:p>
            <w:pPr>
              <w:pStyle w:val="4"/>
              <w:keepNext w:val="0"/>
              <w:keepLines w:val="0"/>
              <w:pageBreakBefore w:val="0"/>
              <w:widowControl/>
              <w:kinsoku/>
              <w:wordWrap/>
              <w:overflowPunct/>
              <w:topLinePunct w:val="0"/>
              <w:autoSpaceDE/>
              <w:autoSpaceDN/>
              <w:bidi w:val="0"/>
              <w:adjustRightInd/>
              <w:snapToGrid/>
              <w:spacing w:before="0" w:after="0" w:line="300" w:lineRule="exact"/>
              <w:ind w:firstLine="640"/>
              <w:jc w:val="both"/>
              <w:textAlignment w:val="auto"/>
              <w:rPr>
                <w:rFonts w:hint="eastAsia" w:ascii="仿宋_GB2312" w:hAnsi="仿宋_GB2312" w:eastAsia="仿宋_GB2312" w:cs="仿宋_GB2312"/>
                <w:color w:val="auto"/>
                <w:sz w:val="32"/>
                <w:szCs w:val="32"/>
                <w:lang w:val="en-US" w:eastAsia="zh-CN"/>
              </w:rPr>
            </w:pPr>
          </w:p>
          <w:p>
            <w:pPr>
              <w:pStyle w:val="4"/>
              <w:keepNext w:val="0"/>
              <w:keepLines w:val="0"/>
              <w:pageBreakBefore w:val="0"/>
              <w:widowControl/>
              <w:kinsoku/>
              <w:wordWrap/>
              <w:overflowPunct/>
              <w:topLinePunct w:val="0"/>
              <w:autoSpaceDE/>
              <w:autoSpaceDN/>
              <w:bidi w:val="0"/>
              <w:adjustRightInd/>
              <w:snapToGrid/>
              <w:spacing w:before="0" w:after="0" w:line="300" w:lineRule="exact"/>
              <w:ind w:firstLine="400" w:firstLineChars="200"/>
              <w:jc w:val="both"/>
              <w:textAlignment w:val="auto"/>
              <w:rPr>
                <w:rFonts w:hint="default"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2023年10月，省纪委、省财政厅推行阳光审批系统，由于需要排查清理去世离任村干部、阳光审批系统账号权限不足和前期部分工作人员对流程不熟悉等问题，导致2023年12月22日才发放7-9月离任村干部生活补助，发放速度较慢。</w:t>
            </w:r>
          </w:p>
          <w:p>
            <w:pPr>
              <w:keepNext w:val="0"/>
              <w:keepLines w:val="0"/>
              <w:pageBreakBefore w:val="0"/>
              <w:widowControl/>
              <w:kinsoku/>
              <w:wordWrap/>
              <w:overflowPunct/>
              <w:topLinePunct w:val="0"/>
              <w:autoSpaceDE/>
              <w:autoSpaceDN/>
              <w:bidi w:val="0"/>
              <w:adjustRightInd/>
              <w:snapToGrid/>
              <w:spacing w:line="300" w:lineRule="exact"/>
              <w:ind w:right="880" w:rightChars="419"/>
              <w:jc w:val="center"/>
              <w:textAlignment w:val="auto"/>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8" w:hRule="atLeast"/>
        </w:trPr>
        <w:tc>
          <w:tcPr>
            <w:tcW w:w="1557" w:type="dxa"/>
            <w:vMerge w:val="continue"/>
            <w:noWrap w:val="0"/>
            <w:vAlign w:val="top"/>
          </w:tcPr>
          <w:p>
            <w:pPr>
              <w:rPr>
                <w:rFonts w:eastAsia="仿宋_GB2312"/>
                <w:sz w:val="20"/>
                <w:szCs w:val="20"/>
              </w:rPr>
            </w:pPr>
          </w:p>
        </w:tc>
        <w:tc>
          <w:tcPr>
            <w:tcW w:w="1972"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改进措施</w:t>
            </w:r>
          </w:p>
        </w:tc>
        <w:tc>
          <w:tcPr>
            <w:tcW w:w="5633" w:type="dxa"/>
            <w:noWrap w:val="0"/>
            <w:vAlign w:val="center"/>
          </w:tcPr>
          <w:p>
            <w:pPr>
              <w:pStyle w:val="4"/>
              <w:keepNext w:val="0"/>
              <w:keepLines w:val="0"/>
              <w:pageBreakBefore w:val="0"/>
              <w:widowControl/>
              <w:kinsoku/>
              <w:wordWrap/>
              <w:overflowPunct/>
              <w:topLinePunct w:val="0"/>
              <w:autoSpaceDE/>
              <w:autoSpaceDN/>
              <w:bidi w:val="0"/>
              <w:adjustRightInd/>
              <w:snapToGrid/>
              <w:spacing w:before="0" w:after="0" w:line="300" w:lineRule="exact"/>
              <w:ind w:firstLine="400" w:firstLineChars="200"/>
              <w:jc w:val="both"/>
              <w:textAlignment w:val="auto"/>
              <w:rPr>
                <w:rFonts w:hint="default" w:ascii="仿宋_GB2312" w:hAnsi="仿宋_GB2312" w:eastAsia="仿宋_GB2312" w:cs="仿宋_GB2312"/>
                <w:color w:val="auto"/>
                <w:kern w:val="36"/>
                <w:sz w:val="20"/>
                <w:szCs w:val="20"/>
                <w:lang w:val="en-US" w:eastAsia="zh-CN" w:bidi="ar-SA"/>
              </w:rPr>
            </w:pPr>
            <w:r>
              <w:rPr>
                <w:rFonts w:hint="eastAsia" w:ascii="仿宋_GB2312" w:hAnsi="仿宋_GB2312" w:eastAsia="仿宋_GB2312" w:cs="仿宋_GB2312"/>
                <w:color w:val="auto"/>
                <w:kern w:val="36"/>
                <w:sz w:val="20"/>
                <w:szCs w:val="20"/>
                <w:lang w:val="en-US" w:eastAsia="zh-CN" w:bidi="ar-SA"/>
              </w:rPr>
              <w:t>阳光审批系统工程师已经修复了系统权限问题。通过加强培训，工作人员对系统流程熟练度提高，离任村干部生活补助发放速度明显加快。</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9" w:hRule="atLeast"/>
        </w:trPr>
        <w:tc>
          <w:tcPr>
            <w:tcW w:w="1557" w:type="dxa"/>
            <w:vMerge w:val="continue"/>
            <w:noWrap w:val="0"/>
            <w:vAlign w:val="top"/>
          </w:tcPr>
          <w:p>
            <w:pPr>
              <w:rPr>
                <w:rFonts w:eastAsia="仿宋_GB2312"/>
                <w:sz w:val="20"/>
                <w:szCs w:val="20"/>
              </w:rPr>
            </w:pPr>
          </w:p>
        </w:tc>
        <w:tc>
          <w:tcPr>
            <w:tcW w:w="1972" w:type="dxa"/>
            <w:noWrap w:val="0"/>
            <w:vAlign w:val="center"/>
          </w:tcPr>
          <w:p>
            <w:pPr>
              <w:spacing w:line="576" w:lineRule="exact"/>
              <w:jc w:val="center"/>
              <w:rPr>
                <w:rFonts w:eastAsia="仿宋_GB2312"/>
                <w:sz w:val="20"/>
                <w:szCs w:val="20"/>
              </w:rPr>
            </w:pPr>
            <w:r>
              <w:rPr>
                <w:rFonts w:eastAsia="仿宋_GB2312"/>
                <w:sz w:val="20"/>
                <w:szCs w:val="20"/>
              </w:rPr>
              <w:t>其他需要说明问题</w:t>
            </w:r>
          </w:p>
        </w:tc>
        <w:tc>
          <w:tcPr>
            <w:tcW w:w="5633" w:type="dxa"/>
            <w:noWrap w:val="0"/>
            <w:vAlign w:val="center"/>
          </w:tcPr>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p>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p>
          <w:p>
            <w:pPr>
              <w:pStyle w:val="4"/>
              <w:keepNext w:val="0"/>
              <w:keepLines w:val="0"/>
              <w:pageBreakBefore w:val="0"/>
              <w:kinsoku/>
              <w:wordWrap/>
              <w:overflowPunct/>
              <w:topLinePunct w:val="0"/>
              <w:autoSpaceDE/>
              <w:autoSpaceDN/>
              <w:bidi w:val="0"/>
              <w:adjustRightInd/>
              <w:snapToGrid/>
              <w:spacing w:before="0" w:after="0" w:line="240" w:lineRule="exact"/>
              <w:ind w:firstLine="400" w:firstLineChars="200"/>
              <w:jc w:val="both"/>
              <w:textAlignment w:val="auto"/>
              <w:rPr>
                <w:rFonts w:hint="eastAsia" w:ascii="仿宋_GB2312" w:hAnsi="仿宋_GB2312" w:eastAsia="仿宋_GB2312" w:cs="仿宋_GB2312"/>
                <w:color w:val="auto"/>
                <w:kern w:val="36"/>
                <w:sz w:val="20"/>
                <w:szCs w:val="20"/>
                <w:lang w:val="en-US" w:eastAsia="zh-CN" w:bidi="ar-SA"/>
              </w:rPr>
            </w:pPr>
            <w:bookmarkStart w:id="0" w:name="_GoBack"/>
            <w:bookmarkEnd w:id="0"/>
          </w:p>
        </w:tc>
      </w:tr>
    </w:tbl>
    <w:p>
      <w:pPr>
        <w:spacing w:line="320" w:lineRule="atLeast"/>
        <w:jc w:val="left"/>
        <w:rPr>
          <w:rFonts w:eastAsia="仿宋_GB2312"/>
          <w:sz w:val="20"/>
          <w:szCs w:val="20"/>
        </w:rPr>
      </w:pPr>
      <w:r>
        <w:rPr>
          <w:rFonts w:eastAsia="仿宋_GB2312"/>
          <w:sz w:val="20"/>
          <w:szCs w:val="20"/>
        </w:rPr>
        <w:t>备注：每个项目支出分别填报自评报告和自评表。</w:t>
      </w:r>
    </w:p>
    <w:p>
      <w:pPr>
        <w:snapToGrid w:val="0"/>
        <w:spacing w:line="380" w:lineRule="atLeast"/>
        <w:rPr>
          <w:sz w:val="32"/>
          <w:szCs w:val="32"/>
        </w:rPr>
      </w:pPr>
      <w:r>
        <w:rPr>
          <w:rFonts w:eastAsia="仿宋_GB2312"/>
          <w:sz w:val="22"/>
          <w:szCs w:val="22"/>
        </w:rPr>
        <w:t>填表人：       填报日期：         联系电话：         单位负责人签字：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iODFiZDY0NzJiZWRhNTMzZWZlZjcxNWIwYjhjNWUifQ=="/>
  </w:docVars>
  <w:rsids>
    <w:rsidRoot w:val="1B811DB2"/>
    <w:rsid w:val="1B811DB2"/>
    <w:rsid w:val="6DFBF9C4"/>
    <w:rsid w:val="B16BDD29"/>
    <w:rsid w:val="BAFEF718"/>
    <w:rsid w:val="CFB07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widowControl/>
      <w:spacing w:before="161" w:after="161"/>
      <w:jc w:val="left"/>
      <w:outlineLvl w:val="0"/>
    </w:pPr>
    <w:rPr>
      <w:rFonts w:ascii="宋体" w:cs="宋体"/>
      <w:kern w:val="36"/>
      <w:sz w:val="24"/>
      <w:lang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仿宋_GB2312" w:eastAsia="仿宋_GB2312"/>
      <w:sz w:val="32"/>
    </w:rPr>
  </w:style>
  <w:style w:type="paragraph" w:styleId="3">
    <w:name w:val="toc 5"/>
    <w:basedOn w:val="1"/>
    <w:next w:val="1"/>
    <w:qFormat/>
    <w:uiPriority w:val="0"/>
    <w:pPr>
      <w:ind w:left="800" w:leftChars="800"/>
      <w:jc w:val="left"/>
    </w:pPr>
    <w:rPr>
      <w:rFonts w:ascii="Times New Roman" w:hAnsi="Times New Roman" w:eastAsia="宋体" w:cs="Times New Roman"/>
      <w:color w:val="FF0000"/>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2024-05-01T08:31:00Z</dcterms:created>
  <dc:creator>X M</dc:creator>
  <cp:lastModifiedBy>kylin</cp:lastModifiedBy>
  <cp:lastPrinted>2024-05-08T08:48:34Z</cp:lastPrinted>
  <dcterms:modified xsi:type="dcterms:W3CDTF">2024-05-08T08:48:37Z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1B3EAEEF623B4963908EB0232FB89AF8_11</vt:lpwstr>
  </property>
</Properties>
</file>