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机要</w:t>
      </w:r>
      <w:r>
        <w:rPr>
          <w:rFonts w:hint="eastAsia" w:eastAsia="仿宋_GB2312"/>
          <w:sz w:val="32"/>
          <w:u w:val="single"/>
        </w:rPr>
        <w:t xml:space="preserve">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维修（护）</w:t>
            </w:r>
            <w:r>
              <w:rPr>
                <w:rFonts w:hint="eastAsia" w:eastAsia="仿宋_GB2312"/>
                <w:sz w:val="24"/>
              </w:rPr>
              <w:t>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其他工资福利支出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6.4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岗位津贴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确保</w:t>
            </w:r>
            <w:r>
              <w:rPr>
                <w:rFonts w:hint="eastAsia" w:ascii="仿宋_GB2312" w:hAnsi="Calibri" w:eastAsia="仿宋_GB2312"/>
                <w:sz w:val="24"/>
              </w:rPr>
              <w:t>机要密码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设备正常运</w:t>
            </w:r>
            <w:r>
              <w:rPr>
                <w:rFonts w:hint="eastAsia" w:ascii="仿宋_GB2312" w:hAnsi="Calibri" w:eastAsia="仿宋_GB2312"/>
                <w:sz w:val="24"/>
              </w:rPr>
              <w:t>转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相关</w:t>
            </w:r>
            <w:r>
              <w:rPr>
                <w:rFonts w:hint="eastAsia" w:ascii="仿宋_GB2312" w:hAnsi="Calibri" w:eastAsia="仿宋_GB2312"/>
                <w:sz w:val="24"/>
              </w:rPr>
              <w:t>设备添加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维护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</w:rPr>
              <w:t>密码宣传教育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执法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密码</w:t>
            </w:r>
            <w:r>
              <w:rPr>
                <w:rFonts w:hint="eastAsia" w:ascii="仿宋_GB2312" w:hAnsi="Calibri" w:eastAsia="仿宋_GB2312"/>
                <w:sz w:val="24"/>
              </w:rPr>
              <w:t>业务学习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培训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Calibri" w:eastAsia="仿宋_GB2312"/>
                <w:sz w:val="24"/>
              </w:rPr>
              <w:t>机要密码日常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事务性</w:t>
            </w:r>
            <w:r>
              <w:rPr>
                <w:rFonts w:hint="eastAsia" w:ascii="仿宋_GB2312" w:hAnsi="Calibri" w:eastAsia="仿宋_GB2312"/>
                <w:sz w:val="24"/>
              </w:rPr>
              <w:t>工作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正常开展。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机要设备正常运行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10.4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贯彻县委重要工作部署</w:t>
      </w:r>
      <w:r>
        <w:rPr>
          <w:rFonts w:hint="eastAsia" w:ascii="仿宋_GB2312" w:hAnsi="Calibri" w:eastAsia="仿宋_GB2312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确保</w:t>
      </w:r>
      <w:r>
        <w:rPr>
          <w:rFonts w:hint="eastAsia" w:ascii="仿宋" w:hAnsi="仿宋" w:eastAsia="仿宋" w:cs="仿宋"/>
          <w:sz w:val="30"/>
          <w:szCs w:val="30"/>
        </w:rPr>
        <w:t>机要密码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设备正常运</w:t>
      </w:r>
      <w:r>
        <w:rPr>
          <w:rFonts w:hint="eastAsia" w:ascii="仿宋" w:hAnsi="仿宋" w:eastAsia="仿宋" w:cs="仿宋"/>
          <w:sz w:val="30"/>
          <w:szCs w:val="30"/>
        </w:rPr>
        <w:t>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</w:t>
      </w:r>
      <w:r>
        <w:rPr>
          <w:rFonts w:hint="eastAsia" w:ascii="仿宋" w:hAnsi="仿宋" w:eastAsia="仿宋" w:cs="仿宋"/>
          <w:sz w:val="30"/>
          <w:szCs w:val="30"/>
        </w:rPr>
        <w:t>设备添加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维护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密码宣传教育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密码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机要密码日常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正常开展。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贯彻县委重要工作部署</w:t>
      </w:r>
      <w:r>
        <w:rPr>
          <w:rFonts w:hint="eastAsia" w:ascii="仿宋_GB2312" w:hAnsi="Calibri" w:eastAsia="仿宋_GB2312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确保</w:t>
      </w:r>
      <w:r>
        <w:rPr>
          <w:rFonts w:hint="eastAsia" w:ascii="仿宋" w:hAnsi="仿宋" w:eastAsia="仿宋" w:cs="仿宋"/>
          <w:sz w:val="30"/>
          <w:szCs w:val="30"/>
        </w:rPr>
        <w:t>机要密码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设备正常运</w:t>
      </w:r>
      <w:r>
        <w:rPr>
          <w:rFonts w:hint="eastAsia" w:ascii="仿宋" w:hAnsi="仿宋" w:eastAsia="仿宋" w:cs="仿宋"/>
          <w:sz w:val="30"/>
          <w:szCs w:val="30"/>
        </w:rPr>
        <w:t>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</w:t>
      </w:r>
      <w:r>
        <w:rPr>
          <w:rFonts w:hint="eastAsia" w:ascii="仿宋" w:hAnsi="仿宋" w:eastAsia="仿宋" w:cs="仿宋"/>
          <w:sz w:val="30"/>
          <w:szCs w:val="30"/>
        </w:rPr>
        <w:t>设备添加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维护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密码宣传教育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密码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机要密码日常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正常开展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项目</w:t>
      </w:r>
      <w:r>
        <w:rPr>
          <w:rFonts w:hint="eastAsia" w:ascii="仿宋" w:hAnsi="仿宋" w:eastAsia="仿宋"/>
          <w:sz w:val="30"/>
          <w:szCs w:val="30"/>
        </w:rPr>
        <w:t>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" w:hAnsi="仿宋" w:eastAsia="仿宋" w:cs="仿宋"/>
          <w:sz w:val="30"/>
          <w:szCs w:val="30"/>
        </w:rPr>
        <w:t>机要密码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设备正常运</w:t>
      </w:r>
      <w:r>
        <w:rPr>
          <w:rFonts w:hint="eastAsia" w:ascii="仿宋" w:hAnsi="仿宋" w:eastAsia="仿宋" w:cs="仿宋"/>
          <w:sz w:val="30"/>
          <w:szCs w:val="30"/>
        </w:rPr>
        <w:t>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</w:t>
      </w:r>
      <w:r>
        <w:rPr>
          <w:rFonts w:hint="eastAsia" w:ascii="仿宋" w:hAnsi="仿宋" w:eastAsia="仿宋" w:cs="仿宋"/>
          <w:sz w:val="30"/>
          <w:szCs w:val="30"/>
        </w:rPr>
        <w:t>设备添加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维护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密码宣传教育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密码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机要密码日常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正常开展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经县委办绩效评价组对本项目相关资料查阅、核实、评估，认为2023年机要保密工作经费项目</w:t>
      </w:r>
      <w:r>
        <w:rPr>
          <w:rFonts w:hint="eastAsia" w:ascii="仿宋" w:hAnsi="仿宋" w:eastAsia="仿宋"/>
          <w:sz w:val="30"/>
          <w:szCs w:val="30"/>
        </w:rPr>
        <w:t>用最小的财政资金圆满完成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相关工作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项目总体评价为优良。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确保了机要密码设备稳定高效运行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720" w:firstLineChars="2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相关项目</w:t>
      </w:r>
      <w:r>
        <w:rPr>
          <w:rFonts w:hint="eastAsia" w:ascii="仿宋" w:hAnsi="仿宋" w:eastAsia="仿宋" w:cs="仿宋"/>
          <w:sz w:val="30"/>
          <w:szCs w:val="30"/>
        </w:rPr>
        <w:t>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spacing w:line="348" w:lineRule="auto"/>
        <w:rPr>
          <w:rFonts w:hint="eastAsia" w:ascii="黑体" w:eastAsia="黑体" w:cs="黑体"/>
          <w:bCs/>
          <w:sz w:val="32"/>
          <w:szCs w:val="32"/>
        </w:rPr>
      </w:pPr>
    </w:p>
    <w:p>
      <w:pPr>
        <w:spacing w:line="348" w:lineRule="auto"/>
        <w:rPr>
          <w:rFonts w:hint="eastAsia" w:ascii="黑体" w:eastAsia="黑体" w:cs="黑体"/>
          <w:bCs/>
          <w:sz w:val="32"/>
          <w:szCs w:val="32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0001C9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2024-05-22T04:06:14Z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