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对台交流专项</w:t>
      </w:r>
      <w:r>
        <w:rPr>
          <w:rFonts w:hint="eastAsia" w:eastAsia="仿宋_GB2312"/>
          <w:sz w:val="32"/>
          <w:u w:val="single"/>
        </w:rPr>
        <w:t xml:space="preserve">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加强对台交流交往，促进台胞对国家认同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对台交流交往次数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hint="eastAsia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对台交流工作先进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先进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2023年底前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台胞台企的认同度明显提高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明显提高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明显提高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台胞台企的满意度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97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</w:rPr>
        <w:t>贯彻县委重要工作部署，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加强对台交流交往，促进台胞对国家认同。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加强对台交流交往，促进台胞对国家认同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加强对台交流交往，促进台胞对国家认同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加强对台交流交往，促进台胞对国家认同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spacing w:line="560" w:lineRule="exact"/>
        <w:ind w:firstLine="600" w:firstLineChars="200"/>
        <w:rPr>
          <w:rFonts w:hint="eastAsia"/>
          <w:sz w:val="36"/>
          <w:szCs w:val="36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加强对台交流交往，促进台胞对国家认同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</w:t>
      </w:r>
      <w:r>
        <w:rPr>
          <w:rFonts w:hint="eastAsia" w:ascii="仿宋" w:hAnsi="仿宋" w:eastAsia="仿宋"/>
          <w:sz w:val="30"/>
          <w:szCs w:val="30"/>
        </w:rPr>
        <w:t>专款专用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E425530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2024-05-22T02:50:07Z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