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>年</w:t>
      </w:r>
      <w:r>
        <w:rPr>
          <w:rFonts w:hint="eastAsia" w:eastAsia="仿宋_GB2312"/>
          <w:sz w:val="32"/>
          <w:u w:val="single"/>
          <w:lang w:val="en-US" w:eastAsia="zh-CN"/>
        </w:rPr>
        <w:t>安可全面替代工程</w:t>
      </w:r>
      <w:r>
        <w:rPr>
          <w:rFonts w:hint="eastAsia" w:eastAsia="仿宋_GB2312"/>
          <w:sz w:val="32"/>
          <w:u w:val="single"/>
        </w:rPr>
        <w:t xml:space="preserve">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140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140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140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140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140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140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5"/>
                <w:szCs w:val="15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项目涉密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44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480" w:firstLineChars="200"/>
        <w:rPr>
          <w:rFonts w:hint="eastAsia" w:eastAsia="仿宋_GB2312"/>
          <w:sz w:val="24"/>
          <w:lang w:val="en-US" w:eastAsia="zh-CN"/>
        </w:rPr>
      </w:pPr>
      <w:r>
        <w:rPr>
          <w:rFonts w:hint="eastAsia" w:eastAsia="仿宋_GB2312"/>
          <w:sz w:val="24"/>
          <w:lang w:val="en-US" w:eastAsia="zh-CN"/>
        </w:rPr>
        <w:t>项目涉密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48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eastAsia="仿宋_GB2312"/>
          <w:sz w:val="24"/>
          <w:lang w:val="en-US" w:eastAsia="zh-CN"/>
        </w:rPr>
        <w:t>项目涉密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ind w:left="420" w:leftChars="200" w:firstLine="24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eastAsia="仿宋_GB2312"/>
          <w:sz w:val="24"/>
          <w:lang w:val="en-US" w:eastAsia="zh-CN"/>
        </w:rPr>
        <w:t>项目涉密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spacing w:line="560" w:lineRule="exact"/>
        <w:ind w:firstLine="480" w:firstLineChars="200"/>
        <w:rPr>
          <w:rFonts w:hint="eastAsia" w:eastAsia="仿宋_GB2312"/>
          <w:sz w:val="24"/>
          <w:lang w:val="en-US" w:eastAsia="zh-CN"/>
        </w:rPr>
      </w:pPr>
      <w:r>
        <w:rPr>
          <w:rFonts w:hint="eastAsia" w:eastAsia="仿宋_GB2312"/>
          <w:sz w:val="24"/>
          <w:lang w:val="en-US" w:eastAsia="zh-CN"/>
        </w:rPr>
        <w:t>项目涉密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spacing w:line="560" w:lineRule="exact"/>
        <w:ind w:firstLine="480" w:firstLineChars="200"/>
        <w:rPr>
          <w:rFonts w:hint="eastAsia"/>
          <w:sz w:val="36"/>
          <w:szCs w:val="36"/>
        </w:rPr>
      </w:pPr>
      <w:r>
        <w:rPr>
          <w:rFonts w:hint="eastAsia" w:eastAsia="仿宋_GB2312"/>
          <w:sz w:val="24"/>
          <w:lang w:val="en-US" w:eastAsia="zh-CN"/>
        </w:rPr>
        <w:t>项目涉密</w:t>
      </w:r>
      <w:r>
        <w:rPr>
          <w:rFonts w:hint="eastAsia"/>
          <w:sz w:val="36"/>
          <w:szCs w:val="36"/>
        </w:rPr>
        <w:t xml:space="preserve">  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eastAsia="仿宋_GB2312"/>
          <w:sz w:val="36"/>
          <w:szCs w:val="36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无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（七）附件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无</w:t>
      </w:r>
    </w:p>
    <w:p>
      <w:pPr>
        <w:spacing w:line="348" w:lineRule="auto"/>
        <w:rPr>
          <w:rFonts w:hint="eastAsia" w:ascii="黑体" w:eastAsia="黑体" w:cs="黑体"/>
          <w:bCs/>
          <w:sz w:val="32"/>
          <w:szCs w:val="32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F154109"/>
    <w:rsid w:val="16ED56DB"/>
    <w:rsid w:val="19981FB9"/>
    <w:rsid w:val="27B51034"/>
    <w:rsid w:val="29C47010"/>
    <w:rsid w:val="2C5E478E"/>
    <w:rsid w:val="2DBA0995"/>
    <w:rsid w:val="2FCA02FC"/>
    <w:rsid w:val="322E1FC9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6F101E"/>
    <w:rsid w:val="46FB78BE"/>
    <w:rsid w:val="4D5E2271"/>
    <w:rsid w:val="4E3A05D1"/>
    <w:rsid w:val="4E501605"/>
    <w:rsid w:val="525D49CD"/>
    <w:rsid w:val="578758EE"/>
    <w:rsid w:val="63772103"/>
    <w:rsid w:val="63F476D1"/>
    <w:rsid w:val="6E0C6798"/>
    <w:rsid w:val="75B1074E"/>
    <w:rsid w:val="766771C1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2024-05-22T03:00:55Z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