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rPr>
        <w:t>3</w:t>
      </w:r>
      <w:r>
        <w:rPr>
          <w:rFonts w:ascii="方正小标宋简体" w:eastAsia="方正小标宋简体"/>
          <w:sz w:val="44"/>
          <w:szCs w:val="44"/>
        </w:rPr>
        <w:t>年度项目支出绩效自评报告</w:t>
      </w:r>
    </w:p>
    <w:tbl>
      <w:tblPr>
        <w:tblStyle w:val="4"/>
        <w:tblpPr w:leftFromText="180" w:rightFromText="180" w:vertAnchor="text" w:horzAnchor="margin" w:tblpXSpec="center" w:tblpY="189"/>
        <w:tblW w:w="99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8"/>
        <w:gridCol w:w="2374"/>
        <w:gridCol w:w="61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部门概况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专项名称</w:t>
            </w:r>
          </w:p>
        </w:tc>
        <w:tc>
          <w:tcPr>
            <w:tcW w:w="6136" w:type="dxa"/>
            <w:noWrap w:val="0"/>
            <w:vAlign w:val="center"/>
          </w:tcPr>
          <w:p>
            <w:pPr>
              <w:spacing w:line="576" w:lineRule="exact"/>
              <w:ind w:right="880" w:rightChars="419"/>
              <w:jc w:val="center"/>
              <w:rPr>
                <w:rFonts w:hint="default" w:ascii="宋体" w:hAnsi="宋体" w:eastAsia="宋体" w:cs="宋体"/>
                <w:sz w:val="21"/>
                <w:szCs w:val="21"/>
                <w:lang w:val="en-US" w:eastAsia="zh-CN"/>
              </w:rPr>
            </w:pPr>
            <w:r>
              <w:rPr>
                <w:rFonts w:hint="eastAsia" w:ascii="宋体" w:hAnsi="宋体" w:eastAsia="宋体" w:cs="宋体"/>
                <w:b w:val="0"/>
                <w:bCs w:val="0"/>
                <w:i w:val="0"/>
                <w:iCs w:val="0"/>
                <w:color w:val="000000"/>
                <w:sz w:val="21"/>
                <w:szCs w:val="21"/>
                <w:u w:val="none"/>
              </w:rPr>
              <w:t>宁远县政府购买施工图审查服务费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年度预算金额</w:t>
            </w:r>
          </w:p>
        </w:tc>
        <w:tc>
          <w:tcPr>
            <w:tcW w:w="6136" w:type="dxa"/>
            <w:noWrap w:val="0"/>
            <w:vAlign w:val="center"/>
          </w:tcPr>
          <w:p>
            <w:pPr>
              <w:jc w:val="center"/>
              <w:rPr>
                <w:rFonts w:hint="default" w:ascii="宋体" w:hAnsi="宋体" w:eastAsia="宋体" w:cs="宋体"/>
                <w:b w:val="0"/>
                <w:bCs w:val="0"/>
                <w:i w:val="0"/>
                <w:iCs w:val="0"/>
                <w:color w:val="000000"/>
                <w:kern w:val="2"/>
                <w:sz w:val="21"/>
                <w:szCs w:val="21"/>
                <w:u w:val="none"/>
                <w:lang w:val="en-US" w:eastAsia="zh-CN" w:bidi="ar-SA"/>
              </w:rPr>
            </w:pPr>
            <w:r>
              <w:rPr>
                <w:rFonts w:hint="eastAsia" w:ascii="宋体" w:hAnsi="宋体" w:cs="宋体"/>
                <w:b w:val="0"/>
                <w:bCs w:val="0"/>
                <w:i w:val="0"/>
                <w:iCs w:val="0"/>
                <w:color w:val="000000"/>
                <w:sz w:val="21"/>
                <w:szCs w:val="21"/>
                <w:u w:val="none"/>
                <w:lang w:val="en-US" w:eastAsia="zh-CN"/>
              </w:rPr>
              <w:t>422.66万元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项目主管部门</w:t>
            </w:r>
          </w:p>
        </w:tc>
        <w:tc>
          <w:tcPr>
            <w:tcW w:w="6136" w:type="dxa"/>
            <w:noWrap w:val="0"/>
            <w:vAlign w:val="center"/>
          </w:tcPr>
          <w:p>
            <w:pPr>
              <w:spacing w:line="576" w:lineRule="exact"/>
              <w:ind w:right="880" w:rightChars="419"/>
              <w:jc w:val="center"/>
              <w:rPr>
                <w:rFonts w:hint="eastAsia" w:ascii="宋体" w:hAnsi="宋体" w:eastAsia="宋体" w:cs="宋体"/>
                <w:sz w:val="21"/>
                <w:szCs w:val="21"/>
              </w:rPr>
            </w:pPr>
            <w:r>
              <w:rPr>
                <w:rFonts w:hint="eastAsia" w:ascii="宋体" w:hAnsi="宋体" w:cs="宋体"/>
                <w:b w:val="0"/>
                <w:bCs w:val="0"/>
                <w:i w:val="0"/>
                <w:iCs w:val="0"/>
                <w:color w:val="000000"/>
                <w:sz w:val="21"/>
                <w:szCs w:val="21"/>
                <w:u w:val="none"/>
                <w:lang w:eastAsia="zh-CN"/>
              </w:rPr>
              <w:t>宁远县住房和城乡建设局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项目立项目的</w:t>
            </w:r>
          </w:p>
        </w:tc>
        <w:tc>
          <w:tcPr>
            <w:tcW w:w="6136" w:type="dxa"/>
            <w:noWrap w:val="0"/>
            <w:vAlign w:val="center"/>
          </w:tcPr>
          <w:p>
            <w:pPr>
              <w:spacing w:line="576" w:lineRule="exact"/>
              <w:ind w:right="880" w:rightChars="419"/>
              <w:jc w:val="center"/>
              <w:rPr>
                <w:rFonts w:hint="eastAsia" w:ascii="宋体" w:hAnsi="宋体" w:cs="宋体"/>
                <w:b w:val="0"/>
                <w:bCs w:val="0"/>
                <w:i w:val="0"/>
                <w:iCs w:val="0"/>
                <w:color w:val="000000"/>
                <w:sz w:val="21"/>
                <w:szCs w:val="21"/>
                <w:u w:val="none"/>
                <w:lang w:val="en-US" w:eastAsia="zh-CN"/>
              </w:rPr>
            </w:pPr>
            <w:r>
              <w:rPr>
                <w:rFonts w:hint="eastAsia" w:ascii="宋体" w:hAnsi="宋体" w:cs="宋体"/>
                <w:b w:val="0"/>
                <w:bCs w:val="0"/>
                <w:i w:val="0"/>
                <w:iCs w:val="0"/>
                <w:color w:val="000000"/>
                <w:sz w:val="21"/>
                <w:szCs w:val="21"/>
                <w:u w:val="none"/>
                <w:lang w:val="en-US" w:eastAsia="zh-CN"/>
              </w:rPr>
              <w:t>根据《湖南省人民政府关于清理规范59项省政府部门行政审批中介服务事项的决定》（湘政发〔2016〕3号）和《湖南省人民政府办公厅关于推进房屋建筑和市政基础设施工程施工图审查制度改革的意见》（湘政办发〔2017〕67号）的相关规定，为切实做好全市建设项目施工图审查工作，同时做到为企业减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1"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绩效情况</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项目支出管理和使用基本情况</w:t>
            </w:r>
          </w:p>
        </w:tc>
        <w:tc>
          <w:tcPr>
            <w:tcW w:w="6136" w:type="dxa"/>
            <w:noWrap w:val="0"/>
            <w:vAlign w:val="center"/>
          </w:tcPr>
          <w:p>
            <w:pPr>
              <w:spacing w:line="576" w:lineRule="exact"/>
              <w:ind w:right="880" w:rightChars="419"/>
              <w:jc w:val="center"/>
              <w:rPr>
                <w:rFonts w:hint="eastAsia" w:ascii="宋体" w:hAnsi="宋体" w:cs="宋体"/>
                <w:b w:val="0"/>
                <w:bCs w:val="0"/>
                <w:i w:val="0"/>
                <w:iCs w:val="0"/>
                <w:color w:val="000000"/>
                <w:sz w:val="21"/>
                <w:szCs w:val="21"/>
                <w:u w:val="none"/>
                <w:lang w:val="en-US" w:eastAsia="zh-CN"/>
              </w:rPr>
            </w:pPr>
            <w:r>
              <w:rPr>
                <w:rFonts w:hint="eastAsia" w:ascii="宋体" w:hAnsi="宋体" w:cs="宋体"/>
                <w:b w:val="0"/>
                <w:bCs w:val="0"/>
                <w:i w:val="0"/>
                <w:iCs w:val="0"/>
                <w:color w:val="000000"/>
                <w:sz w:val="21"/>
                <w:szCs w:val="21"/>
                <w:u w:val="none"/>
                <w:lang w:val="en-US" w:eastAsia="zh-CN"/>
              </w:rPr>
              <w:t>我局严格按照“专项管理、分账核算、专款专用、跟踪问效”的原则进行专项资金管理，贯彻执行专项资金的各项规章制度，严格遵循专项资金审批程序。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73"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项目绩效目标完成情况</w:t>
            </w:r>
          </w:p>
        </w:tc>
        <w:tc>
          <w:tcPr>
            <w:tcW w:w="6136" w:type="dxa"/>
            <w:noWrap w:val="0"/>
            <w:vAlign w:val="center"/>
          </w:tcPr>
          <w:p>
            <w:pPr>
              <w:spacing w:line="576" w:lineRule="exact"/>
              <w:ind w:right="880" w:rightChars="419"/>
              <w:jc w:val="both"/>
              <w:rPr>
                <w:rFonts w:hint="eastAsia" w:ascii="宋体" w:hAnsi="宋体" w:eastAsia="宋体" w:cs="宋体"/>
                <w:sz w:val="21"/>
                <w:szCs w:val="21"/>
              </w:rPr>
            </w:pPr>
            <w:r>
              <w:rPr>
                <w:rFonts w:hint="eastAsia" w:ascii="宋体" w:hAnsi="宋体" w:cs="宋体"/>
                <w:b w:val="0"/>
                <w:bCs w:val="0"/>
                <w:i w:val="0"/>
                <w:iCs w:val="0"/>
                <w:color w:val="000000"/>
                <w:sz w:val="21"/>
                <w:szCs w:val="21"/>
                <w:u w:val="none"/>
                <w:lang w:val="en-US" w:eastAsia="zh-CN"/>
              </w:rPr>
              <w:t>已完成</w:t>
            </w:r>
            <w:r>
              <w:rPr>
                <w:rFonts w:hint="default" w:ascii="宋体" w:hAnsi="宋体" w:cs="宋体"/>
                <w:b w:val="0"/>
                <w:bCs w:val="0"/>
                <w:i w:val="0"/>
                <w:iCs w:val="0"/>
                <w:color w:val="000000"/>
                <w:sz w:val="21"/>
                <w:szCs w:val="21"/>
                <w:u w:val="none"/>
                <w:lang w:val="en-US" w:eastAsia="zh-CN"/>
              </w:rPr>
              <w:t>2023</w:t>
            </w:r>
            <w:r>
              <w:rPr>
                <w:rFonts w:hint="eastAsia" w:ascii="宋体" w:hAnsi="宋体" w:cs="宋体"/>
                <w:b w:val="0"/>
                <w:bCs w:val="0"/>
                <w:i w:val="0"/>
                <w:iCs w:val="0"/>
                <w:color w:val="000000"/>
                <w:sz w:val="21"/>
                <w:szCs w:val="21"/>
                <w:u w:val="none"/>
                <w:lang w:val="en-US" w:eastAsia="zh-CN"/>
              </w:rPr>
              <w:t>年及以前年度施工图审查服务费364.61</w:t>
            </w:r>
            <w:bookmarkStart w:id="0" w:name="_GoBack"/>
            <w:bookmarkEnd w:id="0"/>
            <w:r>
              <w:rPr>
                <w:rFonts w:hint="eastAsia" w:ascii="宋体" w:hAnsi="宋体" w:cs="宋体"/>
                <w:b w:val="0"/>
                <w:bCs w:val="0"/>
                <w:i w:val="0"/>
                <w:iCs w:val="0"/>
                <w:color w:val="000000"/>
                <w:sz w:val="21"/>
                <w:szCs w:val="21"/>
                <w:u w:val="none"/>
                <w:lang w:val="en-US" w:eastAsia="zh-CN"/>
              </w:rPr>
              <w:t>万元支付。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39" w:hRule="atLeast"/>
        </w:trPr>
        <w:tc>
          <w:tcPr>
            <w:tcW w:w="1468" w:type="dxa"/>
            <w:vMerge w:val="restart"/>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存在的问题分析及改进措施</w:t>
            </w: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存在的问题</w:t>
            </w:r>
          </w:p>
        </w:tc>
        <w:tc>
          <w:tcPr>
            <w:tcW w:w="6136" w:type="dxa"/>
            <w:noWrap w:val="0"/>
            <w:vAlign w:val="center"/>
          </w:tcPr>
          <w:p>
            <w:pPr>
              <w:spacing w:line="576" w:lineRule="exact"/>
              <w:ind w:right="880" w:rightChars="419"/>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w:t>
            </w:r>
            <w:r>
              <w:rPr>
                <w:rFonts w:hint="eastAsia" w:ascii="宋体" w:hAnsi="宋体" w:eastAsia="宋体" w:cs="宋体"/>
                <w:sz w:val="21"/>
                <w:szCs w:val="21"/>
              </w:rPr>
              <w:t>施工图审服务费存在拨付不及时，将影响我县营商环境。</w:t>
            </w:r>
          </w:p>
          <w:p>
            <w:pPr>
              <w:spacing w:line="576" w:lineRule="exact"/>
              <w:ind w:right="880" w:rightChars="419"/>
              <w:jc w:val="cente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7"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改进措施</w:t>
            </w:r>
          </w:p>
        </w:tc>
        <w:tc>
          <w:tcPr>
            <w:tcW w:w="6136" w:type="dxa"/>
            <w:noWrap w:val="0"/>
            <w:vAlign w:val="center"/>
          </w:tcPr>
          <w:p>
            <w:pPr>
              <w:spacing w:line="576" w:lineRule="exact"/>
              <w:ind w:right="880" w:rightChars="419"/>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98" w:hRule="atLeast"/>
        </w:trPr>
        <w:tc>
          <w:tcPr>
            <w:tcW w:w="1468" w:type="dxa"/>
            <w:vMerge w:val="continue"/>
            <w:noWrap w:val="0"/>
            <w:vAlign w:val="top"/>
          </w:tcPr>
          <w:p>
            <w:pPr>
              <w:rPr>
                <w:rFonts w:hint="eastAsia" w:ascii="宋体" w:hAnsi="宋体" w:eastAsia="宋体" w:cs="宋体"/>
                <w:sz w:val="21"/>
                <w:szCs w:val="21"/>
              </w:rPr>
            </w:pPr>
          </w:p>
        </w:tc>
        <w:tc>
          <w:tcPr>
            <w:tcW w:w="2374" w:type="dxa"/>
            <w:noWrap w:val="0"/>
            <w:vAlign w:val="center"/>
          </w:tcPr>
          <w:p>
            <w:pPr>
              <w:spacing w:line="576" w:lineRule="exact"/>
              <w:jc w:val="center"/>
              <w:rPr>
                <w:rFonts w:hint="eastAsia" w:ascii="宋体" w:hAnsi="宋体" w:eastAsia="宋体" w:cs="宋体"/>
                <w:sz w:val="21"/>
                <w:szCs w:val="21"/>
              </w:rPr>
            </w:pPr>
            <w:r>
              <w:rPr>
                <w:rFonts w:hint="eastAsia" w:ascii="宋体" w:hAnsi="宋体" w:eastAsia="宋体" w:cs="宋体"/>
                <w:sz w:val="21"/>
                <w:szCs w:val="21"/>
              </w:rPr>
              <w:t>其他需要说明问题</w:t>
            </w:r>
          </w:p>
        </w:tc>
        <w:tc>
          <w:tcPr>
            <w:tcW w:w="6136" w:type="dxa"/>
            <w:noWrap w:val="0"/>
            <w:vAlign w:val="center"/>
          </w:tcPr>
          <w:p>
            <w:pPr>
              <w:spacing w:line="576" w:lineRule="exact"/>
              <w:ind w:right="880" w:rightChars="419"/>
              <w:rPr>
                <w:rFonts w:hint="eastAsia" w:ascii="宋体" w:hAnsi="宋体" w:eastAsia="宋体" w:cs="宋体"/>
                <w:sz w:val="21"/>
                <w:szCs w:val="21"/>
              </w:rPr>
            </w:pPr>
          </w:p>
          <w:p>
            <w:pPr>
              <w:spacing w:line="576" w:lineRule="exact"/>
              <w:ind w:right="880" w:rightChars="419"/>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无</w:t>
            </w:r>
          </w:p>
          <w:p>
            <w:pPr>
              <w:spacing w:line="576" w:lineRule="exact"/>
              <w:ind w:right="880" w:rightChars="419"/>
              <w:rPr>
                <w:rFonts w:hint="eastAsia" w:ascii="宋体" w:hAnsi="宋体" w:eastAsia="宋体" w:cs="宋体"/>
                <w:sz w:val="21"/>
                <w:szCs w:val="21"/>
              </w:rPr>
            </w:pPr>
          </w:p>
        </w:tc>
      </w:tr>
    </w:tbl>
    <w:p>
      <w:pPr>
        <w:spacing w:line="320" w:lineRule="atLeast"/>
        <w:jc w:val="left"/>
        <w:rPr>
          <w:rFonts w:hint="eastAsia" w:ascii="宋体" w:hAnsi="宋体" w:eastAsia="宋体" w:cs="宋体"/>
          <w:sz w:val="22"/>
          <w:szCs w:val="22"/>
        </w:rPr>
      </w:pPr>
      <w:r>
        <w:rPr>
          <w:rFonts w:hint="eastAsia" w:ascii="宋体" w:hAnsi="宋体" w:eastAsia="宋体" w:cs="宋体"/>
          <w:sz w:val="20"/>
          <w:szCs w:val="20"/>
        </w:rPr>
        <w:t>备注：每个项目支出分别填报自评报告和自评表。</w:t>
      </w:r>
    </w:p>
    <w:p>
      <w:pPr>
        <w:snapToGrid w:val="0"/>
        <w:spacing w:line="380" w:lineRule="atLeast"/>
        <w:rPr>
          <w:rFonts w:hint="eastAsia" w:ascii="宋体" w:hAnsi="宋体" w:eastAsia="宋体" w:cs="宋体"/>
          <w:sz w:val="32"/>
          <w:szCs w:val="32"/>
        </w:rPr>
      </w:pPr>
      <w:r>
        <w:rPr>
          <w:rFonts w:hint="eastAsia" w:ascii="宋体" w:hAnsi="宋体" w:eastAsia="宋体" w:cs="宋体"/>
          <w:sz w:val="22"/>
          <w:szCs w:val="22"/>
        </w:rPr>
        <w:t xml:space="preserve">填表人：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填报日期：        </w:t>
      </w:r>
      <w:r>
        <w:rPr>
          <w:rFonts w:hint="eastAsia" w:ascii="宋体" w:hAnsi="宋体" w:cs="宋体"/>
          <w:sz w:val="22"/>
          <w:szCs w:val="22"/>
          <w:lang w:val="en-US" w:eastAsia="zh-CN"/>
        </w:rPr>
        <w:t xml:space="preserve">     </w:t>
      </w:r>
      <w:r>
        <w:rPr>
          <w:rFonts w:hint="eastAsia" w:ascii="宋体" w:hAnsi="宋体" w:eastAsia="宋体" w:cs="宋体"/>
          <w:sz w:val="22"/>
          <w:szCs w:val="22"/>
        </w:rPr>
        <w:t xml:space="preserve"> 联系电话：         单位负责人签字：</w:t>
      </w:r>
    </w:p>
    <w:p/>
    <w:sectPr>
      <w:pgSz w:w="11906" w:h="16838"/>
      <w:pgMar w:top="1134" w:right="850" w:bottom="351" w:left="85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NTk0NmM2MTU5MGZjYmZjN2MxYmZkNzdmMmVlN2EifQ=="/>
    <w:docVar w:name="KSO_WPS_MARK_KEY" w:val="28d78000-9e1b-4fea-967a-547de38702a6"/>
  </w:docVars>
  <w:rsids>
    <w:rsidRoot w:val="1B811DB2"/>
    <w:rsid w:val="1B811DB2"/>
    <w:rsid w:val="1DDD1AE9"/>
    <w:rsid w:val="21BC262A"/>
    <w:rsid w:val="3C183EAA"/>
    <w:rsid w:val="3DB50FBB"/>
    <w:rsid w:val="4EFD11C0"/>
    <w:rsid w:val="522C275E"/>
    <w:rsid w:val="53300D82"/>
    <w:rsid w:val="65E11964"/>
    <w:rsid w:val="661F5D36"/>
    <w:rsid w:val="699513CC"/>
    <w:rsid w:val="69EE4AD5"/>
    <w:rsid w:val="6F413DB2"/>
    <w:rsid w:val="7EA27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484</Words>
  <Characters>529</Characters>
  <Lines>0</Lines>
  <Paragraphs>0</Paragraphs>
  <TotalTime>12</TotalTime>
  <ScaleCrop>false</ScaleCrop>
  <LinksUpToDate>false</LinksUpToDate>
  <CharactersWithSpaces>612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2024-04-30T00:31:00Z</dcterms:created>
  <dc:creator>X M</dc:creator>
  <cp:lastModifiedBy>Administrator</cp:lastModifiedBy>
  <dcterms:modified xsi:type="dcterms:W3CDTF">2024-05-30T04:17:54Z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E3645D8AE3E94A9FA091102245CA2EEC_13</vt:lpwstr>
  </property>
</Properties>
</file>