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Cs/>
          <w:sz w:val="32"/>
          <w:szCs w:val="32"/>
        </w:rPr>
        <w:t>-1</w:t>
      </w:r>
    </w:p>
    <w:p>
      <w:pPr>
        <w:spacing w:line="348" w:lineRule="auto"/>
        <w:jc w:val="center"/>
        <w:rPr>
          <w:rFonts w:hint="eastAsia" w:eastAsia="方正小标宋简体"/>
          <w:bCs/>
          <w:sz w:val="42"/>
          <w:szCs w:val="42"/>
        </w:rPr>
      </w:pPr>
    </w:p>
    <w:p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  <w:lang w:eastAsia="zh-CN"/>
        </w:rPr>
        <w:t>宁远县</w:t>
      </w:r>
      <w:r>
        <w:rPr>
          <w:rFonts w:hint="eastAsia" w:eastAsia="方正小标宋简体"/>
          <w:bCs/>
          <w:sz w:val="46"/>
          <w:szCs w:val="46"/>
        </w:rPr>
        <w:t>20</w:t>
      </w:r>
      <w:r>
        <w:rPr>
          <w:rFonts w:hint="eastAsia" w:eastAsia="方正小标宋简体"/>
          <w:bCs/>
          <w:sz w:val="46"/>
          <w:szCs w:val="46"/>
          <w:lang w:val="en-US" w:eastAsia="zh-CN"/>
        </w:rPr>
        <w:t>23</w:t>
      </w:r>
      <w:r>
        <w:rPr>
          <w:rFonts w:hint="eastAsia" w:eastAsia="方正小标宋简体"/>
          <w:bCs/>
          <w:sz w:val="46"/>
          <w:szCs w:val="46"/>
        </w:rPr>
        <w:t>年度部门整体支出</w:t>
      </w:r>
    </w:p>
    <w:p>
      <w:pPr>
        <w:spacing w:line="800" w:lineRule="exact"/>
        <w:jc w:val="center"/>
        <w:rPr>
          <w:rFonts w:hint="eastAsia"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绩效评价自评报告</w:t>
      </w: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宁远县九疑山国有林场</w:t>
      </w:r>
      <w:r>
        <w:rPr>
          <w:rFonts w:hint="eastAsia" w:eastAsia="仿宋_GB2312"/>
          <w:sz w:val="32"/>
          <w:szCs w:val="32"/>
          <w:u w:val="single"/>
        </w:rPr>
        <w:t xml:space="preserve">            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225001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>
      <w:pPr>
        <w:spacing w:before="301" w:beforeLines="50" w:line="348" w:lineRule="auto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>
      <w:pPr>
        <w:spacing w:line="720" w:lineRule="exact"/>
        <w:ind w:firstLine="2188" w:firstLineChars="690"/>
        <w:rPr>
          <w:rFonts w:hint="eastAsia" w:eastAsia="仿宋_GB2312"/>
          <w:sz w:val="32"/>
        </w:rPr>
      </w:pPr>
    </w:p>
    <w:p>
      <w:pPr>
        <w:spacing w:line="348" w:lineRule="auto"/>
        <w:jc w:val="center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2024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4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7</w:t>
      </w:r>
      <w:r>
        <w:rPr>
          <w:rFonts w:hint="eastAsia" w:eastAsia="仿宋_GB2312"/>
          <w:sz w:val="32"/>
        </w:rPr>
        <w:t>日</w:t>
      </w:r>
    </w:p>
    <w:p>
      <w:pPr>
        <w:autoSpaceDN w:val="0"/>
        <w:jc w:val="center"/>
        <w:textAlignment w:val="center"/>
        <w:rPr>
          <w:rFonts w:hint="eastAsia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588" w:bottom="1588" w:left="1588" w:header="851" w:footer="992" w:gutter="0"/>
          <w:pgNumType w:start="1"/>
          <w:cols w:space="720" w:num="1"/>
          <w:docGrid w:type="linesAndChars" w:linePitch="602" w:charSpace="-782"/>
        </w:sectPr>
      </w:pPr>
      <w:r>
        <w:rPr>
          <w:rFonts w:hint="eastAsia" w:eastAsia="仿宋_GB2312"/>
          <w:sz w:val="32"/>
          <w:lang w:eastAsia="zh-CN"/>
        </w:rPr>
        <w:t>宁远县</w:t>
      </w:r>
      <w:r>
        <w:rPr>
          <w:rFonts w:hint="eastAsia" w:eastAsia="仿宋_GB2312"/>
          <w:sz w:val="32"/>
        </w:rPr>
        <w:t>财政</w:t>
      </w:r>
      <w:r>
        <w:rPr>
          <w:rFonts w:hint="eastAsia" w:eastAsia="仿宋_GB2312"/>
          <w:sz w:val="32"/>
          <w:szCs w:val="32"/>
        </w:rPr>
        <w:t>局（制）</w:t>
      </w:r>
    </w:p>
    <w:tbl>
      <w:tblPr>
        <w:tblStyle w:val="3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41"/>
        <w:gridCol w:w="213"/>
        <w:gridCol w:w="46"/>
        <w:gridCol w:w="1080"/>
        <w:gridCol w:w="210"/>
        <w:gridCol w:w="1145"/>
        <w:gridCol w:w="272"/>
        <w:gridCol w:w="808"/>
        <w:gridCol w:w="1705"/>
        <w:gridCol w:w="196"/>
        <w:gridCol w:w="259"/>
        <w:gridCol w:w="1080"/>
        <w:gridCol w:w="265"/>
        <w:gridCol w:w="139"/>
        <w:gridCol w:w="316"/>
        <w:gridCol w:w="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一、部门（单位）基本概况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联系人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蒋崇利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联络电话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13974647342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人员编制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68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实有人数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50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职能职责概述</w:t>
            </w:r>
          </w:p>
        </w:tc>
        <w:tc>
          <w:tcPr>
            <w:tcW w:w="8146" w:type="dxa"/>
            <w:gridSpan w:val="1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1、贯彻落实党的林业方针及国务院、省、市有关林业的政策和法律、法规规章。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、依据《中华人民共和国森林法》、《中华人民共和国森林法实施条例》、《国有林场管理办法》等相关法律法规、规章，以国有森林资源保护管理为核心，依法保护好国有林木、林地及森林资源共享、配合有关部门严厉打击偷砍盗伐、破坏动植物资源共享、毁林开垦、乱占林地等破坏国家森林资源的行为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3、负责管护区域内的森林防火及扑救工作，确保国有森林资源不受损失。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4、拟定并组织实施安全生产总体方案；负责监督检查区域内各生产经营单位的安全生产工作，督促各生产经营单位对存在的隐患及时整改。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5、负责管护区域内森林资源培育、保护，野生动植物资源及古树名木保护，林业有害生物防治工作。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6、负责生态公益林管理工作，充分发挥生态公益林的生态效益。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7、承办县政府及行政、业务主管部门交办的其他事项。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4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年度主要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工作内容</w:t>
            </w:r>
          </w:p>
        </w:tc>
        <w:tc>
          <w:tcPr>
            <w:tcW w:w="8146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任务1：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保护和培育森林资源。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：杜绝森林火灾火警的发生。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3：维护国家生态安全。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4：深化预决算管理、预决算公开；严格执行国家财务制度和财经纪律，合理开支、厉行节约。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5：严控“三公经费”和重点费用开支，“三公经费”在去年支出基础上相对减少。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6：完善林区设施设备建设，改善职工生产生活条件。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sz w:val="24"/>
              </w:rPr>
              <w:t>年度部门（单位）总体运行情况及取得的成绩</w:t>
            </w:r>
          </w:p>
        </w:tc>
        <w:tc>
          <w:tcPr>
            <w:tcW w:w="8146" w:type="dxa"/>
            <w:gridSpan w:val="14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完善单位管理体制和运行机制、建立科学化、精细化的管理机制、建立绩效评价制度、加快监管体系建设、提高经费使用效益。从严控制一般性行政开支，加强部门绩效监督和绩效评价，把绩效管理与单位实际情况相结合，建立健全绩效管理制度，进一步完善单位绩效监督管理制度，促进森林资源的可持续发展，维护国家生态环境安全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二、部门（单位）收支情况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年度收入情况（万元）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收入合计</w:t>
            </w:r>
          </w:p>
        </w:tc>
        <w:tc>
          <w:tcPr>
            <w:tcW w:w="7020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1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上年结转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公共财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政拨款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政府基金拨款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纳入专户管理的非税收入拨款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收入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05" w:type="dxa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部门（单位）年度支出和结余情况（万元）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支出合计</w:t>
            </w:r>
          </w:p>
        </w:tc>
        <w:tc>
          <w:tcPr>
            <w:tcW w:w="5675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345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基本支出</w:t>
            </w:r>
          </w:p>
        </w:tc>
        <w:tc>
          <w:tcPr>
            <w:tcW w:w="324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项目支出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当年结余</w:t>
            </w:r>
          </w:p>
        </w:tc>
        <w:tc>
          <w:tcPr>
            <w:tcW w:w="62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累计结余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人员支出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公用支出</w:t>
            </w: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7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688.42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74.7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12.16</w:t>
            </w: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688.42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74.7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12.16</w:t>
            </w: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72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三公经费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7020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公务接待费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公务用车运维费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公务用车购置费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因公出国费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8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1.84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1.54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0.3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1.84</w:t>
            </w: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1.54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0.3</w:t>
            </w: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160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25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机构名称</w:t>
            </w:r>
          </w:p>
        </w:tc>
        <w:tc>
          <w:tcPr>
            <w:tcW w:w="1080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固定资产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合计</w:t>
            </w:r>
          </w:p>
        </w:tc>
        <w:tc>
          <w:tcPr>
            <w:tcW w:w="6079" w:type="dxa"/>
            <w:gridSpan w:val="10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其中：</w:t>
            </w:r>
          </w:p>
        </w:tc>
        <w:tc>
          <w:tcPr>
            <w:tcW w:w="941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在用固定资产</w:t>
            </w:r>
          </w:p>
        </w:tc>
        <w:tc>
          <w:tcPr>
            <w:tcW w:w="3644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出租固定资产</w:t>
            </w:r>
          </w:p>
        </w:tc>
        <w:tc>
          <w:tcPr>
            <w:tcW w:w="941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局机关及二级机构汇总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246.65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246.65</w:t>
            </w:r>
          </w:p>
        </w:tc>
        <w:tc>
          <w:tcPr>
            <w:tcW w:w="364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1、局机关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246.65</w:t>
            </w: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246.65</w:t>
            </w:r>
          </w:p>
        </w:tc>
        <w:tc>
          <w:tcPr>
            <w:tcW w:w="364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2、二级机构1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700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3、二级机构2</w:t>
            </w:r>
          </w:p>
        </w:tc>
        <w:tc>
          <w:tcPr>
            <w:tcW w:w="10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4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64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三、部门（单位）整体支出绩效自评情况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整体支出绩效定性目标及实施计划完成情况</w:t>
            </w:r>
          </w:p>
        </w:tc>
        <w:tc>
          <w:tcPr>
            <w:tcW w:w="377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预期目标</w:t>
            </w:r>
          </w:p>
        </w:tc>
        <w:tc>
          <w:tcPr>
            <w:tcW w:w="4585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实际完成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2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774" w:type="dxa"/>
            <w:gridSpan w:val="7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目标1：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保护和培育森林资源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；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目标2：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杜绝森林火灾火警的发生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；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目标3：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维护国家生态安全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；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目标4：严格执行国家财务制度和财经纪律，合理开支、厉行节约。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4585" w:type="dxa"/>
            <w:gridSpan w:val="8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达到年初设定指标值。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441" w:type="dxa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整体支出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绩效定量目标及实施计划完成情况</w:t>
            </w:r>
          </w:p>
        </w:tc>
        <w:tc>
          <w:tcPr>
            <w:tcW w:w="2966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评价内容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绩效目标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产出目标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（部门工作实绩，包含上级部门和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委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政府布置的重点工作、实事任务等，根据部门实际进行调整细化）</w:t>
            </w: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质量指标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预算经费执行管控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三公经费管控率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</w:rPr>
              <w:t>≤</w:t>
            </w: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森林资源培育及安全生产管控率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数量指标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全年基本性支出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开展森林防火宣传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sz w:val="24"/>
                <w:szCs w:val="21"/>
                <w:lang w:val="en-US" w:eastAsia="zh-CN"/>
              </w:rPr>
              <w:t>森林防灭火督查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1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涉及人员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时效指标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预算经费</w:t>
            </w:r>
            <w:r>
              <w:rPr>
                <w:rFonts w:hint="eastAsia" w:ascii="仿宋_GB2312" w:hAnsi="仿宋_GB2312" w:eastAsia="仿宋_GB2312"/>
                <w:sz w:val="24"/>
                <w:szCs w:val="21"/>
              </w:rPr>
              <w:t>完成率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森林管护及巡查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15.2万亩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成本指标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与年初预算数一致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Times New Roman"/>
                <w:kern w:val="2"/>
                <w:sz w:val="24"/>
                <w:szCs w:val="24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  <w:lang w:val="en-US" w:eastAsia="zh-CN"/>
              </w:rPr>
              <w:t>与年初设定目标值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restart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效益目标</w:t>
            </w:r>
          </w:p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（预期实现的效益）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社会效益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改善林区生产生活环境，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维护国家森林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。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经济效益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减轻森林火灾危害，减少山林纠纷；林带形成景观，美化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生态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环境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。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生态效益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森林蓄积量增长率增加；防治水土流失。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441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49" w:type="dxa"/>
            <w:gridSpan w:val="4"/>
            <w:vMerge w:val="continue"/>
            <w:noWrap w:val="0"/>
            <w:vAlign w:val="center"/>
          </w:tcPr>
          <w:p>
            <w:pPr>
              <w:autoSpaceDN w:val="0"/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社会公众或服务对象满意度</w:t>
            </w:r>
          </w:p>
        </w:tc>
        <w:tc>
          <w:tcPr>
            <w:tcW w:w="2709" w:type="dxa"/>
            <w:gridSpan w:val="3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提高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群众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的满意度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。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kern w:val="2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/>
                <w:kern w:val="2"/>
                <w:sz w:val="24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绩效自评综合得分</w:t>
            </w:r>
          </w:p>
        </w:tc>
        <w:tc>
          <w:tcPr>
            <w:tcW w:w="6810" w:type="dxa"/>
            <w:gridSpan w:val="11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990" w:type="dxa"/>
            <w:gridSpan w:val="5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评价等次</w:t>
            </w:r>
          </w:p>
        </w:tc>
        <w:tc>
          <w:tcPr>
            <w:tcW w:w="6810" w:type="dxa"/>
            <w:gridSpan w:val="11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蒋崇利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场长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九疑山国有林场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黄春洪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副场长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九疑山国有林场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李艳梅</w:t>
            </w: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会计</w:t>
            </w: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九疑山国有林场</w:t>
            </w: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901" w:type="dxa"/>
            <w:gridSpan w:val="2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684" w:type="dxa"/>
            <w:gridSpan w:val="6"/>
            <w:noWrap w:val="0"/>
            <w:vAlign w:val="center"/>
          </w:tcPr>
          <w:p>
            <w:pPr>
              <w:autoSpaceDN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22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94" w:hRule="atLeast"/>
          <w:jc w:val="center"/>
        </w:trPr>
        <w:tc>
          <w:tcPr>
            <w:tcW w:w="9800" w:type="dxa"/>
            <w:gridSpan w:val="16"/>
            <w:noWrap w:val="0"/>
            <w:vAlign w:val="center"/>
          </w:tcPr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</w:t>
            </w:r>
            <w:r>
              <w:rPr>
                <w:rFonts w:hint="eastAsia" w:eastAsia="仿宋_GB2312"/>
                <w:sz w:val="24"/>
                <w:lang w:eastAsia="zh-CN"/>
              </w:rPr>
              <w:t>股</w:t>
            </w:r>
            <w:r>
              <w:rPr>
                <w:rFonts w:hint="eastAsia" w:eastAsia="仿宋_GB2312"/>
                <w:sz w:val="24"/>
              </w:rPr>
              <w:t>室意见：</w:t>
            </w:r>
          </w:p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32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财政部门归口业务</w:t>
            </w:r>
            <w:r>
              <w:rPr>
                <w:rFonts w:hint="eastAsia" w:eastAsia="仿宋_GB2312"/>
                <w:sz w:val="24"/>
                <w:lang w:eastAsia="zh-CN"/>
              </w:rPr>
              <w:t>股</w:t>
            </w:r>
            <w:r>
              <w:rPr>
                <w:rFonts w:hint="eastAsia" w:eastAsia="仿宋_GB2312"/>
                <w:sz w:val="24"/>
              </w:rPr>
              <w:t>室负责人（签章）：</w:t>
            </w:r>
          </w:p>
          <w:p>
            <w:pPr>
              <w:autoSpaceDN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   年 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李艳梅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联系电话：</w:t>
      </w:r>
      <w:bookmarkStart w:id="0" w:name="_GoBack"/>
      <w:bookmarkEnd w:id="0"/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18974602117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2998" w:hRule="atLeast"/>
          <w:jc w:val="center"/>
        </w:trPr>
        <w:tc>
          <w:tcPr>
            <w:tcW w:w="9558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hint="eastAsia"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一、部门（单位）概况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（一）部门（单位）基本情况</w:t>
            </w:r>
          </w:p>
          <w:p>
            <w:pPr>
              <w:spacing w:line="6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宁远县九疑山国有林场现有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在职在编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干部职工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87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人（其中：在职人员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57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人，离退休人员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人），临时人员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人，领导人数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正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副；内设机构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个，小车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辆；电话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部。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（二）部门（单位）整体支出规模、使用方向和主要内容、涉及范围等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本年度进一步完善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管理体制和运行机制、建立科学化、精细化的管理机制、建立绩效评价制度、加快监管体系建设、提高经费使用效益。从严控制一般性行政开支，加强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部门绩效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监督和绩效评价，把绩效管理与单位实际情况相结合，建立健全绩效管理制度，进一步完善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单位绩效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监督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制度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，保证各项资金的使用更规范、更合理。</w:t>
            </w:r>
          </w:p>
          <w:p>
            <w:pPr>
              <w:numPr>
                <w:ilvl w:val="0"/>
                <w:numId w:val="1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完善了各护林工区安全生产、生活条件；</w:t>
            </w:r>
          </w:p>
          <w:p>
            <w:pPr>
              <w:numPr>
                <w:ilvl w:val="0"/>
                <w:numId w:val="1"/>
              </w:numPr>
              <w:spacing w:line="560" w:lineRule="exact"/>
              <w:ind w:left="0" w:leftChars="0"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提高了民工的就业率；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3、完成森林管护面积15.2万亩，全年无一起森林火灾、火警发生。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二、部门（单位）整体支出管理及使用情况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（一）基本支出</w:t>
            </w:r>
          </w:p>
          <w:p>
            <w:p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一般公共预算财政拨款支出情况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基本支出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775.28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其中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人员经费支出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688.42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万元，主要用于干部职工的工资发放，社会保障缴费及其他工资福利支出等。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日常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公用经费支出74.7万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元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主要用于日常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工作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正常运转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的办公费、印刷及其他商品服务支出费用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auto"/>
                <w:spacing w:val="0"/>
                <w:kern w:val="0"/>
                <w:sz w:val="28"/>
                <w:szCs w:val="28"/>
                <w:shd w:val="clear" w:color="auto" w:fill="FFFFFF"/>
                <w:lang w:val="en-US" w:eastAsia="zh-CN" w:bidi="ar"/>
              </w:rPr>
              <w:t>。项目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经费支出12.16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主要用于森林防灭火及防灾减灾支出。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“三公”经费支出情况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“三公”经费支出合计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1.84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万元，同比降低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%。分项为：因公出国（境）费支出为0万元；公务用车运行维护费支出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0.3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万元，；公务接待费支出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1.54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</w:rPr>
              <w:t>万元。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（二）专项支出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1、专项资金安排落实、总投入等情况分析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预算资金总投入12.16万元，全部安排落实到位，其中森林防灭火等项目工程年底前已验收完工支付。</w:t>
            </w:r>
          </w:p>
          <w:p>
            <w:pPr>
              <w:numPr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专项资金实际使用情况分析</w:t>
            </w:r>
          </w:p>
          <w:p>
            <w:pPr>
              <w:numPr>
                <w:numId w:val="0"/>
              </w:numPr>
              <w:spacing w:line="560" w:lineRule="exact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该笔资金主要用于各工区森林防火林带建设及管护开支，达到年初设定目标值。</w:t>
            </w:r>
          </w:p>
          <w:p>
            <w:pPr>
              <w:numPr>
                <w:ilvl w:val="0"/>
                <w:numId w:val="1"/>
              </w:numPr>
              <w:spacing w:line="560" w:lineRule="exact"/>
              <w:ind w:left="0" w:leftChars="0"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专项资金管理情况分析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项目资金实行国库集中支付制度，开设专户并设置专门账薄进行专账管理，独立核算，保证了专款专用，付款采用的是项目完成后由财政等相关部门核实验收后，按程序报账审批后支付。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三、部门（单位）专项组织实施情况</w:t>
            </w:r>
          </w:p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（一）专项组织情况分析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我场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对专项资金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财务管理制度，建立内部控制制度、财务预算制度、财务开支审批制度。规范会计核算，拨入的各项专项资金实行专款专用。</w:t>
            </w:r>
          </w:p>
          <w:p>
            <w:pPr>
              <w:numPr>
                <w:ilvl w:val="0"/>
                <w:numId w:val="2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专项管理情况分析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我场项目支出严格按照国家财政法规、预算资金管理办法、财务管理制度以及专项资金管理办法的规定，把项目资金的审批分配、监督检查与绩效评价结合起来，遵循先预算、再审批、后支出的原则，确保了财政资金分配和财政审批程序合法，保证了项目资金的合理使用。我场定期采集绩效运行的信息，督促各股室按时完成预算执行目标，杜绝发生偏离绩效目标的情况。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部门（单位）整体支出绩效情况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lang w:val="en-US" w:eastAsia="zh-CN"/>
              </w:rPr>
              <w:t>2023年度</w:t>
            </w:r>
            <w:r>
              <w:rPr>
                <w:rFonts w:hint="default" w:ascii="仿宋" w:hAnsi="仿宋" w:eastAsia="仿宋" w:cs="仿宋"/>
                <w:color w:val="333333"/>
                <w:sz w:val="28"/>
                <w:szCs w:val="28"/>
                <w:lang w:eastAsia="zh-CN"/>
              </w:rPr>
              <w:t>我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lang w:eastAsia="zh-CN"/>
              </w:rPr>
              <w:t>场</w:t>
            </w:r>
            <w:r>
              <w:rPr>
                <w:rFonts w:hint="default" w:ascii="仿宋" w:hAnsi="仿宋" w:eastAsia="仿宋" w:cs="仿宋"/>
                <w:color w:val="333333"/>
                <w:sz w:val="28"/>
                <w:szCs w:val="28"/>
                <w:lang w:eastAsia="zh-CN"/>
              </w:rPr>
              <w:t>工作经费安排严格按照年初预算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lang w:val="en-US" w:eastAsia="zh-CN"/>
              </w:rPr>
              <w:t>设定目标</w:t>
            </w:r>
            <w:r>
              <w:rPr>
                <w:rFonts w:hint="default" w:ascii="仿宋" w:hAnsi="仿宋" w:eastAsia="仿宋" w:cs="仿宋"/>
                <w:color w:val="333333"/>
                <w:sz w:val="28"/>
                <w:szCs w:val="28"/>
                <w:lang w:eastAsia="zh-CN"/>
              </w:rPr>
              <w:t>执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行，有效防止超预算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开支，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进一步从严控制“三公”经费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lang w:eastAsia="zh-CN"/>
              </w:rPr>
              <w:t>例</w:t>
            </w: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</w:rPr>
              <w:t>支，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规范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场部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管理工作，提高服务质量，降低运行成本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合理配置，提高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各项资金的规范使用</w:t>
            </w:r>
            <w:r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default" w:ascii="黑体" w:hAnsi="黑体" w:eastAsia="黑体" w:cs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313131"/>
                <w:kern w:val="0"/>
                <w:sz w:val="28"/>
                <w:szCs w:val="28"/>
                <w:shd w:val="clear" w:color="auto" w:fill="FFFFFF"/>
                <w:lang w:eastAsia="zh-CN" w:bidi="ar"/>
              </w:rPr>
              <w:t>如</w:t>
            </w:r>
            <w:r>
              <w:rPr>
                <w:rFonts w:hint="eastAsia" w:ascii="仿宋" w:hAnsi="仿宋" w:eastAsia="仿宋" w:cs="仿宋"/>
                <w:bCs/>
                <w:color w:val="313131"/>
                <w:kern w:val="0"/>
                <w:sz w:val="28"/>
                <w:szCs w:val="28"/>
                <w:shd w:val="clear" w:color="auto" w:fill="FFFFFF"/>
                <w:lang w:bidi="ar"/>
              </w:rPr>
              <w:t>期按质地完成</w:t>
            </w:r>
            <w:r>
              <w:rPr>
                <w:rFonts w:hint="eastAsia" w:ascii="仿宋" w:hAnsi="仿宋" w:eastAsia="仿宋" w:cs="仿宋"/>
                <w:bCs/>
                <w:color w:val="313131"/>
                <w:kern w:val="0"/>
                <w:sz w:val="28"/>
                <w:szCs w:val="28"/>
                <w:shd w:val="clear" w:color="auto" w:fill="FFFFFF"/>
                <w:lang w:eastAsia="zh-CN" w:bidi="ar"/>
              </w:rPr>
              <w:t>各项</w:t>
            </w:r>
            <w:r>
              <w:rPr>
                <w:rFonts w:hint="eastAsia" w:ascii="仿宋" w:hAnsi="仿宋" w:eastAsia="仿宋" w:cs="仿宋"/>
                <w:bCs/>
                <w:color w:val="313131"/>
                <w:kern w:val="0"/>
                <w:sz w:val="28"/>
                <w:szCs w:val="28"/>
                <w:shd w:val="clear" w:color="auto" w:fill="FFFFFF"/>
                <w:lang w:bidi="ar"/>
              </w:rPr>
              <w:t>绩效目标</w:t>
            </w:r>
            <w:r>
              <w:rPr>
                <w:rFonts w:hint="eastAsia" w:ascii="仿宋" w:hAnsi="仿宋" w:eastAsia="仿宋" w:cs="仿宋"/>
                <w:bCs/>
                <w:color w:val="313131"/>
                <w:kern w:val="0"/>
                <w:sz w:val="28"/>
                <w:szCs w:val="28"/>
                <w:shd w:val="clear" w:color="auto" w:fill="FFFFFF"/>
                <w:lang w:eastAsia="zh-CN" w:bidi="ar"/>
              </w:rPr>
              <w:t>，</w:t>
            </w:r>
            <w:r>
              <w:rPr>
                <w:rFonts w:hint="eastAsia" w:ascii="仿宋" w:hAnsi="仿宋" w:eastAsia="仿宋" w:cs="Times New Roman"/>
                <w:kern w:val="2"/>
                <w:sz w:val="30"/>
                <w:szCs w:val="30"/>
              </w:rPr>
              <w:t>科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学合理编制预算、严格执行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财政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预算。在预算金额内严格控制费用的支出，控制超支现象的发生。在费用报账支付时，严格审核，控制费用跨年度报账，确保费用核算的及时性和完整性；按照费用的实际使用用途进行资金支付和财务列报，严格按照行</w:t>
            </w:r>
            <w:r>
              <w:rPr>
                <w:rFonts w:hint="eastAsia" w:ascii="仿宋" w:hAnsi="仿宋" w:eastAsia="仿宋" w:cs="Times New Roman"/>
                <w:kern w:val="2"/>
                <w:sz w:val="30"/>
                <w:szCs w:val="30"/>
              </w:rPr>
              <w:t>政事业单位会计制度进行财务核算。</w:t>
            </w:r>
          </w:p>
          <w:p>
            <w:pPr>
              <w:numPr>
                <w:ilvl w:val="0"/>
                <w:numId w:val="3"/>
              </w:numPr>
              <w:spacing w:line="560" w:lineRule="exact"/>
              <w:ind w:left="0" w:leftChars="0"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存在的主要问题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无。</w:t>
            </w:r>
          </w:p>
          <w:p>
            <w:pPr>
              <w:spacing w:line="560" w:lineRule="exact"/>
              <w:ind w:firstLine="560" w:firstLineChars="200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六、改进措施和有关建议</w:t>
            </w:r>
          </w:p>
          <w:p>
            <w:pPr>
              <w:rPr>
                <w:rFonts w:hint="default" w:eastAsia="楷体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lang w:eastAsia="zh-CN"/>
              </w:rPr>
              <w:t>我场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20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年度整体支出未偏离绩效目标，我们将进一步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  <w:lang w:eastAsia="zh-CN"/>
              </w:rPr>
              <w:t>强化落实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>预算绩效运行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eastAsia="zh-CN"/>
              </w:rPr>
              <w:t>动态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>监控管理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  <w:lang w:eastAsia="zh-CN"/>
              </w:rPr>
              <w:t>办法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color w:val="232323"/>
                <w:spacing w:val="0"/>
                <w:kern w:val="0"/>
                <w:sz w:val="28"/>
                <w:szCs w:val="28"/>
                <w:lang w:val="en-US" w:eastAsia="zh-CN" w:bidi="ar"/>
              </w:rPr>
              <w:t>细化预算编制工作，加强资产管理，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继续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  <w:lang w:eastAsia="zh-CN"/>
              </w:rPr>
              <w:t>健全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和完善相关管理制度，确保财政资金投入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  <w:lang w:eastAsia="zh-CN"/>
              </w:rPr>
              <w:t>发挥最大化效益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F1214"/>
                <w:spacing w:val="0"/>
                <w:sz w:val="28"/>
                <w:szCs w:val="28"/>
                <w:shd w:val="clear" w:color="auto" w:fill="FFFFFF"/>
              </w:rPr>
              <w:t>。</w:t>
            </w:r>
          </w:p>
        </w:tc>
      </w:tr>
    </w:tbl>
    <w:p>
      <w:pPr>
        <w:spacing w:line="348" w:lineRule="auto"/>
        <w:rPr>
          <w:rFonts w:eastAsia="楷体_GB2312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5"/>
        <w:sz w:val="24"/>
        <w:szCs w:val="24"/>
        <w:lang/>
      </w:rPr>
      <w:t>1</w:t>
    </w:r>
    <w:r>
      <w:rPr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5AE7E"/>
    <w:multiLevelType w:val="singleLevel"/>
    <w:tmpl w:val="8055AE7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6993BB0"/>
    <w:multiLevelType w:val="singleLevel"/>
    <w:tmpl w:val="B6993B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CBB0711"/>
    <w:multiLevelType w:val="singleLevel"/>
    <w:tmpl w:val="5CBB071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3NjhkYTM4YjkyZGI5NTc5NWNkMzljNjZiOTkzOTUifQ=="/>
  </w:docVars>
  <w:rsids>
    <w:rsidRoot w:val="00F44955"/>
    <w:rsid w:val="005F3C65"/>
    <w:rsid w:val="00D61D8F"/>
    <w:rsid w:val="00F44955"/>
    <w:rsid w:val="08A80C4D"/>
    <w:rsid w:val="0940511F"/>
    <w:rsid w:val="15BD27F5"/>
    <w:rsid w:val="1740703D"/>
    <w:rsid w:val="1BE56633"/>
    <w:rsid w:val="1EB34612"/>
    <w:rsid w:val="24FA3490"/>
    <w:rsid w:val="26AD0D42"/>
    <w:rsid w:val="2E11371C"/>
    <w:rsid w:val="2F8E521B"/>
    <w:rsid w:val="51A879F0"/>
    <w:rsid w:val="5D924367"/>
    <w:rsid w:val="6BC628AD"/>
    <w:rsid w:val="71270FB3"/>
    <w:rsid w:val="75B26EF4"/>
    <w:rsid w:val="792279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styleId="5">
    <w:name w:val="page number"/>
    <w:uiPriority w:val="0"/>
  </w:style>
  <w:style w:type="character" w:customStyle="1" w:styleId="6">
    <w:name w:val=" Char Char"/>
    <w:link w:val="2"/>
    <w:uiPriority w:val="0"/>
    <w:rPr>
      <w:rFonts w:eastAsia="宋体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9</Pages>
  <Words>1708</Words>
  <Characters>1715</Characters>
  <Lines>84</Lines>
  <Paragraphs>53</Paragraphs>
  <TotalTime>2</TotalTime>
  <ScaleCrop>false</ScaleCrop>
  <LinksUpToDate>false</LinksUpToDate>
  <CharactersWithSpaces>2723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2019-04-18T01:46:00Z</dcterms:created>
  <dc:creator>Microsoft</dc:creator>
  <cp:lastModifiedBy>我有一头小毛驴</cp:lastModifiedBy>
  <dcterms:modified xsi:type="dcterms:W3CDTF">2024-04-07T12:20:59Z</dcterms:modified>
  <dc:title>附件2-1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C5728320471242BE886C80063C55E75A_13</vt:lpwstr>
  </property>
</Properties>
</file>