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eastAsia="zh-CN"/>
              </w:rPr>
              <w:t>森林防火物资采购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180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sz w:val="22"/>
                <w:szCs w:val="22"/>
              </w:rPr>
            </w:pPr>
            <w:r>
              <w:rPr>
                <w:rFonts w:hint="eastAsia" w:eastAsia="仿宋_GB2312" w:cs="Times New Roman"/>
                <w:kern w:val="2"/>
                <w:sz w:val="20"/>
                <w:szCs w:val="20"/>
                <w:lang w:val="en-US" w:eastAsia="zh-CN" w:bidi="ar-SA"/>
              </w:rPr>
              <w:t>切实做好全县森林防灭火工作，进一步加强森林防火硬件设施建设，提升森林火灾扑救能力，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严格按照《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专项资金管理办法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》在资金使用上，应专款专用，任何单位和个人不得滞留、截留、挪用，不得用于专项资金规定使用范围以外的开支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。180万元资金全部用于购买森林防火设备。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完善了应急储备，坚持“统一调拨、布点科学、门类齐全、储备充足”原则，根据全县区域各类灾害发生特点，建立县乡两级应急物资储备库13个。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森林防火设备的配置大大提升了森林消防应急处置能力。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(一)重扑救、轻查处的现象时有发生，遇有火情，各乡镇人民政府、村级林长、防火巡逻员、护林人员能都够快速出动，积极参与森林火灾扑救，但是对一些违规用火，农事用火的行为查处惩戒不够。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(二)队伍建设有待于加强。我县的扑火队伍基本上是以半专业扑火队伍为主，虽组建一支50人的专业性扑火队伍，但以水灭火能力有限。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(三)提高群众森林防火的责任意识和忧患意识，工作有待进一步加强。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1、进一步强化森林防火宣传教育。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2、进一步抓好防灭火预防工作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3、进一步抓好业务培训工作三、强化队伍能力建设，健全联勤机制。</w:t>
            </w:r>
          </w:p>
          <w:p>
            <w:pPr>
              <w:spacing w:line="576" w:lineRule="exact"/>
              <w:ind w:right="880" w:rightChars="419"/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  <w:lang w:eastAsia="zh-CN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E6AE23"/>
    <w:multiLevelType w:val="singleLevel"/>
    <w:tmpl w:val="3EE6AE2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4040E23"/>
    <w:rsid w:val="11C016D5"/>
    <w:rsid w:val="1B811DB2"/>
    <w:rsid w:val="1E2913D9"/>
    <w:rsid w:val="209869EC"/>
    <w:rsid w:val="338930D8"/>
    <w:rsid w:val="38B247E4"/>
    <w:rsid w:val="3C567ED2"/>
    <w:rsid w:val="42F70A31"/>
    <w:rsid w:val="438726D5"/>
    <w:rsid w:val="462A1D02"/>
    <w:rsid w:val="51526910"/>
    <w:rsid w:val="561674F2"/>
    <w:rsid w:val="66480E37"/>
    <w:rsid w:val="6AAC347B"/>
    <w:rsid w:val="7862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647</Characters>
  <Lines>0</Lines>
  <Paragraphs>0</Paragraphs>
  <TotalTime>9</TotalTime>
  <ScaleCrop>false</ScaleCrop>
  <LinksUpToDate>false</LinksUpToDate>
  <CharactersWithSpaces>653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2024-05-22T08:59:05Z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