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3"/>
        <w:tblpPr w:leftFromText="180" w:rightFromText="180" w:vertAnchor="text" w:horzAnchor="margin" w:tblpXSpec="center" w:tblpY="189"/>
        <w:tblW w:w="91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7"/>
        <w:gridCol w:w="1972"/>
        <w:gridCol w:w="5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部门概况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专项名称</w:t>
            </w:r>
          </w:p>
        </w:tc>
        <w:tc>
          <w:tcPr>
            <w:tcW w:w="5633" w:type="dxa"/>
            <w:noWrap w:val="0"/>
            <w:vAlign w:val="center"/>
          </w:tcPr>
          <w:p>
            <w:pPr>
              <w:spacing w:line="576" w:lineRule="exact"/>
              <w:ind w:right="880" w:rightChars="419"/>
              <w:jc w:val="center"/>
              <w:rPr>
                <w:sz w:val="22"/>
                <w:szCs w:val="22"/>
              </w:rPr>
            </w:pPr>
            <w:r>
              <w:rPr>
                <w:rFonts w:hint="eastAsia" w:ascii="Times New Roman" w:hAnsi="Times New Roman" w:eastAsia="仿宋_GB2312" w:cs="Times New Roman"/>
                <w:sz w:val="20"/>
                <w:szCs w:val="20"/>
                <w:lang w:eastAsia="zh-CN"/>
              </w:rPr>
              <w:t>202</w:t>
            </w:r>
            <w:r>
              <w:rPr>
                <w:rFonts w:hint="eastAsia" w:ascii="Times New Roman" w:hAnsi="Times New Roman" w:eastAsia="仿宋_GB2312" w:cs="Times New Roman"/>
                <w:sz w:val="20"/>
                <w:szCs w:val="20"/>
                <w:lang w:val="en-US" w:eastAsia="zh-CN"/>
              </w:rPr>
              <w:t>2</w:t>
            </w:r>
            <w:r>
              <w:rPr>
                <w:rFonts w:hint="eastAsia" w:ascii="Times New Roman" w:hAnsi="Times New Roman" w:eastAsia="仿宋_GB2312" w:cs="Times New Roman"/>
                <w:sz w:val="20"/>
                <w:szCs w:val="20"/>
                <w:lang w:eastAsia="zh-CN"/>
              </w:rPr>
              <w:t>年中央自然灾害救灾（冬春临时生活困难救助）资金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年度预算金额</w:t>
            </w:r>
          </w:p>
        </w:tc>
        <w:tc>
          <w:tcPr>
            <w:tcW w:w="5633" w:type="dxa"/>
            <w:noWrap w:val="0"/>
            <w:vAlign w:val="center"/>
          </w:tcPr>
          <w:p>
            <w:pPr>
              <w:spacing w:line="576" w:lineRule="exact"/>
              <w:ind w:right="880" w:rightChars="419"/>
              <w:jc w:val="center"/>
              <w:rPr>
                <w:rFonts w:hint="eastAsia" w:eastAsia="宋体"/>
                <w:sz w:val="22"/>
                <w:szCs w:val="22"/>
                <w:lang w:val="en-US" w:eastAsia="zh-CN"/>
              </w:rPr>
            </w:pPr>
            <w:r>
              <w:rPr>
                <w:rFonts w:hint="eastAsia" w:ascii="Times New Roman" w:hAnsi="Times New Roman" w:eastAsia="仿宋_GB2312" w:cs="Times New Roman"/>
                <w:sz w:val="20"/>
                <w:szCs w:val="20"/>
                <w:lang w:val="en-US" w:eastAsia="zh-CN"/>
              </w:rPr>
              <w:t>206万元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项目主管部门</w:t>
            </w:r>
          </w:p>
        </w:tc>
        <w:tc>
          <w:tcPr>
            <w:tcW w:w="5633" w:type="dxa"/>
            <w:noWrap w:val="0"/>
            <w:vAlign w:val="center"/>
          </w:tcPr>
          <w:p>
            <w:pPr>
              <w:spacing w:line="576" w:lineRule="exact"/>
              <w:ind w:right="880" w:rightChars="419"/>
              <w:jc w:val="center"/>
              <w:rPr>
                <w:rFonts w:hint="eastAsia" w:eastAsia="宋体"/>
                <w:sz w:val="22"/>
                <w:szCs w:val="22"/>
                <w:lang w:eastAsia="zh-CN"/>
              </w:rPr>
            </w:pPr>
            <w:r>
              <w:rPr>
                <w:rFonts w:hint="eastAsia" w:ascii="Times New Roman" w:hAnsi="Times New Roman" w:eastAsia="仿宋_GB2312" w:cs="Times New Roman"/>
                <w:sz w:val="20"/>
                <w:szCs w:val="20"/>
                <w:lang w:val="en-US" w:eastAsia="zh-CN"/>
              </w:rPr>
              <w:t>宁远县应急管理局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3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项目立项目的</w:t>
            </w:r>
          </w:p>
        </w:tc>
        <w:tc>
          <w:tcPr>
            <w:tcW w:w="5633" w:type="dxa"/>
            <w:noWrap w:val="0"/>
            <w:vAlign w:val="center"/>
          </w:tcPr>
          <w:p>
            <w:pPr>
              <w:spacing w:line="576" w:lineRule="exact"/>
              <w:ind w:right="880" w:rightChars="419"/>
              <w:jc w:val="left"/>
              <w:rPr>
                <w:sz w:val="22"/>
                <w:szCs w:val="22"/>
              </w:rPr>
            </w:pPr>
            <w:r>
              <w:rPr>
                <w:rFonts w:hint="eastAsia" w:ascii="Times New Roman" w:hAnsi="Times New Roman" w:eastAsia="仿宋_GB2312" w:cs="Times New Roman"/>
                <w:sz w:val="20"/>
                <w:szCs w:val="20"/>
                <w:lang w:eastAsia="zh-CN"/>
              </w:rPr>
              <w:t>中央自然灾害救灾资金主要用于因自然灾害造成冬春期间临时生活困难的受灾群众救助。确保受灾群众温暖过冬。</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绩效情况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项目支出管理和使用基本情况</w:t>
            </w:r>
          </w:p>
        </w:tc>
        <w:tc>
          <w:tcPr>
            <w:tcW w:w="5633" w:type="dxa"/>
            <w:noWrap w:val="0"/>
            <w:vAlign w:val="center"/>
          </w:tcPr>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1、186万元拨付至乡镇通过惠农“一卡通”打卡</w:t>
            </w:r>
            <w:r>
              <w:rPr>
                <w:rFonts w:hint="default" w:ascii="Times New Roman" w:hAnsi="Times New Roman" w:eastAsia="仿宋_GB2312" w:cs="Times New Roman"/>
                <w:sz w:val="20"/>
                <w:szCs w:val="20"/>
                <w:lang w:val="en-US" w:eastAsia="zh-CN"/>
              </w:rPr>
              <w:t>发放</w:t>
            </w:r>
            <w:r>
              <w:rPr>
                <w:rFonts w:hint="eastAsia" w:ascii="Times New Roman" w:hAnsi="Times New Roman" w:eastAsia="仿宋_GB2312" w:cs="Times New Roman"/>
                <w:sz w:val="20"/>
                <w:szCs w:val="20"/>
                <w:lang w:val="en-US" w:eastAsia="zh-CN"/>
              </w:rPr>
              <w:t>至受灾人员个人账户；                       2、4.2万元用于购冬春救助用大米；               3、15.8万元用于购冬春救助用棉衣、棉被。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6"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项目绩效目标完成情况</w:t>
            </w:r>
          </w:p>
        </w:tc>
        <w:tc>
          <w:tcPr>
            <w:tcW w:w="5633" w:type="dxa"/>
            <w:noWrap w:val="0"/>
            <w:vAlign w:val="center"/>
          </w:tcPr>
          <w:p>
            <w:pPr>
              <w:spacing w:line="576" w:lineRule="exact"/>
              <w:ind w:right="880" w:rightChars="419"/>
              <w:jc w:val="left"/>
              <w:rPr>
                <w:rFonts w:hint="eastAsia"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用于因自然灾害造成冬春期间临时生活困难的受灾</w:t>
            </w:r>
            <w:bookmarkStart w:id="0" w:name="_GoBack"/>
            <w:bookmarkEnd w:id="0"/>
            <w:r>
              <w:rPr>
                <w:rFonts w:hint="eastAsia" w:ascii="Times New Roman" w:hAnsi="Times New Roman" w:eastAsia="仿宋_GB2312" w:cs="Times New Roman"/>
                <w:sz w:val="20"/>
                <w:szCs w:val="20"/>
                <w:lang w:val="en-US" w:eastAsia="zh-CN"/>
              </w:rPr>
              <w:t>群众救助。确保受灾群众温暖过冬。</w:t>
            </w:r>
          </w:p>
          <w:p>
            <w:pPr>
              <w:spacing w:line="576" w:lineRule="exact"/>
              <w:ind w:right="880" w:rightChars="419"/>
              <w:jc w:val="center"/>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存在的问题分析及改进措施</w:t>
            </w:r>
          </w:p>
        </w:tc>
        <w:tc>
          <w:tcPr>
            <w:tcW w:w="1972" w:type="dxa"/>
            <w:noWrap w:val="0"/>
            <w:vAlign w:val="center"/>
          </w:tcPr>
          <w:p>
            <w:pPr>
              <w:spacing w:line="576" w:lineRule="exact"/>
              <w:jc w:val="center"/>
              <w:rPr>
                <w:rFonts w:eastAsia="仿宋_GB2312"/>
                <w:sz w:val="20"/>
                <w:szCs w:val="20"/>
              </w:rPr>
            </w:pPr>
            <w:r>
              <w:rPr>
                <w:rFonts w:eastAsia="仿宋_GB2312"/>
                <w:sz w:val="20"/>
                <w:szCs w:val="20"/>
              </w:rPr>
              <w:t>存在的问题</w:t>
            </w:r>
          </w:p>
        </w:tc>
        <w:tc>
          <w:tcPr>
            <w:tcW w:w="5633" w:type="dxa"/>
            <w:noWrap w:val="0"/>
            <w:vAlign w:val="center"/>
          </w:tcPr>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1.投入方面</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救灾资金实际补助与需求之间相差较大。目前，我国的救灾补助标准较低，救灾补助标准难以满足受灾群众的实际需求。</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2.过程方面</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（1）救灾专职人员少，工作开展较难。基层</w:t>
            </w:r>
            <w:r>
              <w:rPr>
                <w:rFonts w:hint="eastAsia" w:ascii="Times New Roman" w:hAnsi="Times New Roman" w:eastAsia="仿宋_GB2312" w:cs="Times New Roman"/>
                <w:sz w:val="20"/>
                <w:szCs w:val="20"/>
                <w:lang w:val="en-US" w:eastAsia="zh-CN"/>
              </w:rPr>
              <w:t>应急</w:t>
            </w:r>
            <w:r>
              <w:rPr>
                <w:rFonts w:hint="default" w:ascii="Times New Roman" w:hAnsi="Times New Roman" w:eastAsia="仿宋_GB2312" w:cs="Times New Roman"/>
                <w:sz w:val="20"/>
                <w:szCs w:val="20"/>
                <w:lang w:val="en-US" w:eastAsia="zh-CN"/>
              </w:rPr>
              <w:t>部门负责救灾工作的人员少，他们的工作范围广且复杂</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lang w:val="en-US" w:eastAsia="zh-CN"/>
              </w:rPr>
              <w:t>由于受灾对象居住分散，救灾服务也难完全到位，往往各类数据难以第一时间上报，导致救灾工作常常处于被动。</w:t>
            </w:r>
          </w:p>
          <w:p>
            <w:pPr>
              <w:spacing w:line="576" w:lineRule="exact"/>
              <w:ind w:right="880" w:rightChars="419"/>
              <w:jc w:val="center"/>
              <w:rPr>
                <w:sz w:val="22"/>
                <w:szCs w:val="22"/>
              </w:rPr>
            </w:pPr>
            <w:r>
              <w:rPr>
                <w:rFonts w:hint="default" w:ascii="Times New Roman" w:hAnsi="Times New Roman" w:eastAsia="仿宋_GB2312" w:cs="Times New Roman"/>
                <w:sz w:val="20"/>
                <w:szCs w:val="20"/>
                <w:lang w:val="en-US" w:eastAsia="zh-CN"/>
              </w:rPr>
              <w:t>（2）救灾</w:t>
            </w:r>
            <w:r>
              <w:rPr>
                <w:rFonts w:hint="eastAsia" w:ascii="Times New Roman" w:hAnsi="Times New Roman" w:eastAsia="仿宋_GB2312" w:cs="Times New Roman"/>
                <w:sz w:val="20"/>
                <w:szCs w:val="20"/>
                <w:lang w:val="en-US" w:eastAsia="zh-CN"/>
              </w:rPr>
              <w:t>工作</w:t>
            </w:r>
            <w:r>
              <w:rPr>
                <w:rFonts w:hint="default" w:ascii="Times New Roman" w:hAnsi="Times New Roman" w:eastAsia="仿宋_GB2312" w:cs="Times New Roman"/>
                <w:sz w:val="20"/>
                <w:szCs w:val="20"/>
                <w:lang w:val="en-US" w:eastAsia="zh-CN"/>
              </w:rPr>
              <w:t>中镇、村两级干部分层负责救灾工作职责有待于进一步界定。调研了解到，目前部分地区存在减灾救灾工作各部门职责不明确，特别是乡镇驻村干部和村干部职责不明确，存在定灾、核灾主要负责人没有明确规定，对于受灾户数人数上报不准确以及资金没有及时发放等问题缺乏监督和约束机制</w:t>
            </w:r>
            <w:r>
              <w:rPr>
                <w:rFonts w:hint="eastAsia" w:ascii="Times New Roman" w:hAnsi="Times New Roman" w:eastAsia="仿宋_GB2312" w:cs="Times New Roman"/>
                <w:sz w:val="20"/>
                <w:szCs w:val="2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8"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改进措施</w:t>
            </w:r>
          </w:p>
        </w:tc>
        <w:tc>
          <w:tcPr>
            <w:tcW w:w="5633" w:type="dxa"/>
            <w:noWrap w:val="0"/>
            <w:vAlign w:val="center"/>
          </w:tcPr>
          <w:p>
            <w:pPr>
              <w:spacing w:line="576" w:lineRule="exact"/>
              <w:ind w:right="880" w:rightChars="419"/>
              <w:jc w:val="center"/>
              <w:rPr>
                <w:sz w:val="22"/>
                <w:szCs w:val="22"/>
              </w:rPr>
            </w:pPr>
            <w:r>
              <w:rPr>
                <w:rFonts w:hint="default" w:ascii="Times New Roman" w:hAnsi="Times New Roman" w:eastAsia="仿宋_GB2312" w:cs="Times New Roman"/>
                <w:sz w:val="20"/>
                <w:szCs w:val="20"/>
                <w:lang w:val="en-US" w:eastAsia="zh-CN"/>
              </w:rPr>
              <w:t>完善救灾资金管理制度，加强救灾资金监管</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lang w:val="en-US" w:eastAsia="zh-CN"/>
              </w:rPr>
              <w:t>针对救灾资金发放操作时间要求难以满足的问题，需要进一步完善</w:t>
            </w:r>
            <w:r>
              <w:rPr>
                <w:rFonts w:hint="eastAsia" w:ascii="Times New Roman" w:hAnsi="Times New Roman" w:eastAsia="仿宋_GB2312" w:cs="Times New Roman"/>
                <w:sz w:val="20"/>
                <w:szCs w:val="20"/>
                <w:lang w:val="en-US" w:eastAsia="zh-CN"/>
              </w:rPr>
              <w:t>用于审核发放</w:t>
            </w:r>
            <w:r>
              <w:rPr>
                <w:rFonts w:hint="default" w:ascii="Times New Roman" w:hAnsi="Times New Roman" w:eastAsia="仿宋_GB2312" w:cs="Times New Roman"/>
                <w:sz w:val="20"/>
                <w:szCs w:val="20"/>
                <w:lang w:val="en-US" w:eastAsia="zh-CN"/>
              </w:rPr>
              <w:t>救灾资金</w:t>
            </w:r>
            <w:r>
              <w:rPr>
                <w:rFonts w:hint="eastAsia" w:ascii="Times New Roman" w:hAnsi="Times New Roman" w:eastAsia="仿宋_GB2312" w:cs="Times New Roman"/>
                <w:sz w:val="20"/>
                <w:szCs w:val="20"/>
                <w:lang w:val="en-US" w:eastAsia="zh-CN"/>
              </w:rPr>
              <w:t>的阳光审批系统。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其他需要说明问题</w:t>
            </w:r>
          </w:p>
        </w:tc>
        <w:tc>
          <w:tcPr>
            <w:tcW w:w="5633" w:type="dxa"/>
            <w:noWrap w:val="0"/>
            <w:vAlign w:val="center"/>
          </w:tcPr>
          <w:p>
            <w:pPr>
              <w:spacing w:line="576" w:lineRule="exact"/>
              <w:ind w:right="880" w:rightChars="419"/>
              <w:rPr>
                <w:rFonts w:hint="eastAsia" w:eastAsia="宋体"/>
                <w:sz w:val="22"/>
                <w:szCs w:val="22"/>
                <w:lang w:eastAsia="zh-CN"/>
              </w:rPr>
            </w:pPr>
            <w:r>
              <w:rPr>
                <w:rFonts w:hint="eastAsia"/>
                <w:sz w:val="22"/>
                <w:szCs w:val="22"/>
                <w:lang w:eastAsia="zh-CN"/>
              </w:rPr>
              <w:t>无</w:t>
            </w:r>
          </w:p>
          <w:p>
            <w:pPr>
              <w:spacing w:line="576" w:lineRule="exact"/>
              <w:ind w:right="880" w:rightChars="419"/>
              <w:rPr>
                <w:sz w:val="22"/>
                <w:szCs w:val="22"/>
              </w:rPr>
            </w:pPr>
          </w:p>
          <w:p>
            <w:pPr>
              <w:spacing w:line="576" w:lineRule="exact"/>
              <w:ind w:right="880" w:rightChars="419"/>
              <w:rPr>
                <w:sz w:val="22"/>
                <w:szCs w:val="22"/>
              </w:rPr>
            </w:pPr>
          </w:p>
        </w:tc>
      </w:tr>
    </w:tbl>
    <w:p>
      <w:pPr>
        <w:spacing w:line="320" w:lineRule="atLeast"/>
        <w:jc w:val="left"/>
        <w:rPr>
          <w:rFonts w:eastAsia="仿宋_GB2312"/>
          <w:sz w:val="20"/>
          <w:szCs w:val="20"/>
        </w:rPr>
      </w:pPr>
      <w:r>
        <w:rPr>
          <w:rFonts w:eastAsia="仿宋_GB2312"/>
          <w:sz w:val="20"/>
          <w:szCs w:val="20"/>
        </w:rPr>
        <w:t>备注：每个项目支出分别填报自评报告和自评表。</w:t>
      </w:r>
    </w:p>
    <w:p>
      <w:pPr>
        <w:snapToGrid w:val="0"/>
        <w:spacing w:line="380" w:lineRule="atLeast"/>
        <w:rPr>
          <w:sz w:val="32"/>
          <w:szCs w:val="32"/>
        </w:rPr>
      </w:pPr>
      <w:r>
        <w:rPr>
          <w:rFonts w:eastAsia="仿宋_GB2312"/>
          <w:sz w:val="22"/>
          <w:szCs w:val="22"/>
        </w:rPr>
        <w:t xml:space="preserve">填表人： </w:t>
      </w:r>
      <w:r>
        <w:rPr>
          <w:rFonts w:hint="eastAsia" w:eastAsia="仿宋_GB2312"/>
          <w:sz w:val="22"/>
          <w:szCs w:val="22"/>
          <w:lang w:eastAsia="zh-CN"/>
        </w:rPr>
        <w:t>谢苏平</w:t>
      </w:r>
      <w:r>
        <w:rPr>
          <w:rFonts w:eastAsia="仿宋_GB2312"/>
          <w:sz w:val="22"/>
          <w:szCs w:val="22"/>
        </w:rPr>
        <w:t xml:space="preserve"> 填报日期：</w:t>
      </w:r>
      <w:r>
        <w:rPr>
          <w:rFonts w:hint="eastAsia" w:eastAsia="仿宋_GB2312"/>
          <w:sz w:val="22"/>
          <w:szCs w:val="22"/>
          <w:lang w:val="en-US" w:eastAsia="zh-CN"/>
        </w:rPr>
        <w:t>2024.5.20</w:t>
      </w:r>
      <w:r>
        <w:rPr>
          <w:rFonts w:eastAsia="仿宋_GB2312"/>
          <w:sz w:val="22"/>
          <w:szCs w:val="22"/>
        </w:rPr>
        <w:t xml:space="preserve"> 联系电话：</w:t>
      </w:r>
      <w:r>
        <w:rPr>
          <w:rFonts w:hint="eastAsia" w:eastAsia="仿宋_GB2312"/>
          <w:sz w:val="22"/>
          <w:szCs w:val="22"/>
          <w:lang w:val="en-US" w:eastAsia="zh-CN"/>
        </w:rPr>
        <w:t>18075779931</w:t>
      </w:r>
      <w:r>
        <w:rPr>
          <w:rFonts w:eastAsia="仿宋_GB2312"/>
          <w:sz w:val="22"/>
          <w:szCs w:val="22"/>
        </w:rPr>
        <w:t xml:space="preserve">   单位负责人签字：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寰蒋闆呴粦">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iODFiZDY0NzJiZWRhNTMzZWZlZjcxNWIwYjhjNWUifQ=="/>
  </w:docVars>
  <w:rsids>
    <w:rsidRoot w:val="1B811DB2"/>
    <w:rsid w:val="1B811DB2"/>
    <w:rsid w:val="209869EC"/>
    <w:rsid w:val="42F70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2024-05-20T09:15:31Z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1B3EAEEF623B4963908EB0232FB89AF8_11</vt:lpwstr>
  </property>
</Properties>
</file>