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6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eastAsia="zh-CN"/>
              </w:rPr>
              <w:t>防汛警戒水位设定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26.7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宁远县应急管理局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right="0" w:rightChars="0" w:firstLine="480" w:firstLineChars="200"/>
              <w:contextualSpacing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/>
              </w:rPr>
              <w:t>城区河段未分析确定特征水位，对本地政府和相关部门指导防汛抢险非常不利，为科学合理的确定泠江河宁远县城区河段防汛特征水位，根据县防汛指挥部主要领导的指示，实施该项目。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155" w:rightChars="74" w:firstLine="400" w:firstLineChars="200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</w:rPr>
              <w:t>严格按照《专项资金管理办法》在资金使用上，应专款专用，任何单位和个人不得滞留、截留、挪用，不得用于专项资金规定使用范围以外的开支。</w:t>
            </w: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26.7</w:t>
            </w:r>
            <w:r>
              <w:rPr>
                <w:rFonts w:hint="eastAsia" w:eastAsia="仿宋_GB2312"/>
                <w:color w:val="auto"/>
                <w:sz w:val="20"/>
                <w:szCs w:val="20"/>
              </w:rPr>
              <w:t>万元资金全部用</w:t>
            </w: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/>
              </w:rPr>
              <w:t>泠江河宁远县城区河段防汛特征水位设定。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155" w:rightChars="74" w:firstLine="40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  <w:lang w:eastAsia="zh-CN"/>
              </w:rPr>
              <w:t>本年财政预算安排并拨款防汛抗旱经费</w:t>
            </w: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26.7</w:t>
            </w:r>
            <w:r>
              <w:rPr>
                <w:rFonts w:hint="eastAsia" w:eastAsia="仿宋_GB2312"/>
                <w:color w:val="auto"/>
                <w:sz w:val="20"/>
                <w:szCs w:val="20"/>
                <w:lang w:eastAsia="zh-CN"/>
              </w:rPr>
              <w:t>万元，</w:t>
            </w: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2023年7月10日该项目全部完工结算。</w:t>
            </w: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/>
              </w:rPr>
              <w:t>泠江河宁远县城区河段防汛特征水位站按照191.5M设立警戒水位。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60" w:lineRule="exact"/>
              <w:ind w:firstLine="400" w:firstLineChars="200"/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一是制度建设不够完善。单位虽然建立了项目管理、监督、奖惩等制度机制，但在实际执行过程中存在落实不到位现象，管理方式还比较粗放，规范化程度不高。二是绩效考核有待加强。项目单位对绩效管理的重要性和针对性认识不足，认为只要资金使用规范，项目按时完成就可以了，对部分绩效指标如效果目标、可持续影响力目标、群众满意度等指标重视不够。</w:t>
            </w:r>
          </w:p>
          <w:p>
            <w:pPr>
              <w:spacing w:line="560" w:lineRule="exact"/>
              <w:ind w:firstLine="400" w:firstLineChars="200"/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60" w:lineRule="exact"/>
              <w:ind w:firstLine="400" w:firstLineChars="200"/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一是严格执行绩效目标。有效发挥绩效目标考核导向和激励作用。二是加强相关制度落实。提高对绩效管理工作重要性的认识，积极采取措施推动制度落实，使管理、检查措施制度化、常态化、科学化。</w:t>
            </w:r>
            <w:bookmarkStart w:id="0" w:name="_GoBack"/>
            <w:bookmarkEnd w:id="0"/>
          </w:p>
          <w:p>
            <w:pPr>
              <w:spacing w:line="560" w:lineRule="exact"/>
              <w:ind w:firstLine="400" w:firstLineChars="200"/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sz w:val="32"/>
          <w:szCs w:val="32"/>
        </w:rPr>
      </w:pPr>
      <w:r>
        <w:rPr>
          <w:rFonts w:eastAsia="仿宋_GB2312"/>
          <w:sz w:val="22"/>
          <w:szCs w:val="22"/>
        </w:rPr>
        <w:t xml:space="preserve">填表人： </w:t>
      </w:r>
      <w:r>
        <w:rPr>
          <w:rFonts w:hint="eastAsia" w:eastAsia="仿宋_GB2312"/>
          <w:sz w:val="22"/>
          <w:szCs w:val="22"/>
          <w:lang w:eastAsia="zh-CN"/>
        </w:rPr>
        <w:t>谢苏平</w:t>
      </w:r>
      <w:r>
        <w:rPr>
          <w:rFonts w:eastAsia="仿宋_GB2312"/>
          <w:sz w:val="22"/>
          <w:szCs w:val="22"/>
        </w:rPr>
        <w:t xml:space="preserve"> 填报日期：</w:t>
      </w:r>
      <w:r>
        <w:rPr>
          <w:rFonts w:hint="eastAsia" w:eastAsia="仿宋_GB2312"/>
          <w:sz w:val="22"/>
          <w:szCs w:val="22"/>
          <w:lang w:val="en-US" w:eastAsia="zh-CN"/>
        </w:rPr>
        <w:t>2024.5.20</w:t>
      </w:r>
      <w:r>
        <w:rPr>
          <w:rFonts w:eastAsia="仿宋_GB2312"/>
          <w:sz w:val="22"/>
          <w:szCs w:val="22"/>
        </w:rPr>
        <w:t xml:space="preserve"> 联系电话：</w:t>
      </w:r>
      <w:r>
        <w:rPr>
          <w:rFonts w:hint="eastAsia" w:eastAsia="仿宋_GB2312"/>
          <w:sz w:val="22"/>
          <w:szCs w:val="22"/>
          <w:lang w:val="en-US" w:eastAsia="zh-CN"/>
        </w:rPr>
        <w:t>18075779931</w:t>
      </w:r>
      <w:r>
        <w:rPr>
          <w:rFonts w:eastAsia="仿宋_GB2312"/>
          <w:sz w:val="22"/>
          <w:szCs w:val="22"/>
        </w:rPr>
        <w:t xml:space="preserve">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0YWRlNGI4ZjZjMDk2NzRhNWFjMTliM2U5OTRmZWMifQ=="/>
    <w:docVar w:name="KSO_WPS_MARK_KEY" w:val="bce927a8-6001-43b7-b03f-dabdf4b40dcc"/>
  </w:docVars>
  <w:rsids>
    <w:rsidRoot w:val="1B811DB2"/>
    <w:rsid w:val="04040E23"/>
    <w:rsid w:val="0651636F"/>
    <w:rsid w:val="08F73C09"/>
    <w:rsid w:val="0C58239B"/>
    <w:rsid w:val="0FFD757E"/>
    <w:rsid w:val="115E652A"/>
    <w:rsid w:val="11C016D5"/>
    <w:rsid w:val="137E4BF6"/>
    <w:rsid w:val="16177D5E"/>
    <w:rsid w:val="1B811DB2"/>
    <w:rsid w:val="1E2913D9"/>
    <w:rsid w:val="209869EC"/>
    <w:rsid w:val="21820DBB"/>
    <w:rsid w:val="2B9A4D4C"/>
    <w:rsid w:val="2EB92F70"/>
    <w:rsid w:val="3458094E"/>
    <w:rsid w:val="37902568"/>
    <w:rsid w:val="38B247E4"/>
    <w:rsid w:val="42F70A31"/>
    <w:rsid w:val="438726D5"/>
    <w:rsid w:val="4FCA17AD"/>
    <w:rsid w:val="56077604"/>
    <w:rsid w:val="5AC74EE4"/>
    <w:rsid w:val="66480E37"/>
    <w:rsid w:val="684F6255"/>
    <w:rsid w:val="6957359A"/>
    <w:rsid w:val="6AAC347B"/>
    <w:rsid w:val="78620E64"/>
    <w:rsid w:val="7E58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 w:eastAsia="仿宋_GB2312" w:cs="Calibri"/>
      <w:sz w:val="32"/>
      <w:szCs w:val="32"/>
    </w:rPr>
  </w:style>
  <w:style w:type="paragraph" w:styleId="3">
    <w:name w:val="List Paragraph"/>
    <w:basedOn w:val="1"/>
    <w:qFormat/>
    <w:uiPriority w:val="1"/>
    <w:pPr>
      <w:spacing w:before="190"/>
      <w:ind w:left="440" w:right="757" w:firstLine="640"/>
    </w:pPr>
    <w:rPr>
      <w:rFonts w:ascii="仿宋_GB2312" w:hAnsi="仿宋_GB2312" w:eastAsia="仿宋_GB2312" w:cs="仿宋_GB2312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718</Characters>
  <Lines>0</Lines>
  <Paragraphs>0</Paragraphs>
  <TotalTime>10</TotalTime>
  <ScaleCrop>false</ScaleCrop>
  <LinksUpToDate>false</LinksUpToDate>
  <CharactersWithSpaces>724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2024-05-28T07:21:07Z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1B3EAEEF623B4963908EB0232FB89AF8_11</vt:lpwstr>
  </property>
</Properties>
</file>