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2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纪委办案工作经费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407.37299万元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中共永州市纪律检查委员会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 w:firstLine="48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一是突出抓监督首责；二是突出抓作风整治；三是突出抓惩治震慑；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right="880" w:rightChars="419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截止2023年12月31日总支出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354.139123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万元，因各种原因尚有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53.233867万元发票未报账，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支出进度实现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86.93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%。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该项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专项经费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主要用于办信办访办案、专项整治等方面的费用支出。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严格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按照财经纪律及资金管理规定，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做到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专款专用，确保每笔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资金发挥最大经济效益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</w:rPr>
              <w:t>一是全年共立案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  <w:t>344件，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结案342件，给予党纪政务处分342人，留置11人。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先后查处涉及乡村振兴和“三湘护农”领域腐败案件63件，给予党纪政务处分45人，移送司法机关4人，严肃查处了奉某涛、欧阳某华等一批违纪违法典型案例，持续释放案件查办高压震慑效应。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对全县领导干部及其亲属2000余人经商办企业情况进行比对，共收集、起底问题线索19条，其中立案9件，结案5件，给予党纪政务处分5人，收缴资金73.8万元，下发典型案例通报1期，通报3人。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起底清仓2013年以来涉及纪检监察干部的信访和问题线索22件22人，其中立案4件，给予党纪政务处分4人，组织处理5人。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sz w:val="24"/>
                <w:szCs w:val="24"/>
              </w:rPr>
              <w:t>二是以案促改，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深入开展干部队伍作风建设“清风”行动，认真落实省纪委监委“两带头五整治”纠风防腐专项行动工作部署，起底查处突出问题48个，处理处分30人。其中，违规吃喝问题数9个，处理处分9人；违规收送礼品礼金问题数12个，处理处分12人；违规旅游问题数1个；打牌赌博问题数7个，处理处分3人；酒后驾车问题数19个，处理处分6人；推动完善制度1个，制发纪检监察建议书1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先后组织全体纪检监察干部开展集中学习46次、培训活动1次、纪律警示教育2次，组织观看旁听庭审1次，编发工作简报16期。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576" w:lineRule="exact"/>
              <w:ind w:right="880" w:rightChars="41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资金使用缺乏预见性</w:t>
            </w:r>
          </w:p>
          <w:p>
            <w:pPr>
              <w:numPr>
                <w:ilvl w:val="0"/>
                <w:numId w:val="1"/>
              </w:numPr>
              <w:spacing w:line="576" w:lineRule="exact"/>
              <w:ind w:right="880" w:rightChars="41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资金到位有些迟缓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576" w:lineRule="exact"/>
              <w:ind w:right="880" w:rightChars="419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年初将相关专项经费提前纳入预算</w:t>
            </w:r>
          </w:p>
          <w:p>
            <w:pPr>
              <w:numPr>
                <w:ilvl w:val="0"/>
                <w:numId w:val="0"/>
              </w:numPr>
              <w:spacing w:line="576" w:lineRule="exact"/>
              <w:ind w:right="880" w:rightChars="419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2、简化流程、提高资金拨付效率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  <w:lang w:eastAsia="zh-CN"/>
        </w:rPr>
        <w:t>郭秋旺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2024.3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17374606663</w:t>
      </w:r>
      <w:r>
        <w:rPr>
          <w:rFonts w:eastAsia="仿宋_GB2312"/>
          <w:sz w:val="22"/>
          <w:szCs w:val="22"/>
        </w:rPr>
        <w:t xml:space="preserve"> 单位负责人签字：</w:t>
      </w:r>
      <w:r>
        <w:rPr>
          <w:rFonts w:hint="eastAsia" w:eastAsia="仿宋_GB2312"/>
          <w:sz w:val="22"/>
          <w:szCs w:val="22"/>
          <w:lang w:eastAsia="zh-CN"/>
        </w:rPr>
        <w:t>谭双喜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66CBB3"/>
    <w:multiLevelType w:val="singleLevel"/>
    <w:tmpl w:val="A366CBB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A42F29B"/>
    <w:multiLevelType w:val="singleLevel"/>
    <w:tmpl w:val="3A42F2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1B811DB2"/>
    <w:rsid w:val="3654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2024-04-30T02:35:58Z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1B3EAEEF623B4963908EB0232FB89AF8_11</vt:lpwstr>
  </property>
</Properties>
</file>