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color w:val="auto"/>
          <w:sz w:val="56"/>
          <w:szCs w:val="56"/>
        </w:rPr>
      </w:pPr>
    </w:p>
    <w:p>
      <w:pPr>
        <w:pStyle w:val="12"/>
        <w:jc w:val="center"/>
        <w:rPr>
          <w:color w:val="auto"/>
          <w:sz w:val="56"/>
          <w:szCs w:val="56"/>
        </w:rPr>
      </w:pPr>
    </w:p>
    <w:p>
      <w:pPr>
        <w:pStyle w:val="12"/>
        <w:jc w:val="center"/>
        <w:rPr>
          <w:color w:val="auto"/>
          <w:sz w:val="84"/>
          <w:szCs w:val="84"/>
        </w:rPr>
      </w:pPr>
    </w:p>
    <w:p>
      <w:pPr>
        <w:pStyle w:val="12"/>
        <w:jc w:val="center"/>
        <w:rPr>
          <w:color w:val="auto"/>
          <w:sz w:val="84"/>
          <w:szCs w:val="84"/>
        </w:rPr>
      </w:pPr>
    </w:p>
    <w:p>
      <w:pPr>
        <w:pStyle w:val="12"/>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w:t>
      </w:r>
      <w:r>
        <w:rPr>
          <w:rFonts w:hint="eastAsia" w:ascii="方正小标宋_GBK" w:hAnsi="方正小标宋_GBK" w:eastAsia="方正小标宋_GBK" w:cs="方正小标宋_GBK"/>
          <w:color w:val="auto"/>
          <w:sz w:val="84"/>
          <w:szCs w:val="84"/>
          <w:lang w:val="en-US" w:eastAsia="zh-CN"/>
        </w:rPr>
        <w:t>2</w:t>
      </w:r>
      <w:r>
        <w:rPr>
          <w:rFonts w:hint="eastAsia" w:ascii="方正小标宋_GBK" w:hAnsi="方正小标宋_GBK" w:eastAsia="方正小标宋_GBK" w:cs="方正小标宋_GBK"/>
          <w:color w:val="auto"/>
          <w:sz w:val="84"/>
          <w:szCs w:val="84"/>
        </w:rPr>
        <w:t>年度</w:t>
      </w:r>
    </w:p>
    <w:p>
      <w:pPr>
        <w:pStyle w:val="12"/>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永州市退役军人事务局</w:t>
      </w:r>
    </w:p>
    <w:p>
      <w:pPr>
        <w:pStyle w:val="12"/>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部门决算</w:t>
      </w:r>
    </w:p>
    <w:p>
      <w:pPr>
        <w:pStyle w:val="12"/>
        <w:jc w:val="center"/>
        <w:rPr>
          <w:rFonts w:hint="eastAsia" w:ascii="方正小标宋_GBK" w:hAnsi="方正小标宋_GBK" w:eastAsia="方正小标宋_GBK" w:cs="方正小标宋_GBK"/>
          <w:color w:val="auto"/>
          <w:sz w:val="56"/>
          <w:szCs w:val="56"/>
        </w:rPr>
      </w:pPr>
    </w:p>
    <w:p>
      <w:pPr>
        <w:pStyle w:val="12"/>
        <w:jc w:val="center"/>
        <w:rPr>
          <w:color w:val="auto"/>
          <w:sz w:val="56"/>
          <w:szCs w:val="56"/>
        </w:rPr>
      </w:pPr>
    </w:p>
    <w:p>
      <w:pPr>
        <w:pStyle w:val="12"/>
        <w:jc w:val="center"/>
        <w:rPr>
          <w:color w:val="auto"/>
          <w:sz w:val="56"/>
          <w:szCs w:val="56"/>
        </w:rPr>
      </w:pPr>
    </w:p>
    <w:p>
      <w:pPr>
        <w:pStyle w:val="12"/>
        <w:jc w:val="center"/>
        <w:rPr>
          <w:color w:val="auto"/>
          <w:sz w:val="56"/>
          <w:szCs w:val="56"/>
        </w:rPr>
      </w:pPr>
    </w:p>
    <w:p>
      <w:pPr>
        <w:pStyle w:val="12"/>
        <w:jc w:val="center"/>
        <w:rPr>
          <w:color w:val="auto"/>
          <w:sz w:val="32"/>
          <w:szCs w:val="32"/>
        </w:rPr>
      </w:pPr>
    </w:p>
    <w:p>
      <w:pPr>
        <w:pStyle w:val="12"/>
        <w:jc w:val="center"/>
        <w:rPr>
          <w:color w:val="auto"/>
          <w:sz w:val="32"/>
          <w:szCs w:val="32"/>
        </w:rPr>
      </w:pPr>
    </w:p>
    <w:p>
      <w:pPr>
        <w:pStyle w:val="12"/>
        <w:jc w:val="center"/>
        <w:rPr>
          <w:color w:val="auto"/>
          <w:sz w:val="32"/>
          <w:szCs w:val="32"/>
        </w:rPr>
      </w:pPr>
    </w:p>
    <w:p>
      <w:pPr>
        <w:pStyle w:val="12"/>
        <w:spacing w:line="500" w:lineRule="exact"/>
        <w:jc w:val="both"/>
        <w:rPr>
          <w:b/>
          <w:color w:val="auto"/>
          <w:sz w:val="36"/>
          <w:szCs w:val="28"/>
        </w:rPr>
      </w:pPr>
    </w:p>
    <w:p>
      <w:pPr>
        <w:pStyle w:val="12"/>
        <w:spacing w:line="500" w:lineRule="exact"/>
        <w:jc w:val="center"/>
        <w:rPr>
          <w:b/>
          <w:color w:val="auto"/>
          <w:sz w:val="36"/>
          <w:szCs w:val="28"/>
        </w:rPr>
      </w:pPr>
      <w:r>
        <w:rPr>
          <w:rFonts w:hint="eastAsia"/>
          <w:b/>
          <w:color w:val="auto"/>
          <w:sz w:val="36"/>
          <w:szCs w:val="28"/>
        </w:rPr>
        <w:t>目录</w:t>
      </w:r>
    </w:p>
    <w:p>
      <w:pPr>
        <w:pStyle w:val="12"/>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第一部分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lang w:eastAsia="zh-CN"/>
        </w:rPr>
        <w:t>永州市退役军人事务局</w:t>
      </w:r>
      <w:r>
        <w:rPr>
          <w:rFonts w:hint="eastAsia" w:ascii="黑体" w:hAnsi="黑体" w:eastAsia="黑体" w:cs="黑体"/>
          <w:b w:val="0"/>
          <w:bCs/>
          <w:color w:val="auto"/>
          <w:sz w:val="28"/>
          <w:szCs w:val="28"/>
        </w:rPr>
        <w:t>概况</w:t>
      </w:r>
    </w:p>
    <w:p>
      <w:pPr>
        <w:pStyle w:val="12"/>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pPr>
        <w:pStyle w:val="12"/>
        <w:numPr>
          <w:ilvl w:val="0"/>
          <w:numId w:val="1"/>
        </w:numPr>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机构设置</w:t>
      </w:r>
    </w:p>
    <w:p>
      <w:pPr>
        <w:pStyle w:val="12"/>
        <w:spacing w:line="500" w:lineRule="exac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rPr>
        <w:t>第二部分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部门决算表</w:t>
      </w:r>
      <w:r>
        <w:rPr>
          <w:rFonts w:hint="eastAsia" w:ascii="仿宋_GB2312" w:hAnsi="仿宋_GB2312" w:eastAsia="仿宋_GB2312" w:cs="仿宋_GB2312"/>
          <w:color w:val="auto"/>
          <w:sz w:val="28"/>
          <w:szCs w:val="28"/>
          <w:lang w:eastAsia="zh-CN"/>
        </w:rPr>
        <w:t>（说明：</w:t>
      </w:r>
      <w:r>
        <w:rPr>
          <w:rFonts w:hint="eastAsia" w:ascii="仿宋_GB2312" w:hAnsi="仿宋_GB2312" w:eastAsia="仿宋_GB2312" w:cs="仿宋_GB2312"/>
          <w:color w:val="auto"/>
          <w:sz w:val="28"/>
          <w:szCs w:val="28"/>
          <w:lang w:val="en-US" w:eastAsia="zh-CN"/>
        </w:rPr>
        <w:t>本套报表金额单位转换时可能存在尾数误差。</w:t>
      </w:r>
      <w:r>
        <w:rPr>
          <w:rFonts w:hint="eastAsia" w:ascii="仿宋_GB2312" w:hAnsi="仿宋_GB2312" w:eastAsia="仿宋_GB2312" w:cs="仿宋_GB2312"/>
          <w:color w:val="auto"/>
          <w:sz w:val="28"/>
          <w:szCs w:val="28"/>
          <w:lang w:eastAsia="zh-CN"/>
        </w:rPr>
        <w:t>）</w:t>
      </w:r>
    </w:p>
    <w:p>
      <w:pPr>
        <w:pStyle w:val="12"/>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pPr>
        <w:pStyle w:val="12"/>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pPr>
        <w:pStyle w:val="12"/>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pPr>
        <w:pStyle w:val="12"/>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pPr>
        <w:pStyle w:val="12"/>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第三部分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部门决算情况说明</w:t>
      </w:r>
    </w:p>
    <w:p>
      <w:pPr>
        <w:pStyle w:val="12"/>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七、财政拨款</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三公</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十三、关于预算绩效情况的说明</w:t>
      </w:r>
    </w:p>
    <w:p>
      <w:pPr>
        <w:pStyle w:val="12"/>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第四部分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名词解释</w:t>
      </w: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rPr>
          <w:rFonts w:hint="eastAsia" w:ascii="方正小标宋_GBK" w:hAnsi="方正小标宋_GBK" w:eastAsia="方正小标宋_GBK" w:cs="方正小标宋_GBK"/>
          <w:color w:val="auto"/>
          <w:sz w:val="72"/>
          <w:szCs w:val="72"/>
        </w:rPr>
      </w:pPr>
    </w:p>
    <w:p>
      <w:pPr>
        <w:pStyle w:val="12"/>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 xml:space="preserve">第一部分 </w:t>
      </w:r>
    </w:p>
    <w:p>
      <w:pPr>
        <w:pStyle w:val="12"/>
        <w:jc w:val="center"/>
        <w:rPr>
          <w:rFonts w:hint="eastAsia" w:ascii="方正小标宋_GBK" w:hAnsi="方正小标宋_GBK" w:eastAsia="方正小标宋_GBK" w:cs="方正小标宋_GBK"/>
          <w:color w:val="auto"/>
          <w:sz w:val="84"/>
          <w:szCs w:val="84"/>
        </w:rPr>
      </w:pPr>
    </w:p>
    <w:p>
      <w:pPr>
        <w:pStyle w:val="12"/>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永州市退役军人事务局</w:t>
      </w:r>
    </w:p>
    <w:p>
      <w:pPr>
        <w:pStyle w:val="12"/>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概况</w:t>
      </w:r>
    </w:p>
    <w:p>
      <w:pPr>
        <w:jc w:val="center"/>
        <w:rPr>
          <w:rFonts w:hint="eastAsia" w:ascii="方正小标宋_GBK" w:hAnsi="方正小标宋_GBK" w:eastAsia="方正小标宋_GBK" w:cs="方正小标宋_GBK"/>
          <w:color w:val="auto"/>
          <w:sz w:val="72"/>
          <w:szCs w:val="72"/>
        </w:rPr>
      </w:pPr>
    </w:p>
    <w:p>
      <w:pPr>
        <w:jc w:val="center"/>
        <w:rPr>
          <w:rFonts w:hint="eastAsia" w:ascii="方正小标宋_GBK" w:hAnsi="方正小标宋_GBK" w:eastAsia="方正小标宋_GBK" w:cs="方正小标宋_GBK"/>
          <w:color w:val="auto"/>
          <w:sz w:val="72"/>
          <w:szCs w:val="72"/>
        </w:rPr>
      </w:pPr>
    </w:p>
    <w:p>
      <w:pPr>
        <w:jc w:val="center"/>
        <w:rPr>
          <w:color w:val="auto"/>
          <w:sz w:val="72"/>
          <w:szCs w:val="72"/>
        </w:rPr>
      </w:pPr>
    </w:p>
    <w:p>
      <w:pPr>
        <w:pStyle w:val="4"/>
        <w:rPr>
          <w:color w:val="auto"/>
          <w:sz w:val="72"/>
          <w:szCs w:val="72"/>
        </w:rPr>
      </w:pPr>
    </w:p>
    <w:p/>
    <w:p>
      <w:pPr>
        <w:pStyle w:val="13"/>
        <w:numPr>
          <w:ilvl w:val="0"/>
          <w:numId w:val="0"/>
        </w:numPr>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部门职责</w:t>
      </w:r>
    </w:p>
    <w:p>
      <w:pPr>
        <w:adjustRightInd w:val="0"/>
        <w:snapToGrid w:val="0"/>
        <w:spacing w:line="56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永州市退役军人事务局是市人民政府组成部门，其主要职责是落实党中央、国务院、省委、省政府、市委及市政府关于退役军人工作的方针政策和决策部署，维护退役军人军属合法权益，做好安置转业，促进就业创业，让军人成为全社会尊崇的职业。</w:t>
      </w:r>
    </w:p>
    <w:p>
      <w:pPr>
        <w:widowControl/>
        <w:spacing w:line="600" w:lineRule="exact"/>
        <w:ind w:firstLine="640" w:firstLineChars="2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2"/>
          <w:sz w:val="32"/>
          <w:szCs w:val="32"/>
          <w:lang w:val="en-US" w:eastAsia="zh-CN" w:bidi="ar-SA"/>
        </w:rPr>
        <w:t>二、机构设置及决算单位构成</w:t>
      </w:r>
    </w:p>
    <w:p>
      <w:pPr>
        <w:adjustRightInd w:val="0"/>
        <w:snapToGrid w:val="0"/>
        <w:spacing w:line="560" w:lineRule="exact"/>
        <w:ind w:firstLine="643" w:firstLineChars="200"/>
        <w:rPr>
          <w:rFonts w:hint="eastAsia" w:ascii="宋体" w:hAnsi="宋体"/>
          <w:bCs/>
          <w:color w:val="auto"/>
          <w:kern w:val="0"/>
          <w:sz w:val="32"/>
          <w:szCs w:val="32"/>
          <w:lang w:val="en-US" w:eastAsia="zh-CN"/>
        </w:rPr>
      </w:pPr>
      <w:r>
        <w:rPr>
          <w:rFonts w:hint="eastAsia" w:ascii="楷体_GB2312" w:hAnsi="楷体_GB2312" w:eastAsia="楷体_GB2312" w:cs="楷体_GB2312"/>
          <w:b/>
          <w:bCs w:val="0"/>
          <w:color w:val="auto"/>
          <w:kern w:val="0"/>
          <w:sz w:val="32"/>
          <w:szCs w:val="32"/>
        </w:rPr>
        <w:t>（一）内设机构设置。</w:t>
      </w:r>
      <w:r>
        <w:rPr>
          <w:rFonts w:hint="eastAsia" w:ascii="Times New Roman" w:hAnsi="Times New Roman" w:eastAsia="仿宋_GB2312" w:cs="黑体"/>
          <w:color w:val="auto"/>
          <w:kern w:val="0"/>
          <w:sz w:val="32"/>
          <w:szCs w:val="32"/>
          <w:lang w:val="en-US" w:eastAsia="zh-CN" w:bidi="ar-SA"/>
        </w:rPr>
        <w:t>永州市退役军人事务局内设机构包括：办公室、军休服务管理科、安置和就业创业科、拥军优抚科、思想政治和权益维护科，规划财务科和机关党委。有5个直属单位，分别是：永州市军队转业干部培训中心（非独立核算）、永州市武装干部培训中心（非独立核算）、永州市军队离退休干部休养所、永州市军用供应站、永州市优抚医院。2022年年末在职在编33人，其中行政编制18人，事业编制15人。</w:t>
      </w:r>
    </w:p>
    <w:p>
      <w:pPr>
        <w:adjustRightInd w:val="0"/>
        <w:snapToGrid w:val="0"/>
        <w:spacing w:line="560" w:lineRule="exact"/>
        <w:ind w:firstLine="643" w:firstLineChars="200"/>
        <w:rPr>
          <w:rFonts w:hint="eastAsia" w:ascii="Times New Roman" w:hAnsi="Times New Roman" w:eastAsia="仿宋_GB2312" w:cs="黑体"/>
          <w:color w:val="auto"/>
          <w:kern w:val="0"/>
          <w:sz w:val="32"/>
          <w:szCs w:val="32"/>
          <w:lang w:val="en-US" w:eastAsia="zh-CN" w:bidi="ar-SA"/>
        </w:rPr>
      </w:pPr>
      <w:r>
        <w:rPr>
          <w:rFonts w:hint="eastAsia" w:ascii="楷体_GB2312" w:hAnsi="楷体_GB2312" w:eastAsia="楷体_GB2312" w:cs="楷体_GB2312"/>
          <w:b/>
          <w:bCs w:val="0"/>
          <w:color w:val="auto"/>
          <w:kern w:val="0"/>
          <w:sz w:val="32"/>
          <w:szCs w:val="32"/>
        </w:rPr>
        <w:t>（二）决算单位构成。</w:t>
      </w:r>
      <w:r>
        <w:rPr>
          <w:rFonts w:hint="eastAsia" w:ascii="Times New Roman" w:hAnsi="Times New Roman" w:eastAsia="仿宋_GB2312" w:cs="黑体"/>
          <w:color w:val="auto"/>
          <w:kern w:val="0"/>
          <w:sz w:val="32"/>
          <w:szCs w:val="32"/>
          <w:lang w:val="en-US" w:eastAsia="zh-CN" w:bidi="ar-SA"/>
        </w:rPr>
        <w:t>永州市退役军人事务局2022年部门决算汇总公开单位构成包括：永州市退役军人事务局本级以及永州市军队转业干部培训中心、永州市武装干部培训中心。</w:t>
      </w:r>
    </w:p>
    <w:p>
      <w:pPr>
        <w:jc w:val="left"/>
        <w:rPr>
          <w:rFonts w:ascii="仿宋_GB2312" w:eastAsia="仿宋_GB2312" w:hAnsiTheme="minorEastAsia"/>
          <w:color w:val="auto"/>
          <w:sz w:val="28"/>
          <w:szCs w:val="32"/>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color w:val="auto"/>
          <w:sz w:val="72"/>
          <w:szCs w:val="72"/>
        </w:rPr>
      </w:pPr>
    </w:p>
    <w:p>
      <w:pPr>
        <w:jc w:val="center"/>
        <w:rPr>
          <w:color w:val="auto"/>
          <w:sz w:val="72"/>
          <w:szCs w:val="72"/>
        </w:rPr>
      </w:pPr>
    </w:p>
    <w:p>
      <w:pPr>
        <w:jc w:val="both"/>
        <w:rPr>
          <w:color w:val="auto"/>
          <w:sz w:val="72"/>
          <w:szCs w:val="72"/>
        </w:rPr>
      </w:pPr>
    </w:p>
    <w:p>
      <w:pPr>
        <w:pStyle w:val="12"/>
        <w:jc w:val="center"/>
        <w:rPr>
          <w:rFonts w:hint="eastAsia" w:ascii="方正小标宋_GBK" w:hAnsi="方正小标宋_GBK" w:eastAsia="方正小标宋_GBK" w:cs="方正小标宋_GBK"/>
          <w:color w:val="auto"/>
          <w:sz w:val="84"/>
          <w:szCs w:val="84"/>
        </w:rPr>
      </w:pPr>
    </w:p>
    <w:p>
      <w:pPr>
        <w:pStyle w:val="12"/>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第二部分</w:t>
      </w:r>
    </w:p>
    <w:p>
      <w:pPr>
        <w:pStyle w:val="12"/>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部门决算表</w:t>
      </w:r>
    </w:p>
    <w:p>
      <w:pPr>
        <w:jc w:val="center"/>
        <w:rPr>
          <w:rFonts w:hint="eastAsia" w:ascii="楷体_GB2312" w:hAnsi="楷体_GB2312" w:eastAsia="楷体_GB2312" w:cs="楷体_GB2312"/>
          <w:b/>
          <w:bCs/>
          <w:color w:val="auto"/>
          <w:kern w:val="0"/>
          <w:sz w:val="52"/>
          <w:szCs w:val="52"/>
          <w:lang w:val="en-US" w:eastAsia="zh-CN" w:bidi="ar-SA"/>
        </w:rPr>
      </w:pPr>
      <w:r>
        <w:rPr>
          <w:rFonts w:hint="eastAsia" w:ascii="楷体_GB2312" w:hAnsi="楷体_GB2312" w:eastAsia="楷体_GB2312" w:cs="楷体_GB2312"/>
          <w:b/>
          <w:bCs/>
          <w:color w:val="auto"/>
          <w:kern w:val="0"/>
          <w:sz w:val="52"/>
          <w:szCs w:val="52"/>
          <w:lang w:val="en-US" w:eastAsia="zh-CN" w:bidi="ar-SA"/>
        </w:rPr>
        <w:t>（详见附表）</w:t>
      </w:r>
    </w:p>
    <w:p>
      <w:pPr>
        <w:pStyle w:val="12"/>
        <w:jc w:val="center"/>
        <w:rPr>
          <w:rFonts w:hint="eastAsia" w:ascii="方正小标宋_GBK" w:hAnsi="方正小标宋_GBK" w:eastAsia="方正小标宋_GBK" w:cs="方正小标宋_GBK"/>
          <w:color w:val="auto"/>
          <w:sz w:val="84"/>
          <w:szCs w:val="84"/>
        </w:rPr>
      </w:pPr>
    </w:p>
    <w:p>
      <w:pPr>
        <w:jc w:val="center"/>
        <w:rPr>
          <w:color w:val="auto"/>
          <w:sz w:val="72"/>
          <w:szCs w:val="72"/>
        </w:rPr>
      </w:pPr>
    </w:p>
    <w:p>
      <w:pPr>
        <w:jc w:val="left"/>
        <w:rPr>
          <w:rFonts w:hint="eastAsia" w:asciiTheme="minorEastAsia" w:hAnsiTheme="minorEastAsia" w:eastAsiaTheme="minorEastAsia"/>
          <w:color w:val="auto"/>
          <w:sz w:val="32"/>
          <w:szCs w:val="32"/>
          <w:lang w:eastAsia="zh-CN"/>
        </w:rPr>
      </w:pPr>
    </w:p>
    <w:p>
      <w:pPr>
        <w:jc w:val="left"/>
        <w:rPr>
          <w:rFonts w:asciiTheme="minorEastAsia" w:hAnsiTheme="minorEastAsia"/>
          <w:color w:val="auto"/>
          <w:sz w:val="32"/>
          <w:szCs w:val="32"/>
        </w:rPr>
        <w:sectPr>
          <w:pgSz w:w="11906" w:h="16838"/>
          <w:pgMar w:top="720" w:right="720" w:bottom="720" w:left="720" w:header="851" w:footer="992" w:gutter="0"/>
          <w:cols w:space="425" w:num="1"/>
          <w:docGrid w:type="lines" w:linePitch="312" w:charSpace="0"/>
        </w:sectPr>
      </w:pPr>
    </w:p>
    <w:p>
      <w:pPr>
        <w:pStyle w:val="12"/>
        <w:rPr>
          <w:color w:val="auto"/>
          <w:sz w:val="72"/>
          <w:szCs w:val="72"/>
        </w:rPr>
      </w:pPr>
      <w:bookmarkStart w:id="0" w:name="RANGE!A1:I22"/>
      <w:bookmarkEnd w:id="0"/>
    </w:p>
    <w:p>
      <w:pPr>
        <w:pStyle w:val="12"/>
        <w:rPr>
          <w:color w:val="auto"/>
          <w:sz w:val="72"/>
          <w:szCs w:val="72"/>
        </w:rPr>
      </w:pPr>
    </w:p>
    <w:p>
      <w:pPr>
        <w:pStyle w:val="12"/>
        <w:jc w:val="center"/>
        <w:rPr>
          <w:color w:val="auto"/>
          <w:sz w:val="72"/>
          <w:szCs w:val="72"/>
        </w:rPr>
      </w:pPr>
    </w:p>
    <w:p>
      <w:pPr>
        <w:pStyle w:val="12"/>
        <w:jc w:val="center"/>
        <w:rPr>
          <w:rFonts w:hint="eastAsia" w:ascii="方正小标宋_GBK" w:hAnsi="方正小标宋_GBK" w:eastAsia="方正小标宋_GBK" w:cs="方正小标宋_GBK"/>
          <w:color w:val="auto"/>
          <w:sz w:val="72"/>
          <w:szCs w:val="72"/>
        </w:rPr>
      </w:pPr>
    </w:p>
    <w:p>
      <w:pPr>
        <w:pStyle w:val="12"/>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第三部分</w:t>
      </w:r>
    </w:p>
    <w:p>
      <w:pPr>
        <w:pStyle w:val="12"/>
        <w:jc w:val="center"/>
        <w:rPr>
          <w:rFonts w:hint="eastAsia" w:ascii="方正小标宋_GBK" w:hAnsi="方正小标宋_GBK" w:eastAsia="方正小标宋_GBK" w:cs="方正小标宋_GBK"/>
          <w:color w:val="auto"/>
          <w:sz w:val="70"/>
          <w:szCs w:val="70"/>
        </w:rPr>
      </w:pPr>
    </w:p>
    <w:p>
      <w:pPr>
        <w:pStyle w:val="12"/>
        <w:jc w:val="center"/>
        <w:rPr>
          <w:rFonts w:hint="eastAsia" w:ascii="方正小标宋_GBK" w:hAnsi="方正小标宋_GBK" w:eastAsia="方正小标宋_GBK" w:cs="方正小标宋_GBK"/>
          <w:color w:val="auto"/>
          <w:sz w:val="70"/>
          <w:szCs w:val="70"/>
        </w:rPr>
      </w:pPr>
      <w:r>
        <w:rPr>
          <w:rFonts w:hint="eastAsia" w:ascii="方正小标宋_GBK" w:hAnsi="方正小标宋_GBK" w:eastAsia="方正小标宋_GBK" w:cs="方正小标宋_GBK"/>
          <w:color w:val="auto"/>
          <w:sz w:val="70"/>
          <w:szCs w:val="70"/>
        </w:rPr>
        <w:t>202</w:t>
      </w:r>
      <w:r>
        <w:rPr>
          <w:rFonts w:hint="eastAsia" w:ascii="方正小标宋_GBK" w:hAnsi="方正小标宋_GBK" w:eastAsia="方正小标宋_GBK" w:cs="方正小标宋_GBK"/>
          <w:color w:val="auto"/>
          <w:sz w:val="70"/>
          <w:szCs w:val="70"/>
          <w:lang w:val="en-US" w:eastAsia="zh-CN"/>
        </w:rPr>
        <w:t>2</w:t>
      </w:r>
      <w:r>
        <w:rPr>
          <w:rFonts w:hint="eastAsia" w:ascii="方正小标宋_GBK" w:hAnsi="方正小标宋_GBK" w:eastAsia="方正小标宋_GBK" w:cs="方正小标宋_GBK"/>
          <w:color w:val="auto"/>
          <w:sz w:val="70"/>
          <w:szCs w:val="70"/>
        </w:rPr>
        <w:t>年度部门决算情况说明</w:t>
      </w:r>
    </w:p>
    <w:p>
      <w:pPr>
        <w:widowControl/>
        <w:jc w:val="left"/>
        <w:rPr>
          <w:rFonts w:asciiTheme="minorEastAsia" w:hAnsiTheme="minorEastAsia" w:eastAsiaTheme="minorEastAsia"/>
          <w:color w:val="auto"/>
          <w:sz w:val="32"/>
          <w:szCs w:val="32"/>
        </w:rPr>
      </w:pPr>
      <w:r>
        <w:rPr>
          <w:rFonts w:hint="eastAsia" w:ascii="方正小标宋_GBK" w:hAnsi="方正小标宋_GBK" w:eastAsia="方正小标宋_GBK" w:cs="方正小标宋_GBK"/>
          <w:color w:val="auto"/>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一、收入支出决算总体情况说明</w:t>
      </w:r>
    </w:p>
    <w:p>
      <w:pPr>
        <w:keepNext w:val="0"/>
        <w:keepLines w:val="0"/>
        <w:widowControl/>
        <w:suppressLineNumbers w:val="0"/>
        <w:ind w:firstLine="640" w:firstLineChars="200"/>
        <w:jc w:val="left"/>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年度收</w:t>
      </w:r>
      <w:r>
        <w:rPr>
          <w:rFonts w:hint="eastAsia" w:ascii="Times New Roman" w:hAnsi="Times New Roman" w:eastAsia="仿宋_GB2312"/>
          <w:color w:val="auto"/>
          <w:sz w:val="32"/>
          <w:szCs w:val="32"/>
          <w:lang w:eastAsia="zh-CN"/>
        </w:rPr>
        <w:t>入</w:t>
      </w:r>
      <w:r>
        <w:rPr>
          <w:rFonts w:hint="eastAsia" w:ascii="Times New Roman" w:hAnsi="Times New Roman" w:eastAsia="仿宋_GB2312"/>
          <w:color w:val="auto"/>
          <w:sz w:val="32"/>
          <w:szCs w:val="32"/>
        </w:rPr>
        <w:t>总计1184.26万元。与上年相比，减少</w:t>
      </w:r>
      <w:r>
        <w:rPr>
          <w:rFonts w:hint="eastAsia" w:ascii="Times New Roman" w:hAnsi="Times New Roman" w:eastAsia="仿宋_GB2312"/>
          <w:color w:val="auto"/>
          <w:sz w:val="32"/>
          <w:szCs w:val="32"/>
          <w:lang w:val="en-US" w:eastAsia="zh-CN"/>
        </w:rPr>
        <w:t>13.81</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1.15</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年中上级转移支付支出减少</w:t>
      </w:r>
      <w:r>
        <w:rPr>
          <w:rFonts w:hint="eastAsia" w:ascii="Times New Roman" w:hAnsi="Times New Roman" w:eastAsia="仿宋_GB2312"/>
          <w:color w:val="auto"/>
          <w:sz w:val="32"/>
          <w:szCs w:val="32"/>
          <w:lang w:eastAsia="zh-CN"/>
        </w:rPr>
        <w:t>。</w:t>
      </w:r>
    </w:p>
    <w:p>
      <w:pPr>
        <w:pStyle w:val="3"/>
        <w:ind w:firstLine="640" w:firstLineChars="200"/>
        <w:rPr>
          <w:rFonts w:hint="default" w:ascii="Times New Roman" w:hAnsi="Times New Roman" w:eastAsia="仿宋_GB2312" w:cs="Times New Roman"/>
          <w:b w:val="0"/>
          <w:kern w:val="2"/>
          <w:sz w:val="32"/>
          <w:szCs w:val="32"/>
          <w:u w:val="none"/>
          <w:lang w:val="en-US" w:eastAsia="zh-CN" w:bidi="ar-SA"/>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w:t>
      </w:r>
      <w:r>
        <w:rPr>
          <w:rFonts w:hint="eastAsia" w:ascii="Times New Roman" w:hAnsi="Times New Roman" w:eastAsia="仿宋_GB2312"/>
          <w:color w:val="auto"/>
          <w:sz w:val="32"/>
          <w:szCs w:val="32"/>
          <w:lang w:eastAsia="zh-CN"/>
        </w:rPr>
        <w:t>支出</w:t>
      </w:r>
      <w:r>
        <w:rPr>
          <w:rFonts w:hint="eastAsia" w:ascii="Times New Roman" w:hAnsi="Times New Roman" w:eastAsia="仿宋_GB2312"/>
          <w:color w:val="auto"/>
          <w:sz w:val="32"/>
          <w:szCs w:val="32"/>
        </w:rPr>
        <w:t>总计1184.26万元。与上年相比，减少</w:t>
      </w:r>
      <w:r>
        <w:rPr>
          <w:rFonts w:hint="eastAsia" w:ascii="Times New Roman" w:hAnsi="Times New Roman" w:eastAsia="仿宋_GB2312"/>
          <w:color w:val="auto"/>
          <w:sz w:val="32"/>
          <w:szCs w:val="32"/>
          <w:lang w:val="en-US" w:eastAsia="zh-CN"/>
        </w:rPr>
        <w:t>13.81</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1.15</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年中上级转移支付支出减少</w:t>
      </w:r>
      <w:r>
        <w:rPr>
          <w:rFonts w:hint="eastAsia" w:ascii="Times New Roman" w:hAnsi="Times New Roman" w:eastAsia="仿宋_GB2312"/>
          <w:color w:val="auto"/>
          <w:sz w:val="32"/>
          <w:szCs w:val="32"/>
          <w:lang w:eastAsia="zh-CN"/>
        </w:rPr>
        <w:t>。</w:t>
      </w:r>
      <w:r>
        <w:rPr>
          <w:rFonts w:hint="eastAsia" w:ascii="Times New Roman" w:hAnsi="Times New Roman" w:eastAsia="仿宋_GB2312" w:cs="Times New Roman"/>
          <w:b w:val="0"/>
          <w:kern w:val="2"/>
          <w:sz w:val="32"/>
          <w:szCs w:val="32"/>
          <w:u w:val="none"/>
          <w:lang w:val="en-US" w:eastAsia="zh-CN" w:bidi="ar-SA"/>
        </w:rPr>
        <w:t>（公开说明按照表格数据填写，公开表格数据四舍五入导致存在尾数误差。）</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二、收入决算情况说明</w:t>
      </w:r>
    </w:p>
    <w:p>
      <w:pPr>
        <w:pStyle w:val="3"/>
        <w:ind w:firstLine="640" w:firstLineChars="200"/>
        <w:rPr>
          <w:rFonts w:hint="default" w:ascii="Times New Roman" w:hAnsi="Times New Roman" w:eastAsia="仿宋_GB2312" w:cs="Times New Roman"/>
          <w:b w:val="0"/>
          <w:kern w:val="2"/>
          <w:sz w:val="32"/>
          <w:szCs w:val="32"/>
          <w:u w:val="none"/>
          <w:lang w:val="en-US" w:eastAsia="zh-CN" w:bidi="ar-SA"/>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年度收入合计1145.09万元，其中：财政拨款收入1116.12万元，占</w:t>
      </w:r>
      <w:r>
        <w:rPr>
          <w:rFonts w:hint="eastAsia" w:ascii="Times New Roman" w:hAnsi="Times New Roman" w:eastAsia="仿宋_GB2312"/>
          <w:color w:val="auto"/>
          <w:sz w:val="32"/>
          <w:szCs w:val="32"/>
          <w:lang w:val="en-US" w:eastAsia="zh-CN"/>
        </w:rPr>
        <w:t>97.47</w:t>
      </w:r>
      <w:r>
        <w:rPr>
          <w:rFonts w:hint="eastAsia" w:ascii="Times New Roman" w:hAnsi="Times New Roman" w:eastAsia="仿宋_GB2312"/>
          <w:color w:val="auto"/>
          <w:sz w:val="32"/>
          <w:szCs w:val="32"/>
        </w:rPr>
        <w:t>%；上级补助收入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%；事业收入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%；经营收入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%；附属单位上缴收入</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%；其他收入28.98万元，占</w:t>
      </w:r>
      <w:r>
        <w:rPr>
          <w:rFonts w:hint="eastAsia" w:ascii="Times New Roman" w:hAnsi="Times New Roman" w:eastAsia="仿宋_GB2312"/>
          <w:color w:val="auto"/>
          <w:sz w:val="32"/>
          <w:szCs w:val="32"/>
          <w:lang w:val="en-US" w:eastAsia="zh-CN"/>
        </w:rPr>
        <w:t>2.53</w:t>
      </w:r>
      <w:r>
        <w:rPr>
          <w:rFonts w:hint="eastAsia" w:ascii="Times New Roman" w:hAnsi="Times New Roman" w:eastAsia="仿宋_GB2312"/>
          <w:color w:val="auto"/>
          <w:sz w:val="32"/>
          <w:szCs w:val="32"/>
        </w:rPr>
        <w:t>%。</w:t>
      </w:r>
      <w:r>
        <w:rPr>
          <w:rFonts w:hint="eastAsia" w:ascii="Times New Roman" w:hAnsi="Times New Roman" w:eastAsia="仿宋_GB2312" w:cs="Times New Roman"/>
          <w:b w:val="0"/>
          <w:kern w:val="2"/>
          <w:sz w:val="32"/>
          <w:szCs w:val="32"/>
          <w:u w:val="none"/>
          <w:lang w:val="en-US" w:eastAsia="zh-CN" w:bidi="ar-SA"/>
        </w:rPr>
        <w:t>（公开说明按照表格数据填写，公开表格数据四舍五入导致存在尾数误差。）</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三、支出决算情况说明</w:t>
      </w:r>
    </w:p>
    <w:p>
      <w:pPr>
        <w:pStyle w:val="3"/>
        <w:ind w:firstLine="640" w:firstLineChars="200"/>
        <w:rPr>
          <w:rFonts w:hint="default" w:ascii="Times New Roman" w:hAnsi="Times New Roman" w:eastAsia="仿宋_GB2312" w:cs="Times New Roman"/>
          <w:b w:val="0"/>
          <w:kern w:val="2"/>
          <w:sz w:val="32"/>
          <w:szCs w:val="32"/>
          <w:u w:val="none"/>
          <w:lang w:val="en-US" w:eastAsia="zh-CN" w:bidi="ar-SA"/>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年度支出合计1172.47万元，其中：基本支出562.48万元，占</w:t>
      </w:r>
      <w:r>
        <w:rPr>
          <w:rFonts w:hint="eastAsia" w:ascii="Times New Roman" w:hAnsi="Times New Roman" w:eastAsia="仿宋_GB2312"/>
          <w:color w:val="auto"/>
          <w:sz w:val="32"/>
          <w:szCs w:val="32"/>
          <w:lang w:val="en-US" w:eastAsia="zh-CN"/>
        </w:rPr>
        <w:t>47.97</w:t>
      </w:r>
      <w:r>
        <w:rPr>
          <w:rFonts w:hint="eastAsia" w:ascii="Times New Roman" w:hAnsi="Times New Roman" w:eastAsia="仿宋_GB2312"/>
          <w:color w:val="auto"/>
          <w:sz w:val="32"/>
          <w:szCs w:val="32"/>
        </w:rPr>
        <w:t>%；项目支出609.99万元，占</w:t>
      </w:r>
      <w:r>
        <w:rPr>
          <w:rFonts w:hint="eastAsia" w:ascii="Times New Roman" w:hAnsi="Times New Roman" w:eastAsia="仿宋_GB2312"/>
          <w:color w:val="auto"/>
          <w:sz w:val="32"/>
          <w:szCs w:val="32"/>
          <w:lang w:val="en-US" w:eastAsia="zh-CN"/>
        </w:rPr>
        <w:t>52.03</w:t>
      </w:r>
      <w:r>
        <w:rPr>
          <w:rFonts w:hint="eastAsia" w:ascii="Times New Roman" w:hAnsi="Times New Roman" w:eastAsia="仿宋_GB2312"/>
          <w:color w:val="auto"/>
          <w:sz w:val="32"/>
          <w:szCs w:val="32"/>
        </w:rPr>
        <w:t>%；上缴上级支出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%；经营支出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%；对附属单位补助支出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r>
        <w:rPr>
          <w:rFonts w:hint="eastAsia" w:ascii="Times New Roman" w:hAnsi="Times New Roman" w:eastAsia="仿宋_GB2312" w:cs="Times New Roman"/>
          <w:b w:val="0"/>
          <w:kern w:val="2"/>
          <w:sz w:val="32"/>
          <w:szCs w:val="32"/>
          <w:u w:val="none"/>
          <w:lang w:val="en-US" w:eastAsia="zh-CN" w:bidi="ar-SA"/>
        </w:rPr>
        <w:t>（公开说明按照表格数据填写，公开表格数据四舍五入导致存在尾数误差。）</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年度财政拨款收</w:t>
      </w:r>
      <w:r>
        <w:rPr>
          <w:rFonts w:hint="eastAsia" w:ascii="Times New Roman" w:hAnsi="Times New Roman" w:eastAsia="仿宋_GB2312"/>
          <w:color w:val="auto"/>
          <w:sz w:val="32"/>
          <w:szCs w:val="32"/>
          <w:lang w:eastAsia="zh-CN"/>
        </w:rPr>
        <w:t>入</w:t>
      </w:r>
      <w:r>
        <w:rPr>
          <w:rFonts w:hint="eastAsia" w:ascii="Times New Roman" w:hAnsi="Times New Roman" w:eastAsia="仿宋_GB2312"/>
          <w:color w:val="auto"/>
          <w:sz w:val="32"/>
          <w:szCs w:val="32"/>
        </w:rPr>
        <w:t>总计1155.28万元，与上年相比，减少</w:t>
      </w:r>
      <w:r>
        <w:rPr>
          <w:rFonts w:hint="eastAsia" w:ascii="Times New Roman" w:hAnsi="Times New Roman" w:eastAsia="仿宋_GB2312"/>
          <w:color w:val="auto"/>
          <w:sz w:val="32"/>
          <w:szCs w:val="32"/>
          <w:lang w:val="en-US" w:eastAsia="zh-CN"/>
        </w:rPr>
        <w:t>42.79</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3.57</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年中上级转移支付支出减少</w:t>
      </w:r>
      <w:r>
        <w:rPr>
          <w:rFonts w:hint="eastAsia" w:ascii="Times New Roman" w:hAnsi="Times New Roman" w:eastAsia="仿宋_GB2312"/>
          <w:color w:val="auto"/>
          <w:sz w:val="32"/>
          <w:szCs w:val="32"/>
          <w:lang w:eastAsia="zh-CN"/>
        </w:rPr>
        <w:t>。</w:t>
      </w:r>
    </w:p>
    <w:p>
      <w:pPr>
        <w:pStyle w:val="3"/>
        <w:ind w:firstLine="640" w:firstLineChars="200"/>
        <w:rPr>
          <w:rFonts w:hint="default" w:ascii="Times New Roman" w:hAnsi="Times New Roman" w:eastAsia="仿宋_GB2312" w:cs="Times New Roman"/>
          <w:b w:val="0"/>
          <w:kern w:val="2"/>
          <w:sz w:val="32"/>
          <w:szCs w:val="32"/>
          <w:u w:val="none"/>
          <w:lang w:val="en-US" w:eastAsia="zh-CN" w:bidi="ar-SA"/>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年度财政拨款</w:t>
      </w:r>
      <w:r>
        <w:rPr>
          <w:rFonts w:hint="eastAsia" w:ascii="Times New Roman" w:hAnsi="Times New Roman" w:eastAsia="仿宋_GB2312"/>
          <w:color w:val="auto"/>
          <w:sz w:val="32"/>
          <w:szCs w:val="32"/>
          <w:lang w:eastAsia="zh-CN"/>
        </w:rPr>
        <w:t>支出</w:t>
      </w:r>
      <w:r>
        <w:rPr>
          <w:rFonts w:hint="eastAsia" w:ascii="Times New Roman" w:hAnsi="Times New Roman" w:eastAsia="仿宋_GB2312"/>
          <w:color w:val="auto"/>
          <w:sz w:val="32"/>
          <w:szCs w:val="32"/>
        </w:rPr>
        <w:t>总计1155.28万元，与上年相比，减少</w:t>
      </w:r>
      <w:r>
        <w:rPr>
          <w:rFonts w:hint="eastAsia" w:ascii="Times New Roman" w:hAnsi="Times New Roman" w:eastAsia="仿宋_GB2312"/>
          <w:color w:val="auto"/>
          <w:sz w:val="32"/>
          <w:szCs w:val="32"/>
          <w:lang w:val="en-US" w:eastAsia="zh-CN"/>
        </w:rPr>
        <w:t>42.79</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3.57</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年中上级转移支付支出减少</w:t>
      </w:r>
      <w:r>
        <w:rPr>
          <w:rFonts w:hint="eastAsia" w:ascii="Times New Roman" w:hAnsi="Times New Roman" w:eastAsia="仿宋_GB2312"/>
          <w:color w:val="auto"/>
          <w:sz w:val="32"/>
          <w:szCs w:val="32"/>
          <w:lang w:eastAsia="zh-CN"/>
        </w:rPr>
        <w:t>。</w:t>
      </w:r>
      <w:r>
        <w:rPr>
          <w:rFonts w:hint="eastAsia" w:ascii="Times New Roman" w:hAnsi="Times New Roman" w:eastAsia="仿宋_GB2312" w:cs="Times New Roman"/>
          <w:b w:val="0"/>
          <w:kern w:val="2"/>
          <w:sz w:val="32"/>
          <w:szCs w:val="32"/>
          <w:u w:val="none"/>
          <w:lang w:val="en-US" w:eastAsia="zh-CN" w:bidi="ar-SA"/>
        </w:rPr>
        <w:t>（公开说明按照表格数据填写，公开表格数据四舍五入导致存在尾数误差。）</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（一）财政拨款支出决算总体情况</w:t>
      </w:r>
    </w:p>
    <w:p>
      <w:pPr>
        <w:keepNext w:val="0"/>
        <w:keepLines w:val="0"/>
        <w:widowControl/>
        <w:suppressLineNumbers w:val="0"/>
        <w:ind w:firstLine="640" w:firstLineChars="200"/>
        <w:jc w:val="left"/>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年度财政拨款支出1143.5万元，占本年支出合计的</w:t>
      </w:r>
      <w:r>
        <w:rPr>
          <w:rFonts w:hint="eastAsia" w:ascii="Times New Roman" w:hAnsi="Times New Roman" w:eastAsia="仿宋_GB2312"/>
          <w:color w:val="auto"/>
          <w:sz w:val="32"/>
          <w:szCs w:val="32"/>
          <w:lang w:val="en-US" w:eastAsia="zh-CN"/>
        </w:rPr>
        <w:t>97.53</w:t>
      </w:r>
      <w:r>
        <w:rPr>
          <w:rFonts w:hint="eastAsia" w:ascii="Times New Roman" w:hAnsi="Times New Roman" w:eastAsia="仿宋_GB2312"/>
          <w:color w:val="auto"/>
          <w:sz w:val="32"/>
          <w:szCs w:val="32"/>
        </w:rPr>
        <w:t>%，与上年相比，财政拨款支出增加</w:t>
      </w:r>
      <w:r>
        <w:rPr>
          <w:rFonts w:hint="eastAsia" w:ascii="Times New Roman" w:hAnsi="Times New Roman" w:eastAsia="仿宋_GB2312"/>
          <w:color w:val="auto"/>
          <w:sz w:val="32"/>
          <w:szCs w:val="32"/>
          <w:lang w:val="en-US" w:eastAsia="zh-CN"/>
        </w:rPr>
        <w:t>12.39</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1.07</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和年中财政追加增人增资经费等形成</w:t>
      </w:r>
      <w:r>
        <w:rPr>
          <w:rFonts w:hint="default" w:ascii="Times New Roman" w:hAnsi="Times New Roman" w:eastAsia="仿宋_GB2312"/>
          <w:color w:val="auto"/>
          <w:sz w:val="32"/>
          <w:szCs w:val="32"/>
          <w:lang w:val="en-US" w:eastAsia="zh-CN"/>
        </w:rPr>
        <w:t>的支出。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（二）财政拨款支出决算结构情况</w:t>
      </w:r>
    </w:p>
    <w:p>
      <w:pPr>
        <w:pStyle w:val="3"/>
        <w:ind w:firstLine="640" w:firstLineChars="200"/>
        <w:rPr>
          <w:rFonts w:hint="default" w:ascii="Times New Roman" w:hAnsi="Times New Roman" w:eastAsia="仿宋_GB2312" w:cs="Times New Roman"/>
          <w:b w:val="0"/>
          <w:kern w:val="2"/>
          <w:sz w:val="32"/>
          <w:szCs w:val="32"/>
          <w:u w:val="none"/>
          <w:lang w:val="en-US" w:eastAsia="zh-CN" w:bidi="ar-SA"/>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年度财政拨款支出1143.5万元，主要用于以下方面：社会保障和就业（类）支出</w:t>
      </w:r>
      <w:r>
        <w:rPr>
          <w:rFonts w:hint="eastAsia" w:ascii="Times New Roman" w:hAnsi="Times New Roman" w:eastAsia="仿宋_GB2312"/>
          <w:color w:val="auto"/>
          <w:sz w:val="32"/>
          <w:szCs w:val="32"/>
          <w:lang w:val="en-US" w:eastAsia="zh-CN"/>
        </w:rPr>
        <w:t>1091.97</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95.49</w:t>
      </w:r>
      <w:r>
        <w:rPr>
          <w:rFonts w:hint="eastAsia" w:ascii="Times New Roman" w:hAnsi="Times New Roman" w:eastAsia="仿宋_GB2312"/>
          <w:color w:val="auto"/>
          <w:sz w:val="32"/>
          <w:szCs w:val="32"/>
        </w:rPr>
        <w:t>%；卫生健康（类）支出</w:t>
      </w:r>
      <w:r>
        <w:rPr>
          <w:rFonts w:hint="eastAsia" w:ascii="Times New Roman" w:hAnsi="Times New Roman" w:eastAsia="仿宋_GB2312"/>
          <w:color w:val="auto"/>
          <w:sz w:val="32"/>
          <w:szCs w:val="32"/>
          <w:lang w:val="en-US" w:eastAsia="zh-CN"/>
        </w:rPr>
        <w:t>22.73</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1.99</w:t>
      </w:r>
      <w:r>
        <w:rPr>
          <w:rFonts w:hint="eastAsia" w:ascii="Times New Roman" w:hAnsi="Times New Roman" w:eastAsia="仿宋_GB2312"/>
          <w:color w:val="auto"/>
          <w:sz w:val="32"/>
          <w:szCs w:val="32"/>
        </w:rPr>
        <w:t>%;住房保障（类）支出</w:t>
      </w:r>
      <w:r>
        <w:rPr>
          <w:rFonts w:hint="eastAsia" w:ascii="Times New Roman" w:hAnsi="Times New Roman" w:eastAsia="仿宋_GB2312"/>
          <w:color w:val="auto"/>
          <w:sz w:val="32"/>
          <w:szCs w:val="32"/>
          <w:lang w:val="en-US" w:eastAsia="zh-CN"/>
        </w:rPr>
        <w:t>28.8</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2.52</w:t>
      </w:r>
      <w:r>
        <w:rPr>
          <w:rFonts w:hint="eastAsia" w:ascii="Times New Roman" w:hAnsi="Times New Roman" w:eastAsia="仿宋_GB2312"/>
          <w:color w:val="auto"/>
          <w:sz w:val="32"/>
          <w:szCs w:val="32"/>
        </w:rPr>
        <w:t>%</w:t>
      </w:r>
      <w:r>
        <w:rPr>
          <w:rFonts w:hint="default" w:ascii="Times New Roman" w:hAnsi="Times New Roman" w:eastAsia="仿宋_GB2312"/>
          <w:color w:val="auto"/>
          <w:sz w:val="32"/>
          <w:szCs w:val="32"/>
          <w:lang w:val="en-US" w:eastAsia="zh-CN"/>
        </w:rPr>
        <w:t>。</w:t>
      </w:r>
      <w:r>
        <w:rPr>
          <w:rFonts w:hint="eastAsia" w:ascii="Times New Roman" w:hAnsi="Times New Roman" w:eastAsia="仿宋_GB2312" w:cs="Times New Roman"/>
          <w:b w:val="0"/>
          <w:kern w:val="2"/>
          <w:sz w:val="32"/>
          <w:szCs w:val="32"/>
          <w:u w:val="none"/>
          <w:lang w:val="en-US" w:eastAsia="zh-CN" w:bidi="ar-SA"/>
        </w:rPr>
        <w:t>（公开说明按照表格数据填写，公开表格数据四舍五入导致存在尾数误差。）</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rPr>
        <w:t>（三）财政拨款支出决算具体情况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年度财政拨款支出年初预算数为</w:t>
      </w:r>
      <w:r>
        <w:rPr>
          <w:rFonts w:hint="eastAsia" w:ascii="Times New Roman" w:hAnsi="Times New Roman" w:eastAsia="仿宋_GB2312"/>
          <w:color w:val="auto"/>
          <w:sz w:val="32"/>
          <w:szCs w:val="32"/>
          <w:lang w:val="en-US" w:eastAsia="zh-CN"/>
        </w:rPr>
        <w:t>479.28</w:t>
      </w:r>
      <w:r>
        <w:rPr>
          <w:rFonts w:hint="eastAsia" w:ascii="Times New Roman" w:hAnsi="Times New Roman" w:eastAsia="仿宋_GB2312"/>
          <w:color w:val="auto"/>
          <w:sz w:val="32"/>
          <w:szCs w:val="32"/>
        </w:rPr>
        <w:t>万元，支出决算数为</w:t>
      </w:r>
      <w:r>
        <w:rPr>
          <w:rFonts w:hint="eastAsia" w:ascii="Times New Roman" w:hAnsi="Times New Roman" w:eastAsia="仿宋_GB2312"/>
          <w:color w:val="auto"/>
          <w:sz w:val="32"/>
          <w:szCs w:val="32"/>
          <w:lang w:val="en-US" w:eastAsia="zh-CN"/>
        </w:rPr>
        <w:t>1143.5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1、社会保障和就业支出（类）行政事业单位养老支出（款）机关事业单位基本养老保险缴费支出（项）。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38.4</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年初预算未安排，为年中追加安排的在职人员养老保险缴费。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2、社会保障和就业支出（类）行政事业单位养老支出（款）其他行政事业单位养老支出（项）。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0.94</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年初预算未安排，为年中追加安排的退休人员一次性生活补贴。</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社会保障和就业支出（类）抚恤（款）其他优抚支出（项）。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年初预算为0万元，支出决算为435.19万元，决算数大于年初预算数的主要原因是：年初预算未安排，为年中追加安排的上级转移支付。</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4、社会保障和就业支出（类）退役安置（款）军队移交政府离退休干部管理机构（项）。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年初预算为0万元，支出决算为48.7万元，决算数大于年初预算数的主要原因是：年初预算未安排，为年中追加安排的上级转移支付。</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5、社会保障和就业支出（类）退役安置（款）军队转业干部安置（项）。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年初预算为0万元，支出决算为56.17万元，决算数大于年初预算数的主要原因是：年初预算未安排，为年中追加安排的上级转移支付。</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6、社会保障和就业支出（类）退役安置（款）其他退役安置（项）。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年初预算为0万元，支出决算为27.27万元，决算数大于年初预算数的主要原因是：年初预算未安排，为年中追加安排的上级转移支付。</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7、社会保障和就业支出（类）退役军人管理事务（款）行政运行（项）。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年初预算为479.28万元，支出决算为471.62万元，完成年初预算的98.4%，决算数小于年初预算数的主要原因是：人员减少导致的行政运行支出增加。</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8、社会保障和就业支出（类）退役军人管理事务（款）其他退役军人事务管理支出（项）。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年初预算为0万元，支出决算为13.68万元，决算数大于年初预算数的主要原因是：年初预算未安排，为年中追加安排的随军家属未就业生活补贴。</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9、卫生健康支出（类）行政事业单位医疗（款） 行政单位医疗（项）。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年初预算为0万元，支出决算为20.88万元，决算数大于年初预算数的主要原因是：年初预算未安排，为年中追加安排的在职人员医疗保险缴费。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10、卫生健康支出（类）行政事业单位医疗（款） 公务员医疗补助（项）。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年初预算为0万元，支出决算为1.86万元，决算数大于年初预算数的主要原因是：年初预算未安排，为年中追加安排的公务员医疗报销费。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11、住房保障支出（类）住房改革支出（款） 住房公积金（项）。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年初预算为0万元，支出决算为28.8万元，决算数大于年初预算数的主要原因是：年初预算未安排，为年中追加安排的在职人员住房公积金。</w:t>
      </w:r>
    </w:p>
    <w:p>
      <w:pPr>
        <w:pStyle w:val="3"/>
        <w:ind w:firstLine="640" w:firstLineChars="200"/>
        <w:rPr>
          <w:rFonts w:hint="default" w:ascii="Times New Roman" w:hAnsi="Times New Roman" w:eastAsia="仿宋_GB2312" w:cs="Times New Roman"/>
          <w:b w:val="0"/>
          <w:kern w:val="2"/>
          <w:sz w:val="32"/>
          <w:szCs w:val="32"/>
          <w:u w:val="none"/>
          <w:lang w:val="en-US" w:eastAsia="zh-CN" w:bidi="ar-SA"/>
        </w:rPr>
      </w:pPr>
      <w:r>
        <w:rPr>
          <w:rFonts w:hint="eastAsia" w:ascii="Times New Roman" w:hAnsi="Times New Roman" w:eastAsia="仿宋_GB2312" w:cs="Times New Roman"/>
          <w:b w:val="0"/>
          <w:kern w:val="2"/>
          <w:sz w:val="32"/>
          <w:szCs w:val="32"/>
          <w:u w:val="none"/>
          <w:lang w:val="en-US" w:eastAsia="zh-CN" w:bidi="ar-SA"/>
        </w:rPr>
        <w:t>（公开说明按照表格数据填写，公开表格数据四舍五入导致存在尾数误差。）</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年度财政拨款基本支出562.48万元，其中：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b/>
          <w:bCs/>
          <w:color w:val="auto"/>
          <w:sz w:val="32"/>
          <w:szCs w:val="32"/>
        </w:rPr>
        <w:t>人员经费</w:t>
      </w:r>
      <w:r>
        <w:rPr>
          <w:rFonts w:hint="eastAsia" w:ascii="Times New Roman" w:hAnsi="Times New Roman" w:eastAsia="仿宋_GB2312"/>
          <w:color w:val="auto"/>
          <w:sz w:val="32"/>
          <w:szCs w:val="32"/>
        </w:rPr>
        <w:t>516.97万元，占基本支出的</w:t>
      </w:r>
      <w:r>
        <w:rPr>
          <w:rFonts w:hint="eastAsia" w:ascii="Times New Roman" w:hAnsi="Times New Roman" w:eastAsia="仿宋_GB2312"/>
          <w:color w:val="auto"/>
          <w:sz w:val="32"/>
          <w:szCs w:val="32"/>
          <w:lang w:val="en-US" w:eastAsia="zh-CN"/>
        </w:rPr>
        <w:t>91.91</w:t>
      </w:r>
      <w:r>
        <w:rPr>
          <w:rFonts w:hint="eastAsia" w:ascii="Times New Roman" w:hAnsi="Times New Roman" w:eastAsia="仿宋_GB2312"/>
          <w:color w:val="auto"/>
          <w:sz w:val="32"/>
          <w:szCs w:val="32"/>
        </w:rPr>
        <w:t>%,主要包括</w:t>
      </w:r>
      <w:r>
        <w:rPr>
          <w:rFonts w:hint="eastAsia" w:ascii="仿宋_GB2312" w:hAnsi="仿宋_GB2312" w:eastAsia="仿宋_GB2312" w:cs="仿宋_GB2312"/>
          <w:b w:val="0"/>
          <w:bCs w:val="0"/>
          <w:color w:val="auto"/>
          <w:sz w:val="32"/>
          <w:szCs w:val="32"/>
        </w:rPr>
        <w:t>基本工资、津贴补贴、奖金</w:t>
      </w:r>
      <w:r>
        <w:rPr>
          <w:rFonts w:hint="eastAsia" w:ascii="仿宋_GB2312" w:hAnsi="仿宋_GB2312" w:eastAsia="仿宋_GB2312" w:cs="仿宋_GB2312"/>
          <w:b w:val="0"/>
          <w:bCs w:val="0"/>
          <w:color w:val="auto"/>
          <w:sz w:val="32"/>
          <w:szCs w:val="32"/>
          <w:lang w:eastAsia="zh-CN"/>
        </w:rPr>
        <w:t>、绩效工资、伙食补助费、机关事业单位基本养老保险缴费、</w:t>
      </w:r>
      <w:r>
        <w:rPr>
          <w:rFonts w:hint="eastAsia" w:ascii="Times New Roman" w:hAnsi="Times New Roman" w:eastAsia="仿宋_GB2312"/>
          <w:color w:val="auto"/>
          <w:sz w:val="32"/>
          <w:szCs w:val="32"/>
          <w:lang w:eastAsia="zh-CN"/>
        </w:rPr>
        <w:t>住房公积金</w:t>
      </w:r>
      <w:r>
        <w:rPr>
          <w:rFonts w:hint="eastAsia" w:ascii="仿宋_GB2312" w:hAnsi="仿宋_GB2312" w:eastAsia="仿宋_GB2312" w:cs="仿宋_GB2312"/>
          <w:b w:val="0"/>
          <w:bCs w:val="0"/>
          <w:color w:val="auto"/>
          <w:sz w:val="32"/>
          <w:szCs w:val="32"/>
          <w:lang w:eastAsia="zh-CN"/>
        </w:rPr>
        <w:t>、职工基本医疗保险缴费、生活补助</w:t>
      </w:r>
      <w:r>
        <w:rPr>
          <w:rFonts w:hint="eastAsia" w:ascii="Times New Roman" w:hAnsi="Times New Roman" w:eastAsia="仿宋_GB2312"/>
          <w:color w:val="auto"/>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公用经费</w:t>
      </w:r>
      <w:r>
        <w:rPr>
          <w:rFonts w:hint="eastAsia" w:ascii="Times New Roman" w:hAnsi="Times New Roman" w:eastAsia="仿宋_GB2312"/>
          <w:color w:val="auto"/>
          <w:sz w:val="32"/>
          <w:szCs w:val="32"/>
        </w:rPr>
        <w:t>45.52万元，占基本支出的</w:t>
      </w:r>
      <w:r>
        <w:rPr>
          <w:rFonts w:hint="eastAsia" w:ascii="Times New Roman" w:hAnsi="Times New Roman" w:eastAsia="仿宋_GB2312"/>
          <w:color w:val="auto"/>
          <w:sz w:val="32"/>
          <w:szCs w:val="32"/>
          <w:lang w:val="en-US" w:eastAsia="zh-CN"/>
        </w:rPr>
        <w:t>8.09</w:t>
      </w:r>
      <w:r>
        <w:rPr>
          <w:rFonts w:hint="eastAsia" w:ascii="Times New Roman" w:hAnsi="Times New Roman" w:eastAsia="仿宋_GB2312"/>
          <w:color w:val="auto"/>
          <w:sz w:val="32"/>
          <w:szCs w:val="32"/>
        </w:rPr>
        <w:t>%，主要包括</w:t>
      </w:r>
      <w:r>
        <w:rPr>
          <w:rFonts w:hint="eastAsia" w:ascii="仿宋_GB2312" w:hAnsi="仿宋_GB2312" w:eastAsia="仿宋_GB2312" w:cs="仿宋_GB2312"/>
          <w:b w:val="0"/>
          <w:bCs w:val="0"/>
          <w:color w:val="auto"/>
          <w:sz w:val="32"/>
          <w:szCs w:val="32"/>
        </w:rPr>
        <w:t>办公费、邮电费、差旅费、维修（护）费</w:t>
      </w:r>
      <w:r>
        <w:rPr>
          <w:rFonts w:hint="eastAsia" w:ascii="仿宋_GB2312" w:hAnsi="仿宋_GB2312" w:eastAsia="仿宋_GB2312" w:cs="仿宋_GB2312"/>
          <w:b w:val="0"/>
          <w:bCs w:val="0"/>
          <w:color w:val="auto"/>
          <w:sz w:val="32"/>
          <w:szCs w:val="32"/>
          <w:lang w:eastAsia="zh-CN"/>
        </w:rPr>
        <w:t>、培训费、公务接待费、劳务费、工会经费、福利费、其他交通费用、其他商品和服务支出</w:t>
      </w:r>
      <w:r>
        <w:rPr>
          <w:rFonts w:hint="eastAsia" w:ascii="Times New Roman" w:hAnsi="Times New Roman" w:eastAsia="仿宋_GB2312"/>
          <w:color w:val="auto"/>
          <w:sz w:val="32"/>
          <w:szCs w:val="32"/>
        </w:rPr>
        <w:t>。</w:t>
      </w:r>
    </w:p>
    <w:p>
      <w:pPr>
        <w:pStyle w:val="3"/>
        <w:ind w:firstLine="640" w:firstLineChars="200"/>
        <w:rPr>
          <w:rFonts w:hint="default" w:ascii="Times New Roman" w:hAnsi="Times New Roman" w:eastAsia="仿宋_GB2312" w:cs="Times New Roman"/>
          <w:b w:val="0"/>
          <w:kern w:val="2"/>
          <w:sz w:val="32"/>
          <w:szCs w:val="32"/>
          <w:u w:val="none"/>
          <w:lang w:val="en-US" w:eastAsia="zh-CN" w:bidi="ar-SA"/>
        </w:rPr>
      </w:pPr>
      <w:r>
        <w:rPr>
          <w:rFonts w:hint="eastAsia" w:ascii="Times New Roman" w:hAnsi="Times New Roman" w:eastAsia="仿宋_GB2312" w:cs="Times New Roman"/>
          <w:b w:val="0"/>
          <w:kern w:val="2"/>
          <w:sz w:val="32"/>
          <w:szCs w:val="32"/>
          <w:u w:val="none"/>
          <w:lang w:val="en-US" w:eastAsia="zh-CN" w:bidi="ar-SA"/>
        </w:rPr>
        <w:t>（公开说明按照表格数据填写，公开表格数据四舍五入导致存在尾数误差。）</w:t>
      </w:r>
    </w:p>
    <w:p>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“三公”经费财政拨款支出预算为</w:t>
      </w:r>
      <w:r>
        <w:rPr>
          <w:rFonts w:hint="eastAsia" w:ascii="Times New Roman" w:hAnsi="Times New Roman" w:eastAsia="仿宋_GB2312"/>
          <w:color w:val="auto"/>
          <w:sz w:val="32"/>
          <w:szCs w:val="32"/>
          <w:lang w:val="en-US" w:eastAsia="zh-CN"/>
        </w:rPr>
        <w:t>9.9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0.59</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因公出国（境）费支出预算为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预算数，与上年</w:t>
      </w:r>
      <w:r>
        <w:rPr>
          <w:rFonts w:hint="eastAsia" w:ascii="Times New Roman" w:hAnsi="Times New Roman" w:eastAsia="仿宋_GB2312"/>
          <w:color w:val="auto"/>
          <w:sz w:val="32"/>
          <w:szCs w:val="32"/>
          <w:lang w:eastAsia="zh-CN"/>
        </w:rPr>
        <w:t>持平</w:t>
      </w:r>
      <w:r>
        <w:rPr>
          <w:rFonts w:hint="eastAsia" w:ascii="Times New Roman" w:hAnsi="Times New Roman" w:eastAsia="仿宋_GB2312"/>
          <w:color w:val="auto"/>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公务接待费支出预算为</w:t>
      </w:r>
      <w:r>
        <w:rPr>
          <w:rFonts w:hint="eastAsia" w:ascii="Times New Roman" w:hAnsi="Times New Roman" w:eastAsia="仿宋_GB2312"/>
          <w:color w:val="auto"/>
          <w:sz w:val="32"/>
          <w:szCs w:val="32"/>
          <w:lang w:val="en-US" w:eastAsia="zh-CN"/>
        </w:rPr>
        <w:t>5.9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0.59</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%，决算数小于预算数的主要原因</w:t>
      </w:r>
      <w:r>
        <w:rPr>
          <w:rFonts w:hint="eastAsia" w:ascii="仿宋_GB2312" w:hAnsi="仿宋_GB2312" w:eastAsia="仿宋_GB2312" w:cs="仿宋_GB2312"/>
          <w:b w:val="0"/>
          <w:bCs w:val="0"/>
          <w:color w:val="auto"/>
          <w:kern w:val="0"/>
          <w:sz w:val="32"/>
          <w:szCs w:val="32"/>
          <w:lang w:val="en-US" w:eastAsia="zh-CN" w:bidi="ar-SA"/>
        </w:rPr>
        <w:t>是按“过紧日子”要求</w:t>
      </w:r>
      <w:r>
        <w:rPr>
          <w:rFonts w:hint="eastAsia" w:ascii="Times New Roman" w:hAnsi="Times New Roman" w:eastAsia="仿宋_GB2312"/>
          <w:color w:val="auto"/>
          <w:sz w:val="32"/>
          <w:szCs w:val="32"/>
        </w:rPr>
        <w:t>，与上年相比减少</w:t>
      </w:r>
      <w:r>
        <w:rPr>
          <w:rFonts w:hint="eastAsia" w:ascii="Times New Roman" w:hAnsi="Times New Roman" w:eastAsia="仿宋_GB2312"/>
          <w:color w:val="auto"/>
          <w:sz w:val="32"/>
          <w:szCs w:val="32"/>
          <w:lang w:val="en-US" w:eastAsia="zh-CN"/>
        </w:rPr>
        <w:t>0.35</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37</w:t>
      </w:r>
      <w:r>
        <w:rPr>
          <w:rFonts w:hint="eastAsia" w:ascii="Times New Roman" w:hAnsi="Times New Roman" w:eastAsia="仿宋_GB2312"/>
          <w:color w:val="auto"/>
          <w:sz w:val="32"/>
          <w:szCs w:val="32"/>
        </w:rPr>
        <w:t>%,减少的主要原因是</w:t>
      </w:r>
      <w:r>
        <w:rPr>
          <w:rFonts w:hint="eastAsia" w:ascii="仿宋_GB2312" w:hAnsi="仿宋_GB2312" w:eastAsia="仿宋_GB2312" w:cs="仿宋_GB2312"/>
          <w:b w:val="0"/>
          <w:bCs w:val="0"/>
          <w:color w:val="auto"/>
          <w:kern w:val="0"/>
          <w:sz w:val="32"/>
          <w:szCs w:val="32"/>
          <w:lang w:val="en-US" w:eastAsia="zh-CN" w:bidi="ar-SA"/>
        </w:rPr>
        <w:t>是按“过紧日子”要求，严控公务接待</w:t>
      </w:r>
      <w:r>
        <w:rPr>
          <w:rFonts w:hint="eastAsia" w:ascii="Times New Roman" w:hAnsi="Times New Roman" w:eastAsia="仿宋_GB2312"/>
          <w:color w:val="auto"/>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公务用车购置费支出预算为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预算数，与上年</w:t>
      </w:r>
      <w:r>
        <w:rPr>
          <w:rFonts w:hint="eastAsia" w:ascii="Times New Roman" w:hAnsi="Times New Roman" w:eastAsia="仿宋_GB2312"/>
          <w:color w:val="auto"/>
          <w:sz w:val="32"/>
          <w:szCs w:val="32"/>
          <w:lang w:eastAsia="zh-CN"/>
        </w:rPr>
        <w:t>持平</w:t>
      </w:r>
      <w:r>
        <w:rPr>
          <w:rFonts w:hint="eastAsia" w:ascii="Times New Roman" w:hAnsi="Times New Roman" w:eastAsia="仿宋_GB2312"/>
          <w:color w:val="auto"/>
          <w:sz w:val="32"/>
          <w:szCs w:val="32"/>
        </w:rPr>
        <w:t>。</w:t>
      </w:r>
    </w:p>
    <w:p>
      <w:pPr>
        <w:pStyle w:val="12"/>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公务用车运行维护费支出预算为</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万元，完成预算的</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%，决算小于预算数的主要原因是</w:t>
      </w:r>
      <w:r>
        <w:rPr>
          <w:rFonts w:hint="eastAsia" w:ascii="仿宋_GB2312" w:hAnsi="仿宋_GB2312" w:eastAsia="仿宋_GB2312" w:cs="仿宋_GB2312"/>
          <w:b w:val="0"/>
          <w:bCs w:val="0"/>
          <w:color w:val="auto"/>
          <w:sz w:val="32"/>
          <w:szCs w:val="32"/>
          <w:lang w:eastAsia="zh-CN"/>
        </w:rPr>
        <w:t>实行</w:t>
      </w:r>
      <w:r>
        <w:rPr>
          <w:rFonts w:hint="eastAsia" w:ascii="仿宋_GB2312" w:hAnsi="仿宋_GB2312" w:eastAsia="仿宋_GB2312" w:cs="仿宋_GB2312"/>
          <w:b w:val="0"/>
          <w:bCs w:val="0"/>
          <w:color w:val="auto"/>
          <w:sz w:val="32"/>
          <w:szCs w:val="32"/>
        </w:rPr>
        <w:t>公车改革，本单位公车收回，</w:t>
      </w:r>
      <w:r>
        <w:rPr>
          <w:rFonts w:hint="eastAsia" w:ascii="仿宋_GB2312" w:hAnsi="仿宋_GB2312" w:eastAsia="仿宋_GB2312" w:cs="仿宋_GB2312"/>
          <w:b w:val="0"/>
          <w:bCs w:val="0"/>
          <w:color w:val="auto"/>
          <w:sz w:val="32"/>
          <w:szCs w:val="32"/>
          <w:lang w:eastAsia="zh-CN"/>
        </w:rPr>
        <w:t>无运行维护费用，</w:t>
      </w:r>
      <w:r>
        <w:rPr>
          <w:rFonts w:hint="eastAsia" w:ascii="Times New Roman" w:hAnsi="Times New Roman" w:eastAsia="仿宋_GB2312"/>
          <w:color w:val="auto"/>
          <w:sz w:val="32"/>
          <w:szCs w:val="32"/>
        </w:rPr>
        <w:t>与上年</w:t>
      </w:r>
      <w:r>
        <w:rPr>
          <w:rFonts w:hint="eastAsia" w:ascii="Times New Roman" w:hAnsi="Times New Roman" w:eastAsia="仿宋_GB2312"/>
          <w:color w:val="auto"/>
          <w:sz w:val="32"/>
          <w:szCs w:val="32"/>
          <w:lang w:eastAsia="zh-CN"/>
        </w:rPr>
        <w:t>持平</w:t>
      </w:r>
      <w:r>
        <w:rPr>
          <w:rFonts w:hint="eastAsia" w:ascii="Times New Roman" w:hAnsi="Times New Roman" w:eastAsia="仿宋_GB2312"/>
          <w:color w:val="auto"/>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年度“三公”经费财政拨款支出决算中，公务接待费支出决算</w:t>
      </w:r>
      <w:r>
        <w:rPr>
          <w:rFonts w:hint="eastAsia" w:ascii="Times New Roman" w:hAnsi="Times New Roman" w:eastAsia="仿宋_GB2312"/>
          <w:color w:val="auto"/>
          <w:sz w:val="32"/>
          <w:szCs w:val="32"/>
          <w:lang w:val="en-US" w:eastAsia="zh-CN"/>
        </w:rPr>
        <w:t>0.59</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%,因公出国（境）费支出决算</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%,公务用车购置费及运行维护费支出决算</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%。其中：</w:t>
      </w:r>
    </w:p>
    <w:p>
      <w:pPr>
        <w:pStyle w:val="12"/>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因公出国（境）费支出决算为0万元，全年安排因公出国（境）团组0个，累计0人次，2022年度我单位未开展因公出国（境）活动。</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2、公务接待费支出决算为</w:t>
      </w:r>
      <w:r>
        <w:rPr>
          <w:rFonts w:hint="eastAsia" w:ascii="Times New Roman" w:hAnsi="Times New Roman" w:eastAsia="仿宋_GB2312"/>
          <w:color w:val="auto"/>
          <w:sz w:val="32"/>
          <w:szCs w:val="32"/>
          <w:lang w:val="en-US" w:eastAsia="zh-CN"/>
        </w:rPr>
        <w:t>0.59</w:t>
      </w:r>
      <w:r>
        <w:rPr>
          <w:rFonts w:hint="eastAsia" w:ascii="Times New Roman" w:hAnsi="Times New Roman" w:eastAsia="仿宋_GB2312"/>
          <w:color w:val="auto"/>
          <w:sz w:val="32"/>
          <w:szCs w:val="32"/>
        </w:rPr>
        <w:t>万元，全年共接待来访团组</w:t>
      </w:r>
      <w:r>
        <w:rPr>
          <w:rFonts w:hint="eastAsia" w:ascii="Times New Roman" w:hAnsi="Times New Roman" w:eastAsia="仿宋_GB2312"/>
          <w:color w:val="auto"/>
          <w:sz w:val="32"/>
          <w:szCs w:val="32"/>
          <w:lang w:val="en-US" w:eastAsia="zh-CN"/>
        </w:rPr>
        <w:t>11</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67</w:t>
      </w:r>
      <w:r>
        <w:rPr>
          <w:rFonts w:hint="eastAsia" w:ascii="Times New Roman" w:hAnsi="Times New Roman" w:eastAsia="仿宋_GB2312"/>
          <w:color w:val="auto"/>
          <w:sz w:val="32"/>
          <w:szCs w:val="32"/>
        </w:rPr>
        <w:t>人次，主要是</w:t>
      </w:r>
      <w:r>
        <w:rPr>
          <w:rFonts w:hint="eastAsia" w:ascii="仿宋_GB2312" w:hAnsi="仿宋_GB2312" w:eastAsia="仿宋_GB2312" w:cs="仿宋_GB2312"/>
          <w:color w:val="auto"/>
          <w:sz w:val="32"/>
          <w:szCs w:val="32"/>
        </w:rPr>
        <w:t>相关单位</w:t>
      </w:r>
      <w:r>
        <w:rPr>
          <w:rFonts w:hint="eastAsia" w:ascii="仿宋_GB2312" w:hAnsi="仿宋_GB2312" w:eastAsia="仿宋_GB2312" w:cs="仿宋_GB2312"/>
          <w:color w:val="auto"/>
          <w:sz w:val="32"/>
          <w:szCs w:val="32"/>
          <w:lang w:eastAsia="zh-CN"/>
        </w:rPr>
        <w:t>退役军人事务</w:t>
      </w:r>
      <w:r>
        <w:rPr>
          <w:rFonts w:hint="eastAsia" w:ascii="仿宋_GB2312" w:hAnsi="仿宋_GB2312" w:eastAsia="仿宋_GB2312" w:cs="仿宋_GB2312"/>
          <w:color w:val="auto"/>
          <w:sz w:val="32"/>
          <w:szCs w:val="32"/>
        </w:rPr>
        <w:t>业务交流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汇报</w:t>
      </w:r>
      <w:r>
        <w:rPr>
          <w:rFonts w:hint="eastAsia" w:ascii="仿宋_GB2312" w:hAnsi="仿宋_GB2312" w:eastAsia="仿宋_GB2312" w:cs="仿宋_GB2312"/>
          <w:color w:val="auto"/>
          <w:sz w:val="32"/>
          <w:szCs w:val="32"/>
        </w:rPr>
        <w:t>发生的接待支出</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3、公务用车购置费及运行维护费支出决算为</w:t>
      </w:r>
      <w:r>
        <w:rPr>
          <w:rFonts w:hint="eastAsia" w:ascii="仿宋_GB2312" w:hAnsi="仿宋_GB2312" w:eastAsia="仿宋_GB2312" w:cs="仿宋_GB2312"/>
          <w:color w:val="auto"/>
          <w:sz w:val="32"/>
          <w:szCs w:val="32"/>
          <w:lang w:val="en-US" w:eastAsia="zh-CN"/>
        </w:rPr>
        <w:t>0</w:t>
      </w:r>
      <w:r>
        <w:rPr>
          <w:rFonts w:hint="eastAsia" w:ascii="Times New Roman" w:hAnsi="Times New Roman" w:eastAsia="仿宋_GB2312"/>
          <w:color w:val="auto"/>
          <w:sz w:val="32"/>
          <w:szCs w:val="32"/>
        </w:rPr>
        <w:t>万元，其中：公务用车购置费</w:t>
      </w:r>
      <w:r>
        <w:rPr>
          <w:rFonts w:hint="eastAsia" w:ascii="仿宋_GB2312" w:hAnsi="仿宋_GB2312" w:eastAsia="仿宋_GB2312" w:cs="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本单位无更新公务用车</w:t>
      </w:r>
      <w:r>
        <w:rPr>
          <w:rFonts w:hint="eastAsia" w:ascii="Times New Roman" w:hAnsi="Times New Roman" w:eastAsia="仿宋_GB2312"/>
          <w:color w:val="auto"/>
          <w:sz w:val="32"/>
          <w:szCs w:val="32"/>
        </w:rPr>
        <w:t>。公务用车运行维护费</w:t>
      </w:r>
      <w:r>
        <w:rPr>
          <w:rFonts w:hint="eastAsia" w:ascii="仿宋_GB2312" w:hAnsi="仿宋_GB2312" w:eastAsia="仿宋_GB2312" w:cs="仿宋_GB2312"/>
          <w:color w:val="auto"/>
          <w:sz w:val="32"/>
          <w:szCs w:val="32"/>
          <w:lang w:val="en-US" w:eastAsia="zh-CN"/>
        </w:rPr>
        <w:t>0</w:t>
      </w:r>
      <w:r>
        <w:rPr>
          <w:rFonts w:hint="eastAsia" w:ascii="Times New Roman" w:hAnsi="Times New Roman" w:eastAsia="仿宋_GB2312"/>
          <w:color w:val="auto"/>
          <w:sz w:val="32"/>
          <w:szCs w:val="32"/>
        </w:rPr>
        <w:t>万元，截止202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年12月31日，我单位开支财政拨款的公务用车保有量为</w:t>
      </w:r>
      <w:r>
        <w:rPr>
          <w:rFonts w:hint="eastAsia" w:ascii="仿宋_GB2312" w:hAnsi="仿宋_GB2312" w:eastAsia="仿宋_GB2312" w:cs="仿宋_GB2312"/>
          <w:b w:val="0"/>
          <w:bCs w:val="0"/>
          <w:color w:val="auto"/>
          <w:sz w:val="32"/>
          <w:szCs w:val="32"/>
          <w:lang w:val="en-US" w:eastAsia="zh-CN"/>
        </w:rPr>
        <w:t>0</w:t>
      </w:r>
      <w:r>
        <w:rPr>
          <w:rFonts w:hint="eastAsia" w:ascii="Times New Roman" w:hAnsi="Times New Roman" w:eastAsia="仿宋_GB2312"/>
          <w:color w:val="auto"/>
          <w:sz w:val="32"/>
          <w:szCs w:val="32"/>
        </w:rPr>
        <w:t>辆。</w:t>
      </w:r>
    </w:p>
    <w:p>
      <w:pPr>
        <w:pStyle w:val="3"/>
        <w:ind w:firstLine="640" w:firstLineChars="200"/>
        <w:rPr>
          <w:rFonts w:hint="default" w:ascii="Times New Roman" w:hAnsi="Times New Roman" w:eastAsia="仿宋_GB2312" w:cs="Times New Roman"/>
          <w:b w:val="0"/>
          <w:kern w:val="2"/>
          <w:sz w:val="32"/>
          <w:szCs w:val="32"/>
          <w:u w:val="none"/>
          <w:lang w:val="en-US" w:eastAsia="zh-CN" w:bidi="ar-SA"/>
        </w:rPr>
      </w:pPr>
      <w:r>
        <w:rPr>
          <w:rFonts w:hint="eastAsia" w:ascii="Times New Roman" w:hAnsi="Times New Roman" w:eastAsia="仿宋_GB2312" w:cs="Times New Roman"/>
          <w:b w:val="0"/>
          <w:kern w:val="2"/>
          <w:sz w:val="32"/>
          <w:szCs w:val="32"/>
          <w:u w:val="none"/>
          <w:lang w:val="en-US" w:eastAsia="zh-CN" w:bidi="ar-SA"/>
        </w:rPr>
        <w:t>（公开说明按照表格数据填写，公开表格数据四舍五入导致存在尾数误差。）</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bookmarkStart w:id="1" w:name="_GoBack"/>
      <w:bookmarkEnd w:id="1"/>
      <w:r>
        <w:rPr>
          <w:rFonts w:hint="eastAsia" w:ascii="黑体" w:hAnsi="黑体" w:eastAsia="黑体" w:cs="黑体"/>
          <w:b w:val="0"/>
          <w:bCs/>
          <w:color w:val="auto"/>
          <w:sz w:val="32"/>
          <w:szCs w:val="32"/>
        </w:rPr>
        <w:t>八、政府性基金预算收入支出决算情况</w:t>
      </w:r>
    </w:p>
    <w:p>
      <w:pPr>
        <w:pStyle w:val="12"/>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2022年度本单位无政府性基金收支。</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黑体" w:hAnsi="黑体" w:eastAsia="黑体" w:cs="黑体"/>
          <w:b w:val="0"/>
          <w:bCs/>
          <w:color w:val="auto"/>
          <w:sz w:val="32"/>
          <w:szCs w:val="32"/>
        </w:rPr>
        <w:t>九、关于机关运行经费支出说明</w:t>
      </w:r>
    </w:p>
    <w:p>
      <w:pPr>
        <w:pStyle w:val="12"/>
        <w:ind w:firstLine="640" w:firstLineChars="200"/>
        <w:rPr>
          <w:rFonts w:hint="eastAsia" w:ascii="仿宋_GB2312" w:hAnsi="仿宋_GB2312" w:eastAsia="仿宋_GB2312" w:cs="仿宋_GB2312"/>
          <w:color w:val="auto"/>
          <w:sz w:val="32"/>
          <w:szCs w:val="32"/>
          <w:lang w:eastAsia="zh-CN"/>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年度机关运行经费支出</w:t>
      </w:r>
      <w:r>
        <w:rPr>
          <w:rFonts w:hint="eastAsia" w:ascii="Times New Roman" w:hAnsi="Times New Roman" w:eastAsia="仿宋_GB2312"/>
          <w:color w:val="auto"/>
          <w:sz w:val="32"/>
          <w:szCs w:val="32"/>
          <w:lang w:val="en-US" w:eastAsia="zh-CN"/>
        </w:rPr>
        <w:t>45.52</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比年初预算数减少</w:t>
      </w:r>
      <w:r>
        <w:rPr>
          <w:rFonts w:hint="eastAsia" w:ascii="Times New Roman" w:hAnsi="Times New Roman" w:eastAsia="仿宋_GB2312"/>
          <w:color w:val="auto"/>
          <w:sz w:val="32"/>
          <w:szCs w:val="32"/>
          <w:lang w:val="en-US" w:eastAsia="zh-CN"/>
        </w:rPr>
        <w:t>11.71</w:t>
      </w:r>
      <w:r>
        <w:rPr>
          <w:rFonts w:hint="eastAsia" w:ascii="Times New Roman" w:hAnsi="Times New Roman" w:eastAsia="仿宋_GB2312"/>
          <w:color w:val="auto"/>
          <w:sz w:val="32"/>
          <w:szCs w:val="32"/>
        </w:rPr>
        <w:t xml:space="preserve"> 万元，降低</w:t>
      </w:r>
      <w:r>
        <w:rPr>
          <w:rFonts w:hint="eastAsia" w:ascii="Times New Roman" w:hAnsi="Times New Roman" w:eastAsia="仿宋_GB2312"/>
          <w:color w:val="auto"/>
          <w:sz w:val="32"/>
          <w:szCs w:val="32"/>
          <w:lang w:val="en-US" w:eastAsia="zh-CN"/>
        </w:rPr>
        <w:t>20.46</w:t>
      </w:r>
      <w:r>
        <w:rPr>
          <w:rFonts w:hint="eastAsia" w:ascii="Times New Roman" w:hAnsi="Times New Roman" w:eastAsia="仿宋_GB2312"/>
          <w:color w:val="auto"/>
          <w:sz w:val="32"/>
          <w:szCs w:val="32"/>
        </w:rPr>
        <w:t>%。主要原因是</w:t>
      </w:r>
      <w:r>
        <w:rPr>
          <w:rFonts w:hint="eastAsia" w:ascii="仿宋_GB2312" w:hAnsi="仿宋_GB2312" w:eastAsia="仿宋_GB2312" w:cs="仿宋_GB2312"/>
          <w:color w:val="auto"/>
          <w:sz w:val="32"/>
          <w:szCs w:val="32"/>
          <w:lang w:eastAsia="zh-CN"/>
        </w:rPr>
        <w:t>在保障机构正常运转的情况下，压缩了行政开支，树立厉行节约过紧日子的思想。</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年本部门开支会议费</w:t>
      </w:r>
      <w:r>
        <w:rPr>
          <w:rFonts w:hint="eastAsia" w:ascii="Times New Roman" w:hAnsi="Times New Roman" w:eastAsia="仿宋_GB2312"/>
          <w:color w:val="auto"/>
          <w:sz w:val="32"/>
          <w:szCs w:val="32"/>
          <w:lang w:val="en-US" w:eastAsia="zh-CN"/>
        </w:rPr>
        <w:t>3.62</w:t>
      </w:r>
      <w:r>
        <w:rPr>
          <w:rFonts w:hint="eastAsia" w:ascii="Times New Roman" w:hAnsi="Times New Roman" w:eastAsia="仿宋_GB2312"/>
          <w:color w:val="auto"/>
          <w:sz w:val="32"/>
          <w:szCs w:val="32"/>
        </w:rPr>
        <w:t>万元，</w:t>
      </w:r>
      <w:r>
        <w:rPr>
          <w:rFonts w:hint="eastAsia" w:ascii="仿宋_GB2312" w:hAnsi="仿宋_GB2312" w:eastAsia="仿宋_GB2312" w:cs="仿宋_GB2312"/>
          <w:color w:val="auto"/>
          <w:sz w:val="32"/>
          <w:szCs w:val="32"/>
          <w:lang w:eastAsia="zh-CN"/>
        </w:rPr>
        <w:t>用于召开全市退役军人事务工作会议及业务会议等</w:t>
      </w:r>
      <w:r>
        <w:rPr>
          <w:rFonts w:hint="eastAsia" w:ascii="Times New Roman" w:hAnsi="Times New Roman" w:eastAsia="仿宋_GB2312"/>
          <w:color w:val="auto"/>
          <w:sz w:val="32"/>
          <w:szCs w:val="32"/>
        </w:rPr>
        <w:t>，人数</w:t>
      </w:r>
      <w:r>
        <w:rPr>
          <w:rFonts w:hint="eastAsia" w:ascii="Times New Roman" w:hAnsi="Times New Roman" w:eastAsia="仿宋_GB2312"/>
          <w:color w:val="auto"/>
          <w:sz w:val="32"/>
          <w:szCs w:val="32"/>
          <w:lang w:val="en-US" w:eastAsia="zh-CN"/>
        </w:rPr>
        <w:t>327</w:t>
      </w:r>
      <w:r>
        <w:rPr>
          <w:rFonts w:hint="eastAsia" w:ascii="Times New Roman" w:hAnsi="Times New Roman" w:eastAsia="仿宋_GB2312"/>
          <w:color w:val="auto"/>
          <w:sz w:val="32"/>
          <w:szCs w:val="32"/>
        </w:rPr>
        <w:t>人，</w:t>
      </w:r>
      <w:r>
        <w:rPr>
          <w:rFonts w:hint="eastAsia" w:ascii="Times New Roman" w:hAnsi="Times New Roman" w:eastAsia="仿宋_GB2312"/>
          <w:color w:val="auto"/>
          <w:sz w:val="32"/>
          <w:szCs w:val="32"/>
          <w:lang w:eastAsia="zh-CN"/>
        </w:rPr>
        <w:t>内</w:t>
      </w:r>
      <w:r>
        <w:rPr>
          <w:rFonts w:hint="eastAsia" w:ascii="仿宋_GB2312" w:hAnsi="仿宋_GB2312" w:eastAsia="仿宋_GB2312" w:cs="仿宋_GB2312"/>
          <w:color w:val="auto"/>
          <w:sz w:val="32"/>
          <w:szCs w:val="32"/>
          <w:lang w:eastAsia="zh-CN"/>
        </w:rPr>
        <w:t>容为军民融合共建会议、全市移交安置会议、全市就业创业工作会、全市烈士祭扫工作会、全市烈士纪念设施工作会</w:t>
      </w:r>
      <w:r>
        <w:rPr>
          <w:rFonts w:hint="eastAsia" w:ascii="Times New Roman" w:hAnsi="Times New Roman" w:eastAsia="仿宋_GB2312"/>
          <w:color w:val="auto"/>
          <w:sz w:val="32"/>
          <w:szCs w:val="32"/>
        </w:rPr>
        <w:t>；开支培训费</w:t>
      </w:r>
      <w:r>
        <w:rPr>
          <w:rFonts w:hint="eastAsia" w:ascii="Times New Roman" w:hAnsi="Times New Roman" w:eastAsia="仿宋_GB2312"/>
          <w:color w:val="auto"/>
          <w:sz w:val="32"/>
          <w:szCs w:val="32"/>
          <w:lang w:val="en-US" w:eastAsia="zh-CN"/>
        </w:rPr>
        <w:t>30.76</w:t>
      </w:r>
      <w:r>
        <w:rPr>
          <w:rFonts w:hint="eastAsia" w:ascii="Times New Roman" w:hAnsi="Times New Roman" w:eastAsia="仿宋_GB2312"/>
          <w:color w:val="auto"/>
          <w:sz w:val="32"/>
          <w:szCs w:val="32"/>
        </w:rPr>
        <w:t>万元，用于开展</w:t>
      </w:r>
      <w:r>
        <w:rPr>
          <w:rFonts w:hint="eastAsia" w:ascii="仿宋_GB2312" w:hAnsi="仿宋_GB2312" w:eastAsia="仿宋_GB2312" w:cs="仿宋_GB2312"/>
          <w:color w:val="auto"/>
          <w:sz w:val="32"/>
          <w:szCs w:val="32"/>
          <w:lang w:eastAsia="zh-CN"/>
        </w:rPr>
        <w:t>全市退役军人系统业务培训</w:t>
      </w:r>
      <w:r>
        <w:rPr>
          <w:rFonts w:hint="eastAsia" w:ascii="Times New Roman" w:hAnsi="Times New Roman" w:eastAsia="仿宋_GB2312"/>
          <w:color w:val="auto"/>
          <w:sz w:val="32"/>
          <w:szCs w:val="32"/>
        </w:rPr>
        <w:t>，人数</w:t>
      </w:r>
      <w:r>
        <w:rPr>
          <w:rFonts w:hint="eastAsia" w:ascii="Times New Roman" w:hAnsi="Times New Roman" w:eastAsia="仿宋_GB2312"/>
          <w:color w:val="auto"/>
          <w:sz w:val="32"/>
          <w:szCs w:val="32"/>
          <w:lang w:val="en-US" w:eastAsia="zh-CN"/>
        </w:rPr>
        <w:t>357</w:t>
      </w:r>
      <w:r>
        <w:rPr>
          <w:rFonts w:hint="eastAsia" w:ascii="Times New Roman" w:hAnsi="Times New Roman" w:eastAsia="仿宋_GB2312"/>
          <w:color w:val="auto"/>
          <w:sz w:val="32"/>
          <w:szCs w:val="32"/>
        </w:rPr>
        <w:t>人，内容为</w:t>
      </w:r>
      <w:r>
        <w:rPr>
          <w:rFonts w:hint="eastAsia" w:ascii="仿宋_GB2312" w:hAnsi="仿宋_GB2312" w:eastAsia="仿宋_GB2312" w:cs="仿宋_GB2312"/>
          <w:color w:val="auto"/>
          <w:sz w:val="32"/>
          <w:szCs w:val="32"/>
          <w:lang w:eastAsia="zh-CN"/>
        </w:rPr>
        <w:t>市服务中心事业单位人员培训、新闻通讯员培训、市本级安置退役军人岗前适应性培训、全市优抚对象建档培训、全市退役军人系统业务培训</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未举办</w:t>
      </w:r>
      <w:r>
        <w:rPr>
          <w:rFonts w:hint="eastAsia" w:ascii="Times New Roman" w:hAnsi="Times New Roman" w:eastAsia="仿宋_GB2312"/>
          <w:color w:val="auto"/>
          <w:sz w:val="32"/>
          <w:szCs w:val="32"/>
        </w:rPr>
        <w:t>节庆、晚会、论坛、赛事活动。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170.42</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87.63</w:t>
      </w:r>
      <w:r>
        <w:rPr>
          <w:rFonts w:hint="eastAsia" w:ascii="Times New Roman" w:hAnsi="Times New Roman" w:eastAsia="仿宋_GB2312"/>
          <w:color w:val="auto"/>
          <w:sz w:val="32"/>
          <w:szCs w:val="32"/>
        </w:rPr>
        <w:t>万元、政府采购工程支出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82.79</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170.42</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 xml:space="preserve">  </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年12月31日，本单位共有车辆</w:t>
      </w:r>
      <w:r>
        <w:rPr>
          <w:rFonts w:hint="eastAsia" w:ascii="仿宋_GB2312" w:hAnsi="仿宋_GB2312" w:eastAsia="仿宋_GB2312" w:cs="仿宋_GB2312"/>
          <w:color w:val="auto"/>
          <w:sz w:val="32"/>
          <w:szCs w:val="32"/>
          <w:lang w:val="en-US" w:eastAsia="zh-CN"/>
        </w:rPr>
        <w:t>0</w:t>
      </w:r>
      <w:r>
        <w:rPr>
          <w:rFonts w:hint="eastAsia" w:ascii="Times New Roman" w:hAnsi="Times New Roman" w:eastAsia="仿宋_GB2312"/>
          <w:color w:val="auto"/>
          <w:sz w:val="32"/>
          <w:szCs w:val="32"/>
        </w:rPr>
        <w:t>辆，其中，主要领导干部用车</w:t>
      </w:r>
      <w:r>
        <w:rPr>
          <w:rFonts w:hint="eastAsia" w:ascii="仿宋_GB2312" w:hAnsi="仿宋_GB2312" w:eastAsia="仿宋_GB2312" w:cs="仿宋_GB2312"/>
          <w:color w:val="auto"/>
          <w:sz w:val="32"/>
          <w:szCs w:val="32"/>
          <w:lang w:val="en-US" w:eastAsia="zh-CN"/>
        </w:rPr>
        <w:t>0</w:t>
      </w:r>
      <w:r>
        <w:rPr>
          <w:rFonts w:hint="eastAsia" w:ascii="Times New Roman" w:hAnsi="Times New Roman" w:eastAsia="仿宋_GB2312"/>
          <w:color w:val="auto"/>
          <w:sz w:val="32"/>
          <w:szCs w:val="32"/>
        </w:rPr>
        <w:t>辆，机要通信用车</w:t>
      </w:r>
      <w:r>
        <w:rPr>
          <w:rFonts w:hint="eastAsia" w:ascii="仿宋_GB2312" w:hAnsi="仿宋_GB2312" w:eastAsia="仿宋_GB2312" w:cs="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Times New Roman" w:hAnsi="Times New Roman" w:eastAsia="仿宋_GB2312"/>
          <w:color w:val="auto"/>
          <w:sz w:val="32"/>
          <w:szCs w:val="32"/>
        </w:rPr>
        <w:t>辆；单位价值50万元以上通用设备</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台（套）；单位价值100万元以上专用设备</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黑体" w:hAnsi="黑体" w:eastAsia="黑体" w:cs="黑体"/>
          <w:b w:val="0"/>
          <w:bCs/>
          <w:color w:val="auto"/>
          <w:sz w:val="32"/>
          <w:szCs w:val="32"/>
        </w:rPr>
        <w:t>年度预算绩效情况的说明</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部门整体支出绩效情况</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jc w:val="both"/>
        <w:textAlignment w:val="auto"/>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sz w:val="32"/>
          <w:szCs w:val="32"/>
          <w:lang w:val="en-US" w:eastAsia="zh-CN"/>
        </w:rPr>
        <w:t>按照</w:t>
      </w:r>
      <w:r>
        <w:rPr>
          <w:rFonts w:hint="default"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lang w:val="en-US" w:eastAsia="zh-CN"/>
        </w:rPr>
        <w:t>永州市</w:t>
      </w:r>
      <w:r>
        <w:rPr>
          <w:rFonts w:hint="default" w:ascii="仿宋_GB2312" w:hAnsi="宋体" w:eastAsia="仿宋_GB2312" w:cs="Times New Roman"/>
          <w:color w:val="auto"/>
          <w:sz w:val="32"/>
          <w:szCs w:val="32"/>
          <w:lang w:val="en-US" w:eastAsia="zh-CN"/>
        </w:rPr>
        <w:t>财政</w:t>
      </w:r>
      <w:r>
        <w:rPr>
          <w:rFonts w:hint="eastAsia" w:ascii="仿宋_GB2312" w:hAnsi="宋体" w:eastAsia="仿宋_GB2312" w:cs="Times New Roman"/>
          <w:color w:val="auto"/>
          <w:sz w:val="32"/>
          <w:szCs w:val="32"/>
          <w:lang w:val="en-US" w:eastAsia="zh-CN"/>
        </w:rPr>
        <w:t>局</w:t>
      </w:r>
      <w:r>
        <w:rPr>
          <w:rFonts w:hint="default" w:ascii="仿宋_GB2312" w:hAnsi="宋体" w:eastAsia="仿宋_GB2312" w:cs="Times New Roman"/>
          <w:color w:val="auto"/>
          <w:sz w:val="32"/>
          <w:szCs w:val="32"/>
          <w:lang w:val="en-US" w:eastAsia="zh-CN"/>
        </w:rPr>
        <w:t>关于开展202</w:t>
      </w:r>
      <w:r>
        <w:rPr>
          <w:rFonts w:hint="eastAsia" w:ascii="仿宋_GB2312" w:hAnsi="宋体" w:eastAsia="仿宋_GB2312" w:cs="Times New Roman"/>
          <w:color w:val="auto"/>
          <w:sz w:val="32"/>
          <w:szCs w:val="32"/>
          <w:lang w:val="en-US" w:eastAsia="zh-CN"/>
        </w:rPr>
        <w:t>3</w:t>
      </w:r>
      <w:r>
        <w:rPr>
          <w:rFonts w:hint="default"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lang w:val="en-US" w:eastAsia="zh-CN"/>
        </w:rPr>
        <w:t>市级预算</w:t>
      </w:r>
      <w:r>
        <w:rPr>
          <w:rFonts w:hint="default" w:ascii="仿宋_GB2312" w:hAnsi="宋体" w:eastAsia="仿宋_GB2312" w:cs="Times New Roman"/>
          <w:color w:val="auto"/>
          <w:sz w:val="32"/>
          <w:szCs w:val="32"/>
          <w:lang w:val="en-US" w:eastAsia="zh-CN"/>
        </w:rPr>
        <w:t>部门绩效自评工作的通知》（</w:t>
      </w:r>
      <w:r>
        <w:rPr>
          <w:rFonts w:hint="eastAsia" w:ascii="仿宋_GB2312" w:hAnsi="宋体" w:eastAsia="仿宋_GB2312" w:cs="Times New Roman"/>
          <w:color w:val="auto"/>
          <w:sz w:val="32"/>
          <w:szCs w:val="32"/>
          <w:lang w:val="en-US" w:eastAsia="zh-CN"/>
        </w:rPr>
        <w:t>永</w:t>
      </w:r>
      <w:r>
        <w:rPr>
          <w:rFonts w:hint="default" w:ascii="仿宋_GB2312" w:hAnsi="宋体" w:eastAsia="仿宋_GB2312" w:cs="Times New Roman"/>
          <w:color w:val="auto"/>
          <w:sz w:val="32"/>
          <w:szCs w:val="32"/>
          <w:lang w:val="en-US" w:eastAsia="zh-CN"/>
        </w:rPr>
        <w:t>财绩〔202</w:t>
      </w:r>
      <w:r>
        <w:rPr>
          <w:rFonts w:hint="eastAsia" w:ascii="仿宋_GB2312" w:hAnsi="宋体" w:eastAsia="仿宋_GB2312" w:cs="Times New Roman"/>
          <w:color w:val="auto"/>
          <w:sz w:val="32"/>
          <w:szCs w:val="32"/>
          <w:lang w:val="en-US" w:eastAsia="zh-CN"/>
        </w:rPr>
        <w:t>3</w:t>
      </w:r>
      <w:r>
        <w:rPr>
          <w:rFonts w:hint="default" w:ascii="仿宋_GB2312" w:hAnsi="宋体" w:eastAsia="仿宋_GB2312" w:cs="Times New Roman"/>
          <w:color w:val="auto"/>
          <w:sz w:val="32"/>
          <w:szCs w:val="32"/>
          <w:lang w:val="en-US" w:eastAsia="zh-CN"/>
        </w:rPr>
        <w:t>〕1号）要求，</w:t>
      </w:r>
      <w:r>
        <w:rPr>
          <w:rFonts w:hint="eastAsia" w:ascii="仿宋_GB2312" w:hAnsi="宋体" w:eastAsia="仿宋_GB2312" w:cs="Times New Roman"/>
          <w:color w:val="auto"/>
          <w:sz w:val="32"/>
          <w:szCs w:val="32"/>
          <w:lang w:val="en-US" w:eastAsia="zh-CN"/>
        </w:rPr>
        <w:t>我局完成</w:t>
      </w:r>
      <w:r>
        <w:rPr>
          <w:rFonts w:hint="default" w:ascii="仿宋_GB2312" w:hAnsi="宋体" w:eastAsia="仿宋_GB2312" w:cs="Times New Roman"/>
          <w:color w:val="auto"/>
          <w:sz w:val="32"/>
          <w:szCs w:val="32"/>
          <w:lang w:val="en-US" w:eastAsia="zh-CN"/>
        </w:rPr>
        <w:t>202</w:t>
      </w:r>
      <w:r>
        <w:rPr>
          <w:rFonts w:hint="eastAsia" w:ascii="仿宋_GB2312" w:hAnsi="宋体" w:eastAsia="仿宋_GB2312" w:cs="Times New Roman"/>
          <w:color w:val="auto"/>
          <w:sz w:val="32"/>
          <w:szCs w:val="32"/>
          <w:lang w:val="en-US" w:eastAsia="zh-CN"/>
        </w:rPr>
        <w:t>3</w:t>
      </w:r>
      <w:r>
        <w:rPr>
          <w:rFonts w:hint="default"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lang w:val="en-US" w:eastAsia="zh-CN"/>
        </w:rPr>
        <w:t>市级预算</w:t>
      </w:r>
      <w:r>
        <w:rPr>
          <w:rFonts w:hint="default" w:ascii="仿宋_GB2312" w:hAnsi="宋体" w:eastAsia="仿宋_GB2312" w:cs="Times New Roman"/>
          <w:color w:val="auto"/>
          <w:sz w:val="32"/>
          <w:szCs w:val="32"/>
          <w:lang w:val="en-US" w:eastAsia="zh-CN"/>
        </w:rPr>
        <w:t>部门绩效自评工作</w:t>
      </w:r>
      <w:r>
        <w:rPr>
          <w:rFonts w:hint="eastAsia" w:ascii="仿宋_GB2312" w:hAnsi="宋体" w:eastAsia="仿宋_GB2312" w:cs="Times New Roman"/>
          <w:color w:val="auto"/>
          <w:sz w:val="32"/>
          <w:szCs w:val="32"/>
          <w:lang w:val="en-US" w:eastAsia="zh-CN"/>
        </w:rPr>
        <w:t>。</w:t>
      </w:r>
      <w:r>
        <w:rPr>
          <w:rFonts w:hint="default" w:ascii="仿宋_GB2312" w:hAnsi="宋体" w:eastAsia="仿宋_GB2312" w:cs="Times New Roman"/>
          <w:color w:val="auto"/>
          <w:kern w:val="2"/>
          <w:sz w:val="32"/>
          <w:szCs w:val="32"/>
          <w:lang w:val="en-US" w:eastAsia="zh-CN" w:bidi="ar-SA"/>
        </w:rPr>
        <w:t xml:space="preserve">部门整体支出自评得分 </w:t>
      </w:r>
      <w:r>
        <w:rPr>
          <w:rFonts w:hint="eastAsia" w:ascii="仿宋_GB2312" w:hAnsi="宋体" w:eastAsia="仿宋_GB2312" w:cs="Times New Roman"/>
          <w:color w:val="auto"/>
          <w:kern w:val="2"/>
          <w:sz w:val="32"/>
          <w:szCs w:val="32"/>
          <w:lang w:val="en-US" w:eastAsia="zh-CN" w:bidi="ar-SA"/>
        </w:rPr>
        <w:t>97.9</w:t>
      </w:r>
      <w:r>
        <w:rPr>
          <w:rFonts w:hint="default" w:ascii="仿宋_GB2312" w:hAnsi="宋体" w:eastAsia="仿宋_GB2312" w:cs="Times New Roman"/>
          <w:color w:val="auto"/>
          <w:kern w:val="2"/>
          <w:sz w:val="32"/>
          <w:szCs w:val="32"/>
          <w:lang w:val="en-US" w:eastAsia="zh-CN" w:bidi="ar-SA"/>
        </w:rPr>
        <w:t>分，评价等级为“优”。主要绩效如下：</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jc w:val="both"/>
        <w:textAlignment w:val="auto"/>
        <w:rPr>
          <w:rFonts w:hint="eastAsia" w:ascii="仿宋_GB2312" w:hAnsi="方正仿宋_GBK" w:eastAsia="仿宋_GB2312" w:cs="方正仿宋_GBK"/>
          <w:color w:val="auto"/>
          <w:sz w:val="32"/>
          <w:szCs w:val="32"/>
        </w:rPr>
      </w:pPr>
      <w:r>
        <w:rPr>
          <w:rFonts w:hint="default" w:ascii="仿宋_GB2312" w:hAnsi="宋体" w:eastAsia="仿宋_GB2312" w:cs="Times New Roman"/>
          <w:color w:val="auto"/>
          <w:kern w:val="2"/>
          <w:sz w:val="32"/>
          <w:szCs w:val="32"/>
          <w:lang w:val="en-US" w:eastAsia="zh-CN" w:bidi="ar-SA"/>
        </w:rPr>
        <w:t>2022</w:t>
      </w:r>
      <w:r>
        <w:rPr>
          <w:rFonts w:hint="eastAsia" w:ascii="仿宋_GB2312" w:hAnsi="宋体" w:eastAsia="仿宋_GB2312" w:cs="Times New Roman"/>
          <w:color w:val="auto"/>
          <w:kern w:val="2"/>
          <w:sz w:val="32"/>
          <w:szCs w:val="32"/>
          <w:lang w:val="en-US" w:eastAsia="zh-CN" w:bidi="ar-SA"/>
        </w:rPr>
        <w:t>年，永州市退役军人事务局深入学习宣传贯彻党的二十大精神，以习近平新时代中国色社会主义精神为指导，坚决贯彻落实习近平总书记关于退役军人工作重要论述，旗帜鲜明讲政治、全心全意维护退役军人合法权益，坚持稳字优先、稳中求进工作总基调，扎实开展退役军人思想政治、安置就业、拥军优抚、服务保障、权益维护等各项工作，在省对市绩效考核中获“A”等次，乡镇街道武装部和退役军人服务站紧密协作试点工作经验得到中央退役军人事务工作领导小组和省委退役军人事务工作领导小组的充分肯定和大力推介，获评2022年度“中国退役军人”宣传工作先进单位，在省退役军人事务厅的年度通报表彰决定中，共点名表扬市州县区83次，永州占9次，居全省第二。</w:t>
      </w:r>
      <w:r>
        <w:rPr>
          <w:rFonts w:hint="eastAsia" w:ascii="仿宋_GB2312" w:hAnsi="方正仿宋_GBK" w:eastAsia="仿宋_GB2312" w:cs="方正仿宋_GBK"/>
          <w:color w:val="auto"/>
          <w:sz w:val="32"/>
          <w:szCs w:val="32"/>
        </w:rPr>
        <w:t>全年工作呈现如下特点：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1、政策法规工作</w:t>
      </w:r>
      <w:r>
        <w:rPr>
          <w:rFonts w:hint="default" w:ascii="仿宋_GB2312" w:hAnsi="宋体" w:eastAsia="仿宋_GB2312" w:cs="Times New Roman"/>
          <w:color w:val="auto"/>
          <w:kern w:val="2"/>
          <w:sz w:val="32"/>
          <w:szCs w:val="32"/>
          <w:lang w:val="en-US" w:eastAsia="zh-CN" w:bidi="ar-SA"/>
        </w:rPr>
        <w:t>主动作为靠前服务</w:t>
      </w:r>
      <w:r>
        <w:rPr>
          <w:rFonts w:hint="eastAsia" w:ascii="仿宋_GB2312" w:hAnsi="宋体" w:eastAsia="仿宋_GB2312" w:cs="Times New Roman"/>
          <w:color w:val="auto"/>
          <w:kern w:val="2"/>
          <w:sz w:val="32"/>
          <w:szCs w:val="32"/>
          <w:lang w:val="en-US" w:eastAsia="zh-CN" w:bidi="ar-SA"/>
        </w:rPr>
        <w:t>。为驻永部队现役军人和优抚对象发放《保障法》单行本、读本、释义等5万册，为7个军休所、3000多个退役军人服务中心（站）配发法律资料2万册。聘请湖南君义等律师事务所资深律师担任法律顾问，参与退役军人政策法规工作，对重大事项决定全程进行法律咨询论证和跟踪监督问效，提出法律建议。</w:t>
      </w:r>
    </w:p>
    <w:p>
      <w:pPr>
        <w:pStyle w:val="4"/>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2、思想政治和权益维护工作有生有色。 开展</w:t>
      </w:r>
      <w:r>
        <w:rPr>
          <w:rFonts w:hint="default" w:ascii="仿宋_GB2312" w:hAnsi="宋体" w:eastAsia="仿宋_GB2312" w:cs="Times New Roman"/>
          <w:color w:val="auto"/>
          <w:kern w:val="2"/>
          <w:sz w:val="32"/>
          <w:szCs w:val="32"/>
          <w:lang w:val="en" w:eastAsia="zh-CN" w:bidi="ar-SA"/>
        </w:rPr>
        <w:t>“老兵</w:t>
      </w:r>
      <w:r>
        <w:rPr>
          <w:rFonts w:hint="eastAsia" w:ascii="仿宋_GB2312" w:hAnsi="宋体" w:eastAsia="仿宋_GB2312" w:cs="Times New Roman"/>
          <w:color w:val="auto"/>
          <w:kern w:val="2"/>
          <w:sz w:val="32"/>
          <w:szCs w:val="32"/>
          <w:lang w:val="en-US" w:eastAsia="zh-CN" w:bidi="ar-SA"/>
        </w:rPr>
        <w:t>永远</w:t>
      </w:r>
      <w:r>
        <w:rPr>
          <w:rFonts w:hint="default" w:ascii="仿宋_GB2312" w:hAnsi="宋体" w:eastAsia="仿宋_GB2312" w:cs="Times New Roman"/>
          <w:color w:val="auto"/>
          <w:kern w:val="2"/>
          <w:sz w:val="32"/>
          <w:szCs w:val="32"/>
          <w:lang w:val="en" w:eastAsia="zh-CN" w:bidi="ar-SA"/>
        </w:rPr>
        <w:t>跟党走”系列活动</w:t>
      </w:r>
      <w:r>
        <w:rPr>
          <w:rFonts w:hint="eastAsia" w:ascii="仿宋_GB2312" w:hAnsi="宋体" w:eastAsia="仿宋_GB2312" w:cs="Times New Roman"/>
          <w:color w:val="auto"/>
          <w:kern w:val="2"/>
          <w:sz w:val="32"/>
          <w:szCs w:val="32"/>
          <w:lang w:val="en-US" w:eastAsia="zh-CN" w:bidi="ar-SA"/>
        </w:rPr>
        <w:t>，引导广大退役军人坚定捍卫“两个确立”，坚决做到“两个维护”。定期开展“最美退役军人”学习宣传活动，官网官微、各级媒体聚焦退役军人就业创业、好人好事等开展宣传报道。做好退役军人走访关爱工作，结成常态化联系“对子”，用好退役军人困难援助资金，帮助遭遇重大疾病、重大变故的退役军人暂时脱离生活困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移交安置和就业创业工作有力落实。推行“阳光安置”全覆盖，完成接收安置任务，其中转业军官安置岗位100%进党政机关和参公单位；政府安排工作退役士兵除自主选择央企、省企和差额拨款事业单位外，全额拨款事业编制安置比例达到100%。举办退役士兵职业教育和技能培训班、退役士兵全员适应性培训，培训合格率100%，获证率100%。常态化开展“送政策进军营、进企业、进乡村”活动，协调组织部门将优秀退役军人纳入乡村振兴人才库。举办“春风行动”“军人军属专场招聘月”“民营企业招聘月”“金秋招聘月”等线上线下大型招聘会。成立了退役军人企业组成的就业创业促进会，在就业服务、创业指导、志愿服务等方面积极发挥作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4、优待抚恤工作规范高效。 利用互联网+思维，推进建档立卡及优待证申领工作，全市完成率位居全省第四。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both"/>
        <w:textAlignment w:val="auto"/>
        <w:rPr>
          <w:rFonts w:hint="default"/>
          <w:color w:val="auto"/>
          <w:lang w:val="en-US" w:eastAsia="zh-CN"/>
        </w:rPr>
      </w:pPr>
      <w:r>
        <w:rPr>
          <w:rFonts w:hint="eastAsia" w:ascii="仿宋_GB2312" w:hAnsi="宋体" w:eastAsia="仿宋_GB2312" w:cs="Times New Roman"/>
          <w:color w:val="auto"/>
          <w:kern w:val="2"/>
          <w:sz w:val="32"/>
          <w:szCs w:val="32"/>
          <w:lang w:val="en-US" w:eastAsia="zh-CN" w:bidi="ar-SA"/>
        </w:rPr>
        <w:t>5、拥军褒扬工作深入开展。调整组织协调机构，永州市双拥工作领导小组组长由政府主要领导担任，修订成员单位职责。“八一”、春节期间走访慰问现役部队、退役军人和其他优抚对象，实现全市“三代”军人家庭走访全覆盖。制定《2022年清明祭扫工作方案》，开展以向湖湘英烈群体致敬为主题的“奋进·2022”网上祭扫活动，在永州市烈士纪念园开展“追思革命英烈 赓续红色血脉”2022年清明祭英烈活动。举行烈士公祭活动暨向革命烈士纪念碑敬献花篮仪式，激励广大干部群众传承红色基因、赓续精神血脉、筑牢信仰根基。</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存在的问题及原因分析</w:t>
      </w:r>
    </w:p>
    <w:p>
      <w:pPr>
        <w:pStyle w:val="12"/>
        <w:ind w:firstLine="640" w:firstLineChars="200"/>
        <w:jc w:val="left"/>
        <w:rPr>
          <w:rFonts w:hint="eastAsia" w:ascii="仿宋_GB2312" w:hAnsi="宋体" w:eastAsia="仿宋_GB2312" w:cs="Times New Roman"/>
          <w:color w:val="auto"/>
          <w:kern w:val="2"/>
          <w:sz w:val="32"/>
          <w:szCs w:val="32"/>
          <w:lang w:val="en-US" w:eastAsia="zh-CN" w:bidi="ar-SA"/>
        </w:rPr>
      </w:pPr>
      <w:r>
        <w:rPr>
          <w:rFonts w:hint="default" w:ascii="仿宋_GB2312" w:hAnsi="宋体" w:eastAsia="仿宋_GB2312" w:cs="Times New Roman"/>
          <w:color w:val="auto"/>
          <w:kern w:val="2"/>
          <w:sz w:val="32"/>
          <w:szCs w:val="32"/>
          <w:lang w:val="en-US" w:eastAsia="zh-CN" w:bidi="ar-SA"/>
        </w:rPr>
        <w:t>202</w:t>
      </w:r>
      <w:r>
        <w:rPr>
          <w:rFonts w:hint="eastAsia" w:ascii="仿宋_GB2312" w:hAnsi="宋体" w:eastAsia="仿宋_GB2312" w:cs="Times New Roman"/>
          <w:color w:val="auto"/>
          <w:kern w:val="2"/>
          <w:sz w:val="32"/>
          <w:szCs w:val="32"/>
          <w:lang w:val="en-US" w:eastAsia="zh-CN" w:bidi="ar-SA"/>
        </w:rPr>
        <w:t>2</w:t>
      </w:r>
      <w:r>
        <w:rPr>
          <w:rFonts w:hint="default" w:ascii="仿宋_GB2312" w:hAnsi="宋体" w:eastAsia="仿宋_GB2312" w:cs="Times New Roman"/>
          <w:color w:val="auto"/>
          <w:kern w:val="2"/>
          <w:sz w:val="32"/>
          <w:szCs w:val="32"/>
          <w:lang w:val="en-US" w:eastAsia="zh-CN" w:bidi="ar-SA"/>
        </w:rPr>
        <w:t>年</w:t>
      </w:r>
      <w:r>
        <w:rPr>
          <w:rFonts w:hint="eastAsia" w:ascii="仿宋_GB2312" w:hAnsi="宋体" w:eastAsia="仿宋_GB2312" w:cs="Times New Roman"/>
          <w:color w:val="auto"/>
          <w:kern w:val="2"/>
          <w:sz w:val="32"/>
          <w:szCs w:val="32"/>
          <w:lang w:val="en-US" w:eastAsia="zh-CN" w:bidi="ar-SA"/>
        </w:rPr>
        <w:t>年中预算调整较多，主要原因是年中增加中央、省转移支付的退役军人事务专项资金和增加社会保障和就业支出导致的</w:t>
      </w:r>
      <w:r>
        <w:rPr>
          <w:rFonts w:hint="default" w:ascii="仿宋_GB2312" w:hAnsi="宋体" w:eastAsia="仿宋_GB2312" w:cs="Times New Roman"/>
          <w:color w:val="auto"/>
          <w:kern w:val="2"/>
          <w:sz w:val="32"/>
          <w:szCs w:val="32"/>
          <w:lang w:val="en-US" w:eastAsia="zh-CN" w:bidi="ar-SA"/>
        </w:rPr>
        <w:t>。</w:t>
      </w:r>
    </w:p>
    <w:p>
      <w:pPr>
        <w:pStyle w:val="12"/>
        <w:jc w:val="center"/>
        <w:rPr>
          <w:color w:val="auto"/>
          <w:sz w:val="72"/>
          <w:szCs w:val="72"/>
        </w:rPr>
      </w:pPr>
    </w:p>
    <w:p>
      <w:pPr>
        <w:pStyle w:val="12"/>
        <w:jc w:val="center"/>
        <w:rPr>
          <w:color w:val="auto"/>
          <w:sz w:val="72"/>
          <w:szCs w:val="72"/>
        </w:rPr>
      </w:pPr>
    </w:p>
    <w:p>
      <w:pPr>
        <w:pStyle w:val="12"/>
        <w:jc w:val="both"/>
        <w:rPr>
          <w:color w:val="auto"/>
          <w:sz w:val="72"/>
          <w:szCs w:val="72"/>
        </w:rPr>
      </w:pPr>
    </w:p>
    <w:p>
      <w:pPr>
        <w:pStyle w:val="12"/>
        <w:jc w:val="both"/>
        <w:rPr>
          <w:color w:val="auto"/>
          <w:sz w:val="72"/>
          <w:szCs w:val="72"/>
        </w:rPr>
      </w:pPr>
    </w:p>
    <w:p>
      <w:pPr>
        <w:pStyle w:val="12"/>
        <w:jc w:val="both"/>
        <w:rPr>
          <w:color w:val="auto"/>
          <w:sz w:val="72"/>
          <w:szCs w:val="72"/>
        </w:rPr>
      </w:pPr>
    </w:p>
    <w:p>
      <w:pPr>
        <w:pStyle w:val="12"/>
        <w:jc w:val="both"/>
        <w:rPr>
          <w:color w:val="auto"/>
          <w:sz w:val="72"/>
          <w:szCs w:val="72"/>
        </w:rPr>
      </w:pPr>
    </w:p>
    <w:p>
      <w:pPr>
        <w:pStyle w:val="12"/>
        <w:jc w:val="both"/>
        <w:rPr>
          <w:color w:val="auto"/>
          <w:sz w:val="72"/>
          <w:szCs w:val="72"/>
        </w:rPr>
      </w:pPr>
    </w:p>
    <w:p>
      <w:pPr>
        <w:pStyle w:val="12"/>
        <w:jc w:val="both"/>
        <w:rPr>
          <w:color w:val="auto"/>
          <w:sz w:val="72"/>
          <w:szCs w:val="72"/>
        </w:rPr>
      </w:pPr>
    </w:p>
    <w:p>
      <w:pPr>
        <w:pStyle w:val="12"/>
        <w:jc w:val="both"/>
        <w:rPr>
          <w:color w:val="auto"/>
          <w:sz w:val="72"/>
          <w:szCs w:val="72"/>
        </w:rPr>
      </w:pPr>
    </w:p>
    <w:p>
      <w:pPr>
        <w:pStyle w:val="12"/>
        <w:jc w:val="both"/>
        <w:rPr>
          <w:color w:val="auto"/>
          <w:sz w:val="72"/>
          <w:szCs w:val="72"/>
        </w:rPr>
      </w:pPr>
    </w:p>
    <w:p>
      <w:pPr>
        <w:pStyle w:val="12"/>
        <w:jc w:val="both"/>
        <w:rPr>
          <w:color w:val="auto"/>
          <w:sz w:val="72"/>
          <w:szCs w:val="72"/>
        </w:rPr>
      </w:pPr>
    </w:p>
    <w:p>
      <w:pPr>
        <w:pStyle w:val="12"/>
        <w:jc w:val="both"/>
        <w:rPr>
          <w:color w:val="auto"/>
          <w:sz w:val="72"/>
          <w:szCs w:val="72"/>
        </w:rPr>
      </w:pPr>
    </w:p>
    <w:p>
      <w:pPr>
        <w:pStyle w:val="12"/>
        <w:jc w:val="both"/>
        <w:rPr>
          <w:color w:val="auto"/>
          <w:sz w:val="72"/>
          <w:szCs w:val="72"/>
        </w:rPr>
      </w:pPr>
    </w:p>
    <w:p>
      <w:pPr>
        <w:pStyle w:val="12"/>
        <w:jc w:val="both"/>
        <w:rPr>
          <w:color w:val="auto"/>
          <w:sz w:val="72"/>
          <w:szCs w:val="72"/>
        </w:rPr>
      </w:pPr>
    </w:p>
    <w:p>
      <w:pPr>
        <w:pStyle w:val="12"/>
        <w:jc w:val="center"/>
        <w:rPr>
          <w:color w:val="auto"/>
          <w:sz w:val="72"/>
          <w:szCs w:val="72"/>
        </w:rPr>
      </w:pPr>
    </w:p>
    <w:p>
      <w:pPr>
        <w:pStyle w:val="12"/>
        <w:jc w:val="both"/>
        <w:rPr>
          <w:rFonts w:hint="eastAsia" w:ascii="方正小标宋_GBK" w:hAnsi="方正小标宋_GBK" w:eastAsia="方正小标宋_GBK" w:cs="方正小标宋_GBK"/>
          <w:color w:val="auto"/>
          <w:sz w:val="72"/>
          <w:szCs w:val="72"/>
        </w:rPr>
      </w:pPr>
    </w:p>
    <w:p>
      <w:pPr>
        <w:pStyle w:val="12"/>
        <w:jc w:val="center"/>
        <w:rPr>
          <w:rFonts w:hint="eastAsia" w:ascii="方正小标宋_GBK" w:hAnsi="方正小标宋_GBK" w:eastAsia="方正小标宋_GBK" w:cs="方正小标宋_GBK"/>
          <w:color w:val="auto"/>
          <w:sz w:val="72"/>
          <w:szCs w:val="72"/>
        </w:rPr>
      </w:pPr>
    </w:p>
    <w:p>
      <w:pPr>
        <w:pStyle w:val="12"/>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第四部分</w:t>
      </w:r>
    </w:p>
    <w:p>
      <w:pPr>
        <w:jc w:val="center"/>
        <w:rPr>
          <w:rFonts w:hint="eastAsia" w:ascii="方正小标宋_GBK" w:hAnsi="方正小标宋_GBK" w:eastAsia="方正小标宋_GBK" w:cs="方正小标宋_GBK"/>
          <w:color w:val="auto"/>
          <w:kern w:val="0"/>
          <w:sz w:val="70"/>
          <w:szCs w:val="70"/>
        </w:rPr>
      </w:pPr>
    </w:p>
    <w:p>
      <w:pPr>
        <w:jc w:val="center"/>
        <w:rPr>
          <w:rFonts w:hint="eastAsia" w:ascii="方正小标宋_GBK" w:hAnsi="方正小标宋_GBK" w:eastAsia="方正小标宋_GBK" w:cs="方正小标宋_GBK"/>
          <w:color w:val="auto"/>
          <w:kern w:val="0"/>
          <w:sz w:val="70"/>
          <w:szCs w:val="70"/>
        </w:rPr>
      </w:pPr>
      <w:r>
        <w:rPr>
          <w:rFonts w:hint="eastAsia" w:ascii="方正小标宋_GBK" w:hAnsi="方正小标宋_GBK" w:eastAsia="方正小标宋_GBK" w:cs="方正小标宋_GBK"/>
          <w:color w:val="auto"/>
          <w:kern w:val="0"/>
          <w:sz w:val="70"/>
          <w:szCs w:val="70"/>
        </w:rPr>
        <w:t>名词解释</w:t>
      </w:r>
    </w:p>
    <w:p>
      <w:pPr>
        <w:widowControl/>
        <w:jc w:val="left"/>
        <w:rPr>
          <w:rFonts w:cs="黑体" w:asciiTheme="minorEastAsia" w:hAnsiTheme="minorEastAsia"/>
          <w:color w:val="auto"/>
          <w:kern w:val="0"/>
          <w:sz w:val="32"/>
          <w:szCs w:val="32"/>
        </w:rPr>
      </w:pPr>
      <w:r>
        <w:rPr>
          <w:rFonts w:hint="eastAsia" w:ascii="方正小标宋_GBK" w:hAnsi="方正小标宋_GBK" w:eastAsia="方正小标宋_GBK" w:cs="方正小标宋_GBK"/>
          <w:color w:val="auto"/>
          <w:kern w:val="0"/>
          <w:sz w:val="70"/>
          <w:szCs w:val="70"/>
        </w:rPr>
        <w:br w:type="page"/>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财政拨款收入：指财政当年拨付的资金，主要包括一般公共预算财政拨款，政府性基金预算财政拨款，国有资本经营预算财政拨款。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二、上级补助收入：指事业单位从主管部门和上级单位取得的非财政补助收入。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三、事业收入：指事业单位开展专业业务活动及辅助活动所取得的收入。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四、经营收入：指事业单位在专业业务活动及其辅助活动之外开展非独立核算经营活动取得的收入。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五、附属单位上缴收入：指事业单位附属独立核算单位按照有关规定上缴的收入。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六、其他收入：指除上述“财政拨款收入”、“事业收入”、“经营收入”等以外的收入。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七、基本支出：指为保障机构正常运转、完成日常工作任务而发生的各项支出，包括人员支出和公用支出。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八、项目支出：指在基本支出以外为完成相关行政任务和事业发展目标所发生的各项支出。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九、“三公”经费：指通过财政拨款资金安排的因公出国（境）费、公务用车购置及运行费和公务接待费支出。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auto"/>
          <w:kern w:val="0"/>
          <w:sz w:val="32"/>
          <w:szCs w:val="32"/>
          <w:lang w:val="en-US" w:eastAsia="zh-CN" w:bidi="ar-SA"/>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auto"/>
          <w:kern w:val="0"/>
          <w:sz w:val="32"/>
          <w:szCs w:val="32"/>
          <w:lang w:val="en-US" w:eastAsia="zh-CN" w:bidi="ar-SA"/>
        </w:rPr>
      </w:pPr>
    </w:p>
    <w:p>
      <w:pPr>
        <w:pStyle w:val="12"/>
        <w:keepNext w:val="0"/>
        <w:keepLines w:val="0"/>
        <w:pageBreakBefore w:val="0"/>
        <w:widowControl w:val="0"/>
        <w:kinsoku/>
        <w:wordWrap/>
        <w:overflowPunct/>
        <w:topLinePunct w:val="0"/>
        <w:bidi w:val="0"/>
        <w:snapToGrid/>
        <w:spacing w:line="600" w:lineRule="exact"/>
        <w:ind w:firstLine="720" w:firstLineChars="200"/>
        <w:textAlignment w:val="auto"/>
        <w:rPr>
          <w:rFonts w:hint="eastAsia" w:ascii="Times New Roman" w:hAnsi="Times New Roman" w:eastAsia="仿宋_GB2312" w:cs="黑体"/>
          <w:b/>
          <w:bCs/>
          <w:color w:val="auto"/>
          <w:kern w:val="0"/>
          <w:sz w:val="36"/>
          <w:szCs w:val="36"/>
          <w:lang w:val="en-US" w:eastAsia="zh-CN" w:bidi="ar-SA"/>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427139"/>
    <w:multiLevelType w:val="singleLevel"/>
    <w:tmpl w:val="C8427139"/>
    <w:lvl w:ilvl="0" w:tentative="0">
      <w:start w:val="2"/>
      <w:numFmt w:val="chineseCounting"/>
      <w:suff w:val="nothing"/>
      <w:lvlText w:val="%1、"/>
      <w:lvlJc w:val="left"/>
      <w:rPr>
        <w:rFonts w:hint="eastAsia"/>
      </w:rPr>
    </w:lvl>
  </w:abstractNum>
  <w:abstractNum w:abstractNumId="1">
    <w:nsid w:val="D9E3DA24"/>
    <w:multiLevelType w:val="singleLevel"/>
    <w:tmpl w:val="D9E3DA24"/>
    <w:lvl w:ilvl="0" w:tentative="0">
      <w:start w:val="1"/>
      <w:numFmt w:val="chineseCounting"/>
      <w:suff w:val="nothing"/>
      <w:lvlText w:val="%1、"/>
      <w:lvlJc w:val="left"/>
      <w:rPr>
        <w:rFonts w:hint="eastAsia"/>
      </w:rPr>
    </w:lvl>
  </w:abstractNum>
  <w:abstractNum w:abstractNumId="2">
    <w:nsid w:val="EFB36017"/>
    <w:multiLevelType w:val="singleLevel"/>
    <w:tmpl w:val="EFB36017"/>
    <w:lvl w:ilvl="0" w:tentative="0">
      <w:start w:val="7"/>
      <w:numFmt w:val="chineseCounting"/>
      <w:suff w:val="nothing"/>
      <w:lvlText w:val="%1、"/>
      <w:lvlJc w:val="left"/>
      <w:rPr>
        <w:rFonts w:hint="eastAsia"/>
      </w:rPr>
    </w:lvl>
  </w:abstractNum>
  <w:abstractNum w:abstractNumId="3">
    <w:nsid w:val="235CE81A"/>
    <w:multiLevelType w:val="singleLevel"/>
    <w:tmpl w:val="235CE81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NjFmZjE1ZDBhNDUyMWEzZGJmMzJmM2I4ZjVjNj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C4D2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0453A"/>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C93E39"/>
    <w:rsid w:val="038204D5"/>
    <w:rsid w:val="047B04DC"/>
    <w:rsid w:val="066763F5"/>
    <w:rsid w:val="0BA57BC7"/>
    <w:rsid w:val="0BEE7CFD"/>
    <w:rsid w:val="0D6F3D3F"/>
    <w:rsid w:val="0DE10621"/>
    <w:rsid w:val="1037694A"/>
    <w:rsid w:val="15F222F8"/>
    <w:rsid w:val="16FB7986"/>
    <w:rsid w:val="18AD22E9"/>
    <w:rsid w:val="19FB22BA"/>
    <w:rsid w:val="1A0E3AB4"/>
    <w:rsid w:val="1ABD518D"/>
    <w:rsid w:val="1AC20496"/>
    <w:rsid w:val="1B3546B8"/>
    <w:rsid w:val="1B5A2162"/>
    <w:rsid w:val="1E0D658A"/>
    <w:rsid w:val="245D1763"/>
    <w:rsid w:val="27AD0ADC"/>
    <w:rsid w:val="283536C5"/>
    <w:rsid w:val="28AD3D2A"/>
    <w:rsid w:val="29F70417"/>
    <w:rsid w:val="2FDB53C0"/>
    <w:rsid w:val="2FE45FB7"/>
    <w:rsid w:val="3188009D"/>
    <w:rsid w:val="319E0088"/>
    <w:rsid w:val="33F65090"/>
    <w:rsid w:val="3425795C"/>
    <w:rsid w:val="351E0FBF"/>
    <w:rsid w:val="3A263E74"/>
    <w:rsid w:val="3C0F7339"/>
    <w:rsid w:val="3C26508F"/>
    <w:rsid w:val="3C35526A"/>
    <w:rsid w:val="3D792D3C"/>
    <w:rsid w:val="3DBB7565"/>
    <w:rsid w:val="3ED862C8"/>
    <w:rsid w:val="442C432A"/>
    <w:rsid w:val="45101210"/>
    <w:rsid w:val="48955403"/>
    <w:rsid w:val="4B02564D"/>
    <w:rsid w:val="4B183DBB"/>
    <w:rsid w:val="4B2D7EBD"/>
    <w:rsid w:val="4B580A60"/>
    <w:rsid w:val="4C752637"/>
    <w:rsid w:val="4D461D8B"/>
    <w:rsid w:val="4D8B17EE"/>
    <w:rsid w:val="4F0245B2"/>
    <w:rsid w:val="4FA04473"/>
    <w:rsid w:val="50614FD3"/>
    <w:rsid w:val="507C7917"/>
    <w:rsid w:val="509D3D7A"/>
    <w:rsid w:val="51D076B2"/>
    <w:rsid w:val="52374280"/>
    <w:rsid w:val="52381D03"/>
    <w:rsid w:val="52CB6777"/>
    <w:rsid w:val="555920BC"/>
    <w:rsid w:val="5777D4F5"/>
    <w:rsid w:val="589570CB"/>
    <w:rsid w:val="59FD5A9E"/>
    <w:rsid w:val="59FE6B9A"/>
    <w:rsid w:val="5A3F023E"/>
    <w:rsid w:val="5AC52CE5"/>
    <w:rsid w:val="5B2738BE"/>
    <w:rsid w:val="5C6507D2"/>
    <w:rsid w:val="5EBD5B0D"/>
    <w:rsid w:val="5EDB7B4B"/>
    <w:rsid w:val="5FC6BB1E"/>
    <w:rsid w:val="5FF720F1"/>
    <w:rsid w:val="601040CF"/>
    <w:rsid w:val="623103B6"/>
    <w:rsid w:val="65B04F76"/>
    <w:rsid w:val="66A933C3"/>
    <w:rsid w:val="67F178E9"/>
    <w:rsid w:val="71931FAF"/>
    <w:rsid w:val="737D59BA"/>
    <w:rsid w:val="744B7246"/>
    <w:rsid w:val="74DD43BC"/>
    <w:rsid w:val="77C37683"/>
    <w:rsid w:val="78272B7D"/>
    <w:rsid w:val="798021B8"/>
    <w:rsid w:val="79FF515B"/>
    <w:rsid w:val="7A0A6111"/>
    <w:rsid w:val="7A6301DE"/>
    <w:rsid w:val="7B275BDA"/>
    <w:rsid w:val="7B42278F"/>
    <w:rsid w:val="7E9F11B4"/>
    <w:rsid w:val="7FC69637"/>
    <w:rsid w:val="7FFDB408"/>
    <w:rsid w:val="9FFFED7E"/>
    <w:rsid w:val="CBFF70E0"/>
    <w:rsid w:val="DF7D924B"/>
    <w:rsid w:val="EEABED75"/>
    <w:rsid w:val="FB36E1A6"/>
    <w:rsid w:val="FDF56CAA"/>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99"/>
    <w:pPr>
      <w:spacing w:after="120"/>
    </w:p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1</TotalTime>
  <ScaleCrop>false</ScaleCrop>
  <LinksUpToDate>false</LinksUpToDate>
  <CharactersWithSpaces>9008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2020-07-06T02:32:00Z</dcterms:created>
  <dc:creator>李航 null</dc:creator>
  <cp:lastModifiedBy>Administrator</cp:lastModifiedBy>
  <cp:lastPrinted>2023-08-16T17:28:00Z</cp:lastPrinted>
  <dcterms:modified xsi:type="dcterms:W3CDTF">2024-10-15T02:34:10Z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39B453BBF4D940FA9EAAB88F97720180_12</vt:lpwstr>
  </property>
</Properties>
</file>