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eastAsia"/>
          <w:sz w:val="56"/>
          <w:szCs w:val="56"/>
        </w:rPr>
      </w:pPr>
    </w:p>
    <w:p>
      <w:pPr>
        <w:pStyle w:val="11"/>
        <w:jc w:val="center"/>
        <w:rPr>
          <w:sz w:val="56"/>
          <w:szCs w:val="56"/>
        </w:rPr>
      </w:pPr>
    </w:p>
    <w:p>
      <w:pPr>
        <w:pStyle w:val="11"/>
        <w:jc w:val="center"/>
        <w:rPr>
          <w:sz w:val="84"/>
          <w:szCs w:val="84"/>
        </w:rPr>
      </w:pPr>
    </w:p>
    <w:p>
      <w:pPr>
        <w:pStyle w:val="11"/>
        <w:jc w:val="center"/>
        <w:rPr>
          <w:sz w:val="84"/>
          <w:szCs w:val="84"/>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2021年度</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永州市退役军人事务局</w:t>
      </w:r>
    </w:p>
    <w:p>
      <w:pPr>
        <w:pStyle w:val="11"/>
        <w:jc w:val="center"/>
        <w:rPr>
          <w:sz w:val="84"/>
          <w:szCs w:val="84"/>
        </w:rPr>
      </w:pP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rPr>
        <w:t>部门决算</w:t>
      </w: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56"/>
          <w:szCs w:val="56"/>
        </w:rPr>
      </w:pPr>
    </w:p>
    <w:p>
      <w:pPr>
        <w:pStyle w:val="11"/>
        <w:jc w:val="center"/>
        <w:rPr>
          <w:sz w:val="32"/>
          <w:szCs w:val="32"/>
        </w:rPr>
      </w:pPr>
    </w:p>
    <w:p>
      <w:pPr>
        <w:pStyle w:val="11"/>
        <w:jc w:val="center"/>
        <w:rPr>
          <w:sz w:val="32"/>
          <w:szCs w:val="32"/>
        </w:rPr>
      </w:pPr>
    </w:p>
    <w:p>
      <w:pPr>
        <w:pStyle w:val="11"/>
        <w:jc w:val="center"/>
        <w:rPr>
          <w:sz w:val="32"/>
          <w:szCs w:val="32"/>
        </w:rPr>
      </w:pPr>
    </w:p>
    <w:p>
      <w:pPr>
        <w:pStyle w:val="11"/>
        <w:jc w:val="center"/>
        <w:rPr>
          <w:sz w:val="32"/>
          <w:szCs w:val="32"/>
        </w:rPr>
      </w:pPr>
    </w:p>
    <w:p>
      <w:pPr>
        <w:pStyle w:val="11"/>
        <w:spacing w:line="500" w:lineRule="exact"/>
        <w:jc w:val="both"/>
        <w:rPr>
          <w:b/>
          <w:sz w:val="36"/>
          <w:szCs w:val="28"/>
        </w:rPr>
      </w:pPr>
    </w:p>
    <w:p>
      <w:pPr>
        <w:pStyle w:val="11"/>
        <w:spacing w:line="500" w:lineRule="exact"/>
        <w:jc w:val="center"/>
        <w:rPr>
          <w:b/>
          <w:sz w:val="36"/>
          <w:szCs w:val="28"/>
        </w:rPr>
      </w:pPr>
    </w:p>
    <w:p>
      <w:pPr>
        <w:pStyle w:val="11"/>
        <w:spacing w:line="500" w:lineRule="exact"/>
        <w:jc w:val="center"/>
        <w:rPr>
          <w:b/>
          <w:bCs w:val="0"/>
          <w:sz w:val="36"/>
          <w:szCs w:val="28"/>
        </w:rPr>
      </w:pPr>
      <w:r>
        <w:rPr>
          <w:rFonts w:hint="eastAsia"/>
          <w:b/>
          <w:bCs w:val="0"/>
          <w:sz w:val="36"/>
          <w:szCs w:val="28"/>
        </w:rPr>
        <w:t>目</w:t>
      </w:r>
      <w:r>
        <w:rPr>
          <w:rFonts w:hint="eastAsia"/>
          <w:b/>
          <w:bCs w:val="0"/>
          <w:sz w:val="36"/>
          <w:szCs w:val="28"/>
          <w:lang w:val="en-US" w:eastAsia="zh-CN"/>
        </w:rPr>
        <w:t xml:space="preserve">  </w:t>
      </w:r>
      <w:r>
        <w:rPr>
          <w:rFonts w:hint="eastAsia"/>
          <w:b/>
          <w:bCs w:val="0"/>
          <w:sz w:val="36"/>
          <w:szCs w:val="28"/>
        </w:rPr>
        <w:t>录</w:t>
      </w:r>
    </w:p>
    <w:p>
      <w:pPr>
        <w:pStyle w:val="11"/>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第一部分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lang w:eastAsia="zh-CN"/>
        </w:rPr>
        <w:t>永州市退役军人事务局</w:t>
      </w:r>
      <w:r>
        <w:rPr>
          <w:rFonts w:hint="eastAsia" w:ascii="楷体_GB2312" w:hAnsi="楷体_GB2312" w:eastAsia="楷体_GB2312" w:cs="楷体_GB2312"/>
          <w:b/>
          <w:sz w:val="32"/>
          <w:szCs w:val="32"/>
        </w:rPr>
        <w:t>概况</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一、部门职责</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pStyle w:val="11"/>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第二部分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2021年度部门决算表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九、国有资本经营预算财政拨款支出决算表</w:t>
      </w:r>
    </w:p>
    <w:p>
      <w:pPr>
        <w:pStyle w:val="11"/>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第三部分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2021年度部门决算情况说明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八、政府性基金预算收入支出决算情况</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九、机关运行经费支出说明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十、一般性支出情况说明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十一、政府采购支出说明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pPr>
        <w:pStyle w:val="11"/>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十三、2021年度预算绩效情况说明</w:t>
      </w:r>
    </w:p>
    <w:p>
      <w:pPr>
        <w:pStyle w:val="11"/>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第四部分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名词解释</w:t>
      </w:r>
    </w:p>
    <w:p>
      <w:pPr>
        <w:pStyle w:val="11"/>
        <w:spacing w:line="5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第五部分</w:t>
      </w:r>
      <w:r>
        <w:rPr>
          <w:rFonts w:hint="eastAsia" w:ascii="楷体_GB2312" w:hAnsi="楷体_GB2312" w:eastAsia="楷体_GB2312" w:cs="楷体_GB2312"/>
          <w:b/>
          <w:sz w:val="32"/>
          <w:szCs w:val="32"/>
          <w:lang w:val="en-US" w:eastAsia="zh-CN"/>
        </w:rPr>
        <w:t xml:space="preserve"> </w:t>
      </w:r>
      <w:r>
        <w:rPr>
          <w:rFonts w:hint="eastAsia" w:ascii="楷体_GB2312" w:hAnsi="楷体_GB2312" w:eastAsia="楷体_GB2312" w:cs="楷体_GB2312"/>
          <w:b/>
          <w:sz w:val="32"/>
          <w:szCs w:val="32"/>
        </w:rPr>
        <w:t>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 xml:space="preserve">第一部分 </w:t>
      </w:r>
    </w:p>
    <w:p>
      <w:pPr>
        <w:pStyle w:val="11"/>
        <w:jc w:val="center"/>
        <w:rPr>
          <w:rFonts w:hint="eastAsia" w:ascii="方正小标宋_GBK" w:hAnsi="方正小标宋_GBK" w:eastAsia="方正小标宋_GBK" w:cs="方正小标宋_GBK"/>
          <w:sz w:val="72"/>
          <w:szCs w:val="72"/>
          <w:lang w:eastAsia="zh-CN"/>
        </w:rPr>
      </w:pPr>
      <w:r>
        <w:rPr>
          <w:rFonts w:hint="eastAsia" w:ascii="方正小标宋_GBK" w:hAnsi="方正小标宋_GBK" w:eastAsia="方正小标宋_GBK" w:cs="方正小标宋_GBK"/>
          <w:sz w:val="72"/>
          <w:szCs w:val="72"/>
          <w:lang w:eastAsia="zh-CN"/>
        </w:rPr>
        <w:t>永州市退役军人事务局</w:t>
      </w:r>
    </w:p>
    <w:p>
      <w:pPr>
        <w:pStyle w:val="11"/>
        <w:jc w:val="center"/>
        <w:rPr>
          <w:sz w:val="84"/>
          <w:szCs w:val="84"/>
        </w:rPr>
      </w:pPr>
      <w:r>
        <w:rPr>
          <w:rFonts w:hint="eastAsia" w:ascii="方正小标宋_GBK" w:hAnsi="方正小标宋_GBK" w:eastAsia="方正小标宋_GBK" w:cs="方正小标宋_GBK"/>
          <w:sz w:val="72"/>
          <w:szCs w:val="72"/>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2"/>
        <w:ind w:left="720" w:firstLine="0" w:firstLineChars="0"/>
        <w:jc w:val="left"/>
        <w:rPr>
          <w:rFonts w:ascii="黑体" w:hAnsi="黑体" w:eastAsia="黑体"/>
          <w:sz w:val="32"/>
          <w:szCs w:val="32"/>
        </w:rPr>
      </w:pPr>
    </w:p>
    <w:p>
      <w:pPr>
        <w:pStyle w:val="12"/>
        <w:ind w:left="720" w:firstLine="0" w:firstLineChars="0"/>
        <w:jc w:val="left"/>
        <w:rPr>
          <w:rFonts w:ascii="黑体" w:hAnsi="黑体" w:eastAsia="黑体"/>
          <w:sz w:val="32"/>
          <w:szCs w:val="32"/>
        </w:rPr>
      </w:pPr>
    </w:p>
    <w:p>
      <w:pPr>
        <w:pStyle w:val="12"/>
        <w:numPr>
          <w:ilvl w:val="0"/>
          <w:numId w:val="0"/>
        </w:numPr>
        <w:jc w:val="left"/>
        <w:rPr>
          <w:rFonts w:hint="eastAsia" w:ascii="楷体_GB2312" w:hAnsi="楷体_GB2312" w:eastAsia="楷体_GB2312" w:cs="楷体_GB2312"/>
          <w:b/>
          <w:bCs/>
          <w:sz w:val="32"/>
          <w:szCs w:val="32"/>
          <w:lang w:eastAsia="zh-CN"/>
        </w:rPr>
      </w:pPr>
    </w:p>
    <w:p>
      <w:pPr>
        <w:pStyle w:val="12"/>
        <w:numPr>
          <w:ilvl w:val="0"/>
          <w:numId w:val="0"/>
        </w:numPr>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widowControl/>
        <w:spacing w:line="600" w:lineRule="exact"/>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永州市机构改革人员转隶工作方案》，永州市退役军人事务局组建于2019年3月，将市民政局的退役军人优抚安置职责，市人力资源和社会保障局的军官转业安置职责，以及军队有关职责等整合，组建市退役军人事务局，作为市政府组成部门。主要职责是落实党中央、国务院、省委、省政府、市委及市政府关于退役军人工作的方针政策和决策部署，维护退役军人军属合法权益，做好安置转业，促进就业创业，让军人成为全社会尊崇的职业。</w:t>
      </w:r>
    </w:p>
    <w:p>
      <w:pPr>
        <w:widowControl/>
        <w:spacing w:line="600" w:lineRule="exact"/>
        <w:ind w:firstLine="640" w:firstLineChars="200"/>
        <w:rPr>
          <w:rFonts w:hint="eastAsia" w:ascii="黑体" w:hAnsi="黑体" w:eastAsia="黑体" w:cs="黑体"/>
          <w:b w:val="0"/>
          <w:bCs w:val="0"/>
          <w:kern w:val="0"/>
          <w:sz w:val="32"/>
          <w:szCs w:val="32"/>
        </w:rPr>
      </w:pPr>
      <w:r>
        <w:rPr>
          <w:rFonts w:hint="eastAsia" w:ascii="黑体" w:hAnsi="黑体" w:eastAsia="黑体" w:cs="黑体"/>
          <w:b w:val="0"/>
          <w:bCs w:val="0"/>
          <w:kern w:val="2"/>
          <w:sz w:val="32"/>
          <w:szCs w:val="32"/>
          <w:lang w:val="en-US" w:eastAsia="zh-CN" w:bidi="ar-SA"/>
        </w:rPr>
        <w:t>二、机构设置及决算单位构成</w:t>
      </w:r>
    </w:p>
    <w:p>
      <w:pPr>
        <w:keepNext w:val="0"/>
        <w:keepLines w:val="0"/>
        <w:pageBreakBefore w:val="0"/>
        <w:widowControl w:val="0"/>
        <w:kinsoku/>
        <w:wordWrap/>
        <w:overflowPunct/>
        <w:topLinePunct w:val="0"/>
        <w:autoSpaceDE w:val="0"/>
        <w:autoSpaceDN/>
        <w:bidi w:val="0"/>
        <w:adjustRightInd/>
        <w:snapToGrid/>
        <w:spacing w:line="600" w:lineRule="exact"/>
        <w:ind w:firstLine="642" w:firstLineChars="200"/>
        <w:textAlignment w:val="auto"/>
        <w:rPr>
          <w:rFonts w:hint="default" w:ascii="Times New Roman" w:hAnsi="Times New Roman" w:eastAsia="仿宋_GB2312" w:cs="Times New Roman"/>
          <w:color w:val="000000"/>
          <w:sz w:val="32"/>
          <w:szCs w:val="32"/>
          <w:highlight w:val="none"/>
          <w:lang w:val="en-US" w:eastAsia="zh-CN"/>
        </w:rPr>
      </w:pPr>
      <w:r>
        <w:rPr>
          <w:rFonts w:hint="eastAsia" w:ascii="楷体_GB2312" w:hAnsi="楷体_GB2312" w:eastAsia="楷体_GB2312" w:cs="楷体_GB2312"/>
          <w:b/>
          <w:bCs w:val="0"/>
          <w:kern w:val="0"/>
          <w:sz w:val="32"/>
          <w:szCs w:val="32"/>
        </w:rPr>
        <w:t>（一）内设机构设置。</w:t>
      </w:r>
      <w:r>
        <w:rPr>
          <w:rFonts w:hint="eastAsia" w:ascii="仿宋_GB2312" w:hAnsi="仿宋_GB2312" w:eastAsia="仿宋_GB2312" w:cs="仿宋_GB2312"/>
          <w:b w:val="0"/>
          <w:bCs w:val="0"/>
          <w:color w:val="000000"/>
          <w:kern w:val="0"/>
          <w:sz w:val="32"/>
          <w:szCs w:val="32"/>
          <w:lang w:val="en-US" w:eastAsia="zh-CN" w:bidi="ar-SA"/>
        </w:rPr>
        <w:t>永州市退役军人事务局内设机构包括：办公室、军休服务管理科、安置和就业创业科、拥军优抚科、思想政治和权益维护科，规划财务科和</w:t>
      </w:r>
      <w:r>
        <w:rPr>
          <w:rFonts w:hint="eastAsia" w:ascii="仿宋_GB2312" w:hAnsi="仿宋_GB2312" w:eastAsia="仿宋_GB2312" w:cs="仿宋_GB2312"/>
          <w:b w:val="0"/>
          <w:bCs w:val="0"/>
          <w:color w:val="000000"/>
          <w:kern w:val="0"/>
          <w:sz w:val="32"/>
          <w:szCs w:val="32"/>
          <w:highlight w:val="none"/>
          <w:lang w:val="en-US" w:eastAsia="zh-CN" w:bidi="ar-SA"/>
        </w:rPr>
        <w:t>机关党委。</w:t>
      </w:r>
      <w:r>
        <w:rPr>
          <w:rFonts w:hint="default" w:ascii="Times New Roman" w:hAnsi="Times New Roman" w:eastAsia="仿宋_GB2312" w:cs="Times New Roman"/>
          <w:color w:val="000000"/>
          <w:sz w:val="32"/>
          <w:szCs w:val="32"/>
          <w:highlight w:val="none"/>
          <w:lang w:val="en-US" w:eastAsia="zh-CN"/>
        </w:rPr>
        <w:t>202</w:t>
      </w:r>
      <w:r>
        <w:rPr>
          <w:rFonts w:hint="eastAsia" w:ascii="Times New Roman" w:hAnsi="Times New Roman" w:eastAsia="仿宋_GB2312" w:cs="Times New Roman"/>
          <w:color w:val="000000"/>
          <w:sz w:val="32"/>
          <w:szCs w:val="32"/>
          <w:highlight w:val="none"/>
          <w:lang w:val="en-US" w:eastAsia="zh-CN"/>
        </w:rPr>
        <w:t>1</w:t>
      </w:r>
      <w:r>
        <w:rPr>
          <w:rFonts w:hint="default" w:ascii="Times New Roman" w:hAnsi="Times New Roman" w:eastAsia="仿宋_GB2312" w:cs="Times New Roman"/>
          <w:color w:val="000000"/>
          <w:sz w:val="32"/>
          <w:szCs w:val="32"/>
          <w:highlight w:val="none"/>
          <w:lang w:val="en-US" w:eastAsia="zh-CN"/>
        </w:rPr>
        <w:t>年底在职3</w:t>
      </w:r>
      <w:r>
        <w:rPr>
          <w:rFonts w:hint="eastAsia" w:ascii="Times New Roman" w:hAnsi="Times New Roman" w:eastAsia="仿宋_GB2312" w:cs="Times New Roman"/>
          <w:color w:val="000000"/>
          <w:sz w:val="32"/>
          <w:szCs w:val="32"/>
          <w:highlight w:val="none"/>
          <w:lang w:val="en-US" w:eastAsia="zh-CN"/>
        </w:rPr>
        <w:t>3</w:t>
      </w:r>
      <w:r>
        <w:rPr>
          <w:rFonts w:hint="default" w:ascii="Times New Roman" w:hAnsi="Times New Roman" w:eastAsia="仿宋_GB2312" w:cs="Times New Roman"/>
          <w:color w:val="000000"/>
          <w:sz w:val="32"/>
          <w:szCs w:val="32"/>
          <w:highlight w:val="none"/>
          <w:lang w:val="en-US" w:eastAsia="zh-CN"/>
        </w:rPr>
        <w:t>人，其中行政人员18人，事业人员1</w:t>
      </w:r>
      <w:r>
        <w:rPr>
          <w:rFonts w:hint="eastAsia" w:ascii="Times New Roman" w:hAnsi="Times New Roman"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人。</w:t>
      </w:r>
    </w:p>
    <w:p>
      <w:pPr>
        <w:widowControl/>
        <w:spacing w:line="600" w:lineRule="exact"/>
        <w:ind w:firstLine="642"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楷体_GB2312" w:hAnsi="楷体_GB2312" w:eastAsia="楷体_GB2312" w:cs="楷体_GB2312"/>
          <w:b/>
          <w:bCs w:val="0"/>
          <w:kern w:val="0"/>
          <w:sz w:val="32"/>
          <w:szCs w:val="32"/>
        </w:rPr>
        <w:t>（二）决算单位构成。</w:t>
      </w:r>
      <w:r>
        <w:rPr>
          <w:rFonts w:hint="eastAsia" w:ascii="仿宋_GB2312" w:hAnsi="仿宋_GB2312" w:eastAsia="仿宋_GB2312" w:cs="仿宋_GB2312"/>
          <w:b w:val="0"/>
          <w:bCs w:val="0"/>
          <w:color w:val="000000"/>
          <w:kern w:val="0"/>
          <w:sz w:val="32"/>
          <w:szCs w:val="32"/>
          <w:lang w:val="en-US" w:eastAsia="zh-CN" w:bidi="ar-SA"/>
        </w:rPr>
        <w:t>永州市退役军人事务局2021年部门决算汇总公开单位构成包括：永州市退役军人事务局本级以及永州市军队转业干部培训中心。</w:t>
      </w:r>
    </w:p>
    <w:p>
      <w:pPr>
        <w:widowControl/>
        <w:spacing w:line="600" w:lineRule="exact"/>
        <w:ind w:firstLine="960" w:firstLineChars="300"/>
        <w:rPr>
          <w:rFonts w:hint="eastAsia" w:ascii="仿宋_GB2312" w:hAnsi="仿宋_GB2312" w:eastAsia="仿宋_GB2312" w:cs="仿宋_GB2312"/>
          <w:bCs/>
          <w:kern w:val="0"/>
          <w:sz w:val="32"/>
          <w:szCs w:val="32"/>
          <w:lang w:eastAsia="zh-CN"/>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center"/>
        <w:rPr>
          <w:sz w:val="72"/>
          <w:szCs w:val="72"/>
        </w:rPr>
      </w:pPr>
    </w:p>
    <w:p>
      <w:pPr>
        <w:pStyle w:val="2"/>
      </w:pPr>
    </w:p>
    <w:p>
      <w:pPr>
        <w:jc w:val="center"/>
        <w:rPr>
          <w:rFonts w:hint="eastAsia" w:ascii="方正小标宋_GBK" w:hAnsi="方正小标宋_GBK" w:eastAsia="方正小标宋_GBK" w:cs="方正小标宋_GBK"/>
          <w:color w:val="000000"/>
          <w:kern w:val="0"/>
          <w:sz w:val="72"/>
          <w:szCs w:val="72"/>
          <w:lang w:val="en-US" w:eastAsia="zh-CN" w:bidi="ar-SA"/>
        </w:rPr>
      </w:pPr>
      <w:r>
        <w:rPr>
          <w:rFonts w:hint="eastAsia" w:ascii="方正小标宋_GBK" w:hAnsi="方正小标宋_GBK" w:eastAsia="方正小标宋_GBK" w:cs="方正小标宋_GBK"/>
          <w:color w:val="000000"/>
          <w:kern w:val="0"/>
          <w:sz w:val="72"/>
          <w:szCs w:val="72"/>
          <w:lang w:val="en-US" w:eastAsia="zh-CN" w:bidi="ar-SA"/>
        </w:rPr>
        <w:t>第二部分</w:t>
      </w:r>
    </w:p>
    <w:p>
      <w:pPr>
        <w:jc w:val="center"/>
        <w:rPr>
          <w:rFonts w:hint="eastAsia" w:ascii="方正小标宋_GBK" w:hAnsi="方正小标宋_GBK" w:eastAsia="方正小标宋_GBK" w:cs="方正小标宋_GBK"/>
          <w:color w:val="000000"/>
          <w:kern w:val="0"/>
          <w:sz w:val="72"/>
          <w:szCs w:val="72"/>
          <w:lang w:val="en-US" w:eastAsia="zh-CN" w:bidi="ar-SA"/>
        </w:rPr>
      </w:pPr>
      <w:r>
        <w:rPr>
          <w:rFonts w:hint="eastAsia" w:ascii="方正小标宋_GBK" w:hAnsi="方正小标宋_GBK" w:eastAsia="方正小标宋_GBK" w:cs="方正小标宋_GBK"/>
          <w:color w:val="000000"/>
          <w:kern w:val="0"/>
          <w:sz w:val="72"/>
          <w:szCs w:val="72"/>
          <w:lang w:val="en-US" w:eastAsia="zh-CN" w:bidi="ar-SA"/>
        </w:rPr>
        <w:t>部门决算表</w:t>
      </w:r>
    </w:p>
    <w:p>
      <w:pPr>
        <w:jc w:val="center"/>
        <w:rPr>
          <w:rFonts w:hint="eastAsia" w:ascii="楷体_GB2312" w:hAnsi="楷体_GB2312" w:eastAsia="楷体_GB2312" w:cs="楷体_GB2312"/>
          <w:b/>
          <w:bCs/>
          <w:color w:val="000000"/>
          <w:kern w:val="0"/>
          <w:sz w:val="52"/>
          <w:szCs w:val="52"/>
          <w:lang w:val="en-US" w:eastAsia="zh-CN" w:bidi="ar-SA"/>
        </w:rPr>
      </w:pPr>
      <w:r>
        <w:rPr>
          <w:rFonts w:hint="eastAsia" w:ascii="楷体_GB2312" w:hAnsi="楷体_GB2312" w:eastAsia="楷体_GB2312" w:cs="楷体_GB2312"/>
          <w:b/>
          <w:bCs/>
          <w:color w:val="000000"/>
          <w:kern w:val="0"/>
          <w:sz w:val="52"/>
          <w:szCs w:val="52"/>
          <w:lang w:val="en-US" w:eastAsia="zh-CN" w:bidi="ar-SA"/>
        </w:rPr>
        <w:t>（详见附表）</w:t>
      </w:r>
    </w:p>
    <w:p>
      <w:pPr>
        <w:jc w:val="center"/>
        <w:rPr>
          <w:rFonts w:hint="eastAsia" w:ascii="仿宋_GB2312" w:hAnsi="仿宋_GB2312" w:eastAsia="仿宋_GB2312" w:cs="仿宋_GB2312"/>
          <w:b w:val="0"/>
          <w:bCs w:val="0"/>
          <w:color w:val="000000"/>
          <w:kern w:val="0"/>
          <w:sz w:val="44"/>
          <w:szCs w:val="44"/>
          <w:lang w:val="en-US" w:eastAsia="zh-CN" w:bidi="ar-SA"/>
        </w:rPr>
      </w:pPr>
    </w:p>
    <w:p>
      <w:pPr>
        <w:jc w:val="center"/>
        <w:rPr>
          <w:rFonts w:hint="eastAsia" w:ascii="仿宋_GB2312" w:hAnsi="仿宋_GB2312" w:eastAsia="仿宋_GB2312" w:cs="仿宋_GB2312"/>
          <w:b/>
          <w:bCs/>
          <w:color w:val="000000"/>
          <w:kern w:val="0"/>
          <w:sz w:val="36"/>
          <w:szCs w:val="36"/>
          <w:lang w:val="en-US" w:eastAsia="zh-CN" w:bidi="ar-SA"/>
        </w:rPr>
      </w:pPr>
    </w:p>
    <w:p>
      <w:pPr>
        <w:jc w:val="center"/>
        <w:rPr>
          <w:rFonts w:hint="eastAsia" w:ascii="仿宋_GB2312" w:hAnsi="仿宋_GB2312" w:eastAsia="仿宋_GB2312" w:cs="仿宋_GB2312"/>
          <w:b/>
          <w:bCs/>
          <w:color w:val="000000"/>
          <w:kern w:val="0"/>
          <w:sz w:val="36"/>
          <w:szCs w:val="36"/>
          <w:lang w:val="en-US" w:eastAsia="zh-CN" w:bidi="ar-SA"/>
        </w:rPr>
      </w:pPr>
    </w:p>
    <w:p>
      <w:pPr>
        <w:widowControl/>
        <w:jc w:val="left"/>
        <w:rPr>
          <w:rFonts w:ascii="宋体" w:eastAsia="宋体" w:cs="宋体"/>
          <w:kern w:val="0"/>
          <w:sz w:val="24"/>
          <w:szCs w:val="24"/>
        </w:rPr>
      </w:pPr>
    </w:p>
    <w:p>
      <w:pPr>
        <w:widowControl/>
        <w:jc w:val="left"/>
        <w:rPr>
          <w:rFonts w:ascii="宋体" w:eastAsia="宋体" w:cs="宋体"/>
          <w:kern w:val="0"/>
          <w:sz w:val="24"/>
          <w:szCs w:val="24"/>
        </w:rPr>
      </w:pPr>
    </w:p>
    <w:p>
      <w:pPr>
        <w:pStyle w:val="11"/>
        <w:rPr>
          <w:sz w:val="72"/>
          <w:szCs w:val="7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left"/>
        <w:rPr>
          <w:rFonts w:asciiTheme="minorEastAsia" w:hAnsiTheme="minorEastAsia" w:eastAsiaTheme="minorEastAsia"/>
          <w:sz w:val="32"/>
          <w:szCs w:val="3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2021年度部门决算情况说明</w:t>
      </w: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p>
    <w:p>
      <w:pPr>
        <w:pStyle w:val="11"/>
        <w:jc w:val="both"/>
        <w:rPr>
          <w:rFonts w:hint="eastAsia" w:ascii="方正小标宋_GBK" w:hAnsi="方正小标宋_GBK" w:eastAsia="方正小标宋_GBK" w:cs="方正小标宋_GBK"/>
          <w:sz w:val="72"/>
          <w:szCs w:val="72"/>
        </w:rPr>
      </w:pPr>
    </w:p>
    <w:p>
      <w:pPr>
        <w:pStyle w:val="11"/>
        <w:jc w:val="both"/>
        <w:rPr>
          <w:rFonts w:hint="eastAsia" w:ascii="方正小标宋_GBK" w:hAnsi="方正小标宋_GBK" w:eastAsia="方正小标宋_GBK" w:cs="方正小标宋_GBK"/>
          <w:sz w:val="32"/>
          <w:szCs w:val="32"/>
        </w:rPr>
      </w:pPr>
    </w:p>
    <w:p>
      <w:pPr>
        <w:pStyle w:val="11"/>
        <w:ind w:firstLine="640" w:firstLineChars="200"/>
        <w:rPr>
          <w:rFonts w:hAnsi="黑体"/>
          <w:b w:val="0"/>
          <w:bCs/>
          <w:sz w:val="32"/>
          <w:szCs w:val="32"/>
        </w:rPr>
      </w:pPr>
      <w:r>
        <w:rPr>
          <w:rFonts w:hint="eastAsia" w:hAnsi="黑体"/>
          <w:b w:val="0"/>
          <w:bCs/>
          <w:sz w:val="32"/>
          <w:szCs w:val="32"/>
        </w:rPr>
        <w:t>一、收入支出决算总体情况说明</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rPr>
        <w:t>总计1198.07万元。与上年相比，减少</w:t>
      </w:r>
      <w:r>
        <w:rPr>
          <w:rFonts w:hint="eastAsia" w:ascii="仿宋_GB2312" w:hAnsi="仿宋_GB2312" w:eastAsia="仿宋_GB2312" w:cs="仿宋_GB2312"/>
          <w:sz w:val="32"/>
          <w:szCs w:val="32"/>
          <w:lang w:val="en-US" w:eastAsia="zh-CN"/>
        </w:rPr>
        <w:t>898.88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部分退役士兵社保接续专项工作结束，2021年减少此专项资金导致的</w:t>
      </w:r>
      <w:r>
        <w:rPr>
          <w:rFonts w:hint="eastAsia" w:ascii="仿宋_GB2312" w:hAnsi="仿宋_GB2312" w:eastAsia="仿宋_GB2312" w:cs="仿宋_GB2312"/>
          <w:sz w:val="32"/>
          <w:szCs w:val="32"/>
          <w:lang w:eastAsia="zh-CN"/>
        </w:rPr>
        <w:t>。</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总计1198.07万元。与上年相比，减少</w:t>
      </w:r>
      <w:r>
        <w:rPr>
          <w:rFonts w:hint="eastAsia" w:ascii="仿宋_GB2312" w:hAnsi="仿宋_GB2312" w:eastAsia="仿宋_GB2312" w:cs="仿宋_GB2312"/>
          <w:sz w:val="32"/>
          <w:szCs w:val="32"/>
          <w:lang w:val="en-US" w:eastAsia="zh-CN"/>
        </w:rPr>
        <w:t>898.88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部分退役士兵社保接续专项工作结束，2021年减少此专项资金导致的</w:t>
      </w:r>
      <w:r>
        <w:rPr>
          <w:rFonts w:hint="eastAsia" w:ascii="仿宋_GB2312" w:hAnsi="仿宋_GB2312" w:eastAsia="仿宋_GB2312" w:cs="仿宋_GB2312"/>
          <w:sz w:val="32"/>
          <w:szCs w:val="32"/>
          <w:lang w:eastAsia="zh-CN"/>
        </w:rPr>
        <w:t>。</w:t>
      </w:r>
    </w:p>
    <w:p>
      <w:pPr>
        <w:pStyle w:val="11"/>
        <w:ind w:firstLine="640" w:firstLineChars="200"/>
        <w:rPr>
          <w:rFonts w:hAnsi="黑体"/>
          <w:b w:val="0"/>
          <w:bCs/>
          <w:sz w:val="32"/>
          <w:szCs w:val="32"/>
        </w:rPr>
      </w:pPr>
      <w:r>
        <w:rPr>
          <w:rFonts w:hint="eastAsia" w:hAnsi="黑体"/>
          <w:b w:val="0"/>
          <w:bCs/>
          <w:sz w:val="32"/>
          <w:szCs w:val="32"/>
        </w:rPr>
        <w:t>二、收入决算情况说明</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w:t>
      </w:r>
      <w:r>
        <w:rPr>
          <w:rFonts w:hint="eastAsia" w:ascii="仿宋_GB2312" w:hAnsi="仿宋_GB2312" w:eastAsia="仿宋_GB2312" w:cs="仿宋_GB2312"/>
          <w:b w:val="0"/>
          <w:bCs w:val="0"/>
          <w:sz w:val="32"/>
          <w:szCs w:val="32"/>
          <w:lang w:eastAsia="zh-CN"/>
        </w:rPr>
        <w:t>本年</w:t>
      </w:r>
      <w:r>
        <w:rPr>
          <w:rFonts w:hint="eastAsia" w:ascii="仿宋_GB2312" w:hAnsi="仿宋_GB2312" w:eastAsia="仿宋_GB2312" w:cs="仿宋_GB2312"/>
          <w:b w:val="0"/>
          <w:bCs w:val="0"/>
          <w:sz w:val="32"/>
          <w:szCs w:val="32"/>
        </w:rPr>
        <w:t>收入合计1101.91万元，其中：财政拨款收入1101.91万元，占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%；上级补助收入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%；事业收入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%；附属单位上缴收入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%；其他收入</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11"/>
        <w:ind w:firstLine="640" w:firstLineChars="200"/>
        <w:rPr>
          <w:rFonts w:hAnsi="黑体"/>
          <w:b w:val="0"/>
          <w:bCs/>
          <w:sz w:val="32"/>
          <w:szCs w:val="32"/>
        </w:rPr>
      </w:pPr>
      <w:r>
        <w:rPr>
          <w:rFonts w:hint="eastAsia" w:hAnsi="黑体"/>
          <w:b w:val="0"/>
          <w:bCs/>
          <w:sz w:val="32"/>
          <w:szCs w:val="32"/>
        </w:rPr>
        <w:t>三、支出决算情况说明</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w:t>
      </w:r>
      <w:r>
        <w:rPr>
          <w:rFonts w:hint="eastAsia" w:ascii="仿宋_GB2312" w:hAnsi="仿宋_GB2312" w:eastAsia="仿宋_GB2312" w:cs="仿宋_GB2312"/>
          <w:b w:val="0"/>
          <w:bCs w:val="0"/>
          <w:sz w:val="32"/>
          <w:szCs w:val="32"/>
          <w:lang w:eastAsia="zh-CN"/>
        </w:rPr>
        <w:t>本年</w:t>
      </w:r>
      <w:r>
        <w:rPr>
          <w:rFonts w:hint="eastAsia" w:ascii="仿宋_GB2312" w:hAnsi="仿宋_GB2312" w:eastAsia="仿宋_GB2312" w:cs="仿宋_GB2312"/>
          <w:b w:val="0"/>
          <w:bCs w:val="0"/>
          <w:sz w:val="32"/>
          <w:szCs w:val="32"/>
        </w:rPr>
        <w:t>支出合计1131.11万元，其中：基本支出511.98万元，占</w:t>
      </w:r>
      <w:r>
        <w:rPr>
          <w:rFonts w:hint="eastAsia" w:ascii="仿宋_GB2312" w:hAnsi="仿宋_GB2312" w:eastAsia="仿宋_GB2312" w:cs="仿宋_GB2312"/>
          <w:b w:val="0"/>
          <w:bCs w:val="0"/>
          <w:sz w:val="32"/>
          <w:szCs w:val="32"/>
          <w:lang w:val="en-US" w:eastAsia="zh-CN"/>
        </w:rPr>
        <w:t>45</w:t>
      </w:r>
      <w:r>
        <w:rPr>
          <w:rFonts w:hint="eastAsia" w:ascii="仿宋_GB2312" w:hAnsi="仿宋_GB2312" w:eastAsia="仿宋_GB2312" w:cs="仿宋_GB2312"/>
          <w:b w:val="0"/>
          <w:bCs w:val="0"/>
          <w:sz w:val="32"/>
          <w:szCs w:val="32"/>
        </w:rPr>
        <w:t>%；项目支出619.13万元，占</w:t>
      </w:r>
      <w:r>
        <w:rPr>
          <w:rFonts w:hint="eastAsia" w:ascii="仿宋_GB2312" w:hAnsi="仿宋_GB2312" w:eastAsia="仿宋_GB2312" w:cs="仿宋_GB2312"/>
          <w:b w:val="0"/>
          <w:bCs w:val="0"/>
          <w:sz w:val="32"/>
          <w:szCs w:val="32"/>
          <w:lang w:val="en-US" w:eastAsia="zh-CN"/>
        </w:rPr>
        <w:t>55</w:t>
      </w:r>
      <w:r>
        <w:rPr>
          <w:rFonts w:hint="eastAsia" w:ascii="仿宋_GB2312" w:hAnsi="仿宋_GB2312" w:eastAsia="仿宋_GB2312" w:cs="仿宋_GB2312"/>
          <w:b w:val="0"/>
          <w:bCs w:val="0"/>
          <w:sz w:val="32"/>
          <w:szCs w:val="32"/>
        </w:rPr>
        <w:t>%；上缴上级支出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%；经营支出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%；对附属单位补助支出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w:t>
      </w:r>
    </w:p>
    <w:p>
      <w:pPr>
        <w:pStyle w:val="11"/>
        <w:ind w:firstLine="640" w:firstLineChars="200"/>
        <w:rPr>
          <w:rFonts w:hAnsi="黑体"/>
          <w:b w:val="0"/>
          <w:bCs/>
          <w:sz w:val="32"/>
          <w:szCs w:val="32"/>
        </w:rPr>
      </w:pPr>
      <w:r>
        <w:rPr>
          <w:rFonts w:hint="eastAsia" w:hAnsi="黑体"/>
          <w:b w:val="0"/>
          <w:bCs/>
          <w:sz w:val="32"/>
          <w:szCs w:val="32"/>
        </w:rPr>
        <w:t>四、财政拨款收入支出决算总体情况说明</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2021年度财政拨款收</w:t>
      </w:r>
      <w:r>
        <w:rPr>
          <w:rFonts w:hint="eastAsia" w:ascii="仿宋_GB2312" w:hAnsi="仿宋_GB2312" w:eastAsia="仿宋_GB2312" w:cs="仿宋_GB2312"/>
          <w:b w:val="0"/>
          <w:bCs w:val="0"/>
          <w:sz w:val="32"/>
          <w:szCs w:val="32"/>
          <w:lang w:eastAsia="zh-CN"/>
        </w:rPr>
        <w:t>入</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sz w:val="32"/>
          <w:szCs w:val="32"/>
        </w:rPr>
        <w:t>1198.07万元。与上年相比，减少</w:t>
      </w:r>
      <w:r>
        <w:rPr>
          <w:rFonts w:hint="eastAsia" w:ascii="仿宋_GB2312" w:hAnsi="仿宋_GB2312" w:eastAsia="仿宋_GB2312" w:cs="仿宋_GB2312"/>
          <w:sz w:val="32"/>
          <w:szCs w:val="32"/>
          <w:lang w:val="en-US" w:eastAsia="zh-CN"/>
        </w:rPr>
        <w:t>898.88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部分退役士兵社保接续专项工作结束，2021年减少此专项资金导致的</w:t>
      </w:r>
      <w:r>
        <w:rPr>
          <w:rFonts w:hint="eastAsia" w:ascii="仿宋_GB2312" w:hAnsi="仿宋_GB2312" w:eastAsia="仿宋_GB2312" w:cs="仿宋_GB2312"/>
          <w:sz w:val="32"/>
          <w:szCs w:val="32"/>
          <w:lang w:eastAsia="zh-CN"/>
        </w:rPr>
        <w:t>。</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2021年度财政拨款</w:t>
      </w:r>
      <w:r>
        <w:rPr>
          <w:rFonts w:hint="eastAsia" w:ascii="仿宋_GB2312" w:hAnsi="仿宋_GB2312" w:eastAsia="仿宋_GB2312" w:cs="仿宋_GB2312"/>
          <w:b w:val="0"/>
          <w:bCs w:val="0"/>
          <w:sz w:val="32"/>
          <w:szCs w:val="32"/>
          <w:lang w:eastAsia="zh-CN"/>
        </w:rPr>
        <w:t>支出</w:t>
      </w:r>
      <w:r>
        <w:rPr>
          <w:rFonts w:hint="eastAsia" w:ascii="仿宋_GB2312" w:hAnsi="仿宋_GB2312" w:eastAsia="仿宋_GB2312" w:cs="仿宋_GB2312"/>
          <w:b w:val="0"/>
          <w:bCs w:val="0"/>
          <w:sz w:val="32"/>
          <w:szCs w:val="32"/>
        </w:rPr>
        <w:t>总计</w:t>
      </w:r>
      <w:r>
        <w:rPr>
          <w:rFonts w:hint="eastAsia" w:ascii="仿宋_GB2312" w:hAnsi="仿宋_GB2312" w:eastAsia="仿宋_GB2312" w:cs="仿宋_GB2312"/>
          <w:sz w:val="32"/>
          <w:szCs w:val="32"/>
        </w:rPr>
        <w:t>1198.07万元。与上年相比，减少</w:t>
      </w:r>
      <w:r>
        <w:rPr>
          <w:rFonts w:hint="eastAsia" w:ascii="仿宋_GB2312" w:hAnsi="仿宋_GB2312" w:eastAsia="仿宋_GB2312" w:cs="仿宋_GB2312"/>
          <w:sz w:val="32"/>
          <w:szCs w:val="32"/>
          <w:lang w:val="en-US" w:eastAsia="zh-CN"/>
        </w:rPr>
        <w:t>898.88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%，主要是因为</w:t>
      </w:r>
      <w:r>
        <w:rPr>
          <w:rFonts w:hint="eastAsia" w:ascii="仿宋_GB2312" w:hAnsi="仿宋_GB2312" w:eastAsia="仿宋_GB2312" w:cs="仿宋_GB2312"/>
          <w:sz w:val="32"/>
          <w:szCs w:val="32"/>
          <w:lang w:val="en-US" w:eastAsia="zh-CN"/>
        </w:rPr>
        <w:t>部分退役士兵社保接续专项工作结束，2021年减少此专项资金导致的</w:t>
      </w:r>
      <w:r>
        <w:rPr>
          <w:rFonts w:hint="eastAsia" w:ascii="仿宋_GB2312" w:hAnsi="仿宋_GB2312" w:eastAsia="仿宋_GB2312" w:cs="仿宋_GB2312"/>
          <w:sz w:val="32"/>
          <w:szCs w:val="32"/>
          <w:lang w:eastAsia="zh-CN"/>
        </w:rPr>
        <w:t>。</w:t>
      </w:r>
    </w:p>
    <w:p>
      <w:pPr>
        <w:pStyle w:val="11"/>
        <w:numPr>
          <w:ilvl w:val="0"/>
          <w:numId w:val="0"/>
        </w:numPr>
        <w:ind w:firstLine="640" w:firstLineChars="200"/>
        <w:rPr>
          <w:rFonts w:hint="eastAsia" w:hAnsi="黑体"/>
          <w:b w:val="0"/>
          <w:bCs/>
          <w:sz w:val="32"/>
          <w:szCs w:val="32"/>
        </w:rPr>
      </w:pPr>
      <w:r>
        <w:rPr>
          <w:rFonts w:hint="eastAsia" w:hAnsi="黑体"/>
          <w:b w:val="0"/>
          <w:bCs/>
          <w:sz w:val="32"/>
          <w:szCs w:val="32"/>
          <w:lang w:val="en-US" w:eastAsia="zh-CN"/>
        </w:rPr>
        <w:t xml:space="preserve">五、 </w:t>
      </w:r>
      <w:r>
        <w:rPr>
          <w:rFonts w:hint="eastAsia" w:hAnsi="黑体"/>
          <w:b w:val="0"/>
          <w:bCs/>
          <w:sz w:val="32"/>
          <w:szCs w:val="32"/>
        </w:rPr>
        <w:t>一般公共预算财政拨款支出决算情况说明</w:t>
      </w:r>
    </w:p>
    <w:p>
      <w:pPr>
        <w:pStyle w:val="11"/>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（一）财政拨款支出决算总体情况</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2021年度财政拨款支出</w:t>
      </w:r>
      <w:r>
        <w:rPr>
          <w:rFonts w:hint="eastAsia" w:ascii="仿宋_GB2312" w:hAnsi="仿宋_GB2312" w:eastAsia="仿宋_GB2312" w:cs="仿宋_GB2312"/>
          <w:sz w:val="32"/>
          <w:szCs w:val="32"/>
          <w:lang w:val="en-US" w:eastAsia="zh-CN"/>
        </w:rPr>
        <w:t>1131.11</w:t>
      </w:r>
      <w:r>
        <w:rPr>
          <w:rFonts w:hint="eastAsia" w:ascii="仿宋_GB2312" w:hAnsi="仿宋_GB2312" w:eastAsia="仿宋_GB2312" w:cs="仿宋_GB2312"/>
          <w:b w:val="0"/>
          <w:bCs w:val="0"/>
          <w:sz w:val="32"/>
          <w:szCs w:val="32"/>
        </w:rPr>
        <w:t>万元，占本年支出合计的</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%，与上年相比，财政拨款支出减少</w:t>
      </w:r>
      <w:r>
        <w:rPr>
          <w:rFonts w:hint="eastAsia" w:ascii="仿宋_GB2312" w:hAnsi="仿宋_GB2312" w:eastAsia="仿宋_GB2312" w:cs="仿宋_GB2312"/>
          <w:sz w:val="32"/>
          <w:szCs w:val="32"/>
          <w:lang w:val="en-US" w:eastAsia="zh-CN"/>
        </w:rPr>
        <w:t>898.88</w:t>
      </w:r>
      <w:r>
        <w:rPr>
          <w:rFonts w:hint="eastAsia" w:ascii="仿宋_GB2312" w:hAnsi="仿宋_GB2312" w:eastAsia="仿宋_GB2312" w:cs="仿宋_GB2312"/>
          <w:b w:val="0"/>
          <w:bCs w:val="0"/>
          <w:sz w:val="32"/>
          <w:szCs w:val="32"/>
        </w:rPr>
        <w:t>万元，</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43</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rPr>
        <w:t>，主要是因为</w:t>
      </w:r>
      <w:r>
        <w:rPr>
          <w:rFonts w:hint="eastAsia" w:ascii="仿宋_GB2312" w:hAnsi="仿宋_GB2312" w:eastAsia="仿宋_GB2312" w:cs="仿宋_GB2312"/>
          <w:sz w:val="32"/>
          <w:szCs w:val="32"/>
          <w:lang w:val="en-US" w:eastAsia="zh-CN"/>
        </w:rPr>
        <w:t>部分退役士兵社保接续专项工作结束，2021年减少此专项资金导致的</w:t>
      </w:r>
      <w:r>
        <w:rPr>
          <w:rFonts w:hint="eastAsia" w:ascii="仿宋_GB2312" w:hAnsi="仿宋_GB2312" w:eastAsia="仿宋_GB2312" w:cs="仿宋_GB2312"/>
          <w:sz w:val="32"/>
          <w:szCs w:val="32"/>
          <w:lang w:eastAsia="zh-CN"/>
        </w:rPr>
        <w:t>。</w:t>
      </w:r>
    </w:p>
    <w:p>
      <w:pPr>
        <w:pStyle w:val="11"/>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（二）财政拨款支出决算结构情况</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2021年度财政拨款支出</w:t>
      </w:r>
      <w:r>
        <w:rPr>
          <w:rFonts w:hint="eastAsia" w:ascii="仿宋_GB2312" w:hAnsi="仿宋_GB2312" w:eastAsia="仿宋_GB2312" w:cs="仿宋_GB2312"/>
          <w:sz w:val="32"/>
          <w:szCs w:val="32"/>
          <w:lang w:val="en-US" w:eastAsia="zh-CN"/>
        </w:rPr>
        <w:t>1131.11</w:t>
      </w:r>
      <w:r>
        <w:rPr>
          <w:rFonts w:hint="eastAsia" w:ascii="仿宋_GB2312" w:hAnsi="仿宋_GB2312" w:eastAsia="仿宋_GB2312" w:cs="仿宋_GB2312"/>
          <w:b w:val="0"/>
          <w:bCs w:val="0"/>
          <w:sz w:val="32"/>
          <w:szCs w:val="32"/>
        </w:rPr>
        <w:t>万元，主要用于以下方面：社会保障和就业支出1085.71万元，占</w:t>
      </w:r>
      <w:r>
        <w:rPr>
          <w:rFonts w:hint="eastAsia" w:ascii="仿宋_GB2312" w:hAnsi="仿宋_GB2312" w:eastAsia="仿宋_GB2312" w:cs="仿宋_GB2312"/>
          <w:b w:val="0"/>
          <w:bCs w:val="0"/>
          <w:sz w:val="32"/>
          <w:szCs w:val="32"/>
          <w:lang w:val="en-US" w:eastAsia="zh-CN"/>
        </w:rPr>
        <w:t>96</w:t>
      </w:r>
      <w:r>
        <w:rPr>
          <w:rFonts w:hint="eastAsia" w:ascii="仿宋_GB2312" w:hAnsi="仿宋_GB2312" w:eastAsia="仿宋_GB2312" w:cs="仿宋_GB2312"/>
          <w:b w:val="0"/>
          <w:bCs w:val="0"/>
          <w:sz w:val="32"/>
          <w:szCs w:val="32"/>
        </w:rPr>
        <w:t>%；卫生健康支出</w:t>
      </w:r>
      <w:r>
        <w:rPr>
          <w:rFonts w:hint="eastAsia" w:ascii="仿宋_GB2312" w:hAnsi="仿宋_GB2312" w:eastAsia="仿宋_GB2312" w:cs="仿宋_GB2312"/>
          <w:b w:val="0"/>
          <w:bCs w:val="0"/>
          <w:sz w:val="32"/>
          <w:szCs w:val="32"/>
          <w:lang w:val="en-US" w:eastAsia="zh-CN"/>
        </w:rPr>
        <w:t>22.7</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%；其他支出</w:t>
      </w:r>
      <w:r>
        <w:rPr>
          <w:rFonts w:hint="eastAsia" w:ascii="仿宋_GB2312" w:hAnsi="仿宋_GB2312" w:eastAsia="仿宋_GB2312" w:cs="仿宋_GB2312"/>
          <w:b w:val="0"/>
          <w:bCs w:val="0"/>
          <w:sz w:val="32"/>
          <w:szCs w:val="32"/>
          <w:lang w:val="en-US" w:eastAsia="zh-CN"/>
        </w:rPr>
        <w:t>22.69</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eastAsia="zh-CN"/>
        </w:rPr>
        <w:t>。</w:t>
      </w:r>
    </w:p>
    <w:p>
      <w:pPr>
        <w:pStyle w:val="11"/>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（三）财政拨款支出决算具体情况</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2021年度财政拨款支出年初预算数为</w:t>
      </w:r>
      <w:r>
        <w:rPr>
          <w:rFonts w:hint="eastAsia" w:ascii="仿宋_GB2312" w:hAnsi="仿宋_GB2312" w:eastAsia="仿宋_GB2312" w:cs="仿宋_GB2312"/>
          <w:b w:val="0"/>
          <w:bCs w:val="0"/>
          <w:sz w:val="32"/>
          <w:szCs w:val="32"/>
          <w:lang w:val="en-US" w:eastAsia="zh-CN"/>
        </w:rPr>
        <w:t>461.67</w:t>
      </w:r>
      <w:r>
        <w:rPr>
          <w:rFonts w:hint="eastAsia" w:ascii="仿宋_GB2312" w:hAnsi="仿宋_GB2312" w:eastAsia="仿宋_GB2312" w:cs="仿宋_GB2312"/>
          <w:b w:val="0"/>
          <w:bCs w:val="0"/>
          <w:sz w:val="32"/>
          <w:szCs w:val="32"/>
        </w:rPr>
        <w:t>万元，支出决算数为</w:t>
      </w:r>
      <w:r>
        <w:rPr>
          <w:rFonts w:hint="eastAsia" w:ascii="仿宋_GB2312" w:hAnsi="仿宋_GB2312" w:eastAsia="仿宋_GB2312" w:cs="仿宋_GB2312"/>
          <w:b w:val="0"/>
          <w:bCs w:val="0"/>
          <w:sz w:val="32"/>
          <w:szCs w:val="32"/>
          <w:lang w:val="en-US" w:eastAsia="zh-CN"/>
        </w:rPr>
        <w:t>1131.11</w:t>
      </w:r>
      <w:r>
        <w:rPr>
          <w:rFonts w:hint="eastAsia" w:ascii="仿宋_GB2312" w:hAnsi="仿宋_GB2312" w:eastAsia="仿宋_GB2312" w:cs="仿宋_GB2312"/>
          <w:b w:val="0"/>
          <w:bCs w:val="0"/>
          <w:sz w:val="32"/>
          <w:szCs w:val="32"/>
        </w:rPr>
        <w:t>万元，完成年初预</w:t>
      </w:r>
      <w:r>
        <w:rPr>
          <w:rFonts w:hint="eastAsia" w:ascii="仿宋_GB2312" w:hAnsi="仿宋_GB2312" w:eastAsia="仿宋_GB2312" w:cs="仿宋_GB2312"/>
          <w:b w:val="0"/>
          <w:bCs w:val="0"/>
          <w:sz w:val="32"/>
          <w:szCs w:val="32"/>
          <w:highlight w:val="none"/>
        </w:rPr>
        <w:t>算的</w:t>
      </w:r>
      <w:r>
        <w:rPr>
          <w:rFonts w:hint="eastAsia" w:ascii="仿宋_GB2312" w:hAnsi="仿宋_GB2312" w:eastAsia="仿宋_GB2312" w:cs="仿宋_GB2312"/>
          <w:b w:val="0"/>
          <w:bCs w:val="0"/>
          <w:sz w:val="32"/>
          <w:szCs w:val="32"/>
          <w:highlight w:val="none"/>
          <w:lang w:val="en-US" w:eastAsia="zh-CN"/>
        </w:rPr>
        <w:t>245</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rPr>
        <w:t>，其中：</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1、社会保障和就业支出（类）行政事业单位养老支出（款）机关事业单位基本养老保险缴费支出（项）。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36.12</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sz w:val="32"/>
          <w:szCs w:val="32"/>
          <w:lang w:val="en-US" w:eastAsia="zh-CN"/>
        </w:rPr>
        <w:t>年初预算未安排，为年中追加安排的在职人员养老保险缴费。</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2、社会保障和就业支出（类）行政事业单位养老支出（款）机关事业单位职业年金缴费支出（项）。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12.85</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sz w:val="32"/>
          <w:szCs w:val="32"/>
          <w:lang w:val="en-US" w:eastAsia="zh-CN"/>
        </w:rPr>
        <w:t>年初预算未安排，为年中追加安排的退休人员职业年金缴费。</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rPr>
        <w:t>、社会保障和就业支出（类）行政事业单位养老支出（款）对机关事业单位基本养老保险基金的补助（项）。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0.56</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sz w:val="32"/>
          <w:szCs w:val="32"/>
          <w:lang w:val="en-US" w:eastAsia="zh-CN"/>
        </w:rPr>
        <w:t>年初预算未安排，为年中追加安排的退休人员补发工资。</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、社会保障和就业支出（类）行政事业单位养老支出（款）其他行政事业单位养老支出（项）。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rPr>
        <w:t>年初预算为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0.29</w:t>
      </w:r>
      <w:r>
        <w:rPr>
          <w:rFonts w:hint="eastAsia" w:ascii="仿宋_GB2312" w:hAnsi="仿宋_GB2312" w:eastAsia="仿宋_GB2312" w:cs="仿宋_GB2312"/>
          <w:b w:val="0"/>
          <w:bCs w:val="0"/>
          <w:sz w:val="32"/>
          <w:szCs w:val="32"/>
        </w:rPr>
        <w:t>万元，决算数大于年初预算数的主要原因是：</w:t>
      </w:r>
      <w:r>
        <w:rPr>
          <w:rFonts w:hint="eastAsia" w:ascii="仿宋_GB2312" w:hAnsi="仿宋_GB2312" w:eastAsia="仿宋_GB2312" w:cs="仿宋_GB2312"/>
          <w:b w:val="0"/>
          <w:bCs w:val="0"/>
          <w:sz w:val="32"/>
          <w:szCs w:val="32"/>
          <w:lang w:val="en-US" w:eastAsia="zh-CN"/>
        </w:rPr>
        <w:t>年初预算未安排，为年中追加安排的退休人员生活补助。</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5、社会保障和就业支出（类）抚恤（款）死亡抚恤（项）。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年初预算为0万元，支出决算为1.93万元，决算数大于年初预算数的主要原因是：年初预算未安排，为年中追加安排的退休死亡人员抚恤金。</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6、社会保障和就业支出（类）抚恤（款）其他优抚支出（项）。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年初预算为0万元，支出决算为427.68万元，决算数大于年初预算数的主要原因是：年初预算未安排，为年中追加安排的上级转移支付资金。</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7、社会保障和就业支出（类）退役安置（款）军队移交政府离退休干部管理机构（项）。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年初预算为0万元，支出决算为40.28万元，决算数大于年初预算数的主要原因是：年初预算未安排，为年中追加安排的上级转移支付资金。</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8、社会保障和就业支出（类）退役安置（款）军队转业干部安置（项）。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年初预算为0万元，支出决算为139.29万元，决算数大于年初预算数的主要原因是：年初预算未安排，为年中追加安排的上级转移支付资金。</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9、社会保障和就业支出（类）退役军人管理事务（款）行政运行（项）。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年初预算为461.67万元，支出决算为414.84万元，完成年初预算的90%，决算数小于年初预算数的主要原因是：人员减少导致的行政运行支出增加。</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10、社会保障和就业支出（类）退役军人管理事务（款）其他退役军人事务管理支出（项）。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年初预算为0万元，支出决算为11.88万元，决算数大于年初预算数的主要原因是：年初预算未安排，为年中追加安排的待安置期间退役士兵生活补助财政拨款。</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11、卫生健康支出（类）行政事业单位医疗（款） 行政单位医疗（项）。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年初预算为0万元，支出决算为21.18万元，决算数大于年初预算数的主要原因是：年初预算未安排，为年中追加安排的在职人员医疗保险缴费。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12、卫生健康支出（类）行政事业单位医疗（款） 财政对城乡居民基本医疗保险基金的补助（项）。</w:t>
      </w:r>
    </w:p>
    <w:p>
      <w:pPr>
        <w:pStyle w:val="11"/>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年初预算为0万元，支出决算为1.52万元，决算数大于年初预算数的主要原因是：年初预算未安排，为年中追加安排的在职人员医疗保险补缴费。</w:t>
      </w:r>
    </w:p>
    <w:p>
      <w:pPr>
        <w:pStyle w:val="11"/>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13、其他支出（类）其他支出（款） 其他支出（项）。</w:t>
      </w:r>
    </w:p>
    <w:p>
      <w:pPr>
        <w:pStyle w:val="11"/>
        <w:numPr>
          <w:ilvl w:val="0"/>
          <w:numId w:val="0"/>
        </w:numPr>
        <w:ind w:firstLine="640" w:firstLineChars="200"/>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年初预算为0万元，支出决算为22.69万元，决算数大于年初预算数的主要原因是：年初预算未安排，为年中追加安排的在职人员经费。</w:t>
      </w:r>
    </w:p>
    <w:p>
      <w:pPr>
        <w:pStyle w:val="11"/>
        <w:ind w:firstLine="640" w:firstLineChars="200"/>
        <w:rPr>
          <w:rFonts w:hAnsi="黑体"/>
          <w:b w:val="0"/>
          <w:bCs/>
          <w:sz w:val="32"/>
          <w:szCs w:val="32"/>
        </w:rPr>
      </w:pPr>
      <w:r>
        <w:rPr>
          <w:rFonts w:hint="eastAsia" w:hAnsi="黑体"/>
          <w:b w:val="0"/>
          <w:bCs/>
          <w:sz w:val="32"/>
          <w:szCs w:val="32"/>
        </w:rPr>
        <w:t>六、一般公共预算财政拨款基本支出决算情况说明</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2021年度财政拨款基本支出</w:t>
      </w:r>
      <w:r>
        <w:rPr>
          <w:rFonts w:hint="eastAsia" w:ascii="仿宋_GB2312" w:hAnsi="仿宋_GB2312" w:eastAsia="仿宋_GB2312" w:cs="仿宋_GB2312"/>
          <w:b w:val="0"/>
          <w:bCs w:val="0"/>
          <w:sz w:val="32"/>
          <w:szCs w:val="32"/>
          <w:lang w:val="en-US" w:eastAsia="zh-CN"/>
        </w:rPr>
        <w:t>511.97</w:t>
      </w:r>
      <w:r>
        <w:rPr>
          <w:rFonts w:hint="eastAsia" w:ascii="仿宋_GB2312" w:hAnsi="仿宋_GB2312" w:eastAsia="仿宋_GB2312" w:cs="仿宋_GB2312"/>
          <w:b w:val="0"/>
          <w:bCs w:val="0"/>
          <w:sz w:val="32"/>
          <w:szCs w:val="32"/>
        </w:rPr>
        <w:t>万元，其中：</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人员经费</w:t>
      </w:r>
      <w:r>
        <w:rPr>
          <w:rFonts w:hint="eastAsia" w:ascii="仿宋_GB2312" w:hAnsi="仿宋_GB2312" w:eastAsia="仿宋_GB2312" w:cs="仿宋_GB2312"/>
          <w:b w:val="0"/>
          <w:bCs w:val="0"/>
          <w:sz w:val="32"/>
          <w:szCs w:val="32"/>
          <w:lang w:val="en-US" w:eastAsia="zh-CN"/>
        </w:rPr>
        <w:t>434.25</w:t>
      </w:r>
      <w:r>
        <w:rPr>
          <w:rFonts w:hint="eastAsia" w:ascii="仿宋_GB2312" w:hAnsi="仿宋_GB2312" w:eastAsia="仿宋_GB2312" w:cs="仿宋_GB2312"/>
          <w:b w:val="0"/>
          <w:bCs w:val="0"/>
          <w:sz w:val="32"/>
          <w:szCs w:val="32"/>
        </w:rPr>
        <w:t>万元，占基本支出的</w:t>
      </w:r>
      <w:r>
        <w:rPr>
          <w:rFonts w:hint="eastAsia" w:ascii="仿宋_GB2312" w:hAnsi="仿宋_GB2312" w:eastAsia="仿宋_GB2312" w:cs="仿宋_GB2312"/>
          <w:b w:val="0"/>
          <w:bCs w:val="0"/>
          <w:sz w:val="32"/>
          <w:szCs w:val="32"/>
          <w:lang w:val="en-US" w:eastAsia="zh-CN"/>
        </w:rPr>
        <w:t>85</w:t>
      </w:r>
      <w:r>
        <w:rPr>
          <w:rFonts w:hint="eastAsia" w:ascii="仿宋_GB2312" w:hAnsi="仿宋_GB2312" w:eastAsia="仿宋_GB2312" w:cs="仿宋_GB2312"/>
          <w:b w:val="0"/>
          <w:bCs w:val="0"/>
          <w:sz w:val="32"/>
          <w:szCs w:val="32"/>
        </w:rPr>
        <w:t>%,主要包括基本工资、津贴补贴、奖金、伙食补助费</w:t>
      </w:r>
      <w:r>
        <w:rPr>
          <w:rFonts w:hint="eastAsia" w:ascii="仿宋_GB2312" w:hAnsi="仿宋_GB2312" w:eastAsia="仿宋_GB2312" w:cs="仿宋_GB2312"/>
          <w:b w:val="0"/>
          <w:bCs w:val="0"/>
          <w:sz w:val="32"/>
          <w:szCs w:val="32"/>
          <w:lang w:eastAsia="zh-CN"/>
        </w:rPr>
        <w:t>、绩效工资、机关事业单位基本养老保险缴费、职业年金缴费、职工基本医疗保险缴费、退休费、抚恤金、生活补助</w:t>
      </w:r>
      <w:r>
        <w:rPr>
          <w:rFonts w:hint="eastAsia" w:ascii="仿宋_GB2312" w:hAnsi="仿宋_GB2312" w:eastAsia="仿宋_GB2312" w:cs="仿宋_GB2312"/>
          <w:b w:val="0"/>
          <w:bCs w:val="0"/>
          <w:sz w:val="32"/>
          <w:szCs w:val="32"/>
        </w:rPr>
        <w:t>；</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公用经费</w:t>
      </w:r>
      <w:r>
        <w:rPr>
          <w:rFonts w:hint="eastAsia" w:ascii="仿宋_GB2312" w:hAnsi="仿宋_GB2312" w:eastAsia="仿宋_GB2312" w:cs="仿宋_GB2312"/>
          <w:b w:val="0"/>
          <w:bCs w:val="0"/>
          <w:sz w:val="32"/>
          <w:szCs w:val="32"/>
          <w:lang w:val="en-US" w:eastAsia="zh-CN"/>
        </w:rPr>
        <w:t>77.72</w:t>
      </w:r>
      <w:r>
        <w:rPr>
          <w:rFonts w:hint="eastAsia" w:ascii="仿宋_GB2312" w:hAnsi="仿宋_GB2312" w:eastAsia="仿宋_GB2312" w:cs="仿宋_GB2312"/>
          <w:b w:val="0"/>
          <w:bCs w:val="0"/>
          <w:sz w:val="32"/>
          <w:szCs w:val="32"/>
        </w:rPr>
        <w:t>万元，占基本支出的</w:t>
      </w:r>
      <w:r>
        <w:rPr>
          <w:rFonts w:hint="eastAsia" w:ascii="仿宋_GB2312" w:hAnsi="仿宋_GB2312" w:eastAsia="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%，主要包括办公费、邮电费、差旅费、维修（护）费</w:t>
      </w:r>
      <w:r>
        <w:rPr>
          <w:rFonts w:hint="eastAsia" w:ascii="仿宋_GB2312" w:hAnsi="仿宋_GB2312" w:eastAsia="仿宋_GB2312" w:cs="仿宋_GB2312"/>
          <w:b w:val="0"/>
          <w:bCs w:val="0"/>
          <w:sz w:val="32"/>
          <w:szCs w:val="32"/>
          <w:lang w:eastAsia="zh-CN"/>
        </w:rPr>
        <w:t>、培训费、公务接待费、劳务费、工会经费、福利费、其他交通费用、其他商品和服务支出</w:t>
      </w:r>
      <w:r>
        <w:rPr>
          <w:rFonts w:hint="eastAsia" w:ascii="仿宋_GB2312" w:hAnsi="仿宋_GB2312" w:eastAsia="仿宋_GB2312" w:cs="仿宋_GB2312"/>
          <w:b w:val="0"/>
          <w:bCs w:val="0"/>
          <w:sz w:val="32"/>
          <w:szCs w:val="32"/>
        </w:rPr>
        <w:t>。</w:t>
      </w:r>
    </w:p>
    <w:p>
      <w:pPr>
        <w:pStyle w:val="11"/>
        <w:numPr>
          <w:ilvl w:val="0"/>
          <w:numId w:val="0"/>
        </w:numPr>
        <w:ind w:leftChars="0" w:firstLine="640" w:firstLineChars="200"/>
        <w:rPr>
          <w:rFonts w:hint="eastAsia" w:hAnsi="黑体"/>
          <w:b w:val="0"/>
          <w:bCs/>
          <w:sz w:val="32"/>
          <w:szCs w:val="32"/>
        </w:rPr>
      </w:pPr>
      <w:r>
        <w:rPr>
          <w:rFonts w:hint="eastAsia" w:hAnsi="黑体"/>
          <w:b w:val="0"/>
          <w:bCs/>
          <w:sz w:val="32"/>
          <w:szCs w:val="32"/>
          <w:lang w:eastAsia="zh-CN"/>
        </w:rPr>
        <w:t>七、</w:t>
      </w:r>
      <w:r>
        <w:rPr>
          <w:rFonts w:hint="eastAsia" w:hAnsi="黑体"/>
          <w:b w:val="0"/>
          <w:bCs/>
          <w:sz w:val="32"/>
          <w:szCs w:val="32"/>
        </w:rPr>
        <w:t>一般公共预算财政拨款“三公”经费支出决算情况说明</w:t>
      </w:r>
    </w:p>
    <w:p>
      <w:pPr>
        <w:pStyle w:val="11"/>
        <w:ind w:firstLine="640" w:firstLineChars="200"/>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（一）“三公”经费财政拨款支出决算总体情况说明</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2021年度“三公”经费财政拨款支出预算为</w:t>
      </w:r>
      <w:r>
        <w:rPr>
          <w:rFonts w:hint="eastAsia" w:ascii="仿宋_GB2312" w:hAnsi="仿宋_GB2312" w:eastAsia="仿宋_GB2312" w:cs="仿宋_GB2312"/>
          <w:b w:val="0"/>
          <w:bCs w:val="0"/>
          <w:sz w:val="32"/>
          <w:szCs w:val="32"/>
          <w:lang w:val="en-US" w:eastAsia="zh-CN"/>
        </w:rPr>
        <w:t>9.9</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0.94</w:t>
      </w:r>
      <w:r>
        <w:rPr>
          <w:rFonts w:hint="eastAsia" w:ascii="仿宋_GB2312" w:hAnsi="仿宋_GB2312" w:eastAsia="仿宋_GB2312" w:cs="仿宋_GB2312"/>
          <w:b w:val="0"/>
          <w:bCs w:val="0"/>
          <w:sz w:val="32"/>
          <w:szCs w:val="32"/>
        </w:rPr>
        <w:t>万元，完成预算的</w:t>
      </w:r>
      <w:r>
        <w:rPr>
          <w:rFonts w:hint="eastAsia" w:ascii="仿宋_GB2312" w:hAnsi="仿宋_GB2312" w:eastAsia="仿宋_GB2312" w:cs="仿宋_GB2312"/>
          <w:b w:val="0"/>
          <w:bCs w:val="0"/>
          <w:sz w:val="32"/>
          <w:szCs w:val="32"/>
          <w:lang w:val="en-US" w:eastAsia="zh-CN"/>
        </w:rPr>
        <w:t>9.5</w:t>
      </w:r>
      <w:r>
        <w:rPr>
          <w:rFonts w:hint="eastAsia" w:ascii="仿宋_GB2312" w:hAnsi="仿宋_GB2312" w:eastAsia="仿宋_GB2312" w:cs="仿宋_GB2312"/>
          <w:b w:val="0"/>
          <w:bCs w:val="0"/>
          <w:sz w:val="32"/>
          <w:szCs w:val="32"/>
        </w:rPr>
        <w:t>%，其中：</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因公出国（境）费支出预算为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万元，决算数</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于预算数，与上年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p>
    <w:p>
      <w:pPr>
        <w:adjustRightInd w:val="0"/>
        <w:snapToGrid w:val="0"/>
        <w:spacing w:line="360" w:lineRule="auto"/>
        <w:ind w:firstLine="640" w:firstLineChars="200"/>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公务接待费支出预算为5.9万元，支出决算为0.94万元，完成预算的16%，决算数小于预算数的主要原因是是按“过紧日子”要求，严控公务接待。与上年相比减少4.94万元，减少84%,减少的主要原因是按“过紧日子”要求，严控公务接待。</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公务用车购置费支出预算为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万元，决算数</w:t>
      </w:r>
      <w:r>
        <w:rPr>
          <w:rFonts w:hint="eastAsia" w:ascii="仿宋_GB2312" w:hAnsi="仿宋_GB2312" w:eastAsia="仿宋_GB2312" w:cs="仿宋_GB2312"/>
          <w:b w:val="0"/>
          <w:bCs w:val="0"/>
          <w:sz w:val="32"/>
          <w:szCs w:val="32"/>
          <w:lang w:eastAsia="zh-CN"/>
        </w:rPr>
        <w:t>等</w:t>
      </w:r>
      <w:r>
        <w:rPr>
          <w:rFonts w:hint="eastAsia" w:ascii="仿宋_GB2312" w:hAnsi="仿宋_GB2312" w:eastAsia="仿宋_GB2312" w:cs="仿宋_GB2312"/>
          <w:b w:val="0"/>
          <w:bCs w:val="0"/>
          <w:sz w:val="32"/>
          <w:szCs w:val="32"/>
        </w:rPr>
        <w:t>于预算数，与上年</w:t>
      </w:r>
      <w:r>
        <w:rPr>
          <w:rFonts w:hint="eastAsia" w:ascii="仿宋_GB2312" w:hAnsi="仿宋_GB2312" w:eastAsia="仿宋_GB2312" w:cs="仿宋_GB2312"/>
          <w:b w:val="0"/>
          <w:bCs w:val="0"/>
          <w:sz w:val="32"/>
          <w:szCs w:val="32"/>
          <w:lang w:eastAsia="zh-CN"/>
        </w:rPr>
        <w:t>持平</w:t>
      </w:r>
      <w:r>
        <w:rPr>
          <w:rFonts w:hint="eastAsia" w:ascii="仿宋_GB2312" w:hAnsi="仿宋_GB2312" w:eastAsia="仿宋_GB2312" w:cs="仿宋_GB2312"/>
          <w:b w:val="0"/>
          <w:bCs w:val="0"/>
          <w:sz w:val="32"/>
          <w:szCs w:val="32"/>
        </w:rPr>
        <w:t>。</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公务用车运行维护费支出预算为</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万元，支出决算为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万元，完成预算的</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%，决算数小于预算数的主要原因是</w:t>
      </w:r>
      <w:r>
        <w:rPr>
          <w:rFonts w:hint="eastAsia" w:ascii="仿宋_GB2312" w:hAnsi="仿宋_GB2312" w:eastAsia="仿宋_GB2312" w:cs="仿宋_GB2312"/>
          <w:b w:val="0"/>
          <w:bCs w:val="0"/>
          <w:sz w:val="32"/>
          <w:szCs w:val="32"/>
          <w:lang w:eastAsia="zh-CN"/>
        </w:rPr>
        <w:t>实行</w:t>
      </w:r>
      <w:r>
        <w:rPr>
          <w:rFonts w:hint="eastAsia" w:ascii="仿宋_GB2312" w:hAnsi="仿宋_GB2312" w:eastAsia="仿宋_GB2312" w:cs="仿宋_GB2312"/>
          <w:b w:val="0"/>
          <w:bCs w:val="0"/>
          <w:sz w:val="32"/>
          <w:szCs w:val="32"/>
        </w:rPr>
        <w:t>公车改革，本单位公车收回，</w:t>
      </w:r>
      <w:r>
        <w:rPr>
          <w:rFonts w:hint="eastAsia" w:ascii="仿宋_GB2312" w:hAnsi="仿宋_GB2312" w:eastAsia="仿宋_GB2312" w:cs="仿宋_GB2312"/>
          <w:b w:val="0"/>
          <w:bCs w:val="0"/>
          <w:sz w:val="32"/>
          <w:szCs w:val="32"/>
          <w:lang w:eastAsia="zh-CN"/>
        </w:rPr>
        <w:t>无运行维护费用，</w:t>
      </w:r>
      <w:r>
        <w:rPr>
          <w:rFonts w:hint="eastAsia" w:ascii="仿宋_GB2312" w:hAnsi="仿宋_GB2312" w:eastAsia="仿宋_GB2312" w:cs="仿宋_GB2312"/>
          <w:b w:val="0"/>
          <w:bCs w:val="0"/>
          <w:sz w:val="32"/>
          <w:szCs w:val="32"/>
        </w:rPr>
        <w:t>与上年相比减少</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rPr>
        <w:t>万元，减少</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%,减少的主要原因是</w:t>
      </w:r>
      <w:r>
        <w:rPr>
          <w:rFonts w:hint="eastAsia" w:ascii="仿宋_GB2312" w:hAnsi="仿宋_GB2312" w:eastAsia="仿宋_GB2312" w:cs="仿宋_GB2312"/>
          <w:b w:val="0"/>
          <w:bCs w:val="0"/>
          <w:sz w:val="32"/>
          <w:szCs w:val="32"/>
          <w:lang w:eastAsia="zh-CN"/>
        </w:rPr>
        <w:t>实行</w:t>
      </w:r>
      <w:r>
        <w:rPr>
          <w:rFonts w:hint="eastAsia" w:ascii="仿宋_GB2312" w:hAnsi="仿宋_GB2312" w:eastAsia="仿宋_GB2312" w:cs="仿宋_GB2312"/>
          <w:b w:val="0"/>
          <w:bCs w:val="0"/>
          <w:sz w:val="32"/>
          <w:szCs w:val="32"/>
        </w:rPr>
        <w:t>公车改革，本单位公车收回，</w:t>
      </w:r>
      <w:r>
        <w:rPr>
          <w:rFonts w:hint="eastAsia" w:ascii="仿宋_GB2312" w:hAnsi="仿宋_GB2312" w:eastAsia="仿宋_GB2312" w:cs="仿宋_GB2312"/>
          <w:b w:val="0"/>
          <w:bCs w:val="0"/>
          <w:sz w:val="32"/>
          <w:szCs w:val="32"/>
          <w:lang w:eastAsia="zh-CN"/>
        </w:rPr>
        <w:t>无运行维护费用</w:t>
      </w:r>
      <w:r>
        <w:rPr>
          <w:rFonts w:hint="eastAsia" w:ascii="仿宋_GB2312" w:hAnsi="仿宋_GB2312" w:eastAsia="仿宋_GB2312" w:cs="仿宋_GB2312"/>
          <w:b w:val="0"/>
          <w:bCs w:val="0"/>
          <w:sz w:val="32"/>
          <w:szCs w:val="32"/>
        </w:rPr>
        <w:t>。</w:t>
      </w:r>
    </w:p>
    <w:p>
      <w:pPr>
        <w:pStyle w:val="11"/>
        <w:ind w:firstLine="320" w:firstLineChars="1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2021年度“三公”经费财政拨款支出决算中，公务接待费支出决算</w:t>
      </w:r>
      <w:r>
        <w:rPr>
          <w:rFonts w:hint="eastAsia" w:ascii="仿宋_GB2312" w:hAnsi="仿宋_GB2312" w:eastAsia="仿宋_GB2312" w:cs="仿宋_GB2312"/>
          <w:b w:val="0"/>
          <w:bCs w:val="0"/>
          <w:sz w:val="32"/>
          <w:szCs w:val="32"/>
          <w:lang w:val="en-US" w:eastAsia="zh-CN"/>
        </w:rPr>
        <w:t>0.94</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100</w:t>
      </w:r>
      <w:r>
        <w:rPr>
          <w:rFonts w:hint="eastAsia" w:ascii="仿宋_GB2312" w:hAnsi="仿宋_GB2312" w:eastAsia="仿宋_GB2312" w:cs="仿宋_GB2312"/>
          <w:b w:val="0"/>
          <w:bCs w:val="0"/>
          <w:sz w:val="32"/>
          <w:szCs w:val="32"/>
        </w:rPr>
        <w:t>%,因公出国（境）费支出决算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%,公务用车购置费及运行维护费支出决算</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万元，占</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%。其中：</w:t>
      </w:r>
    </w:p>
    <w:p>
      <w:pPr>
        <w:pStyle w:val="11"/>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1、因公出国（境）费支出决算为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个，累计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2021年度我单位未开展因公出国（境）活动。</w:t>
      </w:r>
    </w:p>
    <w:p>
      <w:pPr>
        <w:pStyle w:val="11"/>
        <w:rPr>
          <w:rFonts w:hint="eastAsia" w:ascii="仿宋_GB2312" w:hAnsi="仿宋_GB2312" w:eastAsia="仿宋_GB2312" w:cs="仿宋_GB2312"/>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b w:val="0"/>
          <w:bCs w:val="0"/>
          <w:sz w:val="32"/>
          <w:szCs w:val="32"/>
        </w:rPr>
        <w:t xml:space="preserve"> </w:t>
      </w:r>
      <w:r>
        <w:rPr>
          <w:rFonts w:hint="eastAsia" w:ascii="仿宋_GB2312" w:hAnsi="仿宋_GB2312" w:eastAsia="仿宋_GB2312" w:cs="仿宋_GB2312"/>
          <w:sz w:val="32"/>
          <w:szCs w:val="32"/>
        </w:rPr>
        <w:t>2、公务接待费支出决算为</w:t>
      </w:r>
      <w:r>
        <w:rPr>
          <w:rFonts w:hint="eastAsia" w:ascii="仿宋_GB2312" w:hAnsi="仿宋_GB2312" w:eastAsia="仿宋_GB2312" w:cs="仿宋_GB2312"/>
          <w:sz w:val="32"/>
          <w:szCs w:val="32"/>
          <w:lang w:val="en-US" w:eastAsia="zh-CN"/>
        </w:rPr>
        <w:t>0.94</w:t>
      </w:r>
      <w:r>
        <w:rPr>
          <w:rFonts w:hint="eastAsia" w:ascii="仿宋_GB2312" w:hAnsi="仿宋_GB2312" w:eastAsia="仿宋_GB2312" w:cs="仿宋_GB2312"/>
          <w:sz w:val="32"/>
          <w:szCs w:val="32"/>
        </w:rPr>
        <w:t>万元，全年共接待来访团组</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个、来宾</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人次，主要是相关单位</w:t>
      </w:r>
      <w:r>
        <w:rPr>
          <w:rFonts w:hint="eastAsia" w:ascii="仿宋_GB2312" w:hAnsi="仿宋_GB2312" w:eastAsia="仿宋_GB2312" w:cs="仿宋_GB2312"/>
          <w:sz w:val="32"/>
          <w:szCs w:val="32"/>
          <w:lang w:eastAsia="zh-CN"/>
        </w:rPr>
        <w:t>退役军人事务</w:t>
      </w:r>
      <w:r>
        <w:rPr>
          <w:rFonts w:hint="eastAsia" w:ascii="仿宋_GB2312" w:hAnsi="仿宋_GB2312" w:eastAsia="仿宋_GB2312" w:cs="仿宋_GB2312"/>
          <w:sz w:val="32"/>
          <w:szCs w:val="32"/>
        </w:rPr>
        <w:t>业务交流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汇报</w:t>
      </w:r>
      <w:r>
        <w:rPr>
          <w:rFonts w:hint="eastAsia" w:ascii="仿宋_GB2312" w:hAnsi="仿宋_GB2312" w:eastAsia="仿宋_GB2312" w:cs="仿宋_GB2312"/>
          <w:sz w:val="32"/>
          <w:szCs w:val="32"/>
        </w:rPr>
        <w:t>发生的接待支出。</w:t>
      </w:r>
    </w:p>
    <w:p>
      <w:pPr>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3、公务用车购置费及运行维护费支出决算为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万元，其中：公务用车购置费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b w:val="0"/>
          <w:bCs w:val="0"/>
          <w:color w:val="auto"/>
          <w:kern w:val="0"/>
          <w:sz w:val="32"/>
          <w:szCs w:val="32"/>
          <w:lang w:val="en-US" w:eastAsia="zh-CN" w:bidi="ar-SA"/>
        </w:rPr>
        <w:t>本单位无更新公务用车</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sz w:val="32"/>
          <w:szCs w:val="32"/>
        </w:rPr>
        <w:t>公务用车运行维护费</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万元，截止2021年12月31日，我单位开支财政拨款的公务用车保有量为</w:t>
      </w:r>
      <w:r>
        <w:rPr>
          <w:rFonts w:hint="eastAsia" w:ascii="仿宋_GB2312" w:hAnsi="仿宋_GB2312" w:eastAsia="仿宋_GB2312" w:cs="仿宋_GB2312"/>
          <w:b w:val="0"/>
          <w:bCs w:val="0"/>
          <w:sz w:val="32"/>
          <w:szCs w:val="32"/>
          <w:lang w:val="en-US" w:eastAsia="zh-CN"/>
        </w:rPr>
        <w:t>0</w:t>
      </w:r>
      <w:r>
        <w:rPr>
          <w:rFonts w:hint="eastAsia" w:ascii="仿宋_GB2312" w:hAnsi="仿宋_GB2312" w:eastAsia="仿宋_GB2312" w:cs="仿宋_GB2312"/>
          <w:b w:val="0"/>
          <w:bCs w:val="0"/>
          <w:sz w:val="32"/>
          <w:szCs w:val="32"/>
        </w:rPr>
        <w:t>辆。</w:t>
      </w:r>
    </w:p>
    <w:p>
      <w:pPr>
        <w:pStyle w:val="11"/>
        <w:ind w:firstLine="640" w:firstLineChars="200"/>
        <w:rPr>
          <w:rFonts w:hAnsi="黑体"/>
          <w:b/>
          <w:sz w:val="32"/>
          <w:szCs w:val="32"/>
        </w:rPr>
      </w:pPr>
      <w:r>
        <w:rPr>
          <w:rFonts w:hint="eastAsia" w:hAnsi="黑体"/>
          <w:b w:val="0"/>
          <w:bCs/>
          <w:sz w:val="32"/>
          <w:szCs w:val="32"/>
        </w:rPr>
        <w:t>八、政府性基金预算收入支出决算情况</w:t>
      </w:r>
    </w:p>
    <w:p>
      <w:pPr>
        <w:pStyle w:val="11"/>
        <w:ind w:firstLine="320" w:firstLineChars="100"/>
        <w:rPr>
          <w:rFonts w:hint="eastAsia" w:cs="黑体" w:asciiTheme="minorEastAsia" w:hAnsiTheme="minorEastAsia" w:eastAsiaTheme="minorEastAsia"/>
          <w:b w:val="0"/>
          <w:bCs w:val="0"/>
          <w:color w:val="FF0000"/>
          <w:kern w:val="0"/>
          <w:sz w:val="32"/>
          <w:szCs w:val="32"/>
          <w:lang w:val="en-US" w:eastAsia="zh-CN" w:bidi="ar-SA"/>
        </w:rPr>
      </w:pPr>
      <w:r>
        <w:rPr>
          <w:rFonts w:hint="eastAsia" w:asciiTheme="minorEastAsia" w:hAnsiTheme="minorEastAsia" w:eastAsiaTheme="minorEastAsia"/>
          <w:sz w:val="32"/>
          <w:szCs w:val="32"/>
        </w:rPr>
        <w:t xml:space="preserve">  </w:t>
      </w:r>
      <w:r>
        <w:rPr>
          <w:rFonts w:hint="eastAsia" w:ascii="仿宋_GB2312" w:hAnsi="仿宋_GB2312" w:eastAsia="仿宋_GB2312" w:cs="仿宋_GB2312"/>
          <w:b w:val="0"/>
          <w:bCs w:val="0"/>
          <w:color w:val="auto"/>
          <w:kern w:val="0"/>
          <w:sz w:val="32"/>
          <w:szCs w:val="32"/>
          <w:lang w:val="en-US" w:eastAsia="zh-CN" w:bidi="ar-SA"/>
        </w:rPr>
        <w:t>2021年度本单位无政府性基金收支。</w:t>
      </w:r>
    </w:p>
    <w:p>
      <w:pPr>
        <w:pStyle w:val="11"/>
        <w:numPr>
          <w:ilvl w:val="0"/>
          <w:numId w:val="1"/>
        </w:numPr>
        <w:ind w:firstLine="640" w:firstLineChars="200"/>
        <w:rPr>
          <w:rFonts w:hint="eastAsia" w:hAnsi="黑体"/>
          <w:b w:val="0"/>
          <w:bCs/>
          <w:sz w:val="32"/>
          <w:szCs w:val="32"/>
        </w:rPr>
      </w:pPr>
      <w:r>
        <w:rPr>
          <w:rFonts w:hint="eastAsia" w:hAnsi="黑体"/>
          <w:b w:val="0"/>
          <w:bCs/>
          <w:sz w:val="32"/>
          <w:szCs w:val="32"/>
        </w:rPr>
        <w:t>机关运行经费支出说明</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rPr>
        <w:t>本</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2021年度机关运行经费支出77.72万元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比</w:t>
      </w:r>
      <w:r>
        <w:rPr>
          <w:rFonts w:hint="eastAsia" w:ascii="仿宋_GB2312" w:hAnsi="仿宋_GB2312" w:eastAsia="仿宋_GB2312" w:cs="仿宋_GB2312"/>
          <w:sz w:val="32"/>
          <w:szCs w:val="32"/>
          <w:lang w:eastAsia="zh-CN"/>
        </w:rPr>
        <w:t>上年决算</w:t>
      </w:r>
      <w:r>
        <w:rPr>
          <w:rFonts w:hint="eastAsia" w:ascii="仿宋_GB2312" w:hAnsi="仿宋_GB2312" w:eastAsia="仿宋_GB2312" w:cs="仿宋_GB2312"/>
          <w:sz w:val="32"/>
          <w:szCs w:val="32"/>
        </w:rPr>
        <w:t>数减少</w:t>
      </w:r>
      <w:r>
        <w:rPr>
          <w:rFonts w:hint="eastAsia" w:ascii="仿宋_GB2312" w:hAnsi="仿宋_GB2312" w:eastAsia="仿宋_GB2312" w:cs="仿宋_GB2312"/>
          <w:sz w:val="32"/>
          <w:szCs w:val="32"/>
          <w:lang w:val="en-US" w:eastAsia="zh-CN"/>
        </w:rPr>
        <w:t>14.04</w:t>
      </w:r>
      <w:r>
        <w:rPr>
          <w:rFonts w:hint="eastAsia" w:ascii="仿宋_GB2312" w:hAnsi="仿宋_GB2312" w:eastAsia="仿宋_GB2312" w:cs="仿宋_GB2312"/>
          <w:sz w:val="32"/>
          <w:szCs w:val="32"/>
        </w:rPr>
        <w:t>万元，降低</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在保障机构正常运转的情况下，压缩了行政开支，树立厉行节约过紧日子的思想。</w:t>
      </w:r>
    </w:p>
    <w:p>
      <w:pPr>
        <w:pStyle w:val="11"/>
        <w:ind w:firstLine="640" w:firstLineChars="200"/>
        <w:rPr>
          <w:rFonts w:hAnsi="黑体"/>
          <w:b w:val="0"/>
          <w:bCs/>
          <w:sz w:val="32"/>
          <w:szCs w:val="32"/>
        </w:rPr>
      </w:pPr>
      <w:r>
        <w:rPr>
          <w:rFonts w:hint="eastAsia" w:hAnsi="黑体"/>
          <w:b w:val="0"/>
          <w:bCs/>
          <w:sz w:val="32"/>
          <w:szCs w:val="32"/>
        </w:rPr>
        <w:t>十、一般性支出情况说明</w:t>
      </w:r>
    </w:p>
    <w:p>
      <w:pPr>
        <w:pStyle w:val="11"/>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2021年本部门开支会议费</w:t>
      </w:r>
      <w:r>
        <w:rPr>
          <w:rFonts w:hint="eastAsia" w:ascii="仿宋_GB2312" w:hAnsi="仿宋_GB2312" w:eastAsia="仿宋_GB2312" w:cs="仿宋_GB2312"/>
          <w:sz w:val="32"/>
          <w:szCs w:val="32"/>
          <w:lang w:val="en-US" w:eastAsia="zh-CN"/>
        </w:rPr>
        <w:t>3.66</w:t>
      </w:r>
      <w:r>
        <w:rPr>
          <w:rFonts w:hint="eastAsia" w:ascii="仿宋_GB2312" w:hAnsi="仿宋_GB2312" w:eastAsia="仿宋_GB2312" w:cs="仿宋_GB2312"/>
          <w:sz w:val="32"/>
          <w:szCs w:val="32"/>
          <w:lang w:eastAsia="zh-CN"/>
        </w:rPr>
        <w:t>万元，用于召开全市退役军人事务工作会议及业务会议等，人数</w:t>
      </w:r>
      <w:r>
        <w:rPr>
          <w:rFonts w:hint="eastAsia" w:ascii="仿宋_GB2312" w:hAnsi="仿宋_GB2312" w:eastAsia="仿宋_GB2312" w:cs="仿宋_GB2312"/>
          <w:sz w:val="32"/>
          <w:szCs w:val="32"/>
          <w:lang w:val="en-US" w:eastAsia="zh-CN"/>
        </w:rPr>
        <w:t>368</w:t>
      </w:r>
      <w:r>
        <w:rPr>
          <w:rFonts w:hint="eastAsia" w:ascii="仿宋_GB2312" w:hAnsi="仿宋_GB2312" w:eastAsia="仿宋_GB2312" w:cs="仿宋_GB2312"/>
          <w:sz w:val="32"/>
          <w:szCs w:val="32"/>
          <w:lang w:eastAsia="zh-CN"/>
        </w:rPr>
        <w:t>人，内容为全市移交安置会议、全市退役军人教育培训座谈会、全市烈士纪念设施工作会、全市优抚工作研判会议、全市退役军人事务局长会议；开支培训费</w:t>
      </w:r>
      <w:r>
        <w:rPr>
          <w:rFonts w:hint="eastAsia" w:ascii="仿宋_GB2312" w:hAnsi="仿宋_GB2312" w:eastAsia="仿宋_GB2312" w:cs="仿宋_GB2312"/>
          <w:sz w:val="32"/>
          <w:szCs w:val="32"/>
          <w:lang w:val="en-US" w:eastAsia="zh-CN"/>
        </w:rPr>
        <w:t>9.81</w:t>
      </w:r>
      <w:r>
        <w:rPr>
          <w:rFonts w:hint="eastAsia" w:ascii="仿宋_GB2312" w:hAnsi="仿宋_GB2312" w:eastAsia="仿宋_GB2312" w:cs="仿宋_GB2312"/>
          <w:sz w:val="32"/>
          <w:szCs w:val="32"/>
          <w:lang w:eastAsia="zh-CN"/>
        </w:rPr>
        <w:t>万元，用于开展全市退役军人系统业务培训，人数</w:t>
      </w:r>
      <w:r>
        <w:rPr>
          <w:rFonts w:hint="eastAsia" w:ascii="仿宋_GB2312" w:hAnsi="仿宋_GB2312" w:eastAsia="仿宋_GB2312" w:cs="仿宋_GB2312"/>
          <w:sz w:val="32"/>
          <w:szCs w:val="32"/>
          <w:lang w:val="en-US" w:eastAsia="zh-CN"/>
        </w:rPr>
        <w:t>183</w:t>
      </w:r>
      <w:r>
        <w:rPr>
          <w:rFonts w:hint="eastAsia" w:ascii="仿宋_GB2312" w:hAnsi="仿宋_GB2312" w:eastAsia="仿宋_GB2312" w:cs="仿宋_GB2312"/>
          <w:sz w:val="32"/>
          <w:szCs w:val="32"/>
          <w:lang w:eastAsia="zh-CN"/>
        </w:rPr>
        <w:t>人，内容为市服务中心事业单位人员培训、市本级转业军官安置培训、全市退役军人数据核查培训、全市网评员培训、全市系统财务人员培训；</w:t>
      </w:r>
      <w:r>
        <w:rPr>
          <w:rFonts w:hint="eastAsia" w:ascii="仿宋_GB2312" w:hAnsi="仿宋_GB2312" w:eastAsia="仿宋_GB2312" w:cs="仿宋_GB2312"/>
          <w:sz w:val="32"/>
          <w:szCs w:val="32"/>
          <w:lang w:val="en-US" w:eastAsia="zh-CN"/>
        </w:rPr>
        <w:t>未举办节庆、晚会、论坛、赛事等活动</w:t>
      </w:r>
      <w:r>
        <w:rPr>
          <w:rFonts w:hint="eastAsia" w:ascii="仿宋_GB2312" w:hAnsi="仿宋_GB2312" w:eastAsia="仿宋_GB2312" w:cs="仿宋_GB2312"/>
          <w:sz w:val="32"/>
          <w:szCs w:val="32"/>
          <w:lang w:eastAsia="zh-CN"/>
        </w:rPr>
        <w:t>。</w:t>
      </w:r>
    </w:p>
    <w:p>
      <w:pPr>
        <w:pStyle w:val="11"/>
        <w:ind w:firstLine="640" w:firstLineChars="200"/>
        <w:rPr>
          <w:rFonts w:hAnsi="黑体"/>
          <w:b w:val="0"/>
          <w:bCs/>
          <w:sz w:val="32"/>
          <w:szCs w:val="32"/>
        </w:rPr>
      </w:pPr>
      <w:r>
        <w:rPr>
          <w:rFonts w:hint="eastAsia" w:hAnsi="黑体"/>
          <w:b w:val="0"/>
          <w:bCs/>
          <w:sz w:val="32"/>
          <w:szCs w:val="32"/>
        </w:rPr>
        <w:t>十一、政府采购支出说明</w:t>
      </w:r>
    </w:p>
    <w:p>
      <w:pPr>
        <w:pStyle w:val="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本部门2021年度政府采购支出总额</w:t>
      </w:r>
      <w:r>
        <w:rPr>
          <w:rFonts w:hint="eastAsia" w:ascii="仿宋_GB2312" w:hAnsi="仿宋_GB2312" w:eastAsia="仿宋_GB2312" w:cs="仿宋_GB2312"/>
          <w:sz w:val="32"/>
          <w:szCs w:val="32"/>
          <w:lang w:val="en-US" w:eastAsia="zh-CN"/>
        </w:rPr>
        <w:t>150.12</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116.4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0.27</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33.45</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150.12</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万元，占授予中小企业合同金额的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11"/>
        <w:ind w:firstLine="640" w:firstLineChars="200"/>
        <w:rPr>
          <w:rFonts w:hint="eastAsia" w:ascii="黑体" w:hAnsi="黑体" w:eastAsia="黑体" w:cs="黑体"/>
          <w:b w:val="0"/>
          <w:bCs/>
          <w:sz w:val="32"/>
          <w:szCs w:val="32"/>
        </w:rPr>
      </w:pPr>
      <w:r>
        <w:rPr>
          <w:rFonts w:hint="eastAsia" w:ascii="黑体" w:hAnsi="黑体" w:eastAsia="黑体" w:cs="黑体"/>
          <w:b w:val="0"/>
          <w:bCs/>
          <w:sz w:val="32"/>
          <w:szCs w:val="32"/>
        </w:rPr>
        <w:t>十二、国有资产占用情况说明</w:t>
      </w:r>
    </w:p>
    <w:p>
      <w:pPr>
        <w:pStyle w:val="11"/>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截至2021年12月31日，</w:t>
      </w:r>
      <w:r>
        <w:rPr>
          <w:rFonts w:hint="eastAsia" w:ascii="仿宋_GB2312" w:hAnsi="仿宋_GB2312" w:eastAsia="仿宋_GB2312" w:cs="仿宋_GB2312"/>
          <w:sz w:val="32"/>
          <w:szCs w:val="32"/>
          <w:lang w:eastAsia="zh-CN"/>
        </w:rPr>
        <w:t>本</w:t>
      </w:r>
      <w:r>
        <w:rPr>
          <w:rFonts w:hint="eastAsia" w:ascii="仿宋_GB2312" w:hAnsi="仿宋_GB2312" w:eastAsia="仿宋_GB2312" w:cs="仿宋_GB2312"/>
          <w:sz w:val="32"/>
          <w:szCs w:val="32"/>
        </w:rPr>
        <w:t>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辆，其中，主要领导干部用车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辆、执法执勤用车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辆、特种专业技术用车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单位价值50万元以上通用设备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台（套）；单位价值100万元以上专用设备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pStyle w:val="11"/>
        <w:ind w:firstLine="640" w:firstLineChars="200"/>
        <w:rPr>
          <w:rFonts w:hAnsi="黑体"/>
          <w:b w:val="0"/>
          <w:bCs/>
          <w:sz w:val="32"/>
          <w:szCs w:val="32"/>
        </w:rPr>
      </w:pPr>
      <w:r>
        <w:rPr>
          <w:rFonts w:hint="eastAsia" w:hAnsi="黑体"/>
          <w:b w:val="0"/>
          <w:bCs/>
          <w:sz w:val="32"/>
          <w:szCs w:val="32"/>
        </w:rPr>
        <w:t>十三、2021年度预算绩效情况说明</w:t>
      </w:r>
    </w:p>
    <w:p>
      <w:pPr>
        <w:autoSpaceDE w:val="0"/>
        <w:autoSpaceDN w:val="0"/>
        <w:adjustRightInd w:val="0"/>
        <w:ind w:firstLine="640" w:firstLineChars="200"/>
        <w:jc w:val="left"/>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b/>
          <w:color w:val="000000"/>
          <w:kern w:val="0"/>
          <w:sz w:val="32"/>
          <w:szCs w:val="32"/>
        </w:rPr>
        <w:t>（1）绩效管理评价工作开展情况</w:t>
      </w:r>
      <w:r>
        <w:rPr>
          <w:rFonts w:hint="eastAsia" w:ascii="楷体_GB2312" w:hAnsi="楷体_GB2312" w:eastAsia="楷体_GB2312" w:cs="楷体_GB2312"/>
          <w:color w:val="000000"/>
          <w:kern w:val="0"/>
          <w:sz w:val="32"/>
          <w:szCs w:val="32"/>
        </w:rPr>
        <w:t>。</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highlight w:val="none"/>
        </w:rPr>
        <w:t>根据预算绩效管理要求，我部门</w:t>
      </w:r>
      <w:r>
        <w:rPr>
          <w:rFonts w:hint="eastAsia" w:ascii="仿宋_GB2312" w:hAnsi="仿宋_GB2312" w:eastAsia="仿宋_GB2312" w:cs="仿宋_GB2312"/>
          <w:color w:val="000000"/>
          <w:kern w:val="0"/>
          <w:sz w:val="32"/>
          <w:szCs w:val="32"/>
          <w:highlight w:val="none"/>
          <w:lang w:eastAsia="zh-CN"/>
        </w:rPr>
        <w:t>（单位）</w:t>
      </w:r>
      <w:r>
        <w:rPr>
          <w:rFonts w:hint="eastAsia" w:ascii="仿宋_GB2312" w:hAnsi="仿宋_GB2312" w:eastAsia="仿宋_GB2312" w:cs="仿宋_GB2312"/>
          <w:color w:val="000000"/>
          <w:kern w:val="0"/>
          <w:sz w:val="32"/>
          <w:szCs w:val="32"/>
          <w:highlight w:val="none"/>
        </w:rPr>
        <w:t>组织对2021年度一般公共预算</w:t>
      </w:r>
      <w:r>
        <w:rPr>
          <w:rFonts w:hint="eastAsia" w:ascii="仿宋_GB2312" w:hAnsi="仿宋_GB2312" w:eastAsia="仿宋_GB2312" w:cs="仿宋_GB2312"/>
          <w:color w:val="000000"/>
          <w:kern w:val="0"/>
          <w:sz w:val="32"/>
          <w:szCs w:val="32"/>
          <w:highlight w:val="none"/>
          <w:lang w:eastAsia="zh-CN"/>
        </w:rPr>
        <w:t>市本级安排</w:t>
      </w:r>
      <w:r>
        <w:rPr>
          <w:rFonts w:hint="eastAsia" w:ascii="仿宋_GB2312" w:hAnsi="仿宋_GB2312" w:eastAsia="仿宋_GB2312" w:cs="仿宋_GB2312"/>
          <w:color w:val="000000"/>
          <w:kern w:val="0"/>
          <w:sz w:val="32"/>
          <w:szCs w:val="32"/>
          <w:highlight w:val="none"/>
        </w:rPr>
        <w:t>项目支出全面开展绩效自评，其中，一级项目</w:t>
      </w: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个，二级项目</w:t>
      </w:r>
      <w:r>
        <w:rPr>
          <w:rFonts w:hint="eastAsia" w:ascii="仿宋_GB2312" w:hAnsi="仿宋_GB2312" w:eastAsia="仿宋_GB2312" w:cs="仿宋_GB2312"/>
          <w:color w:val="000000"/>
          <w:kern w:val="0"/>
          <w:sz w:val="32"/>
          <w:szCs w:val="32"/>
          <w:highlight w:val="none"/>
          <w:lang w:val="en-US" w:eastAsia="zh-CN"/>
        </w:rPr>
        <w:t>0</w:t>
      </w:r>
      <w:r>
        <w:rPr>
          <w:rFonts w:hint="eastAsia" w:ascii="仿宋_GB2312" w:hAnsi="仿宋_GB2312" w:eastAsia="仿宋_GB2312" w:cs="仿宋_GB2312"/>
          <w:color w:val="000000"/>
          <w:kern w:val="0"/>
          <w:sz w:val="32"/>
          <w:szCs w:val="32"/>
          <w:highlight w:val="none"/>
        </w:rPr>
        <w:t xml:space="preserve"> 个，共涉及资金</w:t>
      </w:r>
      <w:r>
        <w:rPr>
          <w:rFonts w:hint="eastAsia" w:ascii="仿宋_GB2312" w:hAnsi="仿宋_GB2312" w:eastAsia="仿宋_GB2312" w:cs="仿宋_GB2312"/>
          <w:color w:val="000000"/>
          <w:kern w:val="0"/>
          <w:sz w:val="32"/>
          <w:szCs w:val="32"/>
          <w:highlight w:val="none"/>
          <w:lang w:val="en-US" w:eastAsia="zh-CN"/>
        </w:rPr>
        <w:t>11.9</w:t>
      </w:r>
      <w:r>
        <w:rPr>
          <w:rFonts w:hint="eastAsia" w:ascii="仿宋_GB2312" w:hAnsi="仿宋_GB2312" w:eastAsia="仿宋_GB2312" w:cs="仿宋_GB2312"/>
          <w:color w:val="000000"/>
          <w:kern w:val="0"/>
          <w:sz w:val="32"/>
          <w:szCs w:val="32"/>
          <w:highlight w:val="none"/>
        </w:rPr>
        <w:t>万元，占</w:t>
      </w:r>
      <w:r>
        <w:rPr>
          <w:rFonts w:hint="eastAsia" w:ascii="仿宋_GB2312" w:hAnsi="仿宋_GB2312" w:eastAsia="仿宋_GB2312" w:cs="仿宋_GB2312"/>
          <w:color w:val="000000"/>
          <w:kern w:val="0"/>
          <w:sz w:val="32"/>
          <w:szCs w:val="32"/>
          <w:highlight w:val="none"/>
          <w:lang w:eastAsia="zh-CN"/>
        </w:rPr>
        <w:t>市本级安排</w:t>
      </w:r>
      <w:r>
        <w:rPr>
          <w:rFonts w:hint="eastAsia" w:ascii="仿宋_GB2312" w:hAnsi="仿宋_GB2312" w:eastAsia="仿宋_GB2312" w:cs="仿宋_GB2312"/>
          <w:color w:val="000000"/>
          <w:kern w:val="0"/>
          <w:sz w:val="32"/>
          <w:szCs w:val="32"/>
        </w:rPr>
        <w:t>一般公共预算项目支出总额的</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%。组织对2021年度等</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个政府性基金预算项目支出开展绩效自评，共涉及资金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万元，占政府性基金预算项目支出总额的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%。组织对2021年度等</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个国有资本经营预算项目支出开展绩效自评，共涉及资金</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万元，占国有资本经营预算项目支出总额的</w:t>
      </w:r>
      <w:r>
        <w:rPr>
          <w:rFonts w:hint="eastAsia" w:ascii="仿宋_GB2312" w:hAnsi="仿宋_GB2312" w:eastAsia="仿宋_GB2312" w:cs="仿宋_GB2312"/>
          <w:color w:val="000000"/>
          <w:kern w:val="0"/>
          <w:sz w:val="32"/>
          <w:szCs w:val="32"/>
          <w:lang w:val="en-US" w:eastAsia="zh-CN"/>
        </w:rPr>
        <w:t>0</w:t>
      </w:r>
      <w:r>
        <w:rPr>
          <w:rFonts w:hint="eastAsia" w:ascii="仿宋_GB2312" w:hAnsi="仿宋_GB2312" w:eastAsia="仿宋_GB2312" w:cs="仿宋_GB2312"/>
          <w:color w:val="000000"/>
          <w:kern w:val="0"/>
          <w:sz w:val="32"/>
          <w:szCs w:val="32"/>
        </w:rPr>
        <w:t>%。</w:t>
      </w:r>
    </w:p>
    <w:p>
      <w:pPr>
        <w:autoSpaceDE w:val="0"/>
        <w:autoSpaceDN w:val="0"/>
        <w:adjustRightInd w:val="0"/>
        <w:ind w:firstLine="640" w:firstLineChars="200"/>
        <w:jc w:val="left"/>
        <w:rPr>
          <w:rFonts w:hint="eastAsia" w:ascii="仿宋_GB2312" w:hAnsi="仿宋_GB2312" w:eastAsia="仿宋_GB2312" w:cs="仿宋_GB2312"/>
          <w:b w:val="0"/>
          <w:bCs w:val="0"/>
          <w:color w:val="auto"/>
          <w:kern w:val="0"/>
          <w:sz w:val="32"/>
          <w:szCs w:val="32"/>
          <w:lang w:val="en" w:eastAsia="zh-CN"/>
        </w:rPr>
      </w:pPr>
      <w:r>
        <w:rPr>
          <w:rFonts w:hint="eastAsia" w:ascii="仿宋_GB2312" w:hAnsi="仿宋_GB2312" w:eastAsia="仿宋_GB2312" w:cs="仿宋_GB2312"/>
          <w:b w:val="0"/>
          <w:bCs w:val="0"/>
          <w:color w:val="auto"/>
          <w:kern w:val="0"/>
          <w:sz w:val="32"/>
          <w:szCs w:val="32"/>
          <w:lang w:val="en" w:eastAsia="zh-CN"/>
        </w:rPr>
        <w:t>本单位无所属二级单位，已开展项目绩效自评，无需开展部门评价。</w:t>
      </w:r>
    </w:p>
    <w:p>
      <w:pPr>
        <w:pStyle w:val="2"/>
        <w:ind w:firstLine="640" w:firstLineChars="200"/>
        <w:rPr>
          <w:rFonts w:hint="eastAsia"/>
          <w:highlight w:val="none"/>
          <w:lang w:val="en" w:eastAsia="zh-CN"/>
        </w:rPr>
      </w:pPr>
      <w:r>
        <w:rPr>
          <w:rFonts w:hint="eastAsia" w:ascii="仿宋_GB2312" w:hAnsi="仿宋_GB2312" w:eastAsia="仿宋_GB2312" w:cs="仿宋_GB2312"/>
          <w:color w:val="000000"/>
          <w:kern w:val="0"/>
          <w:sz w:val="32"/>
          <w:szCs w:val="32"/>
        </w:rPr>
        <w:t>组织</w:t>
      </w:r>
      <w:r>
        <w:rPr>
          <w:rFonts w:hint="eastAsia" w:ascii="仿宋_GB2312" w:hAnsi="仿宋_GB2312" w:eastAsia="仿宋_GB2312" w:cs="仿宋_GB2312"/>
          <w:color w:val="000000"/>
          <w:kern w:val="0"/>
          <w:sz w:val="32"/>
          <w:szCs w:val="32"/>
          <w:highlight w:val="none"/>
        </w:rPr>
        <w:t>对</w:t>
      </w:r>
      <w:r>
        <w:rPr>
          <w:rFonts w:hint="eastAsia" w:ascii="仿宋_GB2312" w:hAnsi="仿宋_GB2312" w:eastAsia="仿宋_GB2312" w:cs="仿宋_GB2312"/>
          <w:color w:val="000000"/>
          <w:kern w:val="0"/>
          <w:sz w:val="32"/>
          <w:szCs w:val="32"/>
          <w:highlight w:val="none"/>
          <w:lang w:eastAsia="zh-CN"/>
        </w:rPr>
        <w:t>永州市退役军人事务局</w:t>
      </w:r>
      <w:r>
        <w:rPr>
          <w:rFonts w:hint="eastAsia" w:ascii="仿宋_GB2312" w:hAnsi="仿宋_GB2312" w:eastAsia="仿宋_GB2312" w:cs="仿宋_GB2312"/>
          <w:color w:val="000000"/>
          <w:kern w:val="0"/>
          <w:sz w:val="32"/>
          <w:szCs w:val="32"/>
          <w:highlight w:val="none"/>
        </w:rPr>
        <w:t>开展整体支出绩效评价，</w:t>
      </w:r>
      <w:r>
        <w:rPr>
          <w:rFonts w:hint="eastAsia" w:ascii="仿宋_GB2312" w:hAnsi="仿宋_GB2312" w:eastAsia="仿宋_GB2312" w:cs="仿宋_GB2312"/>
          <w:color w:val="000000"/>
          <w:kern w:val="0"/>
          <w:sz w:val="32"/>
          <w:szCs w:val="32"/>
          <w:highlight w:val="none"/>
          <w:lang w:val="en-US" w:eastAsia="zh-CN" w:bidi="ar-SA"/>
        </w:rPr>
        <w:t>涉及一般公共预算支出1131.11万元，政府性基金预算支出0万元。从评价情况来看，完成年初设定的绩效目标，整体支出绩效自评得分为100分。</w:t>
      </w:r>
    </w:p>
    <w:p>
      <w:pPr>
        <w:autoSpaceDE w:val="0"/>
        <w:autoSpaceDN w:val="0"/>
        <w:adjustRightInd w:val="0"/>
        <w:ind w:firstLine="640" w:firstLineChars="200"/>
        <w:jc w:val="left"/>
        <w:rPr>
          <w:rFonts w:hint="eastAsia" w:ascii="仿宋_GB2312" w:hAnsi="仿宋_GB2312" w:eastAsia="仿宋_GB2312" w:cs="仿宋_GB2312"/>
          <w:b/>
          <w:color w:val="000000"/>
          <w:kern w:val="0"/>
          <w:sz w:val="32"/>
          <w:szCs w:val="32"/>
        </w:rPr>
      </w:pPr>
      <w:r>
        <w:rPr>
          <w:rFonts w:hint="eastAsia" w:ascii="仿宋_GB2312" w:hAnsi="仿宋_GB2312" w:eastAsia="仿宋_GB2312" w:cs="仿宋_GB2312"/>
          <w:b/>
          <w:color w:val="000000"/>
          <w:kern w:val="0"/>
          <w:sz w:val="32"/>
          <w:szCs w:val="32"/>
        </w:rPr>
        <w:t>（2）部门决算中项目绩效自评结果。</w:t>
      </w:r>
    </w:p>
    <w:p>
      <w:pPr>
        <w:autoSpaceDE w:val="0"/>
        <w:autoSpaceDN w:val="0"/>
        <w:adjustRightInd w:val="0"/>
        <w:ind w:firstLine="640" w:firstLineChars="200"/>
        <w:jc w:val="left"/>
        <w:rPr>
          <w:rFonts w:hint="eastAsia" w:eastAsia="仿宋_GB2312"/>
          <w:highlight w:val="none"/>
          <w:lang w:eastAsia="zh-CN"/>
        </w:rPr>
      </w:pPr>
      <w:r>
        <w:rPr>
          <w:rFonts w:hint="eastAsia" w:ascii="仿宋_GB2312" w:hAnsi="仿宋_GB2312" w:eastAsia="仿宋_GB2312" w:cs="仿宋_GB2312"/>
          <w:color w:val="000000"/>
          <w:kern w:val="0"/>
          <w:sz w:val="32"/>
          <w:szCs w:val="32"/>
          <w:lang w:eastAsia="zh-CN"/>
        </w:rPr>
        <w:t>待安置期间退役士兵生活助</w:t>
      </w:r>
      <w:r>
        <w:rPr>
          <w:rFonts w:hint="eastAsia" w:ascii="仿宋_GB2312" w:hAnsi="仿宋_GB2312" w:eastAsia="仿宋_GB2312" w:cs="仿宋_GB2312"/>
          <w:color w:val="000000"/>
          <w:kern w:val="0"/>
          <w:sz w:val="32"/>
          <w:szCs w:val="32"/>
        </w:rPr>
        <w:t>项目绩效自评综述：根据年初设定的绩效目标，项目绩效自评得分为</w:t>
      </w:r>
      <w:r>
        <w:rPr>
          <w:rFonts w:hint="eastAsia" w:ascii="仿宋_GB2312" w:hAnsi="仿宋_GB2312" w:eastAsia="仿宋_GB2312" w:cs="仿宋_GB2312"/>
          <w:color w:val="000000"/>
          <w:kern w:val="0"/>
          <w:sz w:val="32"/>
          <w:szCs w:val="32"/>
          <w:lang w:val="en-US" w:eastAsia="zh-CN"/>
        </w:rPr>
        <w:t>100</w:t>
      </w:r>
      <w:r>
        <w:rPr>
          <w:rFonts w:hint="eastAsia" w:ascii="仿宋_GB2312" w:hAnsi="仿宋_GB2312" w:eastAsia="仿宋_GB2312" w:cs="仿宋_GB2312"/>
          <w:color w:val="000000"/>
          <w:kern w:val="0"/>
          <w:sz w:val="32"/>
          <w:szCs w:val="32"/>
        </w:rPr>
        <w:t xml:space="preserve"> 分。项目全年预算数为</w:t>
      </w:r>
      <w:r>
        <w:rPr>
          <w:rFonts w:hint="eastAsia" w:ascii="仿宋_GB2312" w:hAnsi="仿宋_GB2312" w:eastAsia="仿宋_GB2312" w:cs="仿宋_GB2312"/>
          <w:color w:val="000000"/>
          <w:kern w:val="0"/>
          <w:sz w:val="32"/>
          <w:szCs w:val="32"/>
          <w:lang w:val="en-US" w:eastAsia="zh-CN"/>
        </w:rPr>
        <w:t>11.9</w:t>
      </w:r>
      <w:r>
        <w:rPr>
          <w:rFonts w:hint="eastAsia" w:ascii="仿宋_GB2312" w:hAnsi="仿宋_GB2312" w:eastAsia="仿宋_GB2312" w:cs="仿宋_GB2312"/>
          <w:color w:val="000000"/>
          <w:kern w:val="0"/>
          <w:sz w:val="32"/>
          <w:szCs w:val="32"/>
        </w:rPr>
        <w:t>万元，执行数为</w:t>
      </w:r>
      <w:r>
        <w:rPr>
          <w:rFonts w:hint="eastAsia" w:ascii="仿宋_GB2312" w:hAnsi="仿宋_GB2312" w:eastAsia="仿宋_GB2312" w:cs="仿宋_GB2312"/>
          <w:color w:val="000000"/>
          <w:kern w:val="0"/>
          <w:sz w:val="32"/>
          <w:szCs w:val="32"/>
          <w:lang w:val="en-US" w:eastAsia="zh-CN"/>
        </w:rPr>
        <w:t>11.88</w:t>
      </w:r>
      <w:r>
        <w:rPr>
          <w:rFonts w:hint="eastAsia" w:ascii="仿宋_GB2312" w:hAnsi="仿宋_GB2312" w:eastAsia="仿宋_GB2312" w:cs="仿宋_GB2312"/>
          <w:color w:val="000000"/>
          <w:kern w:val="0"/>
          <w:sz w:val="32"/>
          <w:szCs w:val="32"/>
        </w:rPr>
        <w:t>万元，完成预算的</w:t>
      </w:r>
      <w:r>
        <w:rPr>
          <w:rFonts w:hint="eastAsia" w:ascii="仿宋_GB2312" w:hAnsi="仿宋_GB2312" w:eastAsia="仿宋_GB2312" w:cs="仿宋_GB2312"/>
          <w:color w:val="000000"/>
          <w:kern w:val="0"/>
          <w:sz w:val="32"/>
          <w:szCs w:val="32"/>
          <w:lang w:val="en-US" w:eastAsia="zh-CN"/>
        </w:rPr>
        <w:t>99.83</w:t>
      </w:r>
      <w:r>
        <w:rPr>
          <w:rFonts w:hint="eastAsia" w:ascii="仿宋_GB2312" w:hAnsi="仿宋_GB2312" w:eastAsia="仿宋_GB2312" w:cs="仿宋_GB2312"/>
          <w:color w:val="000000"/>
          <w:kern w:val="0"/>
          <w:sz w:val="32"/>
          <w:szCs w:val="32"/>
        </w:rPr>
        <w:t>%。项目绩效目标完成情况：</w:t>
      </w:r>
      <w:r>
        <w:rPr>
          <w:rFonts w:hint="eastAsia" w:ascii="仿宋_GB2312" w:hAnsi="仿宋_GB2312" w:eastAsia="仿宋_GB2312" w:cs="仿宋_GB2312"/>
          <w:color w:val="000000"/>
          <w:kern w:val="0"/>
          <w:sz w:val="32"/>
          <w:szCs w:val="32"/>
          <w:lang w:eastAsia="zh-CN"/>
        </w:rPr>
        <w:t>完成</w:t>
      </w:r>
      <w:r>
        <w:rPr>
          <w:rFonts w:hint="eastAsia" w:ascii="仿宋_GB2312" w:hAnsi="仿宋_GB2312" w:eastAsia="仿宋_GB2312" w:cs="仿宋_GB2312"/>
          <w:color w:val="000000"/>
          <w:kern w:val="0"/>
          <w:sz w:val="32"/>
          <w:szCs w:val="32"/>
        </w:rPr>
        <w:t>待安置期间退役士兵生活补助发放</w:t>
      </w:r>
      <w:r>
        <w:rPr>
          <w:rFonts w:hint="eastAsia" w:ascii="仿宋_GB2312" w:hAnsi="仿宋_GB2312" w:eastAsia="仿宋_GB2312" w:cs="仿宋_GB2312"/>
          <w:color w:val="000000"/>
          <w:kern w:val="0"/>
          <w:sz w:val="32"/>
          <w:szCs w:val="32"/>
          <w:highlight w:val="none"/>
        </w:rPr>
        <w:t>工作。发现的主要问题及原因：</w:t>
      </w:r>
      <w:r>
        <w:rPr>
          <w:rFonts w:hint="eastAsia" w:ascii="仿宋_GB2312" w:hAnsi="仿宋_GB2312" w:eastAsia="仿宋_GB2312" w:cs="仿宋_GB2312"/>
          <w:color w:val="000000"/>
          <w:kern w:val="0"/>
          <w:sz w:val="32"/>
          <w:szCs w:val="32"/>
          <w:highlight w:val="none"/>
          <w:lang w:eastAsia="zh-CN"/>
        </w:rPr>
        <w:t>无</w:t>
      </w:r>
      <w:r>
        <w:rPr>
          <w:rFonts w:hint="eastAsia" w:ascii="仿宋_GB2312" w:hAnsi="仿宋_GB2312" w:eastAsia="仿宋_GB2312" w:cs="仿宋_GB2312"/>
          <w:color w:val="000000"/>
          <w:kern w:val="0"/>
          <w:sz w:val="32"/>
          <w:szCs w:val="32"/>
          <w:highlight w:val="none"/>
          <w:lang w:val="en-US" w:eastAsia="zh-CN"/>
        </w:rPr>
        <w:t>，</w:t>
      </w:r>
      <w:r>
        <w:rPr>
          <w:rFonts w:hint="eastAsia" w:ascii="仿宋_GB2312" w:hAnsi="仿宋_GB2312" w:eastAsia="仿宋_GB2312" w:cs="仿宋_GB2312"/>
          <w:color w:val="000000"/>
          <w:kern w:val="0"/>
          <w:sz w:val="32"/>
          <w:szCs w:val="32"/>
          <w:highlight w:val="none"/>
        </w:rPr>
        <w:t>下一步改进措施：</w:t>
      </w:r>
      <w:r>
        <w:rPr>
          <w:rFonts w:hint="eastAsia" w:ascii="仿宋_GB2312" w:hAnsi="仿宋_GB2312" w:eastAsia="仿宋_GB2312" w:cs="仿宋_GB2312"/>
          <w:color w:val="000000"/>
          <w:kern w:val="0"/>
          <w:sz w:val="32"/>
          <w:szCs w:val="32"/>
          <w:highlight w:val="none"/>
          <w:lang w:eastAsia="zh-CN"/>
        </w:rPr>
        <w:t>无。</w:t>
      </w:r>
    </w:p>
    <w:p>
      <w:pPr>
        <w:autoSpaceDE w:val="0"/>
        <w:autoSpaceDN w:val="0"/>
        <w:adjustRightInd w:val="0"/>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（3）部门评价项目绩效评价结果。</w:t>
      </w:r>
    </w:p>
    <w:p>
      <w:pPr>
        <w:pStyle w:val="11"/>
        <w:ind w:firstLine="640" w:firstLineChars="200"/>
        <w:jc w:val="left"/>
        <w:rPr>
          <w:sz w:val="72"/>
          <w:szCs w:val="72"/>
        </w:rPr>
      </w:pPr>
      <w:r>
        <w:rPr>
          <w:rFonts w:hint="eastAsia" w:ascii="仿宋_GB2312" w:hAnsi="仿宋_GB2312" w:eastAsia="仿宋_GB2312" w:cs="仿宋_GB2312"/>
          <w:b w:val="0"/>
          <w:bCs w:val="0"/>
          <w:color w:val="auto"/>
          <w:kern w:val="0"/>
          <w:sz w:val="32"/>
          <w:szCs w:val="32"/>
          <w:lang w:val="en" w:eastAsia="zh-CN"/>
        </w:rPr>
        <w:t>本单位无所属二级单位，已开展项目绩效自评，无需开展部门评价，因此无</w:t>
      </w:r>
      <w:r>
        <w:rPr>
          <w:rFonts w:hint="eastAsia" w:ascii="仿宋_GB2312" w:hAnsi="仿宋_GB2312" w:eastAsia="仿宋_GB2312" w:cs="仿宋_GB2312"/>
          <w:b w:val="0"/>
          <w:bCs w:val="0"/>
          <w:color w:val="auto"/>
          <w:kern w:val="0"/>
          <w:sz w:val="32"/>
          <w:szCs w:val="32"/>
          <w:lang w:val="en-US" w:eastAsia="zh-CN"/>
        </w:rPr>
        <w:t>部门评价项目绩效评价结果。</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rPr>
          <w:sz w:val="72"/>
          <w:szCs w:val="72"/>
        </w:rPr>
      </w:pPr>
    </w:p>
    <w:p>
      <w:pPr>
        <w:pStyle w:val="11"/>
        <w:rPr>
          <w:sz w:val="72"/>
          <w:szCs w:val="72"/>
        </w:rPr>
      </w:pPr>
    </w:p>
    <w:p>
      <w:pPr>
        <w:pStyle w:val="11"/>
        <w:jc w:val="center"/>
        <w:rPr>
          <w:sz w:val="72"/>
          <w:szCs w:val="72"/>
        </w:rPr>
      </w:pPr>
    </w:p>
    <w:p>
      <w:pPr>
        <w:pStyle w:val="11"/>
        <w:jc w:val="both"/>
        <w:rPr>
          <w:rFonts w:hint="eastAsia" w:ascii="方正小标宋_GBK" w:hAnsi="方正小标宋_GBK" w:eastAsia="方正小标宋_GBK" w:cs="方正小标宋_GBK"/>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pStyle w:val="11"/>
        <w:jc w:val="center"/>
        <w:rPr>
          <w:rFonts w:ascii="黑体" w:eastAsia="黑体" w:cs="黑体"/>
          <w:color w:val="000000"/>
          <w:kern w:val="0"/>
          <w:sz w:val="70"/>
          <w:szCs w:val="70"/>
        </w:rPr>
      </w:pPr>
      <w:r>
        <w:rPr>
          <w:rFonts w:hint="eastAsia" w:ascii="方正小标宋_GBK" w:hAnsi="方正小标宋_GBK" w:eastAsia="方正小标宋_GBK" w:cs="方正小标宋_GBK"/>
          <w:sz w:val="72"/>
          <w:szCs w:val="72"/>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widowControl/>
        <w:numPr>
          <w:ilvl w:val="0"/>
          <w:numId w:val="2"/>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财政拨款收入：指财政当年拨付的资金，主要包括一般公共预算财政拨款，政府性基金预算财政拨款，国有资本经营预算财政拨款。</w:t>
      </w:r>
    </w:p>
    <w:p>
      <w:pPr>
        <w:widowControl/>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二、上级补助收入：指事业单位从主管部门和上级单位取得的非财政补助收入。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三、事业收入：指事业单位开展专业业务活动及辅助活动所取得的收入。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四、经营收入：指事业单位在专业业务活动及其辅助活动之外开展非独立核算经营活动取得的收入。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五、附属单位上缴收入：指事业单位附属独立核算单位按照有关规定上缴的收入。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六、其他收入：指除上述“财政拨款收入”、“事业收入”、“经营收入”等以外的收入。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七、基本支出：指为保障机构正常运转、完成日常工作任务而发生的各项支出，包括人员支出和公用支出。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八、项目支出：指在基本支出以外为完成相关行政任务和事业发展目标所发生的各项支出。  </w:t>
      </w:r>
    </w:p>
    <w:p>
      <w:pPr>
        <w:widowControl/>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九、“三公”经费：指通过财政拨款资金安排的因公出国（境）费、公务用车购置及运行费和公务接待费支出。  </w:t>
      </w:r>
    </w:p>
    <w:p>
      <w:pPr>
        <w:widowControl/>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lang w:val="en-US" w:eastAsia="zh-CN"/>
        </w:rPr>
        <w:t>十、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sz w:val="72"/>
          <w:szCs w:val="72"/>
        </w:rPr>
      </w:pP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第五部分</w:t>
      </w:r>
    </w:p>
    <w:p>
      <w:pPr>
        <w:pStyle w:val="11"/>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附件</w:t>
      </w:r>
    </w:p>
    <w:p>
      <w:pPr>
        <w:spacing w:line="600" w:lineRule="exact"/>
        <w:ind w:left="638" w:leftChars="304" w:firstLine="0" w:firstLineChars="0"/>
        <w:jc w:val="left"/>
        <w:rPr>
          <w:rFonts w:hint="eastAsia" w:ascii="仿宋_GB2312" w:hAnsi="仿宋_GB2312" w:eastAsia="仿宋_GB2312" w:cs="仿宋_GB2312"/>
          <w:color w:val="FF0000"/>
          <w:sz w:val="32"/>
          <w:szCs w:val="32"/>
          <w:lang w:eastAsia="zh-CN"/>
        </w:rPr>
      </w:pPr>
    </w:p>
    <w:p>
      <w:pPr>
        <w:widowControl/>
        <w:jc w:val="left"/>
        <w:rPr>
          <w:rFonts w:hint="eastAsia" w:ascii="方正小标宋简体" w:eastAsia="方正小标宋简体"/>
          <w:sz w:val="52"/>
          <w:szCs w:val="52"/>
        </w:rPr>
      </w:pPr>
      <w:r>
        <w:rPr>
          <w:rFonts w:ascii="黑体" w:eastAsia="黑体" w:cs="黑体"/>
          <w:color w:val="000000"/>
          <w:kern w:val="0"/>
          <w:sz w:val="70"/>
          <w:szCs w:val="70"/>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Times New Roman"/>
          <w:color w:val="000000"/>
          <w:sz w:val="52"/>
          <w:szCs w:val="52"/>
          <w:lang w:eastAsia="zh-CN"/>
        </w:rPr>
      </w:pPr>
      <w:r>
        <w:rPr>
          <w:rFonts w:hint="eastAsia" w:ascii="方正小标宋简体" w:eastAsia="方正小标宋简体"/>
          <w:sz w:val="52"/>
          <w:szCs w:val="52"/>
        </w:rPr>
        <w:t>2021年度</w:t>
      </w:r>
      <w:r>
        <w:rPr>
          <w:rFonts w:hint="eastAsia" w:ascii="方正小标宋简体" w:hAnsi="Calibri" w:eastAsia="方正小标宋简体" w:cs="Times New Roman"/>
          <w:color w:val="000000"/>
          <w:sz w:val="52"/>
          <w:szCs w:val="52"/>
          <w:lang w:eastAsia="zh-CN"/>
        </w:rPr>
        <w:t>永州市退役军人事务局</w:t>
      </w:r>
    </w:p>
    <w:p>
      <w:pPr>
        <w:jc w:val="center"/>
        <w:rPr>
          <w:rFonts w:hint="eastAsia" w:ascii="方正小标宋简体" w:eastAsia="方正小标宋简体"/>
          <w:sz w:val="52"/>
          <w:szCs w:val="52"/>
        </w:rPr>
      </w:pPr>
      <w:r>
        <w:rPr>
          <w:rFonts w:hint="eastAsia" w:ascii="方正小标宋简体" w:eastAsia="方正小标宋简体"/>
          <w:sz w:val="52"/>
          <w:szCs w:val="52"/>
        </w:rPr>
        <w:t>整体支出绩效自评报告</w:t>
      </w:r>
    </w:p>
    <w:p>
      <w:pPr>
        <w:numPr>
          <w:ilvl w:val="0"/>
          <w:numId w:val="3"/>
        </w:numPr>
        <w:spacing w:line="580" w:lineRule="exact"/>
        <w:ind w:firstLine="640" w:firstLineChars="200"/>
        <w:rPr>
          <w:rFonts w:eastAsia="黑体"/>
          <w:sz w:val="32"/>
          <w:szCs w:val="32"/>
        </w:rPr>
      </w:pPr>
      <w:r>
        <w:rPr>
          <w:rFonts w:eastAsia="黑体"/>
          <w:sz w:val="32"/>
          <w:szCs w:val="32"/>
        </w:rPr>
        <w:t>基本情况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永州市退役军人事务局为永州市人民政府组成部门，负责永州市退役军人事务的正处级行政机关，是财政全额拨款、独立核算的市一级预算单位。单位内设办公室、军休科、安置和就业创业科、拥军优抚科、思想政治和权益维护科，规划财务科和机关党委7个职能科室，下辖一家非独立核算的全额拨款事业单位退役军人服务中心，202</w:t>
      </w:r>
      <w:r>
        <w:rPr>
          <w:rFonts w:hint="eastAsia" w:ascii="仿宋_GB2312" w:hAnsi="宋体" w:eastAsia="仿宋_GB2312" w:cs="Times New Roman"/>
          <w:color w:val="000000"/>
          <w:sz w:val="32"/>
          <w:szCs w:val="32"/>
          <w:lang w:val="en-US" w:eastAsia="zh-CN"/>
        </w:rPr>
        <w:t>1</w:t>
      </w:r>
      <w:r>
        <w:rPr>
          <w:rFonts w:hint="default" w:ascii="仿宋_GB2312" w:hAnsi="宋体" w:eastAsia="仿宋_GB2312" w:cs="Times New Roman"/>
          <w:color w:val="000000"/>
          <w:sz w:val="32"/>
          <w:szCs w:val="32"/>
          <w:lang w:val="en-US" w:eastAsia="zh-CN"/>
        </w:rPr>
        <w:t>年底在职</w:t>
      </w:r>
      <w:r>
        <w:rPr>
          <w:rFonts w:hint="eastAsia" w:ascii="仿宋_GB2312" w:hAnsi="宋体" w:eastAsia="仿宋_GB2312" w:cs="Times New Roman"/>
          <w:color w:val="000000"/>
          <w:sz w:val="32"/>
          <w:szCs w:val="32"/>
          <w:lang w:val="en-US" w:eastAsia="zh-CN"/>
        </w:rPr>
        <w:t>人员</w:t>
      </w:r>
      <w:r>
        <w:rPr>
          <w:rFonts w:hint="default" w:ascii="仿宋_GB2312" w:hAnsi="宋体" w:eastAsia="仿宋_GB2312" w:cs="Times New Roman"/>
          <w:color w:val="000000"/>
          <w:sz w:val="32"/>
          <w:szCs w:val="32"/>
          <w:lang w:val="en-US" w:eastAsia="zh-CN"/>
        </w:rPr>
        <w:t>3</w:t>
      </w:r>
      <w:r>
        <w:rPr>
          <w:rFonts w:hint="eastAsia" w:ascii="仿宋_GB2312" w:hAnsi="宋体" w:eastAsia="仿宋_GB2312" w:cs="Times New Roman"/>
          <w:color w:val="000000"/>
          <w:sz w:val="32"/>
          <w:szCs w:val="32"/>
          <w:lang w:val="en-US" w:eastAsia="zh-CN"/>
        </w:rPr>
        <w:t>3</w:t>
      </w:r>
      <w:r>
        <w:rPr>
          <w:rFonts w:hint="default" w:ascii="仿宋_GB2312" w:hAnsi="宋体" w:eastAsia="仿宋_GB2312" w:cs="Times New Roman"/>
          <w:color w:val="000000"/>
          <w:sz w:val="32"/>
          <w:szCs w:val="32"/>
          <w:lang w:val="en-US" w:eastAsia="zh-CN"/>
        </w:rPr>
        <w:t>人，其中行政人员18人，事业人员1</w:t>
      </w:r>
      <w:r>
        <w:rPr>
          <w:rFonts w:hint="eastAsia" w:ascii="仿宋_GB2312" w:hAnsi="宋体" w:eastAsia="仿宋_GB2312" w:cs="Times New Roman"/>
          <w:color w:val="000000"/>
          <w:sz w:val="32"/>
          <w:szCs w:val="32"/>
          <w:lang w:val="en-US" w:eastAsia="zh-CN"/>
        </w:rPr>
        <w:t>5</w:t>
      </w:r>
      <w:r>
        <w:rPr>
          <w:rFonts w:hint="default" w:ascii="仿宋_GB2312" w:hAnsi="宋体" w:eastAsia="仿宋_GB2312" w:cs="Times New Roman"/>
          <w:color w:val="000000"/>
          <w:sz w:val="32"/>
          <w:szCs w:val="32"/>
          <w:lang w:val="en-US" w:eastAsia="zh-CN"/>
        </w:rPr>
        <w:t>人。</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根据《永州市机构改革人员转隶工作方案》，将市民政局的退役军人优抚安置职责，市人力资源和社会保障局的军官转业安置职责，以及军队有关职责等整合，组建市退役军人事务局，作为市政府组成部门。主要职责是落实党中央、国务院、自治区党委、政府、市委及市政府关于退役军人工作的方针政策和决策部署，维护退役军人军属合法权益，做好安置转业，促进就业创业，让军人成为全社会尊崇的职业。</w:t>
      </w:r>
    </w:p>
    <w:p>
      <w:pPr>
        <w:pStyle w:val="12"/>
        <w:spacing w:line="58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2"/>
        <w:spacing w:line="580" w:lineRule="exact"/>
        <w:ind w:firstLine="64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（一）基本支出情况</w:t>
      </w:r>
    </w:p>
    <w:p>
      <w:pPr>
        <w:pStyle w:val="12"/>
        <w:spacing w:line="580" w:lineRule="exact"/>
        <w:ind w:firstLine="640"/>
        <w:rPr>
          <w:rFonts w:hint="eastAsia" w:ascii="楷体_GB2312" w:hAnsi="楷体_GB2312" w:eastAsia="楷体_GB2312" w:cs="楷体_GB2312"/>
          <w:b/>
          <w:bCs/>
          <w:sz w:val="32"/>
          <w:szCs w:val="32"/>
        </w:rPr>
      </w:pPr>
      <w:r>
        <w:rPr>
          <w:rFonts w:hint="eastAsia" w:ascii="仿宋_GB2312" w:hAnsi="宋体" w:eastAsia="仿宋_GB2312" w:cs="Times New Roman"/>
          <w:color w:val="000000"/>
          <w:sz w:val="32"/>
          <w:szCs w:val="32"/>
          <w:lang w:val="en-US" w:eastAsia="zh-CN"/>
        </w:rPr>
        <w:t>2021年市财政批复一般公共预算支出中基本支出预算461.67万元，年中追加48.68万元，上年结转结余1.6万元，全年一般公共预算基本支出511.98万元，其中工资福利支出431.43万元、商品和服务支出77.72万元、对个人和家庭的补助2.82万元。无年末基本支出结转结余。</w:t>
      </w:r>
    </w:p>
    <w:p>
      <w:pPr>
        <w:pStyle w:val="12"/>
        <w:spacing w:line="580" w:lineRule="exact"/>
        <w:ind w:firstLine="640"/>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（二）项目支出情况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2021年中央、省、市安排退役军人事务专项资金591.57万元，上</w:t>
      </w:r>
      <w:r>
        <w:rPr>
          <w:rFonts w:hint="default" w:ascii="仿宋_GB2312" w:hAnsi="宋体" w:eastAsia="仿宋_GB2312" w:cs="Times New Roman"/>
          <w:color w:val="000000"/>
          <w:sz w:val="32"/>
          <w:szCs w:val="32"/>
          <w:lang w:val="en-US" w:eastAsia="zh-CN"/>
        </w:rPr>
        <w:t>年结转结余</w:t>
      </w:r>
      <w:r>
        <w:rPr>
          <w:rFonts w:hint="eastAsia" w:ascii="仿宋_GB2312" w:hAnsi="宋体" w:eastAsia="仿宋_GB2312" w:cs="Times New Roman"/>
          <w:color w:val="000000"/>
          <w:sz w:val="32"/>
          <w:szCs w:val="32"/>
          <w:lang w:val="en-US" w:eastAsia="zh-CN"/>
        </w:rPr>
        <w:t>94.54万元，实际执行619.13万元，</w:t>
      </w:r>
      <w:r>
        <w:rPr>
          <w:rFonts w:hint="default" w:ascii="仿宋_GB2312" w:hAnsi="宋体" w:eastAsia="仿宋_GB2312" w:cs="Times New Roman"/>
          <w:color w:val="000000"/>
          <w:sz w:val="32"/>
          <w:szCs w:val="32"/>
          <w:lang w:val="en-US" w:eastAsia="zh-CN"/>
        </w:rPr>
        <w:t>年末</w:t>
      </w:r>
      <w:r>
        <w:rPr>
          <w:rFonts w:hint="eastAsia" w:ascii="仿宋_GB2312" w:hAnsi="宋体" w:eastAsia="仿宋_GB2312" w:cs="Times New Roman"/>
          <w:color w:val="000000"/>
          <w:sz w:val="32"/>
          <w:szCs w:val="32"/>
          <w:lang w:val="en-US" w:eastAsia="zh-CN"/>
        </w:rPr>
        <w:t>专项资金</w:t>
      </w:r>
      <w:r>
        <w:rPr>
          <w:rFonts w:hint="default" w:ascii="仿宋_GB2312" w:hAnsi="宋体" w:eastAsia="仿宋_GB2312" w:cs="Times New Roman"/>
          <w:color w:val="000000"/>
          <w:sz w:val="32"/>
          <w:szCs w:val="32"/>
          <w:lang w:val="en-US" w:eastAsia="zh-CN"/>
        </w:rPr>
        <w:t>结转结余</w:t>
      </w:r>
      <w:r>
        <w:rPr>
          <w:rFonts w:hint="eastAsia" w:ascii="仿宋_GB2312" w:hAnsi="宋体" w:eastAsia="仿宋_GB2312" w:cs="Times New Roman"/>
          <w:color w:val="000000"/>
          <w:sz w:val="32"/>
          <w:szCs w:val="32"/>
          <w:lang w:val="en-US" w:eastAsia="zh-CN"/>
        </w:rPr>
        <w:t>66.98万元。</w:t>
      </w:r>
      <w:r>
        <w:rPr>
          <w:rFonts w:hint="default" w:ascii="仿宋_GB2312" w:hAnsi="宋体" w:eastAsia="仿宋_GB2312" w:cs="Times New Roman"/>
          <w:color w:val="000000"/>
          <w:sz w:val="32"/>
          <w:szCs w:val="32"/>
          <w:lang w:val="en-US" w:eastAsia="zh-CN"/>
        </w:rPr>
        <w:t>主要用于开展优待抚恤工作、“八一”和春节慰问工作、困难企业转业干部</w:t>
      </w:r>
      <w:r>
        <w:rPr>
          <w:rFonts w:hint="eastAsia" w:ascii="仿宋_GB2312" w:hAnsi="宋体" w:eastAsia="仿宋_GB2312" w:cs="Times New Roman"/>
          <w:color w:val="000000"/>
          <w:sz w:val="32"/>
          <w:szCs w:val="32"/>
          <w:lang w:val="en-US" w:eastAsia="zh-CN"/>
        </w:rPr>
        <w:t xml:space="preserve"> </w:t>
      </w:r>
      <w:r>
        <w:rPr>
          <w:rFonts w:hint="default" w:ascii="仿宋_GB2312" w:hAnsi="宋体" w:eastAsia="仿宋_GB2312" w:cs="Times New Roman"/>
          <w:color w:val="000000"/>
          <w:sz w:val="32"/>
          <w:szCs w:val="32"/>
          <w:lang w:val="en-US" w:eastAsia="zh-CN"/>
        </w:rPr>
        <w:t>“八一”和春节慰问工作；烈士公祭、信访落实政策、协调联系维稳工作；用于市直退伍兵待安置期间养老保险；推进部分退役士兵社会保险接续工作</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完成自主择业军转干部医疗保险缴纳；完成军转干部、退役士兵职业培训；军休管理和服务工作；困难企业转业干部解困资金。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专项经费保障率100%，有效做到对退役军人提供更好的服务，更细的工作，使退役军人和优抚对象更直接地感受到党和政府的温暖，不断增强他们的幸福感、获得感和荣誉感。</w:t>
      </w:r>
    </w:p>
    <w:p>
      <w:pPr>
        <w:pStyle w:val="12"/>
        <w:numPr>
          <w:ilvl w:val="0"/>
          <w:numId w:val="0"/>
        </w:numPr>
        <w:spacing w:line="58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eastAsia="zh-CN"/>
        </w:rPr>
        <w:t>三、</w:t>
      </w:r>
      <w:r>
        <w:rPr>
          <w:rFonts w:ascii="Times New Roman" w:hAnsi="Times New Roman" w:eastAsia="黑体"/>
          <w:sz w:val="32"/>
          <w:szCs w:val="32"/>
        </w:rPr>
        <w:t>政府性基金预算支出情况</w:t>
      </w:r>
    </w:p>
    <w:p>
      <w:pPr>
        <w:pStyle w:val="12"/>
        <w:numPr>
          <w:ilvl w:val="0"/>
          <w:numId w:val="0"/>
        </w:numPr>
        <w:spacing w:line="580" w:lineRule="exact"/>
        <w:ind w:leftChars="200" w:firstLine="320" w:firstLineChars="100"/>
        <w:jc w:val="both"/>
        <w:rPr>
          <w:rFonts w:hint="eastAsia" w:ascii="Times New Roman" w:hAnsi="Times New Roman" w:eastAsia="黑体"/>
          <w:color w:val="FF0000"/>
          <w:sz w:val="32"/>
          <w:szCs w:val="32"/>
          <w:lang w:eastAsia="zh-CN"/>
        </w:rPr>
      </w:pPr>
      <w:r>
        <w:rPr>
          <w:rFonts w:hint="eastAsia" w:ascii="仿宋_GB2312" w:hAnsi="仿宋_GB2312" w:eastAsia="仿宋_GB2312" w:cs="仿宋_GB2312"/>
          <w:b w:val="0"/>
          <w:bCs w:val="0"/>
          <w:color w:val="auto"/>
          <w:sz w:val="32"/>
          <w:szCs w:val="32"/>
          <w:lang w:eastAsia="zh-CN"/>
        </w:rPr>
        <w:t>本单位无政府性基金预算安排的支出。</w:t>
      </w:r>
    </w:p>
    <w:p>
      <w:pPr>
        <w:pStyle w:val="12"/>
        <w:numPr>
          <w:ilvl w:val="0"/>
          <w:numId w:val="0"/>
        </w:numPr>
        <w:spacing w:line="58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国有资本经营预算支出情况</w:t>
      </w:r>
    </w:p>
    <w:p>
      <w:pPr>
        <w:pStyle w:val="12"/>
        <w:numPr>
          <w:ilvl w:val="0"/>
          <w:numId w:val="0"/>
        </w:numPr>
        <w:spacing w:line="580" w:lineRule="exact"/>
        <w:ind w:leftChars="200" w:firstLine="320" w:firstLineChars="100"/>
        <w:jc w:val="both"/>
        <w:rPr>
          <w:rFonts w:hint="eastAsia" w:ascii="Times New Roman" w:hAnsi="Times New Roman" w:eastAsia="黑体"/>
          <w:color w:val="FF0000"/>
          <w:sz w:val="32"/>
          <w:szCs w:val="32"/>
          <w:lang w:eastAsia="zh-CN"/>
        </w:rPr>
      </w:pPr>
      <w:r>
        <w:rPr>
          <w:rFonts w:hint="eastAsia" w:ascii="仿宋_GB2312" w:hAnsi="仿宋_GB2312" w:eastAsia="仿宋_GB2312" w:cs="仿宋_GB2312"/>
          <w:b w:val="0"/>
          <w:bCs w:val="0"/>
          <w:color w:val="auto"/>
          <w:sz w:val="32"/>
          <w:szCs w:val="32"/>
          <w:lang w:eastAsia="zh-CN"/>
        </w:rPr>
        <w:t>本单位无国有资本经营预算安排的支出。</w:t>
      </w:r>
    </w:p>
    <w:p>
      <w:pPr>
        <w:pStyle w:val="12"/>
        <w:numPr>
          <w:ilvl w:val="0"/>
          <w:numId w:val="0"/>
        </w:numPr>
        <w:spacing w:line="58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lang w:eastAsia="zh-CN"/>
        </w:rPr>
        <w:t>五、</w:t>
      </w:r>
      <w:r>
        <w:rPr>
          <w:rFonts w:ascii="Times New Roman" w:hAnsi="Times New Roman" w:eastAsia="黑体"/>
          <w:sz w:val="32"/>
          <w:szCs w:val="32"/>
        </w:rPr>
        <w:t>社会保险基金预算支出情况</w:t>
      </w:r>
    </w:p>
    <w:p>
      <w:pPr>
        <w:pStyle w:val="12"/>
        <w:numPr>
          <w:ilvl w:val="0"/>
          <w:numId w:val="0"/>
        </w:numPr>
        <w:spacing w:line="580" w:lineRule="exact"/>
        <w:ind w:leftChars="200" w:firstLine="320" w:firstLineChars="100"/>
        <w:jc w:val="both"/>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val="0"/>
          <w:bCs w:val="0"/>
          <w:color w:val="auto"/>
          <w:sz w:val="32"/>
          <w:szCs w:val="32"/>
          <w:lang w:eastAsia="zh-CN"/>
        </w:rPr>
        <w:t>本单位无社会保险基金预算安排的支出。</w:t>
      </w:r>
    </w:p>
    <w:p>
      <w:pPr>
        <w:spacing w:line="580" w:lineRule="exact"/>
        <w:ind w:firstLine="640" w:firstLineChars="200"/>
        <w:jc w:val="both"/>
        <w:rPr>
          <w:rFonts w:eastAsia="黑体"/>
          <w:sz w:val="32"/>
          <w:szCs w:val="32"/>
        </w:rPr>
      </w:pPr>
      <w:r>
        <w:rPr>
          <w:rFonts w:eastAsia="黑体"/>
          <w:sz w:val="32"/>
          <w:szCs w:val="32"/>
        </w:rPr>
        <w:t>六、部门整体支出绩效情况</w:t>
      </w:r>
    </w:p>
    <w:p>
      <w:pPr>
        <w:pStyle w:val="3"/>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宋体" w:eastAsia="仿宋_GB2312" w:cs="Times New Roman"/>
          <w:color w:val="000000"/>
          <w:kern w:val="2"/>
          <w:sz w:val="32"/>
          <w:szCs w:val="32"/>
          <w:lang w:val="zh-CN" w:eastAsia="zh-CN" w:bidi="ar-SA"/>
        </w:rPr>
      </w:pPr>
      <w:r>
        <w:rPr>
          <w:rFonts w:hint="default" w:ascii="仿宋_GB2312" w:hAnsi="宋体" w:eastAsia="仿宋_GB2312" w:cs="Times New Roman"/>
          <w:color w:val="000000"/>
          <w:kern w:val="2"/>
          <w:sz w:val="32"/>
          <w:szCs w:val="32"/>
          <w:lang w:val="en-US" w:eastAsia="zh-CN" w:bidi="ar-SA"/>
        </w:rPr>
        <w:t xml:space="preserve">按照 2021 年部门整体支出绩效自评工作要求，部门整体支出自评得分 </w:t>
      </w:r>
      <w:r>
        <w:rPr>
          <w:rFonts w:hint="eastAsia" w:ascii="仿宋_GB2312" w:hAnsi="宋体" w:eastAsia="仿宋_GB2312" w:cs="Times New Roman"/>
          <w:color w:val="000000"/>
          <w:kern w:val="2"/>
          <w:sz w:val="32"/>
          <w:szCs w:val="32"/>
          <w:lang w:val="en-US" w:eastAsia="zh-CN" w:bidi="ar-SA"/>
        </w:rPr>
        <w:t>100</w:t>
      </w:r>
      <w:r>
        <w:rPr>
          <w:rFonts w:hint="default" w:ascii="仿宋_GB2312" w:hAnsi="宋体" w:eastAsia="仿宋_GB2312" w:cs="Times New Roman"/>
          <w:color w:val="000000"/>
          <w:kern w:val="2"/>
          <w:sz w:val="32"/>
          <w:szCs w:val="32"/>
          <w:lang w:val="en-US" w:eastAsia="zh-CN" w:bidi="ar-SA"/>
        </w:rPr>
        <w:t>分，评价等级为“优”。主要绩效如下：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仿宋_GB2312" w:eastAsia="仿宋_GB2312" w:cs="仿宋_GB2312"/>
          <w:b/>
          <w:bCs/>
          <w:color w:val="000000"/>
          <w:sz w:val="32"/>
          <w:szCs w:val="32"/>
          <w:lang w:val="en-US" w:eastAsia="zh-CN"/>
        </w:rPr>
        <w:t>1.扎实推进“法律政策落实年”活动。</w:t>
      </w:r>
      <w:r>
        <w:rPr>
          <w:rFonts w:hint="default" w:ascii="仿宋_GB2312" w:hAnsi="宋体" w:eastAsia="仿宋_GB2312" w:cs="Times New Roman"/>
          <w:color w:val="000000"/>
          <w:sz w:val="32"/>
          <w:szCs w:val="32"/>
          <w:lang w:val="en-US" w:eastAsia="zh-CN"/>
        </w:rPr>
        <w:t>印发“法律政策落实年”活动实施方案及重点任务清单，梳理出254条具体政策点，逐条明确落实举措、责任单位。推动法律政策学习宣传，为驻永部队现役军人和优抚对象发放《退役军人保障法》单行本、读本、释义等5万册，为7个军休所、3000多个退役军人服务中心（站）配发法律政策资料2万册，力促法律政策学习宣传全覆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hint="default" w:ascii="仿宋_GB2312" w:hAnsi="仿宋_GB2312" w:eastAsia="仿宋_GB2312" w:cs="仿宋_GB2312"/>
          <w:b/>
          <w:bCs/>
          <w:color w:val="000000"/>
          <w:sz w:val="32"/>
          <w:szCs w:val="32"/>
          <w:lang w:val="en-US" w:eastAsia="zh-CN"/>
        </w:rPr>
        <w:t>2.积极开展思想政治教育。</w:t>
      </w:r>
      <w:r>
        <w:rPr>
          <w:rFonts w:hint="default" w:ascii="仿宋_GB2312" w:hAnsi="宋体" w:eastAsia="仿宋_GB2312" w:cs="Times New Roman"/>
          <w:color w:val="000000"/>
          <w:sz w:val="32"/>
          <w:szCs w:val="32"/>
          <w:lang w:val="en-US" w:eastAsia="zh-CN"/>
        </w:rPr>
        <w:t>坚持零距离交流，按照“一对一”的方式常态化联系退役军人，联系功臣模范等6类对象；春节、“八一”等重大节日走访慰问退役军人及其他优抚对象。坚持典型引领，</w:t>
      </w:r>
      <w:r>
        <w:rPr>
          <w:rFonts w:hint="default" w:ascii="仿宋_GB2312" w:hAnsi="宋体" w:eastAsia="仿宋_GB2312" w:cs="Times New Roman"/>
          <w:color w:val="000000"/>
          <w:sz w:val="32"/>
          <w:szCs w:val="32"/>
          <w:lang w:val="en" w:eastAsia="zh-CN"/>
        </w:rPr>
        <w:t>组织“老兵跟党走”系列活动，</w:t>
      </w:r>
      <w:r>
        <w:rPr>
          <w:rFonts w:hint="default" w:ascii="仿宋_GB2312" w:hAnsi="宋体" w:eastAsia="仿宋_GB2312" w:cs="Times New Roman"/>
          <w:color w:val="000000"/>
          <w:sz w:val="32"/>
          <w:szCs w:val="32"/>
          <w:lang w:val="en-US" w:eastAsia="zh-CN"/>
        </w:rPr>
        <w:t>蒋云杰获评湖南省“最美退役军人”，遴选10名2021年度永州市“最美退役军人”</w:t>
      </w:r>
      <w:r>
        <w:rPr>
          <w:rFonts w:hint="eastAsia" w:ascii="仿宋_GB2312" w:hAnsi="宋体" w:eastAsia="仿宋_GB2312" w:cs="Times New Roman"/>
          <w:color w:val="00000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仿宋_GB2312" w:eastAsia="仿宋_GB2312" w:cs="仿宋_GB2312"/>
          <w:b/>
          <w:bCs/>
          <w:color w:val="000000"/>
          <w:sz w:val="32"/>
          <w:szCs w:val="32"/>
          <w:lang w:val="en-US" w:eastAsia="zh-CN"/>
        </w:rPr>
        <w:t>3.规范有序推进安置就业。</w:t>
      </w:r>
      <w:r>
        <w:rPr>
          <w:rFonts w:hint="default" w:ascii="仿宋_GB2312" w:hAnsi="宋体" w:eastAsia="仿宋_GB2312" w:cs="Times New Roman"/>
          <w:color w:val="000000"/>
          <w:sz w:val="32"/>
          <w:szCs w:val="32"/>
          <w:lang w:val="en-US" w:eastAsia="zh-CN"/>
        </w:rPr>
        <w:t>挖掘党政机关及参公事业单位安置空间，增强安置政策的刚性落实，2021年接收安置转业军官、随调家属、符合政府安排工作条件退役士兵和消防员、伤病残休人员</w:t>
      </w:r>
      <w:r>
        <w:rPr>
          <w:rFonts w:hint="default" w:ascii="仿宋_GB2312" w:hAnsi="宋体" w:eastAsia="仿宋_GB2312" w:cs="Times New Roman"/>
          <w:color w:val="000000"/>
          <w:sz w:val="32"/>
          <w:szCs w:val="32"/>
          <w:lang w:val="en" w:eastAsia="zh-CN"/>
        </w:rPr>
        <w:t>，</w:t>
      </w:r>
      <w:r>
        <w:rPr>
          <w:rFonts w:hint="eastAsia" w:ascii="仿宋_GB2312" w:hAnsi="宋体" w:eastAsia="仿宋_GB2312" w:cs="Times New Roman"/>
          <w:color w:val="000000"/>
          <w:sz w:val="32"/>
          <w:szCs w:val="32"/>
          <w:lang w:val="en" w:eastAsia="zh-CN"/>
        </w:rPr>
        <w:t>继续</w:t>
      </w:r>
      <w:r>
        <w:rPr>
          <w:rFonts w:hint="default" w:ascii="仿宋_GB2312" w:hAnsi="宋体" w:eastAsia="仿宋_GB2312" w:cs="Times New Roman"/>
          <w:color w:val="000000"/>
          <w:sz w:val="32"/>
          <w:szCs w:val="32"/>
          <w:lang w:val="en" w:eastAsia="zh-CN"/>
        </w:rPr>
        <w:t>完成退役士兵社保接续</w:t>
      </w:r>
      <w:r>
        <w:rPr>
          <w:rFonts w:hint="eastAsia" w:ascii="仿宋_GB2312" w:hAnsi="宋体" w:eastAsia="仿宋_GB2312" w:cs="Times New Roman"/>
          <w:color w:val="000000"/>
          <w:sz w:val="32"/>
          <w:szCs w:val="32"/>
          <w:lang w:val="en" w:eastAsia="zh-CN"/>
        </w:rPr>
        <w:t>工作</w:t>
      </w:r>
      <w:r>
        <w:rPr>
          <w:rFonts w:hint="default" w:ascii="仿宋_GB2312" w:hAnsi="宋体" w:eastAsia="仿宋_GB2312" w:cs="Times New Roman"/>
          <w:color w:val="000000"/>
          <w:sz w:val="32"/>
          <w:szCs w:val="32"/>
          <w:lang w:val="en" w:eastAsia="zh-CN"/>
        </w:rPr>
        <w:t>。采取线上线下联动、部门内外联合，实现供需双方有效对接，先后举办网上招聘、专场招聘、定向招聘等活动33场次，累计提供就业岗位7000余个，达成就业意向570余人。教育培训由“授人以鱼”式向“授人以渔”式转变，与中公教育合作为退役军人免费提供公务员考试培训辅导10期。</w:t>
      </w:r>
      <w:r>
        <w:rPr>
          <w:rFonts w:hint="default" w:ascii="仿宋_GB2312" w:hAnsi="宋体" w:eastAsia="仿宋_GB2312" w:cs="Times New Roman"/>
          <w:color w:val="000000"/>
          <w:sz w:val="32"/>
          <w:szCs w:val="32"/>
          <w:lang w:val="en-US" w:eastAsia="zh-CN"/>
        </w:rPr>
        <w:t>举办省退役军人创业创新大赛永州赛区项目遴选活动，从13支参赛队伍中评选4支参加省赛，永州钰丹仓储配送有限责任公司获三等奖。</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仿宋_GB2312" w:eastAsia="仿宋_GB2312" w:cs="仿宋_GB2312"/>
          <w:b/>
          <w:bCs/>
          <w:color w:val="000000"/>
          <w:sz w:val="32"/>
          <w:szCs w:val="32"/>
          <w:lang w:val="en-US" w:eastAsia="zh-CN"/>
        </w:rPr>
        <w:t>4.认真落实优抚褒扬政策。</w:t>
      </w:r>
      <w:r>
        <w:rPr>
          <w:rFonts w:hint="default" w:ascii="仿宋_GB2312" w:hAnsi="宋体" w:eastAsia="仿宋_GB2312" w:cs="Times New Roman"/>
          <w:color w:val="000000"/>
          <w:sz w:val="32"/>
          <w:szCs w:val="32"/>
          <w:lang w:val="en-US" w:eastAsia="zh-CN"/>
        </w:rPr>
        <w:t>严格落实优抚政策，完成伤残评定</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拨付抚恤经费和医疗补助经费</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新版残疾人员证件换发工作</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扎实开展英烈褒扬，“七一”前对烈士遗属开展走访慰问活动</w:t>
      </w:r>
      <w:r>
        <w:rPr>
          <w:rFonts w:hint="eastAsia" w:ascii="仿宋_GB2312" w:hAnsi="宋体" w:eastAsia="仿宋_GB2312" w:cs="Times New Roman"/>
          <w:color w:val="000000"/>
          <w:sz w:val="32"/>
          <w:szCs w:val="32"/>
          <w:lang w:val="en-US" w:eastAsia="zh-CN"/>
        </w:rPr>
        <w:t>，</w:t>
      </w:r>
      <w:r>
        <w:rPr>
          <w:rFonts w:hint="default" w:ascii="仿宋_GB2312" w:hAnsi="宋体" w:eastAsia="仿宋_GB2312" w:cs="Times New Roman"/>
          <w:color w:val="000000"/>
          <w:sz w:val="32"/>
          <w:szCs w:val="32"/>
          <w:lang w:val="en-US" w:eastAsia="zh-CN"/>
        </w:rPr>
        <w:t>稳慎开展“两参”核查</w:t>
      </w:r>
      <w:r>
        <w:rPr>
          <w:rFonts w:hint="eastAsia" w:ascii="仿宋_GB2312" w:hAnsi="宋体" w:eastAsia="仿宋_GB2312" w:cs="Times New Roman"/>
          <w:color w:val="000000"/>
          <w:sz w:val="32"/>
          <w:szCs w:val="32"/>
          <w:lang w:val="en-US" w:eastAsia="zh-CN"/>
        </w:rPr>
        <w:t>工作</w:t>
      </w:r>
      <w:r>
        <w:rPr>
          <w:rFonts w:hint="default" w:ascii="仿宋_GB2312" w:hAnsi="宋体" w:eastAsia="仿宋_GB2312" w:cs="Times New Roman"/>
          <w:color w:val="000000"/>
          <w:sz w:val="32"/>
          <w:szCs w:val="32"/>
          <w:lang w:val="en-US" w:eastAsia="zh-CN"/>
        </w:rPr>
        <w:t>。深化双拥共建成果，为退役军人办理老兵卡，重点走访慰问现役军人家庭解决实际困难。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仿宋_GB2312" w:eastAsia="仿宋_GB2312" w:cs="仿宋_GB2312"/>
          <w:b/>
          <w:bCs/>
          <w:color w:val="000000"/>
          <w:sz w:val="32"/>
          <w:szCs w:val="32"/>
          <w:lang w:val="en-US" w:eastAsia="zh-CN"/>
        </w:rPr>
        <w:t>5.全心全意维护合法权益。</w:t>
      </w:r>
      <w:r>
        <w:rPr>
          <w:rFonts w:hint="default" w:ascii="仿宋_GB2312" w:hAnsi="宋体" w:eastAsia="仿宋_GB2312" w:cs="Times New Roman"/>
          <w:color w:val="000000"/>
          <w:sz w:val="32"/>
          <w:szCs w:val="32"/>
          <w:lang w:val="en-US" w:eastAsia="zh-CN"/>
        </w:rPr>
        <w:t>组织开展退役军人矛盾问题“百日攻坚”活动，局领导带头深入联系县市区调研指导，加大明察暗访、督办通报力度，活动取得明显成效，设立永州市退役军人法律援助工作站，聘请法律顾问和心理咨询师，现场为退役军人提供免费法律咨询和心理疏导。探索建立“事心双解”工作小组暨“五老”（老战友、老班长、老首长、老军医、老英模）调解工作室。</w:t>
      </w:r>
    </w:p>
    <w:p>
      <w:pPr>
        <w:pStyle w:val="12"/>
        <w:spacing w:line="580" w:lineRule="exact"/>
        <w:ind w:firstLine="640"/>
        <w:jc w:val="both"/>
        <w:rPr>
          <w:rFonts w:ascii="Times New Roman" w:hAnsi="Times New Roman" w:eastAsia="黑体"/>
          <w:sz w:val="32"/>
          <w:szCs w:val="32"/>
        </w:rPr>
      </w:pPr>
      <w:r>
        <w:rPr>
          <w:rFonts w:ascii="Times New Roman" w:hAnsi="Times New Roman" w:eastAsia="黑体"/>
          <w:sz w:val="32"/>
          <w:szCs w:val="32"/>
        </w:rPr>
        <w:t>七、存在的问题及原因分析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202</w:t>
      </w:r>
      <w:r>
        <w:rPr>
          <w:rFonts w:hint="eastAsia" w:ascii="仿宋_GB2312" w:hAnsi="宋体" w:eastAsia="仿宋_GB2312" w:cs="Times New Roman"/>
          <w:color w:val="000000"/>
          <w:sz w:val="32"/>
          <w:szCs w:val="32"/>
          <w:lang w:val="en-US" w:eastAsia="zh-CN"/>
        </w:rPr>
        <w:t>1</w:t>
      </w:r>
      <w:r>
        <w:rPr>
          <w:rFonts w:hint="default" w:ascii="仿宋_GB2312" w:hAnsi="宋体" w:eastAsia="仿宋_GB2312" w:cs="Times New Roman"/>
          <w:color w:val="000000"/>
          <w:sz w:val="32"/>
          <w:szCs w:val="32"/>
          <w:lang w:val="en-US" w:eastAsia="zh-CN"/>
        </w:rPr>
        <w:t>年</w:t>
      </w:r>
      <w:r>
        <w:rPr>
          <w:rFonts w:hint="eastAsia" w:ascii="仿宋_GB2312" w:hAnsi="宋体" w:eastAsia="仿宋_GB2312" w:cs="Times New Roman"/>
          <w:color w:val="000000"/>
          <w:sz w:val="32"/>
          <w:szCs w:val="32"/>
          <w:lang w:val="en-US" w:eastAsia="zh-CN"/>
        </w:rPr>
        <w:t>年中预算调整较多，主要原因是年中增加中央、省转移支付的退役军人事务专项资金和在职人员的养老保险、医疗保险单位部分未纳入年初预算导致的</w:t>
      </w:r>
      <w:r>
        <w:rPr>
          <w:rFonts w:hint="default" w:ascii="仿宋_GB2312" w:hAnsi="宋体" w:eastAsia="仿宋_GB2312" w:cs="Times New Roman"/>
          <w:color w:val="000000"/>
          <w:sz w:val="32"/>
          <w:szCs w:val="32"/>
          <w:lang w:val="en-US" w:eastAsia="zh-CN"/>
        </w:rPr>
        <w:t>。</w:t>
      </w:r>
    </w:p>
    <w:p>
      <w:pPr>
        <w:numPr>
          <w:ilvl w:val="0"/>
          <w:numId w:val="4"/>
        </w:numPr>
        <w:spacing w:line="580" w:lineRule="exact"/>
        <w:ind w:firstLine="640" w:firstLineChars="200"/>
        <w:jc w:val="both"/>
        <w:rPr>
          <w:rFonts w:eastAsia="黑体"/>
          <w:sz w:val="32"/>
          <w:szCs w:val="32"/>
        </w:rPr>
      </w:pPr>
      <w:r>
        <w:rPr>
          <w:rFonts w:eastAsia="黑体"/>
          <w:sz w:val="32"/>
          <w:szCs w:val="32"/>
        </w:rPr>
        <w:t>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在后</w:t>
      </w:r>
      <w:r>
        <w:rPr>
          <w:rFonts w:hint="default" w:ascii="仿宋_GB2312" w:hAnsi="宋体" w:eastAsia="仿宋_GB2312" w:cs="Times New Roman"/>
          <w:color w:val="000000"/>
          <w:sz w:val="32"/>
          <w:szCs w:val="32"/>
          <w:lang w:val="en-US" w:eastAsia="zh-CN"/>
        </w:rPr>
        <w:t>续</w:t>
      </w:r>
      <w:r>
        <w:rPr>
          <w:rFonts w:hint="eastAsia" w:ascii="仿宋_GB2312" w:hAnsi="宋体" w:eastAsia="仿宋_GB2312" w:cs="Times New Roman"/>
          <w:color w:val="000000"/>
          <w:sz w:val="32"/>
          <w:szCs w:val="32"/>
          <w:lang w:val="en-US" w:eastAsia="zh-CN"/>
        </w:rPr>
        <w:t>年度</w:t>
      </w:r>
      <w:r>
        <w:rPr>
          <w:rFonts w:hint="default" w:ascii="仿宋_GB2312" w:hAnsi="宋体" w:eastAsia="仿宋_GB2312" w:cs="Times New Roman"/>
          <w:color w:val="000000"/>
          <w:sz w:val="32"/>
          <w:szCs w:val="32"/>
          <w:lang w:val="en-US" w:eastAsia="zh-CN"/>
        </w:rPr>
        <w:t>编制预算</w:t>
      </w:r>
      <w:r>
        <w:rPr>
          <w:rFonts w:hint="eastAsia" w:ascii="仿宋_GB2312" w:hAnsi="宋体" w:eastAsia="仿宋_GB2312" w:cs="Times New Roman"/>
          <w:color w:val="000000"/>
          <w:sz w:val="32"/>
          <w:szCs w:val="32"/>
          <w:lang w:val="en-US" w:eastAsia="zh-CN"/>
        </w:rPr>
        <w:t>时</w:t>
      </w:r>
      <w:r>
        <w:rPr>
          <w:rFonts w:hint="default" w:ascii="仿宋_GB2312" w:hAnsi="宋体" w:eastAsia="仿宋_GB2312" w:cs="Times New Roman"/>
          <w:color w:val="000000"/>
          <w:sz w:val="32"/>
          <w:szCs w:val="32"/>
          <w:lang w:val="en-US" w:eastAsia="zh-CN"/>
        </w:rPr>
        <w:t>，我</w:t>
      </w:r>
      <w:r>
        <w:rPr>
          <w:rFonts w:hint="eastAsia" w:ascii="仿宋_GB2312" w:hAnsi="宋体" w:eastAsia="仿宋_GB2312" w:cs="Times New Roman"/>
          <w:color w:val="000000"/>
          <w:sz w:val="32"/>
          <w:szCs w:val="32"/>
          <w:lang w:val="en-US" w:eastAsia="zh-CN"/>
        </w:rPr>
        <w:t>局</w:t>
      </w:r>
      <w:r>
        <w:rPr>
          <w:rFonts w:hint="default" w:ascii="仿宋_GB2312" w:hAnsi="宋体" w:eastAsia="仿宋_GB2312" w:cs="Times New Roman"/>
          <w:color w:val="000000"/>
          <w:sz w:val="32"/>
          <w:szCs w:val="32"/>
          <w:lang w:val="en-US" w:eastAsia="zh-CN"/>
        </w:rPr>
        <w:t>将与财政</w:t>
      </w:r>
      <w:r>
        <w:rPr>
          <w:rFonts w:hint="eastAsia" w:ascii="仿宋_GB2312" w:hAnsi="宋体" w:eastAsia="仿宋_GB2312" w:cs="Times New Roman"/>
          <w:color w:val="000000"/>
          <w:sz w:val="32"/>
          <w:szCs w:val="32"/>
          <w:lang w:val="en-US" w:eastAsia="zh-CN"/>
        </w:rPr>
        <w:t>部门做好沟通</w:t>
      </w:r>
      <w:r>
        <w:rPr>
          <w:rFonts w:hint="default" w:ascii="仿宋_GB2312" w:hAnsi="宋体" w:eastAsia="仿宋_GB2312" w:cs="Times New Roman"/>
          <w:color w:val="000000"/>
          <w:sz w:val="32"/>
          <w:szCs w:val="32"/>
          <w:lang w:val="en-US" w:eastAsia="zh-CN"/>
        </w:rPr>
        <w:t>对接，尽量将年中可确定</w:t>
      </w:r>
      <w:r>
        <w:rPr>
          <w:rFonts w:hint="eastAsia" w:ascii="仿宋_GB2312" w:hAnsi="宋体" w:eastAsia="仿宋_GB2312" w:cs="Times New Roman"/>
          <w:color w:val="000000"/>
          <w:sz w:val="32"/>
          <w:szCs w:val="32"/>
          <w:lang w:val="en-US" w:eastAsia="zh-CN"/>
        </w:rPr>
        <w:t>的</w:t>
      </w:r>
      <w:r>
        <w:rPr>
          <w:rFonts w:hint="default" w:ascii="仿宋_GB2312" w:hAnsi="宋体" w:eastAsia="仿宋_GB2312" w:cs="Times New Roman"/>
          <w:color w:val="000000"/>
          <w:sz w:val="32"/>
          <w:szCs w:val="32"/>
          <w:lang w:val="en-US" w:eastAsia="zh-CN"/>
        </w:rPr>
        <w:t>部分编入</w:t>
      </w:r>
      <w:r>
        <w:rPr>
          <w:rFonts w:hint="eastAsia" w:ascii="仿宋_GB2312" w:hAnsi="宋体" w:eastAsia="仿宋_GB2312" w:cs="Times New Roman"/>
          <w:color w:val="000000"/>
          <w:sz w:val="32"/>
          <w:szCs w:val="32"/>
          <w:lang w:val="en-US" w:eastAsia="zh-CN"/>
        </w:rPr>
        <w:t>年初</w:t>
      </w:r>
      <w:r>
        <w:rPr>
          <w:rFonts w:hint="default" w:ascii="仿宋_GB2312" w:hAnsi="宋体" w:eastAsia="仿宋_GB2312" w:cs="Times New Roman"/>
          <w:color w:val="000000"/>
          <w:sz w:val="32"/>
          <w:szCs w:val="32"/>
          <w:lang w:val="en-US" w:eastAsia="zh-CN"/>
        </w:rPr>
        <w:t>预算，减少年中</w:t>
      </w:r>
      <w:r>
        <w:rPr>
          <w:rFonts w:hint="eastAsia" w:ascii="仿宋_GB2312" w:hAnsi="宋体" w:eastAsia="仿宋_GB2312" w:cs="Times New Roman"/>
          <w:color w:val="000000"/>
          <w:sz w:val="32"/>
          <w:szCs w:val="32"/>
          <w:lang w:val="en-US" w:eastAsia="zh-CN"/>
        </w:rPr>
        <w:t>调整</w:t>
      </w:r>
      <w:r>
        <w:rPr>
          <w:rFonts w:hint="default" w:ascii="仿宋_GB2312" w:hAnsi="宋体" w:eastAsia="仿宋_GB2312" w:cs="Times New Roman"/>
          <w:color w:val="000000"/>
          <w:sz w:val="32"/>
          <w:szCs w:val="32"/>
          <w:lang w:val="en-US" w:eastAsia="zh-CN"/>
        </w:rPr>
        <w:t>，做到预算编制更加科学。</w:t>
      </w:r>
      <w:r>
        <w:rPr>
          <w:rFonts w:hint="eastAsia" w:ascii="仿宋_GB2312" w:hAnsi="宋体" w:eastAsia="仿宋_GB2312" w:cs="Times New Roman"/>
          <w:color w:val="000000"/>
          <w:sz w:val="32"/>
          <w:szCs w:val="32"/>
          <w:lang w:val="en-US" w:eastAsia="zh-CN"/>
        </w:rPr>
        <w:t>同时</w:t>
      </w:r>
      <w:r>
        <w:rPr>
          <w:rFonts w:hint="default" w:ascii="仿宋_GB2312" w:hAnsi="宋体" w:eastAsia="仿宋_GB2312" w:cs="Times New Roman"/>
          <w:color w:val="000000"/>
          <w:sz w:val="32"/>
          <w:szCs w:val="32"/>
          <w:lang w:val="en-US" w:eastAsia="zh-CN"/>
        </w:rPr>
        <w:t>严格按照专项资金使用办法的规定和规范的审批程序办理专项经费的支付，确保了专款专用，确保了资金的使用效益，保证了项目的顺利实施。</w:t>
      </w:r>
    </w:p>
    <w:p>
      <w:pPr>
        <w:numPr>
          <w:ilvl w:val="0"/>
          <w:numId w:val="4"/>
        </w:numPr>
        <w:spacing w:line="580" w:lineRule="exact"/>
        <w:ind w:left="0" w:leftChars="0" w:firstLine="640" w:firstLineChars="200"/>
        <w:jc w:val="both"/>
        <w:rPr>
          <w:rFonts w:eastAsia="黑体"/>
          <w:sz w:val="32"/>
          <w:szCs w:val="32"/>
        </w:rPr>
      </w:pPr>
      <w:r>
        <w:rPr>
          <w:rFonts w:eastAsia="黑体"/>
          <w:sz w:val="32"/>
          <w:szCs w:val="32"/>
        </w:rPr>
        <w:t>部门整体支出绩效自评结果拟应用和公开情况</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sz w:val="32"/>
          <w:szCs w:val="32"/>
        </w:rPr>
        <w:t>（一）绩效自评结果拟应用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将自评结果作为下年度预算编制及执行的重要参考。</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ascii="Times New Roman" w:hAnsi="Times New Roman" w:eastAsia="方正楷体_GBK" w:cs="Times New Roman"/>
          <w:color w:val="000000" w:themeColor="text1"/>
          <w:sz w:val="32"/>
          <w:szCs w:val="32"/>
          <w14:textFill>
            <w14:solidFill>
              <w14:schemeClr w14:val="tx1"/>
            </w14:solidFill>
          </w14:textFill>
        </w:rPr>
      </w:pPr>
      <w:r>
        <w:rPr>
          <w:rFonts w:hint="eastAsia" w:ascii="楷体_GB2312" w:hAnsi="楷体_GB2312" w:eastAsia="楷体_GB2312" w:cs="楷体_GB2312"/>
          <w:b/>
          <w:bCs/>
          <w:color w:val="000000"/>
          <w:sz w:val="32"/>
          <w:szCs w:val="32"/>
        </w:rPr>
        <w:t>（二）绩效自评结果公开情况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pPr>
      <w:r>
        <w:rPr>
          <w:rFonts w:hint="eastAsia" w:ascii="仿宋_GB2312" w:hAnsi="宋体" w:eastAsia="仿宋_GB2312" w:cs="Times New Roman"/>
          <w:color w:val="000000"/>
          <w:sz w:val="32"/>
          <w:szCs w:val="32"/>
          <w:lang w:val="en-US" w:eastAsia="zh-CN"/>
        </w:rPr>
        <w:t>本</w:t>
      </w:r>
      <w:r>
        <w:rPr>
          <w:rFonts w:hint="default" w:ascii="仿宋_GB2312" w:hAnsi="宋体" w:eastAsia="仿宋_GB2312" w:cs="Times New Roman"/>
          <w:color w:val="000000"/>
          <w:sz w:val="32"/>
          <w:szCs w:val="32"/>
          <w:lang w:val="en-US" w:eastAsia="zh-CN"/>
        </w:rPr>
        <w:t>绩效自评报告</w:t>
      </w:r>
      <w:r>
        <w:rPr>
          <w:rFonts w:hint="eastAsia" w:ascii="仿宋_GB2312" w:hAnsi="宋体" w:eastAsia="仿宋_GB2312" w:cs="Times New Roman"/>
          <w:color w:val="000000"/>
          <w:sz w:val="32"/>
          <w:szCs w:val="32"/>
          <w:lang w:val="en-US" w:eastAsia="zh-CN"/>
        </w:rPr>
        <w:t>按要求</w:t>
      </w:r>
      <w:r>
        <w:rPr>
          <w:rFonts w:hint="default" w:ascii="仿宋_GB2312" w:hAnsi="宋体" w:eastAsia="仿宋_GB2312" w:cs="Times New Roman"/>
          <w:color w:val="000000"/>
          <w:sz w:val="32"/>
          <w:szCs w:val="32"/>
          <w:lang w:val="en-US" w:eastAsia="zh-CN"/>
        </w:rPr>
        <w:t>公开，接受监督。</w:t>
      </w:r>
    </w:p>
    <w:p>
      <w:pPr>
        <w:spacing w:line="58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宋体" w:eastAsia="仿宋_GB2312" w:cs="Times New Roman"/>
          <w:color w:val="000000"/>
          <w:sz w:val="32"/>
          <w:szCs w:val="32"/>
          <w:lang w:val="en-US" w:eastAsia="zh-CN"/>
        </w:rPr>
      </w:pPr>
      <w:r>
        <w:rPr>
          <w:rFonts w:hint="default" w:ascii="仿宋_GB2312" w:hAnsi="宋体" w:eastAsia="仿宋_GB2312" w:cs="Times New Roman"/>
          <w:color w:val="000000"/>
          <w:sz w:val="32"/>
          <w:szCs w:val="32"/>
          <w:lang w:val="en-US" w:eastAsia="zh-CN"/>
        </w:rPr>
        <w:t>202</w:t>
      </w:r>
      <w:r>
        <w:rPr>
          <w:rFonts w:hint="eastAsia" w:ascii="仿宋_GB2312" w:hAnsi="宋体" w:eastAsia="仿宋_GB2312" w:cs="Times New Roman"/>
          <w:color w:val="000000"/>
          <w:sz w:val="32"/>
          <w:szCs w:val="32"/>
          <w:lang w:val="en-US" w:eastAsia="zh-CN"/>
        </w:rPr>
        <w:t>1</w:t>
      </w:r>
      <w:r>
        <w:rPr>
          <w:rFonts w:hint="default" w:ascii="仿宋_GB2312" w:hAnsi="宋体" w:eastAsia="仿宋_GB2312" w:cs="Times New Roman"/>
          <w:color w:val="000000"/>
          <w:sz w:val="32"/>
          <w:szCs w:val="32"/>
          <w:lang w:val="en-US" w:eastAsia="zh-CN"/>
        </w:rPr>
        <w:t>年</w:t>
      </w:r>
      <w:r>
        <w:rPr>
          <w:rFonts w:hint="eastAsia" w:ascii="仿宋_GB2312" w:hAnsi="宋体" w:eastAsia="仿宋_GB2312" w:cs="Times New Roman"/>
          <w:color w:val="000000"/>
          <w:sz w:val="32"/>
          <w:szCs w:val="32"/>
          <w:lang w:val="en-US" w:eastAsia="zh-CN"/>
        </w:rPr>
        <w:t>我局</w:t>
      </w:r>
      <w:r>
        <w:rPr>
          <w:rFonts w:hint="default" w:ascii="仿宋_GB2312" w:hAnsi="宋体" w:eastAsia="仿宋_GB2312" w:cs="Times New Roman"/>
          <w:color w:val="000000"/>
          <w:sz w:val="32"/>
          <w:szCs w:val="32"/>
          <w:lang w:val="en-US" w:eastAsia="zh-CN"/>
        </w:rPr>
        <w:t>无</w:t>
      </w:r>
      <w:r>
        <w:rPr>
          <w:rFonts w:hint="eastAsia" w:ascii="仿宋_GB2312" w:hAnsi="宋体" w:eastAsia="仿宋_GB2312" w:cs="Times New Roman"/>
          <w:color w:val="000000"/>
          <w:sz w:val="32"/>
          <w:szCs w:val="32"/>
          <w:lang w:val="en-US" w:eastAsia="zh-CN"/>
        </w:rPr>
        <w:t>其他需要说明的</w:t>
      </w:r>
      <w:r>
        <w:rPr>
          <w:rFonts w:hint="default" w:ascii="仿宋_GB2312" w:hAnsi="宋体" w:eastAsia="仿宋_GB2312" w:cs="Times New Roman"/>
          <w:color w:val="000000"/>
          <w:sz w:val="32"/>
          <w:szCs w:val="32"/>
          <w:lang w:val="en-US" w:eastAsia="zh-CN"/>
        </w:rPr>
        <w:t>情况。</w:t>
      </w:r>
    </w:p>
    <w:p>
      <w:pPr>
        <w:spacing w:line="580" w:lineRule="exact"/>
        <w:ind w:firstLine="640" w:firstLineChars="200"/>
        <w:jc w:val="both"/>
        <w:rPr>
          <w:rFonts w:hint="eastAsia" w:ascii="仿宋_GB2312" w:hAnsi="仿宋_GB2312" w:eastAsia="仿宋_GB2312" w:cs="仿宋_GB2312"/>
          <w:color w:val="FF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宋体" w:eastAsia="仿宋_GB2312" w:cs="Times New Roman"/>
          <w:color w:val="000000"/>
          <w:sz w:val="32"/>
          <w:szCs w:val="32"/>
          <w:lang w:val="en-US" w:eastAsia="zh-CN"/>
        </w:rPr>
      </w:pPr>
      <w:r>
        <w:rPr>
          <w:rFonts w:hint="eastAsia" w:ascii="仿宋_GB2312" w:hAnsi="宋体" w:eastAsia="仿宋_GB2312" w:cs="Times New Roman"/>
          <w:color w:val="000000"/>
          <w:sz w:val="32"/>
          <w:szCs w:val="32"/>
          <w:lang w:val="en-US" w:eastAsia="zh-CN"/>
        </w:rPr>
        <w:t>附件：</w:t>
      </w:r>
    </w:p>
    <w:p>
      <w:pPr>
        <w:spacing w:line="58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1.2021年度部门整体支出绩效评价基础数据表 </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2.2021年度部门整体支出绩效自评表</w:t>
      </w:r>
    </w:p>
    <w:p>
      <w:pPr>
        <w:adjustRightInd w:val="0"/>
        <w:snapToGrid w:val="0"/>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2021年度项目支出绩效自评报告</w:t>
      </w:r>
    </w:p>
    <w:p>
      <w:pPr>
        <w:adjustRightInd w:val="0"/>
        <w:snapToGrid w:val="0"/>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4.2021年度</w:t>
      </w:r>
      <w:r>
        <w:rPr>
          <w:rFonts w:hint="eastAsia" w:ascii="仿宋_GB2312" w:hAnsi="仿宋_GB2312" w:eastAsia="仿宋_GB2312" w:cs="仿宋_GB2312"/>
          <w:sz w:val="32"/>
          <w:szCs w:val="32"/>
        </w:rPr>
        <w:t>项目支出绩效自评表</w:t>
      </w:r>
    </w:p>
    <w:p>
      <w:pPr>
        <w:spacing w:line="580" w:lineRule="exact"/>
        <w:ind w:firstLine="2560" w:firstLineChars="80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7"/>
        <w:tblW w:w="10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7"/>
        <w:gridCol w:w="1151"/>
        <w:gridCol w:w="849"/>
        <w:gridCol w:w="924"/>
        <w:gridCol w:w="1151"/>
        <w:gridCol w:w="733"/>
        <w:gridCol w:w="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0200" w:type="dxa"/>
            <w:gridSpan w:val="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附件1：</w:t>
            </w: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2021年度部门整体支出绩效评价基础数据表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537"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财政供养人员情况（人）</w:t>
            </w:r>
          </w:p>
        </w:tc>
        <w:tc>
          <w:tcPr>
            <w:tcW w:w="2000" w:type="dxa"/>
            <w:gridSpan w:val="2"/>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编制数</w:t>
            </w:r>
          </w:p>
        </w:tc>
        <w:tc>
          <w:tcPr>
            <w:tcW w:w="2075" w:type="dxa"/>
            <w:gridSpan w:val="2"/>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2021</w:t>
            </w:r>
            <w:r>
              <w:rPr>
                <w:rStyle w:val="14"/>
                <w:lang w:val="en-US" w:eastAsia="zh-CN" w:bidi="ar"/>
              </w:rPr>
              <w:t>年实际在职人数</w:t>
            </w:r>
          </w:p>
        </w:tc>
        <w:tc>
          <w:tcPr>
            <w:tcW w:w="1588" w:type="dxa"/>
            <w:gridSpan w:val="2"/>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4537"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经费控制情况（万元）</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2020</w:t>
            </w:r>
            <w:r>
              <w:rPr>
                <w:rStyle w:val="14"/>
                <w:lang w:val="en-US" w:eastAsia="zh-CN" w:bidi="ar"/>
              </w:rPr>
              <w:t>年决算数</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2021</w:t>
            </w:r>
            <w:r>
              <w:rPr>
                <w:rStyle w:val="14"/>
                <w:lang w:val="en-US" w:eastAsia="zh-CN" w:bidi="ar"/>
              </w:rPr>
              <w:t>年预算数</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2021</w:t>
            </w:r>
            <w:r>
              <w:rPr>
                <w:rStyle w:val="14"/>
                <w:lang w:val="en-US" w:eastAsia="zh-CN" w:bidi="ar"/>
              </w:rPr>
              <w:t>年决算数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一、部门基本支出</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503.16</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461.67</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其中：公用经费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91.76</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91.43</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其中：办公经费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2.74</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水费、电费、差旅费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会议费、培训费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9.88</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r>
              <w:rPr>
                <w:rStyle w:val="15"/>
                <w:lang w:val="en-US" w:eastAsia="zh-CN" w:bidi="ar"/>
              </w:rPr>
              <w:t>、公务用车购置和维护经费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其中：公交车购置</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Style w:val="15"/>
                <w:lang w:val="en-US" w:eastAsia="zh-CN" w:bidi="ar"/>
              </w:rPr>
              <w:t>公交车运行维护</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2</w:t>
            </w:r>
            <w:r>
              <w:rPr>
                <w:rStyle w:val="15"/>
                <w:lang w:val="en-US" w:eastAsia="zh-CN" w:bidi="ar"/>
              </w:rPr>
              <w:t>、出国经费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3</w:t>
            </w:r>
            <w:r>
              <w:rPr>
                <w:rStyle w:val="15"/>
                <w:lang w:val="en-US" w:eastAsia="zh-CN" w:bidi="ar"/>
              </w:rPr>
              <w:t>、公务接待</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5.88</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二、部门项目支出</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1579.72</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591.57</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619.13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1</w:t>
            </w:r>
            <w:r>
              <w:rPr>
                <w:rStyle w:val="16"/>
                <w:lang w:val="en-US" w:eastAsia="zh-CN" w:bidi="ar"/>
              </w:rPr>
              <w:t>、业务工作经费</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1579.72</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579.67</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退役军人事务专项资金</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1579.72</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579.67</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607.25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r>
              <w:rPr>
                <w:rStyle w:val="16"/>
                <w:lang w:val="en-US" w:eastAsia="zh-CN" w:bidi="ar"/>
              </w:rPr>
              <w:t>、运行维护经费</w:t>
            </w:r>
          </w:p>
        </w:tc>
        <w:tc>
          <w:tcPr>
            <w:tcW w:w="200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7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88" w:type="dxa"/>
            <w:gridSpan w:val="2"/>
            <w:tcBorders>
              <w:top w:val="nil"/>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Times New Roman" w:hAnsi="Times New Roman" w:eastAsia="宋体"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3</w:t>
            </w:r>
            <w:r>
              <w:rPr>
                <w:rStyle w:val="16"/>
                <w:lang w:val="en-US" w:eastAsia="zh-CN" w:bidi="ar"/>
              </w:rPr>
              <w:t>、市级专项资金</w:t>
            </w:r>
          </w:p>
        </w:tc>
        <w:tc>
          <w:tcPr>
            <w:tcW w:w="2000"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207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588" w:type="dxa"/>
            <w:gridSpan w:val="2"/>
            <w:tcBorders>
              <w:top w:val="nil"/>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待安置期间退役士兵生活补助</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政府采购金额</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309</w:t>
            </w:r>
          </w:p>
        </w:tc>
        <w:tc>
          <w:tcPr>
            <w:tcW w:w="1588" w:type="dxa"/>
            <w:gridSpan w:val="2"/>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4537"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部门基本支出预算调整</w:t>
            </w:r>
          </w:p>
        </w:tc>
        <w:tc>
          <w:tcPr>
            <w:tcW w:w="200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207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50.31</w:t>
            </w:r>
          </w:p>
        </w:tc>
        <w:tc>
          <w:tcPr>
            <w:tcW w:w="158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12" w:hRule="atLeast"/>
        </w:trPr>
        <w:tc>
          <w:tcPr>
            <w:tcW w:w="4537"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楼堂馆所控制情况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（2021年完工项目）</w:t>
            </w:r>
          </w:p>
        </w:tc>
        <w:tc>
          <w:tcPr>
            <w:tcW w:w="115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批复规模</w:t>
            </w:r>
          </w:p>
        </w:tc>
        <w:tc>
          <w:tcPr>
            <w:tcW w:w="849"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实际规模（</w:t>
            </w:r>
            <w:r>
              <w:rPr>
                <w:rStyle w:val="15"/>
                <w:lang w:val="en-US" w:eastAsia="zh-CN" w:bidi="ar"/>
              </w:rPr>
              <w:t>㎡）</w:t>
            </w:r>
          </w:p>
        </w:tc>
        <w:tc>
          <w:tcPr>
            <w:tcW w:w="9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规模控制率</w:t>
            </w:r>
          </w:p>
        </w:tc>
        <w:tc>
          <w:tcPr>
            <w:tcW w:w="115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预算投资（万元）</w:t>
            </w:r>
          </w:p>
        </w:tc>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实际投资（万元）</w:t>
            </w:r>
          </w:p>
        </w:tc>
        <w:tc>
          <w:tcPr>
            <w:tcW w:w="855"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投资概算控制率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537"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15"/>
                <w:lang w:val="en-US" w:eastAsia="zh-CN" w:bidi="ar"/>
              </w:rPr>
              <w:t>㎡）</w:t>
            </w:r>
          </w:p>
        </w:tc>
        <w:tc>
          <w:tcPr>
            <w:tcW w:w="849"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5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4537" w:type="dxa"/>
            <w:tcBorders>
              <w:top w:val="nil"/>
              <w:left w:val="single" w:color="000000" w:sz="12"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4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9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5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7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855"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537" w:type="dxa"/>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厉行节约保障措施</w:t>
            </w:r>
          </w:p>
        </w:tc>
        <w:tc>
          <w:tcPr>
            <w:tcW w:w="5663" w:type="dxa"/>
            <w:gridSpan w:val="6"/>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落实省委省政府“过紧日子”的指示要求，严格预算管控，压缩行政性开支；进一步加强会议费、培训费、差旅费、公务接待费、公务用车运行维护费、因公出国（境）费等经费的管理。并在节约水电、降低车耗、节约使用办公用品，杜绝食堂浪费等方面加强管理，杜绝各种损失浪费，控制了行政成本。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200" w:type="dxa"/>
            <w:gridSpan w:val="7"/>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w:t>
            </w:r>
            <w:r>
              <w:rPr>
                <w:rStyle w:val="17"/>
                <w:lang w:val="en-US" w:eastAsia="zh-CN" w:bidi="ar"/>
              </w:rPr>
              <w:t>说明：</w:t>
            </w:r>
            <w:r>
              <w:rPr>
                <w:rStyle w:val="18"/>
                <w:rFonts w:eastAsia="宋体"/>
                <w:lang w:val="en-US" w:eastAsia="zh-CN" w:bidi="ar"/>
              </w:rPr>
              <w:t>“</w:t>
            </w:r>
            <w:r>
              <w:rPr>
                <w:rStyle w:val="17"/>
                <w:lang w:val="en-US" w:eastAsia="zh-CN" w:bidi="ar"/>
              </w:rPr>
              <w:t>项目支出</w:t>
            </w:r>
            <w:r>
              <w:rPr>
                <w:rStyle w:val="18"/>
                <w:rFonts w:eastAsia="宋体"/>
                <w:lang w:val="en-US" w:eastAsia="zh-CN" w:bidi="ar"/>
              </w:rPr>
              <w:t>”</w:t>
            </w:r>
            <w:r>
              <w:rPr>
                <w:rStyle w:val="17"/>
                <w:lang w:val="en-US" w:eastAsia="zh-CN" w:bidi="ar"/>
              </w:rPr>
              <w:t>需要填报基本支出以外的所有项目支出情况，</w:t>
            </w:r>
            <w:r>
              <w:rPr>
                <w:rStyle w:val="18"/>
                <w:rFonts w:eastAsia="宋体"/>
                <w:lang w:val="en-US" w:eastAsia="zh-CN" w:bidi="ar"/>
              </w:rPr>
              <w:t>“</w:t>
            </w:r>
            <w:r>
              <w:rPr>
                <w:rStyle w:val="17"/>
                <w:lang w:val="en-US" w:eastAsia="zh-CN" w:bidi="ar"/>
              </w:rPr>
              <w:t>公用经费</w:t>
            </w:r>
            <w:r>
              <w:rPr>
                <w:rStyle w:val="18"/>
                <w:rFonts w:eastAsia="宋体"/>
                <w:lang w:val="en-US" w:eastAsia="zh-CN" w:bidi="ar"/>
              </w:rPr>
              <w:t>”</w:t>
            </w:r>
            <w:r>
              <w:rPr>
                <w:rStyle w:val="17"/>
                <w:lang w:val="en-US" w:eastAsia="zh-CN" w:bidi="ar"/>
              </w:rPr>
              <w:t>填报基本支出中的一般商品和服务支出。</w:t>
            </w:r>
            <w:r>
              <w:rPr>
                <w:rStyle w:val="18"/>
                <w:rFonts w:eastAsia="宋体"/>
                <w:lang w:val="en-US" w:eastAsia="zh-CN" w:bidi="ar"/>
              </w:rPr>
              <w:t xml:space="preserve"> </w:t>
            </w:r>
            <w:r>
              <w:rPr>
                <w:rStyle w:val="18"/>
                <w:rFonts w:eastAsia="宋体"/>
                <w:lang w:val="en-US" w:eastAsia="zh-CN" w:bidi="ar"/>
              </w:rPr>
              <w:br w:type="textWrapping"/>
            </w:r>
            <w:r>
              <w:rPr>
                <w:rStyle w:val="17"/>
                <w:lang w:val="en-US" w:eastAsia="zh-CN" w:bidi="ar"/>
              </w:rPr>
              <w:t>填表人：</w:t>
            </w:r>
            <w:r>
              <w:rPr>
                <w:rStyle w:val="18"/>
                <w:rFonts w:eastAsia="宋体"/>
                <w:lang w:val="en-US" w:eastAsia="zh-CN" w:bidi="ar"/>
              </w:rPr>
              <w:t xml:space="preserve">        </w:t>
            </w:r>
            <w:r>
              <w:rPr>
                <w:rStyle w:val="17"/>
                <w:lang w:val="en-US" w:eastAsia="zh-CN" w:bidi="ar"/>
              </w:rPr>
              <w:t>填报日期：</w:t>
            </w:r>
            <w:r>
              <w:rPr>
                <w:rStyle w:val="18"/>
                <w:rFonts w:eastAsia="宋体"/>
                <w:lang w:val="en-US" w:eastAsia="zh-CN" w:bidi="ar"/>
              </w:rPr>
              <w:t xml:space="preserve">             </w:t>
            </w:r>
            <w:r>
              <w:rPr>
                <w:rStyle w:val="17"/>
                <w:lang w:val="en-US" w:eastAsia="zh-CN" w:bidi="ar"/>
              </w:rPr>
              <w:t>联系电话：</w:t>
            </w:r>
            <w:r>
              <w:rPr>
                <w:rStyle w:val="18"/>
                <w:rFonts w:eastAsia="宋体"/>
                <w:lang w:val="en-US" w:eastAsia="zh-CN" w:bidi="ar"/>
              </w:rPr>
              <w:t xml:space="preserve">               </w:t>
            </w:r>
            <w:r>
              <w:rPr>
                <w:rStyle w:val="17"/>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00" w:type="dxa"/>
            <w:gridSpan w:val="7"/>
            <w:vMerge w:val="continue"/>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200" w:type="dxa"/>
            <w:gridSpan w:val="7"/>
            <w:vMerge w:val="continue"/>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10200" w:type="dxa"/>
            <w:gridSpan w:val="7"/>
            <w:vMerge w:val="continue"/>
            <w:tcBorders>
              <w:top w:val="nil"/>
              <w:left w:val="nil"/>
              <w:bottom w:val="nil"/>
              <w:right w:val="nil"/>
            </w:tcBorders>
            <w:shd w:val="clear" w:color="auto" w:fill="auto"/>
            <w:vAlign w:val="center"/>
          </w:tcPr>
          <w:p>
            <w:pPr>
              <w:jc w:val="left"/>
              <w:rPr>
                <w:rFonts w:hint="default" w:ascii="Times New Roman" w:hAnsi="Times New Roman" w:eastAsia="宋体" w:cs="Times New Roman"/>
                <w:i w:val="0"/>
                <w:iCs w:val="0"/>
                <w:color w:val="000000"/>
                <w:sz w:val="22"/>
                <w:szCs w:val="22"/>
                <w:u w:val="none"/>
              </w:rPr>
            </w:pPr>
          </w:p>
        </w:tc>
      </w:tr>
    </w:tbl>
    <w:p>
      <w:pPr>
        <w:jc w:val="center"/>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p>
      <w:pPr>
        <w:pStyle w:val="2"/>
        <w:rPr>
          <w:rFonts w:hint="eastAsia" w:ascii="方正小标宋简体" w:eastAsia="方正小标宋简体"/>
          <w:sz w:val="52"/>
          <w:szCs w:val="52"/>
        </w:rPr>
      </w:pPr>
    </w:p>
    <w:tbl>
      <w:tblPr>
        <w:tblStyle w:val="7"/>
        <w:tblW w:w="10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0"/>
        <w:gridCol w:w="824"/>
        <w:gridCol w:w="826"/>
        <w:gridCol w:w="1690"/>
        <w:gridCol w:w="75"/>
        <w:gridCol w:w="1610"/>
        <w:gridCol w:w="1111"/>
        <w:gridCol w:w="824"/>
        <w:gridCol w:w="882"/>
        <w:gridCol w:w="1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024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附件2：</w:t>
            </w: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2021年度部门整体支出绩效自评表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1350" w:type="dxa"/>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市级预算部门名称</w:t>
            </w:r>
          </w:p>
        </w:tc>
        <w:tc>
          <w:tcPr>
            <w:tcW w:w="8890" w:type="dxa"/>
            <w:gridSpan w:val="9"/>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350"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算申请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0"/>
                <w:szCs w:val="20"/>
                <w:u w:val="none"/>
              </w:rPr>
            </w:pPr>
          </w:p>
        </w:tc>
        <w:tc>
          <w:tcPr>
            <w:tcW w:w="17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6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9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76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461.67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1198.09 </w:t>
            </w:r>
          </w:p>
        </w:tc>
        <w:tc>
          <w:tcPr>
            <w:tcW w:w="0" w:type="auto"/>
            <w:tcBorders>
              <w:top w:val="nil"/>
              <w:left w:val="nil"/>
              <w:bottom w:val="single" w:color="000000" w:sz="4" w:space="0"/>
              <w:right w:val="single" w:color="000000" w:sz="8"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1131.11 </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8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94.41%</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按收入性质分：</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其中：</w:t>
            </w: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一般公共预算：</w:t>
            </w:r>
            <w:r>
              <w:rPr>
                <w:rFonts w:hint="default" w:ascii="Times New Roman" w:hAnsi="Times New Roman" w:eastAsia="宋体" w:cs="Times New Roman"/>
                <w:i w:val="0"/>
                <w:iCs w:val="0"/>
                <w:color w:val="000000"/>
                <w:kern w:val="0"/>
                <w:sz w:val="20"/>
                <w:szCs w:val="20"/>
                <w:u w:val="none"/>
                <w:lang w:val="en-US" w:eastAsia="zh-CN" w:bidi="ar"/>
              </w:rPr>
              <w:t>461.67</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其中：基本支出：511.98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4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政府性基金拨款：</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项目支出：619.13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纳入专户管理的非税收入拨款：</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7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350"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135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025" w:type="dxa"/>
            <w:gridSpan w:val="5"/>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维护军人军属合法权益，加强退役军人服务保障体系建设，建立健全集中统一、职责清晰的退役军人管理保障体制，让军人成为全社会尊崇的职业。　　</w:t>
            </w:r>
          </w:p>
        </w:tc>
        <w:tc>
          <w:tcPr>
            <w:tcW w:w="3865"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圆满完成年度目标任务,扎实推进“法律政策落实年”活动、积极开展思想政治教育、规范有序推进安置就业、认真落实优抚褒扬政策、全心全意维护退役军人合法权益，让军人职业更显尊崇。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1" w:hRule="atLeast"/>
        </w:trPr>
        <w:tc>
          <w:tcPr>
            <w:tcW w:w="1350"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实际完成值</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8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保障在职人员工资福利落实覆盖率</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部队和重点优抚对象走访慰问</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“春节”、“八一”2次慰问</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享受自主择业军转干部医保缴纳覆盖率</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资金足额拨付率</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资金拨付准确率</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退役军人事务工作高效运行</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重点工作任务完成时间</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2021年12月31日</w:t>
            </w:r>
          </w:p>
        </w:tc>
        <w:tc>
          <w:tcPr>
            <w:tcW w:w="1111"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2021年12月31日</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资金拨付及时率</w:t>
            </w:r>
          </w:p>
        </w:tc>
        <w:tc>
          <w:tcPr>
            <w:tcW w:w="1685" w:type="dxa"/>
            <w:gridSpan w:val="2"/>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restart"/>
            <w:tcBorders>
              <w:top w:val="single" w:color="000000" w:sz="8" w:space="0"/>
              <w:left w:val="single" w:color="000000" w:sz="8" w:space="0"/>
              <w:bottom w:val="single" w:color="000000" w:sz="8"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支出经费控制率</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nil"/>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nil"/>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0"/>
                <w:szCs w:val="20"/>
                <w:u w:val="none"/>
              </w:rPr>
            </w:pPr>
            <w:r>
              <w:rPr>
                <w:rFonts w:hint="default" w:ascii="方正仿宋_GBK" w:hAnsi="方正仿宋_GBK" w:eastAsia="方正仿宋_GBK" w:cs="方正仿宋_GBK"/>
                <w:i w:val="0"/>
                <w:iCs w:val="0"/>
                <w:color w:val="000000"/>
                <w:kern w:val="0"/>
                <w:sz w:val="20"/>
                <w:szCs w:val="20"/>
                <w:u w:val="none"/>
                <w:lang w:val="en-US" w:eastAsia="zh-CN" w:bidi="ar"/>
              </w:rPr>
              <w:t>三公经费控制率</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48" w:type="dxa"/>
            <w:tcBorders>
              <w:top w:val="single" w:color="000000" w:sz="8" w:space="0"/>
              <w:left w:val="nil"/>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8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促进退役军人服务保障事业单位建设与发展</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7"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提升退役军人事务工作整体效能</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8"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帮助因特殊困难导致基本生活陷入困境的退役军人和其他优抚对象改善基本生活</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有效改善</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有效改善</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对维护社会安定团结的推动作用</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效果显著</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vMerge w:val="continue"/>
            <w:tcBorders>
              <w:top w:val="nil"/>
              <w:left w:val="single" w:color="000000" w:sz="8" w:space="0"/>
              <w:bottom w:val="nil"/>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82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铭记好英雄烈士事迹，传承和弘扬英烈精神</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效果显著</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8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1" w:hRule="atLeast"/>
        </w:trPr>
        <w:tc>
          <w:tcPr>
            <w:tcW w:w="135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24"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82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69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退役军人及优抚对象满意率</w:t>
            </w:r>
          </w:p>
        </w:tc>
        <w:tc>
          <w:tcPr>
            <w:tcW w:w="16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基本满意</w:t>
            </w:r>
          </w:p>
        </w:tc>
        <w:tc>
          <w:tcPr>
            <w:tcW w:w="111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基本满意</w:t>
            </w:r>
          </w:p>
        </w:tc>
        <w:tc>
          <w:tcPr>
            <w:tcW w:w="8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8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48"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486" w:type="dxa"/>
            <w:gridSpan w:val="7"/>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824"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882"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048" w:type="dxa"/>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填表人：             填报日期：                联系电话：              单位负责人签字：</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7"/>
        <w:tblW w:w="10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46"/>
        <w:gridCol w:w="3346"/>
        <w:gridCol w:w="33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0040"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44"/>
                <w:szCs w:val="44"/>
                <w:u w:val="none"/>
                <w:lang w:val="en-US" w:eastAsia="zh-CN" w:bidi="ar"/>
              </w:rPr>
            </w:pPr>
            <w:r>
              <w:rPr>
                <w:rFonts w:hint="eastAsia" w:ascii="宋体" w:hAnsi="宋体" w:eastAsia="宋体" w:cs="宋体"/>
                <w:i w:val="0"/>
                <w:iCs w:val="0"/>
                <w:color w:val="000000"/>
                <w:kern w:val="0"/>
                <w:sz w:val="28"/>
                <w:szCs w:val="28"/>
                <w:u w:val="none"/>
                <w:lang w:val="en-US" w:eastAsia="zh-CN" w:bidi="ar"/>
              </w:rPr>
              <w:t>附件3：</w:t>
            </w:r>
          </w:p>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2021年度项目支出绩效自评报告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346"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部门概况</w:t>
            </w:r>
          </w:p>
        </w:tc>
        <w:tc>
          <w:tcPr>
            <w:tcW w:w="3346" w:type="dxa"/>
            <w:tcBorders>
              <w:top w:val="single" w:color="000000" w:sz="12"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3348" w:type="dxa"/>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待安置期间退役士兵生活补助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346"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年度预算金额</w:t>
            </w:r>
          </w:p>
        </w:tc>
        <w:tc>
          <w:tcPr>
            <w:tcW w:w="33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346"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项目主管部门</w:t>
            </w:r>
          </w:p>
        </w:tc>
        <w:tc>
          <w:tcPr>
            <w:tcW w:w="33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bookmarkStart w:id="0" w:name="_GoBack"/>
            <w:bookmarkEnd w:id="0"/>
            <w:r>
              <w:rPr>
                <w:rFonts w:hint="eastAsia" w:ascii="宋体" w:hAnsi="宋体" w:eastAsia="宋体" w:cs="宋体"/>
                <w:i w:val="0"/>
                <w:iCs w:val="0"/>
                <w:color w:val="000000"/>
                <w:kern w:val="0"/>
                <w:sz w:val="22"/>
                <w:szCs w:val="22"/>
                <w:u w:val="none"/>
                <w:lang w:val="en-US" w:eastAsia="zh-CN" w:bidi="ar"/>
              </w:rPr>
              <w:t>永州市退役军人事务局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3346"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项目立项目的</w:t>
            </w:r>
          </w:p>
        </w:tc>
        <w:tc>
          <w:tcPr>
            <w:tcW w:w="33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保障待安置期间退役士兵生活补助发放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8" w:hRule="atLeast"/>
        </w:trPr>
        <w:tc>
          <w:tcPr>
            <w:tcW w:w="334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绩效情况</w:t>
            </w:r>
          </w:p>
        </w:tc>
        <w:tc>
          <w:tcPr>
            <w:tcW w:w="3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项目支出管理和使用基本情况</w:t>
            </w:r>
          </w:p>
        </w:tc>
        <w:tc>
          <w:tcPr>
            <w:tcW w:w="33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按要求发放待安置期间退役士兵生活补助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项目绩效目标完成情况</w:t>
            </w:r>
          </w:p>
        </w:tc>
        <w:tc>
          <w:tcPr>
            <w:tcW w:w="3348"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已完成发放待安置期间退役士兵生活补助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8"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8"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346"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存在的问题分析及改进措施</w:t>
            </w:r>
          </w:p>
        </w:tc>
        <w:tc>
          <w:tcPr>
            <w:tcW w:w="334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存在的问题</w:t>
            </w:r>
          </w:p>
        </w:tc>
        <w:tc>
          <w:tcPr>
            <w:tcW w:w="3348"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8"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8"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7"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c>
          <w:tcPr>
            <w:tcW w:w="3348"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restart"/>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其他需要说明问题</w:t>
            </w:r>
          </w:p>
        </w:tc>
        <w:tc>
          <w:tcPr>
            <w:tcW w:w="3348" w:type="dxa"/>
            <w:vMerge w:val="restart"/>
            <w:tcBorders>
              <w:top w:val="single" w:color="000000" w:sz="8" w:space="0"/>
              <w:left w:val="single" w:color="000000" w:sz="8"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8" w:type="dxa"/>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3346"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6" w:type="dxa"/>
            <w:vMerge w:val="continue"/>
            <w:tcBorders>
              <w:top w:val="single" w:color="000000" w:sz="8" w:space="0"/>
              <w:left w:val="single" w:color="000000" w:sz="8" w:space="0"/>
              <w:bottom w:val="single" w:color="000000" w:sz="12"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348" w:type="dxa"/>
            <w:vMerge w:val="continue"/>
            <w:tcBorders>
              <w:top w:val="single" w:color="000000" w:sz="8" w:space="0"/>
              <w:left w:val="single" w:color="000000" w:sz="8" w:space="0"/>
              <w:bottom w:val="single" w:color="000000" w:sz="12" w:space="0"/>
              <w:right w:val="single" w:color="000000" w:sz="12"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40" w:type="dxa"/>
            <w:gridSpan w:val="3"/>
            <w:vMerge w:val="restart"/>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备注：每个项目支出分别填报自评报告和自评表。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填表人：             填报日期：              联系电话：            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10040" w:type="dxa"/>
            <w:gridSpan w:val="3"/>
            <w:vMerge w:val="continue"/>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pStyle w:val="2"/>
        <w:rPr>
          <w:rFonts w:hint="eastAsia"/>
        </w:rPr>
      </w:pPr>
    </w:p>
    <w:tbl>
      <w:tblPr>
        <w:tblStyle w:val="7"/>
        <w:tblW w:w="10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1140"/>
        <w:gridCol w:w="1140"/>
        <w:gridCol w:w="1140"/>
        <w:gridCol w:w="1140"/>
        <w:gridCol w:w="1140"/>
        <w:gridCol w:w="1140"/>
        <w:gridCol w:w="11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10260" w:type="dxa"/>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44"/>
                <w:szCs w:val="44"/>
                <w:u w:val="none"/>
                <w:lang w:val="en-US" w:eastAsia="zh-CN" w:bidi="ar"/>
              </w:rPr>
            </w:pPr>
            <w:r>
              <w:rPr>
                <w:rFonts w:hint="eastAsia" w:ascii="宋体" w:hAnsi="宋体" w:eastAsia="宋体" w:cs="宋体"/>
                <w:i w:val="0"/>
                <w:iCs w:val="0"/>
                <w:color w:val="000000"/>
                <w:kern w:val="0"/>
                <w:sz w:val="28"/>
                <w:szCs w:val="28"/>
                <w:u w:val="none"/>
                <w:lang w:val="en-US" w:eastAsia="zh-CN" w:bidi="ar"/>
              </w:rPr>
              <w:t>附件4：</w:t>
            </w:r>
          </w:p>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40"/>
                <w:szCs w:val="40"/>
                <w:u w:val="none"/>
                <w:lang w:val="en-US" w:eastAsia="zh-CN" w:bidi="ar"/>
              </w:rPr>
              <w:t>2021年度项目支出绩效自评表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140" w:type="dxa"/>
            <w:vMerge w:val="restart"/>
            <w:tcBorders>
              <w:top w:val="single" w:color="000000" w:sz="12"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出名称</w:t>
            </w:r>
          </w:p>
        </w:tc>
        <w:tc>
          <w:tcPr>
            <w:tcW w:w="9120" w:type="dxa"/>
            <w:gridSpan w:val="8"/>
            <w:vMerge w:val="restart"/>
            <w:tcBorders>
              <w:top w:val="single" w:color="000000" w:sz="12"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待安置期间退役士兵生活补助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40"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120" w:type="dxa"/>
            <w:gridSpan w:val="8"/>
            <w:vMerge w:val="continue"/>
            <w:tcBorders>
              <w:top w:val="single" w:color="000000" w:sz="12"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56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3420" w:type="dxa"/>
            <w:gridSpan w:val="3"/>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永州市退役军人事务局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280"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w:t>
            </w: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140" w:type="dxa"/>
            <w:vMerge w:val="restart"/>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0"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114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执行数</w:t>
            </w: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12"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　</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99.83%</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　</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上年结转资金　</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8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30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restart"/>
            <w:tcBorders>
              <w:top w:val="single" w:color="000000" w:sz="8" w:space="0"/>
              <w:left w:val="single" w:color="000000" w:sz="12"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56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4560"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trPr>
        <w:tc>
          <w:tcPr>
            <w:tcW w:w="1140" w:type="dxa"/>
            <w:vMerge w:val="continue"/>
            <w:tcBorders>
              <w:top w:val="single" w:color="000000" w:sz="8" w:space="0"/>
              <w:left w:val="single" w:color="000000" w:sz="12"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0"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按要求完成待安置期间退役士兵生活补助发放工作</w:t>
            </w:r>
          </w:p>
        </w:tc>
        <w:tc>
          <w:tcPr>
            <w:tcW w:w="4560" w:type="dxa"/>
            <w:gridSpan w:val="4"/>
            <w:tcBorders>
              <w:top w:val="single" w:color="000000" w:sz="8" w:space="0"/>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已完成发放待安置期间退役士兵生活补助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140" w:type="dxa"/>
            <w:vMerge w:val="restart"/>
            <w:tcBorders>
              <w:top w:val="single" w:color="000000" w:sz="8" w:space="0"/>
              <w:left w:val="single" w:color="000000" w:sz="12"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1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1140" w:type="dxa"/>
            <w:tcBorders>
              <w:top w:val="single" w:color="000000" w:sz="8" w:space="0"/>
              <w:left w:val="single" w:color="000000" w:sz="8" w:space="0"/>
              <w:bottom w:val="nil"/>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偏差原因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140"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完成值</w:t>
            </w: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single" w:color="000000" w:sz="8" w:space="0"/>
              <w:bottom w:val="nil"/>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分析及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nil"/>
              <w:left w:val="single" w:color="000000" w:sz="8" w:space="0"/>
              <w:bottom w:val="single" w:color="000000" w:sz="8"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7"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(50分)</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待安置期间退役士兵生活补助发放比率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下拨经费符合相关政策规定比率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待安置期间退役士兵生活补助及时拨付率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安排预算资金</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预算范围内</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11.88万元</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restar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（30分）</w:t>
            </w: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落实退役安置生活费待遇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100%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vMerge w:val="continue"/>
            <w:tcBorders>
              <w:top w:val="nil"/>
              <w:left w:val="single" w:color="000000" w:sz="8"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做好安置和服务保障工作</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效果显著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效果显著</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1140" w:type="dxa"/>
            <w:vMerge w:val="continue"/>
            <w:tcBorders>
              <w:top w:val="single" w:color="000000" w:sz="8" w:space="0"/>
              <w:left w:val="single" w:color="000000" w:sz="12" w:space="0"/>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（10分）</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退役士兵满意率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≥95%</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0" w:type="dxa"/>
            <w:tcBorders>
              <w:top w:val="single" w:color="000000" w:sz="8" w:space="0"/>
              <w:left w:val="single" w:color="000000" w:sz="8" w:space="0"/>
              <w:bottom w:val="single" w:color="000000" w:sz="8"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6840" w:type="dxa"/>
            <w:gridSpan w:val="6"/>
            <w:tcBorders>
              <w:top w:val="single" w:color="000000" w:sz="8" w:space="0"/>
              <w:left w:val="single" w:color="000000" w:sz="12"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40"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12"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40" w:type="dxa"/>
            <w:tcBorders>
              <w:top w:val="single" w:color="000000" w:sz="8" w:space="0"/>
              <w:left w:val="single" w:color="000000" w:sz="8" w:space="0"/>
              <w:bottom w:val="single" w:color="000000" w:sz="12" w:space="0"/>
              <w:right w:val="single" w:color="000000" w:sz="12"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备注：每个项目支出分别填报自评报告和自评表。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0" w:type="auto"/>
            <w:gridSpan w:val="9"/>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填表人：          填报日期：         联系电话：            单位负责人签字：</w:t>
            </w:r>
          </w:p>
        </w:tc>
      </w:tr>
    </w:tbl>
    <w:p>
      <w:pPr>
        <w:pStyle w:val="2"/>
        <w:rPr>
          <w:rFonts w:hint="eastAsia"/>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FEDA3"/>
    <w:multiLevelType w:val="singleLevel"/>
    <w:tmpl w:val="9D7FEDA3"/>
    <w:lvl w:ilvl="0" w:tentative="0">
      <w:start w:val="9"/>
      <w:numFmt w:val="chineseCounting"/>
      <w:suff w:val="nothing"/>
      <w:lvlText w:val="%1、"/>
      <w:lvlJc w:val="left"/>
      <w:rPr>
        <w:rFonts w:hint="eastAsia"/>
      </w:rPr>
    </w:lvl>
  </w:abstractNum>
  <w:abstractNum w:abstractNumId="1">
    <w:nsid w:val="B9746D94"/>
    <w:multiLevelType w:val="singleLevel"/>
    <w:tmpl w:val="B9746D94"/>
    <w:lvl w:ilvl="0" w:tentative="0">
      <w:start w:val="1"/>
      <w:numFmt w:val="chineseCounting"/>
      <w:suff w:val="nothing"/>
      <w:lvlText w:val="%1、"/>
      <w:lvlJc w:val="left"/>
      <w:rPr>
        <w:rFonts w:hint="eastAsia"/>
      </w:rPr>
    </w:lvl>
  </w:abstractNum>
  <w:abstractNum w:abstractNumId="2">
    <w:nsid w:val="D9E3DA24"/>
    <w:multiLevelType w:val="singleLevel"/>
    <w:tmpl w:val="D9E3DA24"/>
    <w:lvl w:ilvl="0" w:tentative="0">
      <w:start w:val="1"/>
      <w:numFmt w:val="chineseCounting"/>
      <w:suff w:val="nothing"/>
      <w:lvlText w:val="%1、"/>
      <w:lvlJc w:val="left"/>
      <w:rPr>
        <w:rFonts w:hint="eastAsia"/>
      </w:rPr>
    </w:lvl>
  </w:abstractNum>
  <w:abstractNum w:abstractNumId="3">
    <w:nsid w:val="29DFC1E2"/>
    <w:multiLevelType w:val="singleLevel"/>
    <w:tmpl w:val="29DFC1E2"/>
    <w:lvl w:ilvl="0" w:tentative="0">
      <w:start w:val="8"/>
      <w:numFmt w:val="chineseCounting"/>
      <w:suff w:val="nothing"/>
      <w:lvlText w:val="%1、"/>
      <w:lvlJc w:val="left"/>
      <w:rPr>
        <w:rFonts w:hint="eastAsia"/>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kZWZjYjJmMjA1Yzk1YTdiODk2NmY0NTc0YWQ2MDA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45D3C6F"/>
    <w:rsid w:val="07AD2AAB"/>
    <w:rsid w:val="0C970E9C"/>
    <w:rsid w:val="0E5359AA"/>
    <w:rsid w:val="0E825B30"/>
    <w:rsid w:val="0EAD495A"/>
    <w:rsid w:val="12CD1D08"/>
    <w:rsid w:val="131B6383"/>
    <w:rsid w:val="13891289"/>
    <w:rsid w:val="14AE1F25"/>
    <w:rsid w:val="16D90A2F"/>
    <w:rsid w:val="17795F93"/>
    <w:rsid w:val="18B90A78"/>
    <w:rsid w:val="18C7014D"/>
    <w:rsid w:val="18CF2672"/>
    <w:rsid w:val="1A1A3838"/>
    <w:rsid w:val="1A8A3DEE"/>
    <w:rsid w:val="1AD21C65"/>
    <w:rsid w:val="1B0016FF"/>
    <w:rsid w:val="1B830F69"/>
    <w:rsid w:val="1BEB2F73"/>
    <w:rsid w:val="1EF75B99"/>
    <w:rsid w:val="1EFC55FC"/>
    <w:rsid w:val="1F0F38A3"/>
    <w:rsid w:val="1F2DBF4F"/>
    <w:rsid w:val="1FFC6C92"/>
    <w:rsid w:val="22B92591"/>
    <w:rsid w:val="23DB960A"/>
    <w:rsid w:val="241F37F9"/>
    <w:rsid w:val="25816EE3"/>
    <w:rsid w:val="25E92311"/>
    <w:rsid w:val="26853DB9"/>
    <w:rsid w:val="27FF4DA1"/>
    <w:rsid w:val="294824E3"/>
    <w:rsid w:val="2A585CB7"/>
    <w:rsid w:val="2A5D2D7F"/>
    <w:rsid w:val="2C1856FE"/>
    <w:rsid w:val="2C656A09"/>
    <w:rsid w:val="2D512CF7"/>
    <w:rsid w:val="2DB77BDA"/>
    <w:rsid w:val="2E042B4B"/>
    <w:rsid w:val="2E2C5491"/>
    <w:rsid w:val="2EE7F6BA"/>
    <w:rsid w:val="2F7933EF"/>
    <w:rsid w:val="2FD292E5"/>
    <w:rsid w:val="30992302"/>
    <w:rsid w:val="31411253"/>
    <w:rsid w:val="314D0BA1"/>
    <w:rsid w:val="317DBA08"/>
    <w:rsid w:val="36B407B1"/>
    <w:rsid w:val="37BF9B42"/>
    <w:rsid w:val="37F89683"/>
    <w:rsid w:val="37FDABAF"/>
    <w:rsid w:val="3844614A"/>
    <w:rsid w:val="38966328"/>
    <w:rsid w:val="3B181DBA"/>
    <w:rsid w:val="3CFFE04B"/>
    <w:rsid w:val="3D13064F"/>
    <w:rsid w:val="3D97F76F"/>
    <w:rsid w:val="3E4EBD35"/>
    <w:rsid w:val="3E6F7DB1"/>
    <w:rsid w:val="3EA55748"/>
    <w:rsid w:val="3F19FEC4"/>
    <w:rsid w:val="3F4F0FDF"/>
    <w:rsid w:val="3F67483A"/>
    <w:rsid w:val="3F6B3DC2"/>
    <w:rsid w:val="3F7E170A"/>
    <w:rsid w:val="3FEDD57B"/>
    <w:rsid w:val="3FF419AA"/>
    <w:rsid w:val="3FFB06FF"/>
    <w:rsid w:val="3FFBA6C1"/>
    <w:rsid w:val="3FFCC32E"/>
    <w:rsid w:val="3FFF872B"/>
    <w:rsid w:val="400F2B16"/>
    <w:rsid w:val="407D6CFD"/>
    <w:rsid w:val="450F37B3"/>
    <w:rsid w:val="457E59B4"/>
    <w:rsid w:val="45963387"/>
    <w:rsid w:val="467C7A59"/>
    <w:rsid w:val="4802595B"/>
    <w:rsid w:val="482C2693"/>
    <w:rsid w:val="496679E4"/>
    <w:rsid w:val="49E65108"/>
    <w:rsid w:val="4B7C874D"/>
    <w:rsid w:val="4BA7573F"/>
    <w:rsid w:val="4CDE7F50"/>
    <w:rsid w:val="4EDEE1BC"/>
    <w:rsid w:val="4EEDB309"/>
    <w:rsid w:val="4F066A1D"/>
    <w:rsid w:val="4F5DE46E"/>
    <w:rsid w:val="4FBD08D6"/>
    <w:rsid w:val="4FFCBCAC"/>
    <w:rsid w:val="4FFF38EC"/>
    <w:rsid w:val="50F33EC0"/>
    <w:rsid w:val="52DB28E5"/>
    <w:rsid w:val="5337C794"/>
    <w:rsid w:val="53922B81"/>
    <w:rsid w:val="54C94F38"/>
    <w:rsid w:val="55EE03E1"/>
    <w:rsid w:val="56144A51"/>
    <w:rsid w:val="57210A63"/>
    <w:rsid w:val="597F8768"/>
    <w:rsid w:val="59F364A0"/>
    <w:rsid w:val="5A5EE21D"/>
    <w:rsid w:val="5B077E02"/>
    <w:rsid w:val="5CB7A765"/>
    <w:rsid w:val="5D19768E"/>
    <w:rsid w:val="5D27145B"/>
    <w:rsid w:val="5E0901EE"/>
    <w:rsid w:val="5F6E7521"/>
    <w:rsid w:val="5F7D312B"/>
    <w:rsid w:val="5F7FB48B"/>
    <w:rsid w:val="612023A6"/>
    <w:rsid w:val="6260587F"/>
    <w:rsid w:val="627470F0"/>
    <w:rsid w:val="631E0BBE"/>
    <w:rsid w:val="63D07D38"/>
    <w:rsid w:val="649E1F66"/>
    <w:rsid w:val="65007971"/>
    <w:rsid w:val="65231111"/>
    <w:rsid w:val="65A45331"/>
    <w:rsid w:val="65AA59AD"/>
    <w:rsid w:val="65B57F66"/>
    <w:rsid w:val="65D14E6A"/>
    <w:rsid w:val="65DA4624"/>
    <w:rsid w:val="66EC4B93"/>
    <w:rsid w:val="677B120A"/>
    <w:rsid w:val="67A63741"/>
    <w:rsid w:val="67AF6E50"/>
    <w:rsid w:val="67B9D62F"/>
    <w:rsid w:val="67BE5652"/>
    <w:rsid w:val="6A5D5090"/>
    <w:rsid w:val="6A9F957F"/>
    <w:rsid w:val="6AD7004C"/>
    <w:rsid w:val="6BD96616"/>
    <w:rsid w:val="6BFFC35D"/>
    <w:rsid w:val="6D007256"/>
    <w:rsid w:val="6D170ADE"/>
    <w:rsid w:val="6D94617F"/>
    <w:rsid w:val="6D971089"/>
    <w:rsid w:val="6DDA7B65"/>
    <w:rsid w:val="6DE45121"/>
    <w:rsid w:val="6EBD32EB"/>
    <w:rsid w:val="6F45910F"/>
    <w:rsid w:val="6F4E1DB3"/>
    <w:rsid w:val="6FF3AC5E"/>
    <w:rsid w:val="6FF7BACE"/>
    <w:rsid w:val="71BFB910"/>
    <w:rsid w:val="737FC2B0"/>
    <w:rsid w:val="73EF5181"/>
    <w:rsid w:val="742612C4"/>
    <w:rsid w:val="751FF26F"/>
    <w:rsid w:val="75F55D09"/>
    <w:rsid w:val="76FE1FF1"/>
    <w:rsid w:val="777B38BC"/>
    <w:rsid w:val="778B0425"/>
    <w:rsid w:val="77BF98A6"/>
    <w:rsid w:val="77EF38C6"/>
    <w:rsid w:val="77F1FE30"/>
    <w:rsid w:val="783F1E3B"/>
    <w:rsid w:val="796F5A90"/>
    <w:rsid w:val="799F2EF1"/>
    <w:rsid w:val="79C55289"/>
    <w:rsid w:val="79DF9FBE"/>
    <w:rsid w:val="7AA8CC86"/>
    <w:rsid w:val="7AC75B0D"/>
    <w:rsid w:val="7AEF4D01"/>
    <w:rsid w:val="7AFF744B"/>
    <w:rsid w:val="7B1012E4"/>
    <w:rsid w:val="7B6F5C14"/>
    <w:rsid w:val="7B7717EF"/>
    <w:rsid w:val="7B7D272F"/>
    <w:rsid w:val="7B7DE5E3"/>
    <w:rsid w:val="7BBDED7C"/>
    <w:rsid w:val="7BBFACBC"/>
    <w:rsid w:val="7BD92135"/>
    <w:rsid w:val="7BEF02C3"/>
    <w:rsid w:val="7BF72494"/>
    <w:rsid w:val="7BF72501"/>
    <w:rsid w:val="7C77D7A8"/>
    <w:rsid w:val="7CF55854"/>
    <w:rsid w:val="7CFA58E1"/>
    <w:rsid w:val="7CFE458D"/>
    <w:rsid w:val="7D4EDC5B"/>
    <w:rsid w:val="7D7F6E7B"/>
    <w:rsid w:val="7DB51783"/>
    <w:rsid w:val="7DF7B94F"/>
    <w:rsid w:val="7E7545DF"/>
    <w:rsid w:val="7EBE8A70"/>
    <w:rsid w:val="7EBFD06F"/>
    <w:rsid w:val="7EDB6FB2"/>
    <w:rsid w:val="7EEBF9ED"/>
    <w:rsid w:val="7EFF2ADA"/>
    <w:rsid w:val="7F5FCCF5"/>
    <w:rsid w:val="7F6C9F5D"/>
    <w:rsid w:val="7F6F904F"/>
    <w:rsid w:val="7F6FF6FF"/>
    <w:rsid w:val="7F731501"/>
    <w:rsid w:val="7F7932CB"/>
    <w:rsid w:val="7F8FF7A7"/>
    <w:rsid w:val="7F9EE72A"/>
    <w:rsid w:val="7FBDC9FF"/>
    <w:rsid w:val="7FDD7733"/>
    <w:rsid w:val="7FDF10B0"/>
    <w:rsid w:val="7FDF3DB7"/>
    <w:rsid w:val="7FDFB03D"/>
    <w:rsid w:val="7FE71661"/>
    <w:rsid w:val="7FEB2BF4"/>
    <w:rsid w:val="7FEFAC68"/>
    <w:rsid w:val="7FFA1D98"/>
    <w:rsid w:val="7FFBD7CB"/>
    <w:rsid w:val="7FFDD3C3"/>
    <w:rsid w:val="7FFE2E32"/>
    <w:rsid w:val="7FFE45CB"/>
    <w:rsid w:val="7FFEC450"/>
    <w:rsid w:val="87DBA20D"/>
    <w:rsid w:val="894CE3AF"/>
    <w:rsid w:val="9E7C8231"/>
    <w:rsid w:val="9FB779F2"/>
    <w:rsid w:val="9FB7CC6D"/>
    <w:rsid w:val="A7FFF684"/>
    <w:rsid w:val="A9FF0A7C"/>
    <w:rsid w:val="AED52846"/>
    <w:rsid w:val="AFBE0EA6"/>
    <w:rsid w:val="AFF7F938"/>
    <w:rsid w:val="AFFE5DEA"/>
    <w:rsid w:val="B3775CB0"/>
    <w:rsid w:val="B3BF6695"/>
    <w:rsid w:val="B4FFBC2D"/>
    <w:rsid w:val="B5F7967D"/>
    <w:rsid w:val="B7E7F42F"/>
    <w:rsid w:val="B7FD2D21"/>
    <w:rsid w:val="BABF0589"/>
    <w:rsid w:val="BB9D0B04"/>
    <w:rsid w:val="BBB66C60"/>
    <w:rsid w:val="BBBFE05B"/>
    <w:rsid w:val="BCFDA3D4"/>
    <w:rsid w:val="BCFF93D0"/>
    <w:rsid w:val="BD7D458A"/>
    <w:rsid w:val="BDF6D6F9"/>
    <w:rsid w:val="BDFF575F"/>
    <w:rsid w:val="BF7F7391"/>
    <w:rsid w:val="BFEB793A"/>
    <w:rsid w:val="BFEFC826"/>
    <w:rsid w:val="BFF6EAB0"/>
    <w:rsid w:val="BFFD80BC"/>
    <w:rsid w:val="BFFEFB56"/>
    <w:rsid w:val="BFFF14B2"/>
    <w:rsid w:val="C5BEA648"/>
    <w:rsid w:val="C7FDD17E"/>
    <w:rsid w:val="CA58C47E"/>
    <w:rsid w:val="CB716D76"/>
    <w:rsid w:val="CBEB1608"/>
    <w:rsid w:val="CBFBDA5C"/>
    <w:rsid w:val="CE36BC85"/>
    <w:rsid w:val="CF7FF775"/>
    <w:rsid w:val="D77F19F9"/>
    <w:rsid w:val="D7CF5B25"/>
    <w:rsid w:val="D7EEB384"/>
    <w:rsid w:val="DBBFE53C"/>
    <w:rsid w:val="DCEFD225"/>
    <w:rsid w:val="DD6BC422"/>
    <w:rsid w:val="DD9C33AE"/>
    <w:rsid w:val="DDA1D12C"/>
    <w:rsid w:val="DDB35229"/>
    <w:rsid w:val="DEE6CA3B"/>
    <w:rsid w:val="DFD935BF"/>
    <w:rsid w:val="DFDA13C0"/>
    <w:rsid w:val="DFEAD3CE"/>
    <w:rsid w:val="DFED97B2"/>
    <w:rsid w:val="DFFDC277"/>
    <w:rsid w:val="DFFF789E"/>
    <w:rsid w:val="E5B44BA6"/>
    <w:rsid w:val="E5FF977A"/>
    <w:rsid w:val="E7AADE93"/>
    <w:rsid w:val="E90CD85D"/>
    <w:rsid w:val="EB3DC752"/>
    <w:rsid w:val="EB7B7CF9"/>
    <w:rsid w:val="EBF6C760"/>
    <w:rsid w:val="EBFFC74B"/>
    <w:rsid w:val="ED6B2B2E"/>
    <w:rsid w:val="EDADBF8B"/>
    <w:rsid w:val="EDF7F5CD"/>
    <w:rsid w:val="EDFBBAFF"/>
    <w:rsid w:val="EE740797"/>
    <w:rsid w:val="EEFF3F7F"/>
    <w:rsid w:val="EF5F680E"/>
    <w:rsid w:val="EF5FF229"/>
    <w:rsid w:val="EF998A4F"/>
    <w:rsid w:val="EFAF11F0"/>
    <w:rsid w:val="EFAF1830"/>
    <w:rsid w:val="EFDF2557"/>
    <w:rsid w:val="EFFF99A1"/>
    <w:rsid w:val="F167A38C"/>
    <w:rsid w:val="F1B7AE96"/>
    <w:rsid w:val="F26E9E70"/>
    <w:rsid w:val="F3EF3CEC"/>
    <w:rsid w:val="F3FF4117"/>
    <w:rsid w:val="F5BF5A9A"/>
    <w:rsid w:val="F5EE1656"/>
    <w:rsid w:val="F5FDAA9B"/>
    <w:rsid w:val="F6FEE264"/>
    <w:rsid w:val="F7777675"/>
    <w:rsid w:val="F7973CD9"/>
    <w:rsid w:val="F7BCA869"/>
    <w:rsid w:val="F7EDEBC8"/>
    <w:rsid w:val="F7FB2E45"/>
    <w:rsid w:val="F7FFBC1C"/>
    <w:rsid w:val="F9AAD64D"/>
    <w:rsid w:val="F9F7BE91"/>
    <w:rsid w:val="FA9F7D8C"/>
    <w:rsid w:val="FB5D88AD"/>
    <w:rsid w:val="FB79CC92"/>
    <w:rsid w:val="FB8B49F3"/>
    <w:rsid w:val="FB8DDD1F"/>
    <w:rsid w:val="FBDA7620"/>
    <w:rsid w:val="FBFBE7F7"/>
    <w:rsid w:val="FBFE5501"/>
    <w:rsid w:val="FBFFEDEA"/>
    <w:rsid w:val="FC17D5CB"/>
    <w:rsid w:val="FD8FF4F8"/>
    <w:rsid w:val="FDAFE71B"/>
    <w:rsid w:val="FDD7D71C"/>
    <w:rsid w:val="FE56E7E6"/>
    <w:rsid w:val="FE6BCDE8"/>
    <w:rsid w:val="FE7F2143"/>
    <w:rsid w:val="FE7F8CA1"/>
    <w:rsid w:val="FE972307"/>
    <w:rsid w:val="FF4D8921"/>
    <w:rsid w:val="FF7AB2B3"/>
    <w:rsid w:val="FF7C3827"/>
    <w:rsid w:val="FF7F71A1"/>
    <w:rsid w:val="FFA735D4"/>
    <w:rsid w:val="FFA73766"/>
    <w:rsid w:val="FFB7CEB6"/>
    <w:rsid w:val="FFBC4F72"/>
    <w:rsid w:val="FFD58B84"/>
    <w:rsid w:val="FFDB19EA"/>
    <w:rsid w:val="FFDD5A6C"/>
    <w:rsid w:val="FFDE6F89"/>
    <w:rsid w:val="FFE29FD6"/>
    <w:rsid w:val="FFEAEC61"/>
    <w:rsid w:val="FFEAF5D1"/>
    <w:rsid w:val="FFEB1704"/>
    <w:rsid w:val="FFECFB62"/>
    <w:rsid w:val="FFF5635A"/>
    <w:rsid w:val="FFFBC777"/>
    <w:rsid w:val="FFFBFD87"/>
    <w:rsid w:val="FFFD92E6"/>
    <w:rsid w:val="FFFEFD70"/>
    <w:rsid w:val="FFFFE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annotation text"/>
    <w:basedOn w:val="1"/>
    <w:unhideWhenUsed/>
    <w:qFormat/>
    <w:uiPriority w:val="0"/>
    <w:pPr>
      <w:jc w:val="left"/>
    </w:pPr>
    <w:rPr>
      <w:rFonts w:ascii="Calibri" w:hAnsi="Calibri" w:eastAsia="宋体" w:cs="Times New Roman"/>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4"/>
    <w:semiHidden/>
    <w:qFormat/>
    <w:uiPriority w:val="99"/>
    <w:rPr>
      <w:sz w:val="18"/>
      <w:szCs w:val="18"/>
    </w:rPr>
  </w:style>
  <w:style w:type="character" w:customStyle="1" w:styleId="14">
    <w:name w:val="font61"/>
    <w:basedOn w:val="8"/>
    <w:qFormat/>
    <w:uiPriority w:val="0"/>
    <w:rPr>
      <w:rFonts w:hint="eastAsia" w:ascii="宋体" w:hAnsi="宋体" w:eastAsia="宋体" w:cs="宋体"/>
      <w:b/>
      <w:bCs/>
      <w:color w:val="000000"/>
      <w:sz w:val="20"/>
      <w:szCs w:val="20"/>
      <w:u w:val="none"/>
    </w:rPr>
  </w:style>
  <w:style w:type="character" w:customStyle="1" w:styleId="15">
    <w:name w:val="font41"/>
    <w:basedOn w:val="8"/>
    <w:qFormat/>
    <w:uiPriority w:val="0"/>
    <w:rPr>
      <w:rFonts w:hint="eastAsia" w:ascii="宋体" w:hAnsi="宋体" w:eastAsia="宋体" w:cs="宋体"/>
      <w:color w:val="000000"/>
      <w:sz w:val="20"/>
      <w:szCs w:val="20"/>
      <w:u w:val="none"/>
    </w:rPr>
  </w:style>
  <w:style w:type="character" w:customStyle="1" w:styleId="16">
    <w:name w:val="font81"/>
    <w:basedOn w:val="8"/>
    <w:qFormat/>
    <w:uiPriority w:val="0"/>
    <w:rPr>
      <w:rFonts w:hint="eastAsia" w:ascii="宋体" w:hAnsi="宋体" w:eastAsia="宋体" w:cs="宋体"/>
      <w:color w:val="000000"/>
      <w:sz w:val="20"/>
      <w:szCs w:val="20"/>
      <w:u w:val="none"/>
    </w:rPr>
  </w:style>
  <w:style w:type="character" w:customStyle="1" w:styleId="17">
    <w:name w:val="font91"/>
    <w:basedOn w:val="8"/>
    <w:qFormat/>
    <w:uiPriority w:val="0"/>
    <w:rPr>
      <w:rFonts w:ascii="方正书宋_GBK" w:hAnsi="方正书宋_GBK" w:eastAsia="方正书宋_GBK" w:cs="方正书宋_GBK"/>
      <w:color w:val="000000"/>
      <w:sz w:val="22"/>
      <w:szCs w:val="22"/>
      <w:u w:val="none"/>
    </w:rPr>
  </w:style>
  <w:style w:type="character" w:customStyle="1" w:styleId="18">
    <w:name w:val="font01"/>
    <w:basedOn w:val="8"/>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9859</Words>
  <Characters>10865</Characters>
  <Lines>69</Lines>
  <Paragraphs>19</Paragraphs>
  <TotalTime>58</TotalTime>
  <ScaleCrop>false</ScaleCrop>
  <LinksUpToDate>false</LinksUpToDate>
  <CharactersWithSpaces>11092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2020-07-03T10:32:00Z</dcterms:created>
  <dc:creator>李航 null</dc:creator>
  <cp:lastModifiedBy>kylin</cp:lastModifiedBy>
  <cp:lastPrinted>2022-07-28T20:55:00Z</cp:lastPrinted>
  <dcterms:modified xsi:type="dcterms:W3CDTF">2022-10-24T10:24:20Z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138DFEB994D14F3590A5B362F7034F2D</vt:lpwstr>
  </property>
</Properties>
</file>