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074C2">
      <w:pPr>
        <w:jc w:val="center"/>
        <w:outlineLvl w:val="0"/>
        <w:rPr>
          <w:rFonts w:ascii="黑体" w:hAnsi="黑体" w:eastAsia="黑体"/>
          <w:bCs/>
          <w:sz w:val="36"/>
          <w:szCs w:val="36"/>
        </w:rPr>
      </w:pPr>
      <w:r>
        <w:rPr>
          <w:rFonts w:hint="eastAsia" w:ascii="黑体" w:hAnsi="黑体" w:eastAsia="黑体"/>
          <w:bCs/>
          <w:color w:val="000000"/>
          <w:sz w:val="36"/>
          <w:szCs w:val="36"/>
        </w:rPr>
        <w:t>蓝山县住房和城乡规划建设局</w:t>
      </w:r>
      <w:r>
        <w:rPr>
          <w:rFonts w:hint="eastAsia" w:ascii="黑体" w:hAnsi="黑体" w:eastAsia="黑体"/>
          <w:bCs/>
          <w:sz w:val="36"/>
          <w:szCs w:val="36"/>
        </w:rPr>
        <w:t>整体绩效评价报告</w:t>
      </w:r>
    </w:p>
    <w:p w14:paraId="774C7742">
      <w:pPr>
        <w:keepNext w:val="0"/>
        <w:keepLines w:val="0"/>
        <w:pageBreakBefore w:val="0"/>
        <w:kinsoku/>
        <w:overflowPunct/>
        <w:topLinePunct w:val="0"/>
        <w:autoSpaceDE/>
        <w:autoSpaceDN/>
        <w:bidi w:val="0"/>
        <w:spacing w:line="600" w:lineRule="exact"/>
        <w:jc w:val="both"/>
        <w:textAlignment w:val="auto"/>
        <w:rPr>
          <w:rFonts w:ascii="仿宋" w:hAnsi="仿宋" w:eastAsia="仿宋" w:cs="仿宋"/>
          <w:bCs/>
          <w:sz w:val="32"/>
          <w:szCs w:val="32"/>
        </w:rPr>
      </w:pPr>
      <w:r>
        <w:rPr>
          <w:rFonts w:hint="eastAsia" w:ascii="黑体" w:hAnsi="黑体" w:eastAsia="黑体"/>
          <w:bCs/>
          <w:sz w:val="36"/>
          <w:szCs w:val="36"/>
        </w:rPr>
        <w:br w:type="textWrapping"/>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根据《《中华人民共和国预算法》、中共湖南省委办公厅 湖南省人民政府办公厅《关于全面实施预算绩效管理的实施意见》（湘办发[2019]10号）、《蓝山县财政局关于开展2023年度财政支出绩效自评工作的通知》（蓝财绩[2023]1号）精神，我单位领导高度重视，认真组织，对2023年部门整体支出进行了绩效自评，现将我单位部门整体支出绩效自评情况报告如下：</w:t>
      </w:r>
    </w:p>
    <w:p w14:paraId="2CBB3268">
      <w:pPr>
        <w:keepNext w:val="0"/>
        <w:keepLines w:val="0"/>
        <w:pageBreakBefore w:val="0"/>
        <w:kinsoku/>
        <w:overflowPunct/>
        <w:topLinePunct w:val="0"/>
        <w:autoSpaceDE/>
        <w:autoSpaceDN/>
        <w:bidi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一、部门概况</w:t>
      </w:r>
    </w:p>
    <w:p w14:paraId="7BF399D6">
      <w:pPr>
        <w:keepNext w:val="0"/>
        <w:keepLines w:val="0"/>
        <w:pageBreakBefore w:val="0"/>
        <w:kinsoku/>
        <w:overflowPunct/>
        <w:topLinePunct w:val="0"/>
        <w:autoSpaceDE/>
        <w:autoSpaceDN/>
        <w:bidi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(一）部门基本情况</w:t>
      </w:r>
    </w:p>
    <w:p w14:paraId="7B49A45F">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贯彻执行国家、省有关住房和城乡建设工作的法律法规和方针政策。负责研究拟订全县工程建设（含城市建设、乡镇建设、村庄建设）、建筑业（含市政业、勘察设计咨询业）、房地产业（含保障性住房）的规范性文件以及相关发展战略、中长期规划和年度计划并组织实施；负责全县建筑行业、房地产行业行政执法监督检查和违法违规建设案件执法监察工作。</w:t>
      </w:r>
    </w:p>
    <w:p w14:paraId="5308157F">
      <w:pPr>
        <w:keepNext w:val="0"/>
        <w:keepLines w:val="0"/>
        <w:pageBreakBefore w:val="0"/>
        <w:kinsoku/>
        <w:overflowPunct/>
        <w:topLinePunct w:val="0"/>
        <w:autoSpaceDE/>
        <w:autoSpaceDN/>
        <w:bidi w:val="0"/>
        <w:spacing w:line="600" w:lineRule="exact"/>
        <w:ind w:firstLine="800" w:firstLineChars="250"/>
        <w:jc w:val="both"/>
        <w:textAlignment w:val="auto"/>
        <w:rPr>
          <w:rFonts w:hint="eastAsia" w:ascii="仿宋" w:hAnsi="仿宋" w:eastAsia="仿宋" w:cs="仿宋"/>
          <w:sz w:val="32"/>
          <w:szCs w:val="32"/>
        </w:rPr>
      </w:pPr>
      <w:r>
        <w:rPr>
          <w:rFonts w:hint="eastAsia" w:ascii="仿宋" w:hAnsi="仿宋" w:eastAsia="仿宋" w:cs="仿宋"/>
          <w:sz w:val="32"/>
          <w:szCs w:val="32"/>
        </w:rPr>
        <w:t>2.负责全县住房制度改革工作。承担住房保障有关工作。拟订全县住房保障政策并组织实施，编制全县保障性住房、城市和国有工矿棚户区改造整体规划并组织、指导、监督实施；负责全县保障性住房的建设和管理；会同相关部门做好保障性住房资金安排和资金监管；负责全县旧城改造、危房鉴定和危房改造的监督管理工作。负责研究拟订全县住宅建设规划；负责全县住宅及房地产业的行业管理；负责全县住宅专项维修资金的归集与使用工作；负责全县房屋的白蚁预防和灭治工作。</w:t>
      </w:r>
    </w:p>
    <w:p w14:paraId="1424DE98">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负责指导和管理全县建筑活动，规范建筑市场。组织全县建筑业、市政业、房地产业项目的综合验收工作。负责指导和监督建筑（含市政）工程招标投标、工程监理以及工程质量和安全，拟订建筑、市政工程勘察设计、施工、监理和相关社会中介组织管理规定并监督执行，组织协调建设企业参与对外工程承包、建筑劳务合作。负责对全县使用国有资金投资的房屋建筑和市政基础设施项目建设过程进行监督管理工作，负责指导全县城建档案管理工作，收集、保管和开发利用全县城建档案。</w:t>
      </w:r>
    </w:p>
    <w:p w14:paraId="35AB139D">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4.负责贯彻执行工程建设相关国家标准、行业标准及相关管理制度，组织拟订具体实施办法。负责监督指导各类工程建设造价、标准定额的实施，调查和发布全县工程建设地方性材料季节调差规范性文件。</w:t>
      </w:r>
    </w:p>
    <w:p w14:paraId="6D869182">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负责统一管理全县建筑业企业（不包括燃气燃烧器具安装、维修企业资质）、工程监理企业、工程造价咨询机构、招标投标代理机构、检测检验机构、勘察、设计单位、房地产开发企业、质量监督机构、评估机构及相关中介机构的资质和从业人员资格审查、报批及管理工作，负责对全县房屋建筑工程和市政基础设施工程招标投标进行监督管理。</w:t>
      </w:r>
    </w:p>
    <w:p w14:paraId="6881E641">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6.负责全县房屋建筑和市政基础设施工程的质量监督管理、施工安全监督工作；负责会同有关部门调查处理涉及建设工程质量和安全生产投诉和责任事故。</w:t>
      </w:r>
    </w:p>
    <w:p w14:paraId="7F85EA13">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7.负责历史文化名城、名镇、名村的初审报批和保护监督工作；负责指导全县小城镇建设与管理。</w:t>
      </w:r>
    </w:p>
    <w:p w14:paraId="249B827F">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负责组织全县推进新型城镇化工作；拟订全县村镇建设政策措施并组织实施；组织指导示范镇、重点镇的建设工作；指导各类示范镇村、传统村落的评审推荐和组织管理；组织、指导规范农村建房工作和农村危房改造工作；指导乡镇污水处理设施建设和乡镇黑臭水体治理工作。</w:t>
      </w:r>
    </w:p>
    <w:p w14:paraId="07966E50">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负责全县住建行业建筑节能与科技工作的推进；组织制定全县住建行业建筑节能、绿色建筑、装配式建筑等政策、行业规划并监督实施；负责组织建设科技项目攻关、新技术新产品开发利用和建设科技成果转化、推广，负责指导和管理技术引进工作，负责管理行业成果。</w:t>
      </w:r>
    </w:p>
    <w:p w14:paraId="4C5BDA84">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负责全县房屋建筑和市政基础设施工程勘察设计行业的监督管理；负责权限内房屋建筑和市政基础设施工程的勘察管理、初步设计审查、施工图审查监督管理、施工图审查备案、人防消防设计审核验收工作，提高建设工程设计水平。</w:t>
      </w:r>
    </w:p>
    <w:p w14:paraId="7908050C">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11.负责全县城市基础设施配套费的征收与管理。会同财政等有关部门管理城市建设资金及其他专项资金，监督各项资金使用情况。</w:t>
      </w:r>
    </w:p>
    <w:p w14:paraId="4EDCCDAC">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12.负责拟订建设行业人才发展规划，指导建设行业人才队伍建设与建设系统职工队伍的培训和继续教育工作；负责建设行业专业技术职称评定和职业资格管理工作。</w:t>
      </w:r>
    </w:p>
    <w:p w14:paraId="147CC4D8">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13.承担人民防空办公室的主要职责：</w:t>
      </w:r>
    </w:p>
    <w:p w14:paraId="7940A290">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负责人民防空法律、法规贯彻实施和监督检查；组织起草本县人防工作的有关规定和实施办法；拟订人民防空建设的中长期发展规划，编制人防建设年度计划；会同有关部门编制人民防空建设与城市建设相结合规划，并组织实施和监督检查。</w:t>
      </w:r>
    </w:p>
    <w:p w14:paraId="56E93F45">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组织开展人民防空指挥工作。制订城市防空袭方案和各类保障方案；依法组织城市防空袭演习，确定城市重要经济目标，并负责防护指导和监督检查；开展疏散地域建设，组织开展人防专业队伍整组和训练；参与承担政府赋予的城市防灾救灾工作，利用人防设施和人防专业队伍为经济建设和防灾救灾服务。</w:t>
      </w:r>
    </w:p>
    <w:p w14:paraId="33F63EF0">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组织管理人民防空工程建设。对人防工程（含结合民用建筑修建的防空地下室）建设实施计划、技术和质量管理；指导人民防空工程维护管理和平时开发利用，在城市地下空间的开发和利用中负责落实人民防空要求的工作。</w:t>
      </w:r>
    </w:p>
    <w:p w14:paraId="7E88D79B">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（4）组织管理人民防空指挥信息化建设。开展指挥自动化、空情报知、防空警报、通信保障和信息保密系统建设，建立健全人防信息系统值勤和维护管理制度，确保全县人防指挥信息系统畅通。</w:t>
      </w:r>
    </w:p>
    <w:p w14:paraId="02DFFA8C">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（5）组织开展人民防空宣传教育工作。制定人民防空和参与防灾救灾教育计划并组织实施。</w:t>
      </w:r>
    </w:p>
    <w:p w14:paraId="784EF7C0">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（6）负责管理人民防空经费和国有资产。依法征缴社会负担的人防建设费用；编制人民防空经费预决算，对使用情况实施监督检查。</w:t>
      </w:r>
    </w:p>
    <w:p w14:paraId="3AEF7898">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（7）战时组织开展城市防空袭斗争。</w:t>
      </w:r>
    </w:p>
    <w:p w14:paraId="19EA6D26">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14.负责全县房屋建筑工程和市政基础设施工程消防设计审核、消防验收、备案和抽查职责。</w:t>
      </w:r>
    </w:p>
    <w:p w14:paraId="019B6C85">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15.按机构改革的总体要求，负责对下属单位机构设置、职能配置和人员编制配备等提出调整完整意见，报机构编制部门明确。</w:t>
      </w:r>
    </w:p>
    <w:p w14:paraId="17665BC6">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16.承办县人民政府、县人武部和县国防动员委员会交办的其他事项。</w:t>
      </w:r>
    </w:p>
    <w:p w14:paraId="01089C3A">
      <w:pPr>
        <w:keepNext w:val="0"/>
        <w:keepLines w:val="0"/>
        <w:pageBreakBefore w:val="0"/>
        <w:kinsoku/>
        <w:overflowPunct/>
        <w:topLinePunct w:val="0"/>
        <w:autoSpaceDE/>
        <w:autoSpaceDN/>
        <w:bidi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（二）人员情况</w:t>
      </w:r>
    </w:p>
    <w:p w14:paraId="7D5E38BD">
      <w:pPr>
        <w:pStyle w:val="9"/>
        <w:keepNext w:val="0"/>
        <w:keepLines w:val="0"/>
        <w:pageBreakBefore w:val="0"/>
        <w:kinsoku/>
        <w:overflowPunct/>
        <w:topLinePunct w:val="0"/>
        <w:autoSpaceDE/>
        <w:autoSpaceDN/>
        <w:bidi w:val="0"/>
        <w:spacing w:line="600" w:lineRule="exact"/>
        <w:ind w:left="440" w:firstLine="0" w:firstLineChars="0"/>
        <w:jc w:val="both"/>
        <w:textAlignment w:val="auto"/>
        <w:rPr>
          <w:rFonts w:ascii="仿宋" w:hAnsi="仿宋" w:eastAsia="仿宋" w:cs="仿宋"/>
          <w:sz w:val="30"/>
          <w:szCs w:val="30"/>
        </w:rPr>
      </w:pPr>
      <w:r>
        <w:rPr>
          <w:rFonts w:hint="eastAsia" w:ascii="仿宋" w:hAnsi="仿宋" w:eastAsia="仿宋" w:cs="仿宋"/>
          <w:sz w:val="30"/>
          <w:szCs w:val="30"/>
        </w:rPr>
        <w:t>蓝山县住房和城乡规划建设局2023年度编制数34人，实有人数30人。</w:t>
      </w:r>
    </w:p>
    <w:p w14:paraId="7AC927A7">
      <w:pPr>
        <w:keepNext w:val="0"/>
        <w:keepLines w:val="0"/>
        <w:pageBreakBefore w:val="0"/>
        <w:kinsoku/>
        <w:overflowPunct/>
        <w:topLinePunct w:val="0"/>
        <w:autoSpaceDE/>
        <w:autoSpaceDN/>
        <w:bidi w:val="0"/>
        <w:spacing w:line="600" w:lineRule="exact"/>
        <w:ind w:firstLine="643" w:firstLineChars="200"/>
        <w:jc w:val="both"/>
        <w:textAlignment w:val="auto"/>
        <w:rPr>
          <w:rFonts w:ascii="仿宋_GB2312" w:hAnsi="仿宋" w:eastAsia="仿宋_GB2312"/>
          <w:sz w:val="32"/>
          <w:szCs w:val="32"/>
        </w:rPr>
      </w:pPr>
      <w:r>
        <w:rPr>
          <w:rFonts w:hint="eastAsia" w:ascii="仿宋" w:hAnsi="仿宋" w:eastAsia="仿宋" w:cs="仿宋"/>
          <w:b/>
          <w:sz w:val="32"/>
          <w:szCs w:val="32"/>
        </w:rPr>
        <w:t>二、单位整体支出管理及使用情况</w:t>
      </w:r>
    </w:p>
    <w:p w14:paraId="4BB0980E">
      <w:pPr>
        <w:pStyle w:val="17"/>
        <w:keepNext w:val="0"/>
        <w:keepLines w:val="0"/>
        <w:pageBreakBefore w:val="0"/>
        <w:numPr>
          <w:ilvl w:val="0"/>
          <w:numId w:val="0"/>
        </w:numPr>
        <w:kinsoku/>
        <w:overflowPunct/>
        <w:topLinePunct w:val="0"/>
        <w:autoSpaceDE/>
        <w:autoSpaceDN/>
        <w:bidi w:val="0"/>
        <w:spacing w:line="600" w:lineRule="exact"/>
        <w:ind w:left="1000" w:leftChars="0" w:hanging="360" w:firstLineChars="0"/>
        <w:jc w:val="both"/>
        <w:textAlignment w:val="auto"/>
        <w:rPr>
          <w:rFonts w:ascii="仿宋_GB2312" w:hAnsi="仿宋" w:eastAsia="仿宋_GB2312"/>
          <w:b/>
          <w:sz w:val="32"/>
          <w:szCs w:val="32"/>
        </w:rPr>
      </w:pPr>
      <w:r>
        <w:rPr>
          <w:rFonts w:hint="default" w:ascii="仿宋_GB2312" w:hAnsi="仿宋" w:eastAsia="仿宋_GB2312" w:cs="黑体"/>
          <w:b/>
          <w:sz w:val="32"/>
          <w:szCs w:val="32"/>
          <w:lang w:val="en-US" w:eastAsia="zh-CN" w:bidi="ar-SA"/>
        </w:rPr>
        <w:t>①</w:t>
      </w:r>
      <w:r>
        <w:rPr>
          <w:rFonts w:hint="eastAsia" w:ascii="仿宋_GB2312" w:hAnsi="仿宋" w:eastAsia="仿宋_GB2312"/>
          <w:b/>
          <w:sz w:val="32"/>
          <w:szCs w:val="32"/>
        </w:rPr>
        <w:t>单位基本支出管理</w:t>
      </w:r>
    </w:p>
    <w:p w14:paraId="39D05F61">
      <w:pPr>
        <w:keepNext w:val="0"/>
        <w:keepLines w:val="0"/>
        <w:pageBreakBefore w:val="0"/>
        <w:kinsoku/>
        <w:overflowPunct/>
        <w:topLinePunct w:val="0"/>
        <w:autoSpaceDE/>
        <w:autoSpaceDN/>
        <w:bidi w:val="0"/>
        <w:spacing w:line="600" w:lineRule="exact"/>
        <w:ind w:firstLine="640" w:firstLineChars="200"/>
        <w:jc w:val="both"/>
        <w:textAlignment w:val="auto"/>
        <w:rPr>
          <w:rFonts w:ascii="仿宋" w:hAnsi="仿宋" w:eastAsia="仿宋" w:cs="仿宋"/>
          <w:bCs/>
          <w:sz w:val="32"/>
          <w:szCs w:val="32"/>
        </w:rPr>
      </w:pPr>
      <w:r>
        <w:rPr>
          <w:rFonts w:hint="eastAsia" w:ascii="仿宋_GB2312" w:hAnsi="仿宋" w:eastAsia="仿宋_GB2312"/>
          <w:sz w:val="32"/>
          <w:szCs w:val="32"/>
        </w:rPr>
        <w:t>蓝山县住房和城乡规划建设局2023年年初预算547.79万元，全年预算数583.8万元，实际支出583.8万元。</w:t>
      </w:r>
      <w:r>
        <w:rPr>
          <w:rFonts w:hint="eastAsia" w:ascii="仿宋" w:hAnsi="仿宋" w:eastAsia="仿宋" w:cs="仿宋"/>
          <w:bCs/>
          <w:sz w:val="32"/>
          <w:szCs w:val="32"/>
        </w:rPr>
        <w:t>基本支出553.93万元，项目支出29.87万元；2023年全年实际支出583.8万。</w:t>
      </w:r>
    </w:p>
    <w:p w14:paraId="6524BE03">
      <w:pPr>
        <w:pStyle w:val="2"/>
        <w:keepNext w:val="0"/>
        <w:keepLines w:val="0"/>
        <w:pageBreakBefore w:val="0"/>
        <w:numPr>
          <w:ilvl w:val="0"/>
          <w:numId w:val="0"/>
        </w:numPr>
        <w:kinsoku/>
        <w:overflowPunct/>
        <w:topLinePunct w:val="0"/>
        <w:autoSpaceDE/>
        <w:autoSpaceDN/>
        <w:bidi w:val="0"/>
        <w:spacing w:line="600" w:lineRule="exact"/>
        <w:ind w:left="1000" w:leftChars="0" w:hanging="360" w:firstLineChars="0"/>
        <w:jc w:val="both"/>
        <w:textAlignment w:val="auto"/>
        <w:rPr>
          <w:rFonts w:ascii="仿宋" w:hAnsi="仿宋" w:eastAsia="仿宋"/>
          <w:b/>
          <w:sz w:val="32"/>
          <w:szCs w:val="32"/>
        </w:rPr>
      </w:pPr>
      <w:r>
        <w:rPr>
          <w:rFonts w:hint="default" w:ascii="仿宋" w:hAnsi="仿宋" w:eastAsia="仿宋" w:cs="黑体"/>
          <w:b/>
          <w:sz w:val="32"/>
          <w:szCs w:val="32"/>
          <w:lang w:val="en-US" w:eastAsia="zh-CN" w:bidi="ar-SA"/>
        </w:rPr>
        <w:t>②</w:t>
      </w:r>
      <w:r>
        <w:rPr>
          <w:rFonts w:hint="eastAsia" w:ascii="仿宋" w:hAnsi="仿宋" w:eastAsia="仿宋"/>
          <w:b/>
          <w:sz w:val="32"/>
          <w:szCs w:val="32"/>
        </w:rPr>
        <w:t>“三公”</w:t>
      </w:r>
      <w:r>
        <w:rPr>
          <w:rFonts w:hint="eastAsia" w:ascii="仿宋" w:hAnsi="仿宋" w:eastAsia="仿宋"/>
          <w:b/>
          <w:sz w:val="32"/>
          <w:szCs w:val="32"/>
          <w:lang w:eastAsia="zh-CN"/>
        </w:rPr>
        <w:t>经费</w:t>
      </w:r>
      <w:r>
        <w:rPr>
          <w:rFonts w:hint="eastAsia" w:ascii="仿宋" w:hAnsi="仿宋" w:eastAsia="仿宋"/>
          <w:b/>
          <w:sz w:val="32"/>
          <w:szCs w:val="32"/>
        </w:rPr>
        <w:t>支出使用和管理情况</w:t>
      </w:r>
    </w:p>
    <w:p w14:paraId="39E55C78">
      <w:pPr>
        <w:pStyle w:val="2"/>
        <w:keepNext w:val="0"/>
        <w:keepLines w:val="0"/>
        <w:pageBreakBefore w:val="0"/>
        <w:kinsoku/>
        <w:overflowPunct/>
        <w:topLinePunct w:val="0"/>
        <w:autoSpaceDE/>
        <w:autoSpaceDN/>
        <w:bidi w:val="0"/>
        <w:spacing w:line="600" w:lineRule="exact"/>
        <w:jc w:val="both"/>
        <w:textAlignment w:val="auto"/>
        <w:rPr>
          <w:rFonts w:ascii="仿宋" w:hAnsi="仿宋" w:eastAsia="仿宋"/>
          <w:sz w:val="32"/>
          <w:szCs w:val="32"/>
        </w:rPr>
      </w:pPr>
      <w:r>
        <w:rPr>
          <w:rFonts w:hint="eastAsia" w:ascii="仿宋" w:hAnsi="仿宋" w:eastAsia="仿宋" w:cs="仿宋"/>
          <w:color w:val="000000"/>
          <w:sz w:val="32"/>
          <w:szCs w:val="32"/>
        </w:rPr>
        <w:t>2023年三公经费总开支9.84万元，其中公务接待费8.88万元，公车运行维护费0.96万元</w:t>
      </w:r>
      <w:r>
        <w:rPr>
          <w:rFonts w:hint="eastAsia" w:ascii="仿宋" w:hAnsi="仿宋" w:eastAsia="仿宋"/>
          <w:sz w:val="32"/>
          <w:szCs w:val="32"/>
        </w:rPr>
        <w:t>，无出国出境支出。</w:t>
      </w:r>
    </w:p>
    <w:p w14:paraId="78122757">
      <w:pPr>
        <w:keepNext w:val="0"/>
        <w:keepLines w:val="0"/>
        <w:pageBreakBefore w:val="0"/>
        <w:kinsoku/>
        <w:overflowPunct/>
        <w:topLinePunct w:val="0"/>
        <w:autoSpaceDE/>
        <w:autoSpaceDN/>
        <w:bidi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三、单位绩效评价工作组织实施情况</w:t>
      </w:r>
    </w:p>
    <w:p w14:paraId="20695015">
      <w:pPr>
        <w:keepNext w:val="0"/>
        <w:keepLines w:val="0"/>
        <w:pageBreakBefore w:val="0"/>
        <w:kinsoku/>
        <w:overflowPunct/>
        <w:topLinePunct w:val="0"/>
        <w:autoSpaceDE/>
        <w:autoSpaceDN/>
        <w:bidi w:val="0"/>
        <w:snapToGrid/>
        <w:spacing w:line="600" w:lineRule="exact"/>
        <w:ind w:firstLine="750" w:firstLineChars="250"/>
        <w:contextualSpacing/>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根据蓝山县财政局关于开展2023年度财政支出绩效自评工作的通知要求，我单位召开了部门预算绩效评价工作会议，成立了住建局预算绩效评价工作小组，使用了财务室、办公室为成员部门，认真开展了绩效自评工作。评价的内容包括预算配置、预算执行、预算管理、职责履行、履职效益和“三公”经费</w:t>
      </w:r>
      <w:bookmarkStart w:id="0" w:name="_GoBack"/>
      <w:bookmarkEnd w:id="0"/>
      <w:r>
        <w:rPr>
          <w:rFonts w:hint="eastAsia" w:ascii="仿宋_GB2312" w:hAnsi="仿宋_GB2312" w:eastAsia="仿宋_GB2312" w:cs="仿宋_GB2312"/>
          <w:sz w:val="30"/>
          <w:szCs w:val="30"/>
        </w:rPr>
        <w:t>支出等，确保实现绩效自评、绩效监控覆盖率100%；绩效自评结果公开率100%。</w:t>
      </w:r>
    </w:p>
    <w:p w14:paraId="6B8DB70C">
      <w:pPr>
        <w:keepNext w:val="0"/>
        <w:keepLines w:val="0"/>
        <w:pageBreakBefore w:val="0"/>
        <w:kinsoku/>
        <w:overflowPunct/>
        <w:topLinePunct w:val="0"/>
        <w:autoSpaceDE/>
        <w:autoSpaceDN/>
        <w:bidi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四、绩效情况</w:t>
      </w:r>
    </w:p>
    <w:p w14:paraId="7B819148">
      <w:pPr>
        <w:keepNext w:val="0"/>
        <w:keepLines w:val="0"/>
        <w:pageBreakBefore w:val="0"/>
        <w:kinsoku/>
        <w:overflowPunct/>
        <w:topLinePunct w:val="0"/>
        <w:autoSpaceDE/>
        <w:autoSpaceDN/>
        <w:bidi w:val="0"/>
        <w:spacing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rPr>
        <w:t>（一）部门职责履行情况分析</w:t>
      </w:r>
    </w:p>
    <w:p w14:paraId="1799D116">
      <w:pPr>
        <w:keepNext w:val="0"/>
        <w:keepLines w:val="0"/>
        <w:pageBreakBefore w:val="0"/>
        <w:kinsoku/>
        <w:overflowPunct/>
        <w:topLinePunct w:val="0"/>
        <w:autoSpaceDE/>
        <w:autoSpaceDN/>
        <w:bidi w:val="0"/>
        <w:adjustRightInd/>
        <w:snapToGrid/>
        <w:spacing w:line="600" w:lineRule="exact"/>
        <w:ind w:firstLine="964" w:firstLineChars="300"/>
        <w:jc w:val="both"/>
        <w:textAlignment w:val="auto"/>
        <w:rPr>
          <w:rFonts w:ascii="楷体" w:hAnsi="楷体" w:eastAsia="楷体" w:cs="楷体"/>
          <w:b/>
          <w:bCs/>
          <w:sz w:val="32"/>
          <w:szCs w:val="32"/>
        </w:rPr>
      </w:pPr>
      <w:r>
        <w:rPr>
          <w:rFonts w:hint="eastAsia" w:ascii="楷体" w:hAnsi="楷体" w:eastAsia="楷体" w:cs="楷体"/>
          <w:b/>
          <w:bCs/>
          <w:sz w:val="32"/>
          <w:szCs w:val="32"/>
        </w:rPr>
        <w:t>1.城乡建设推进有力</w:t>
      </w:r>
    </w:p>
    <w:p w14:paraId="29F57D02">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蓝山县标准厂房三期、蓝山县示范性学校建设、蓝山县城镇老旧小区改造项目、蓝山县创品国际建材家居城项目等9个项目列入了永州市2023年度城建重点项目。今年9个项目总投资额为36.5亿元，年度计划投资额为9.2亿元，年度累计完成投资额为9.2亿元，投资率完成100%。</w:t>
      </w:r>
    </w:p>
    <w:p w14:paraId="7D04E2A7">
      <w:pPr>
        <w:keepNext w:val="0"/>
        <w:keepLines w:val="0"/>
        <w:pageBreakBefore w:val="0"/>
        <w:kinsoku/>
        <w:overflowPunct/>
        <w:topLinePunct w:val="0"/>
        <w:autoSpaceDE/>
        <w:autoSpaceDN/>
        <w:bidi w:val="0"/>
        <w:adjustRightInd/>
        <w:snapToGrid/>
        <w:spacing w:line="600" w:lineRule="exact"/>
        <w:ind w:firstLine="964" w:firstLineChars="3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2.民生实事成效显著</w:t>
      </w:r>
    </w:p>
    <w:p w14:paraId="4E4B6DB1">
      <w:pPr>
        <w:pStyle w:val="8"/>
        <w:keepNext w:val="0"/>
        <w:keepLines w:val="0"/>
        <w:pageBreakBefore w:val="0"/>
        <w:kinsoku/>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全面完成老旧小区改造。</w:t>
      </w:r>
      <w:r>
        <w:rPr>
          <w:rFonts w:hint="eastAsia" w:ascii="仿宋_GB2312" w:hAnsi="仿宋_GB2312" w:eastAsia="仿宋_GB2312" w:cs="仿宋_GB2312"/>
          <w:sz w:val="32"/>
          <w:szCs w:val="32"/>
        </w:rPr>
        <w:t>25个城镇老旧小区改造项目按照基础类、完善类、提升类三个不同类别，精准拟定实施内容，编制改造方案和施工设计，已按设计要求基本完成了雨污分流、道路硬化、绿化、亮化、白改黑等，完成投资760余万元，小区品质得到有效改善。</w:t>
      </w:r>
      <w:r>
        <w:rPr>
          <w:rFonts w:hint="eastAsia" w:ascii="仿宋_GB2312" w:hAnsi="仿宋_GB2312" w:eastAsia="仿宋_GB2312" w:cs="仿宋_GB2312"/>
          <w:b/>
          <w:bCs/>
          <w:sz w:val="32"/>
          <w:szCs w:val="32"/>
        </w:rPr>
        <w:t>全面完成乡镇污水处理厂提质改造。</w:t>
      </w:r>
      <w:r>
        <w:rPr>
          <w:rFonts w:hint="eastAsia" w:ascii="仿宋_GB2312" w:hAnsi="仿宋_GB2312" w:eastAsia="仿宋_GB2312" w:cs="仿宋_GB2312"/>
          <w:sz w:val="32"/>
          <w:szCs w:val="32"/>
        </w:rPr>
        <w:t>县财政安排投入700余万元，对新圩、土市、所城、祠堂圩、太平圩、楠市、毛俊七个建制镇污水管网进行提质改造，扩大管网覆盖面，提升了污水收集率，目前，管网铺设已全部完工。</w:t>
      </w:r>
      <w:r>
        <w:rPr>
          <w:rFonts w:hint="eastAsia" w:ascii="仿宋_GB2312" w:hAnsi="仿宋_GB2312" w:eastAsia="仿宋_GB2312" w:cs="仿宋_GB2312"/>
          <w:b/>
          <w:bCs/>
          <w:sz w:val="32"/>
          <w:szCs w:val="32"/>
        </w:rPr>
        <w:t>全面完成危房改造。</w:t>
      </w:r>
      <w:r>
        <w:rPr>
          <w:rFonts w:hint="eastAsia" w:ascii="仿宋_GB2312" w:hAnsi="仿宋_GB2312" w:eastAsia="仿宋_GB2312" w:cs="仿宋_GB2312"/>
          <w:sz w:val="32"/>
          <w:szCs w:val="32"/>
        </w:rPr>
        <w:t>完成危房改造94户，投入资金总额196.84万元，10月底县级验收全部完成，资金拨付率100%，实现了“应改尽改”，新增低收入群体农村危房动态清零，低收入群体因灾受损鉴定为C、D级危房完成整治清零的目标。</w:t>
      </w:r>
    </w:p>
    <w:p w14:paraId="55ACE550">
      <w:pPr>
        <w:keepNext w:val="0"/>
        <w:keepLines w:val="0"/>
        <w:pageBreakBefore w:val="0"/>
        <w:kinsoku/>
        <w:overflowPunct/>
        <w:topLinePunct w:val="0"/>
        <w:autoSpaceDE/>
        <w:autoSpaceDN/>
        <w:bidi w:val="0"/>
        <w:adjustRightInd/>
        <w:snapToGrid/>
        <w:spacing w:line="600" w:lineRule="exact"/>
        <w:ind w:firstLine="964" w:firstLineChars="3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3.行业管理规范有序</w:t>
      </w:r>
    </w:p>
    <w:p w14:paraId="2EAF8012">
      <w:pPr>
        <w:pStyle w:val="3"/>
        <w:keepNext w:val="0"/>
        <w:keepLines w:val="0"/>
        <w:pageBreakBefore w:val="0"/>
        <w:kinsoku/>
        <w:overflowPunct/>
        <w:topLinePunct w:val="0"/>
        <w:autoSpaceDE/>
        <w:autoSpaceDN/>
        <w:bidi w:val="0"/>
        <w:adjustRightInd/>
        <w:snapToGrid/>
        <w:spacing w:line="600" w:lineRule="exact"/>
        <w:ind w:firstLine="964" w:firstLineChars="300"/>
        <w:jc w:val="both"/>
        <w:textAlignment w:val="auto"/>
        <w:rPr>
          <w:rFonts w:hint="eastAsia"/>
        </w:rPr>
      </w:pPr>
      <w:r>
        <w:rPr>
          <w:rFonts w:hint="eastAsia" w:ascii="仿宋_GB2312" w:hAnsi="仿宋_GB2312" w:eastAsia="仿宋_GB2312" w:cs="仿宋_GB2312"/>
          <w:b/>
          <w:bCs/>
          <w:sz w:val="32"/>
          <w:szCs w:val="32"/>
        </w:rPr>
        <w:t>深化工程建设项目极简审批改革。</w:t>
      </w:r>
      <w:r>
        <w:rPr>
          <w:rFonts w:hint="eastAsia" w:ascii="仿宋_GB2312" w:hAnsi="仿宋_GB2312" w:eastAsia="仿宋_GB2312" w:cs="仿宋_GB2312"/>
          <w:sz w:val="32"/>
          <w:szCs w:val="32"/>
        </w:rPr>
        <w:t>推进“四全改革”（全覆盖创新、全流程优化、全平台赋能，全要素管控），实现政府投资工程审批时间压减至49个工作日以内，其他社会投资审批时间压减至35个工作日以内。今年，我局共受理房屋和市政建设施工图报审项目21个，完成审查备案项目15个，项目平均总用时为21.67天。</w:t>
      </w:r>
      <w:r>
        <w:rPr>
          <w:rFonts w:hint="eastAsia" w:ascii="仿宋_GB2312" w:hAnsi="仿宋_GB2312" w:eastAsia="仿宋_GB2312" w:cs="仿宋_GB2312"/>
          <w:b/>
          <w:bCs/>
          <w:sz w:val="32"/>
          <w:szCs w:val="32"/>
        </w:rPr>
        <w:t>加强工程招投标市场监管。</w:t>
      </w:r>
      <w:r>
        <w:rPr>
          <w:rFonts w:hint="eastAsia" w:ascii="仿宋_GB2312" w:hAnsi="仿宋_GB2312" w:eastAsia="仿宋_GB2312" w:cs="仿宋_GB2312"/>
          <w:sz w:val="32"/>
          <w:szCs w:val="32"/>
        </w:rPr>
        <w:t>依法监管国有投资项目招标共17个，公开招投标率100%，开展招标代理机构集中整治、标后稽查和信用评价，加大案件查处力度，市场秩序进一步规范。</w:t>
      </w:r>
      <w:r>
        <w:rPr>
          <w:rFonts w:hint="eastAsia" w:ascii="仿宋_GB2312" w:hAnsi="仿宋_GB2312" w:eastAsia="仿宋_GB2312" w:cs="仿宋_GB2312"/>
          <w:b/>
          <w:bCs/>
          <w:sz w:val="32"/>
          <w:szCs w:val="32"/>
        </w:rPr>
        <w:t>加强农村工匠培训。</w:t>
      </w:r>
      <w:r>
        <w:rPr>
          <w:rFonts w:hint="eastAsia" w:ascii="仿宋_GB2312" w:hAnsi="仿宋_GB2312" w:eastAsia="仿宋_GB2312" w:cs="仿宋_GB2312"/>
          <w:sz w:val="32"/>
          <w:szCs w:val="32"/>
        </w:rPr>
        <w:t>今年，按照每个行政村至少有2名以上建筑工匠、每支农村建筑施工队伍至少有2名以上持证人员的培训目标，已完成培训人数553人，为助力乡村振兴和新建农房建设提供了人才技术保障。</w:t>
      </w:r>
    </w:p>
    <w:p w14:paraId="37A94208">
      <w:pPr>
        <w:keepNext w:val="0"/>
        <w:keepLines w:val="0"/>
        <w:pageBreakBefore w:val="0"/>
        <w:kinsoku/>
        <w:overflowPunct/>
        <w:topLinePunct w:val="0"/>
        <w:autoSpaceDE/>
        <w:autoSpaceDN/>
        <w:bidi w:val="0"/>
        <w:adjustRightInd/>
        <w:snapToGrid/>
        <w:spacing w:line="600" w:lineRule="exact"/>
        <w:ind w:firstLine="643" w:firstLineChars="200"/>
        <w:jc w:val="both"/>
        <w:textAlignment w:val="auto"/>
        <w:rPr>
          <w:rFonts w:ascii="楷体" w:hAnsi="楷体" w:eastAsia="楷体" w:cs="楷体"/>
          <w:b/>
          <w:bCs/>
          <w:sz w:val="32"/>
          <w:szCs w:val="32"/>
        </w:rPr>
      </w:pPr>
      <w:r>
        <w:rPr>
          <w:rFonts w:hint="eastAsia" w:ascii="楷体" w:hAnsi="楷体" w:eastAsia="楷体" w:cs="楷体"/>
          <w:b/>
          <w:bCs/>
          <w:sz w:val="32"/>
          <w:szCs w:val="32"/>
        </w:rPr>
        <w:t>4.安全生产总体平稳</w:t>
      </w:r>
    </w:p>
    <w:p w14:paraId="3EE19D79">
      <w:pPr>
        <w:keepNext w:val="0"/>
        <w:keepLines w:val="0"/>
        <w:pageBreakBefore w:val="0"/>
        <w:widowControl w:val="0"/>
        <w:kinsoku/>
        <w:overflowPunct/>
        <w:topLinePunct w:val="0"/>
        <w:autoSpaceDE/>
        <w:autoSpaceDN/>
        <w:bidi w:val="0"/>
        <w:adjustRightInd/>
        <w:snapToGrid/>
        <w:spacing w:line="60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抓实城市危旧房整治。</w:t>
      </w:r>
      <w:r>
        <w:rPr>
          <w:rFonts w:hint="eastAsia" w:ascii="仿宋_GB2312" w:hAnsi="仿宋_GB2312" w:eastAsia="仿宋_GB2312" w:cs="仿宋_GB2312"/>
          <w:sz w:val="32"/>
          <w:szCs w:val="32"/>
        </w:rPr>
        <w:t>彻底整治塔峰一市场安全隐患，在全县房屋安全隐患排查专项整治行动中，经专业机构鉴定，塔峰一市场为D级危房，存在严重的结构安全隐患和重大消防安全隐患，为确保人民群众生命财产安全，消除安全隐患，县委、县政府果断决定对塔峰一市场进行搬离重建，截至5月22日，所有商户、住户、人员均已搬离，做到了“危房不住人，人不进危房”。</w:t>
      </w:r>
      <w:r>
        <w:rPr>
          <w:rFonts w:hint="eastAsia" w:ascii="仿宋_GB2312" w:hAnsi="仿宋_GB2312" w:eastAsia="仿宋_GB2312" w:cs="仿宋_GB2312"/>
          <w:b/>
          <w:bCs/>
          <w:sz w:val="32"/>
          <w:szCs w:val="32"/>
        </w:rPr>
        <w:t>抓实居民自建房安全专项整治</w:t>
      </w:r>
      <w:r>
        <w:rPr>
          <w:rFonts w:hint="eastAsia" w:ascii="仿宋_GB2312" w:hAnsi="仿宋_GB2312" w:eastAsia="仿宋_GB2312" w:cs="仿宋_GB2312"/>
          <w:sz w:val="32"/>
          <w:szCs w:val="32"/>
        </w:rPr>
        <w:t>。建立了结构安全性整治台帐，完善了“一户一策、一栋一策”整治方案，整改完成一户、销号一户。经营性自建房评估鉴定为C/D级房屋36栋房屋已于6月底前全部采取工程措施整治销号，C/D级非经营性（自住）居民自建房222栋已全部采取工程措施整治销号到位，其余C/D级非经营性自建房已全部管控到位。</w:t>
      </w:r>
      <w:r>
        <w:rPr>
          <w:rFonts w:hint="eastAsia" w:ascii="仿宋_GB2312" w:hAnsi="仿宋_GB2312" w:eastAsia="仿宋_GB2312" w:cs="仿宋_GB2312"/>
          <w:b/>
          <w:bCs/>
          <w:sz w:val="32"/>
          <w:szCs w:val="32"/>
        </w:rPr>
        <w:t>抓实建筑工地安全生产。</w:t>
      </w:r>
      <w:r>
        <w:rPr>
          <w:rFonts w:hint="eastAsia" w:ascii="仿宋_GB2312" w:hAnsi="仿宋_GB2312" w:eastAsia="仿宋_GB2312" w:cs="仿宋_GB2312"/>
          <w:sz w:val="32"/>
          <w:szCs w:val="32"/>
        </w:rPr>
        <w:t>制定出台了《蓝山县建筑工地扬尘治理“春季攻势”工作方案》《蓝山县城建系统交通问题顽瘴痼疾集中整治行动工作方案》《蓝山县住房和城乡建设局2023年“安全生产月”活动方案》等一系列文件。全年累计检查107起，监管执法次数85次，出动执法人员93人，责令停工整改项目14个，移交城管执法案件2件。下发《隐患整改通知书》33份，《工程停工整改通知》14份，《建筑起重机械停止使用通知》17份。消除施工安全隐患105条，对违反房屋市政工程勘察设计强条的单位下发警示约谈通知书15份；上报企业严重不良行为3次，个人不良行为8次。</w:t>
      </w:r>
    </w:p>
    <w:p w14:paraId="40E7DBF3">
      <w:pPr>
        <w:keepNext w:val="0"/>
        <w:keepLines w:val="0"/>
        <w:pageBreakBefore w:val="0"/>
        <w:kinsoku/>
        <w:overflowPunct/>
        <w:topLinePunct w:val="0"/>
        <w:autoSpaceDE/>
        <w:autoSpaceDN/>
        <w:bidi w:val="0"/>
        <w:spacing w:line="600" w:lineRule="exact"/>
        <w:ind w:firstLine="643" w:firstLineChars="200"/>
        <w:jc w:val="both"/>
        <w:textAlignment w:val="auto"/>
        <w:rPr>
          <w:rFonts w:ascii="仿宋" w:hAnsi="仿宋" w:eastAsia="仿宋" w:cs="仿宋"/>
          <w:b/>
          <w:sz w:val="32"/>
          <w:szCs w:val="32"/>
        </w:rPr>
      </w:pPr>
      <w:r>
        <w:rPr>
          <w:rFonts w:hint="eastAsia" w:ascii="仿宋" w:hAnsi="仿宋" w:eastAsia="仿宋" w:cs="仿宋"/>
          <w:b/>
          <w:sz w:val="32"/>
          <w:szCs w:val="32"/>
        </w:rPr>
        <w:t>五、后续的工作计划</w:t>
      </w:r>
    </w:p>
    <w:p w14:paraId="5CCE7F4E">
      <w:pPr>
        <w:keepNext w:val="0"/>
        <w:keepLines w:val="0"/>
        <w:pageBreakBefore w:val="0"/>
        <w:kinsoku/>
        <w:overflowPunct/>
        <w:topLinePunct w:val="0"/>
        <w:autoSpaceDE/>
        <w:autoSpaceDN/>
        <w:bidi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1.加强财务管理，严格财务审核。在费用报账支付时，按照预算规定的费用项目和用途进行资金使用审核、列报支付、财务核算，杜绝超支现象的发生。</w:t>
      </w:r>
    </w:p>
    <w:p w14:paraId="346AB4F0">
      <w:pPr>
        <w:keepNext w:val="0"/>
        <w:keepLines w:val="0"/>
        <w:pageBreakBefore w:val="0"/>
        <w:kinsoku/>
        <w:overflowPunct/>
        <w:topLinePunct w:val="0"/>
        <w:autoSpaceDE/>
        <w:autoSpaceDN/>
        <w:bidi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2.持续抓好“三公”经费控制管理。严格控制“三公”经费的规模和比例，把关“三公”经费支出的审核、审批，杜绝挪用和挤占其他预算资金行为；进一步细化“三公”经费的管理，合理压缩“三公”经费支出。</w:t>
      </w:r>
    </w:p>
    <w:p w14:paraId="08168E62">
      <w:pPr>
        <w:keepNext w:val="0"/>
        <w:keepLines w:val="0"/>
        <w:pageBreakBefore w:val="0"/>
        <w:kinsoku/>
        <w:overflowPunct/>
        <w:topLinePunct w:val="0"/>
        <w:autoSpaceDE/>
        <w:autoSpaceDN/>
        <w:bidi w:val="0"/>
        <w:spacing w:line="60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3．加强项目开展进度的跟踪，开展项目绩效评价，确保项目绩效目标的完成。</w:t>
      </w:r>
    </w:p>
    <w:p w14:paraId="26CD7959">
      <w:pPr>
        <w:keepNext w:val="0"/>
        <w:keepLines w:val="0"/>
        <w:pageBreakBefore w:val="0"/>
        <w:kinsoku/>
        <w:wordWrap w:val="0"/>
        <w:overflowPunct/>
        <w:topLinePunct w:val="0"/>
        <w:autoSpaceDE/>
        <w:autoSpaceDN/>
        <w:bidi w:val="0"/>
        <w:spacing w:line="600" w:lineRule="exact"/>
        <w:jc w:val="right"/>
        <w:textAlignment w:val="auto"/>
        <w:rPr>
          <w:rFonts w:ascii="仿宋" w:hAnsi="仿宋" w:eastAsia="仿宋" w:cs="仿宋"/>
          <w:bCs/>
          <w:sz w:val="32"/>
          <w:szCs w:val="32"/>
        </w:rPr>
      </w:pPr>
      <w:r>
        <w:rPr>
          <w:rFonts w:hint="eastAsia" w:ascii="仿宋" w:hAnsi="仿宋" w:eastAsia="仿宋" w:cs="仿宋"/>
          <w:bCs/>
          <w:sz w:val="32"/>
          <w:szCs w:val="32"/>
        </w:rPr>
        <w:t>2023年5月14日</w:t>
      </w:r>
    </w:p>
    <w:sectPr>
      <w:footerReference r:id="rId4" w:type="even"/>
      <w:pgSz w:w="11906" w:h="16838"/>
      <w:pgMar w:top="1440" w:right="1800" w:bottom="1440" w:left="1800" w:header="851" w:footer="1361"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A585">
    <w:pPr>
      <w:pStyle w:val="5"/>
      <w:framePr w:wrap="around" w:vAnchor="text" w:hAnchor="margin" w:xAlign="outside" w:y="1"/>
      <w:rPr>
        <w:rStyle w:val="12"/>
      </w:rPr>
    </w:pPr>
    <w:r>
      <w:fldChar w:fldCharType="begin"/>
    </w:r>
    <w:r>
      <w:rPr>
        <w:rStyle w:val="12"/>
      </w:rPr>
      <w:instrText xml:space="preserve">PAGE  </w:instrText>
    </w:r>
    <w:r>
      <w:fldChar w:fldCharType="end"/>
    </w:r>
  </w:p>
  <w:p w14:paraId="2885A6A7">
    <w:pPr>
      <w:pStyle w:val="5"/>
      <w:ind w:right="360" w:firstLine="360"/>
    </w:pP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2"/>
  </w:compat>
  <w:docVars>
    <w:docVar w:name="commondata" w:val="eyJoZGlkIjoiMjA5OTY3Y2EwYWNjN2JjNjZhYTFhYTU3NTU5OTY4NTMifQ=="/>
  </w:docVars>
  <w:rsids>
    <w:rsidRoot w:val="00287F2B"/>
    <w:rsid w:val="00223188"/>
    <w:rsid w:val="00287F2B"/>
    <w:rsid w:val="005018C2"/>
    <w:rsid w:val="009B2287"/>
    <w:rsid w:val="00A16A3E"/>
    <w:rsid w:val="00B4556A"/>
    <w:rsid w:val="00BC6983"/>
    <w:rsid w:val="00C406A5"/>
    <w:rsid w:val="06BB1041"/>
    <w:rsid w:val="18270900"/>
    <w:rsid w:val="583F7315"/>
    <w:rsid w:val="6D622D87"/>
    <w:rsid w:val="7D52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style>
  <w:style w:type="paragraph" w:styleId="3">
    <w:name w:val="Body Text"/>
    <w:basedOn w:val="1"/>
    <w:link w:val="21"/>
    <w:semiHidden/>
    <w:unhideWhenUsed/>
    <w:qFormat/>
    <w:uiPriority w:val="0"/>
    <w:pPr>
      <w:spacing w:after="120"/>
    </w:pPr>
  </w:style>
  <w:style w:type="paragraph" w:styleId="4">
    <w:name w:val="Body Text Indent"/>
    <w:basedOn w:val="1"/>
    <w:link w:val="19"/>
    <w:semiHidden/>
    <w:unhideWhenUsed/>
    <w:qFormat/>
    <w:uiPriority w:val="0"/>
    <w:pPr>
      <w:spacing w:after="120"/>
      <w:ind w:left="420" w:leftChars="200"/>
    </w:pPr>
  </w:style>
  <w:style w:type="paragraph" w:styleId="5">
    <w:name w:val="footer"/>
    <w:basedOn w:val="1"/>
    <w:link w:val="16"/>
    <w:unhideWhenUsed/>
    <w:qFormat/>
    <w:uiPriority w:val="0"/>
    <w:pPr>
      <w:tabs>
        <w:tab w:val="center" w:pos="4153"/>
        <w:tab w:val="right" w:pos="8306"/>
      </w:tabs>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Normal (Web)"/>
    <w:basedOn w:val="1"/>
    <w:unhideWhenUsed/>
    <w:qFormat/>
    <w:uiPriority w:val="0"/>
    <w:pPr>
      <w:spacing w:beforeAutospacing="1" w:after="0" w:afterAutospacing="1"/>
    </w:pPr>
    <w:rPr>
      <w:sz w:val="24"/>
    </w:rPr>
  </w:style>
  <w:style w:type="paragraph" w:styleId="9">
    <w:name w:val="Body Text First Indent 2"/>
    <w:basedOn w:val="4"/>
    <w:link w:val="20"/>
    <w:qFormat/>
    <w:uiPriority w:val="0"/>
    <w:pPr>
      <w:widowControl w:val="0"/>
      <w:adjustRightInd/>
      <w:snapToGrid/>
      <w:ind w:firstLine="420" w:firstLineChars="200"/>
      <w:jc w:val="both"/>
    </w:pPr>
    <w:rPr>
      <w:rFonts w:ascii="Calibri" w:hAnsi="Calibri" w:eastAsia="宋体" w:cs="Times New Roman"/>
      <w:kern w:val="2"/>
      <w:sz w:val="21"/>
      <w:szCs w:val="24"/>
    </w:rPr>
  </w:style>
  <w:style w:type="character" w:styleId="12">
    <w:name w:val="page number"/>
    <w:basedOn w:val="11"/>
    <w:qFormat/>
    <w:uiPriority w:val="0"/>
  </w:style>
  <w:style w:type="paragraph" w:customStyle="1" w:styleId="13">
    <w:name w:val="样式2"/>
    <w:basedOn w:val="1"/>
    <w:qFormat/>
    <w:uiPriority w:val="99"/>
    <w:pPr>
      <w:shd w:val="clear" w:color="auto" w:fill="FFFFFF"/>
      <w:spacing w:before="100" w:beforeAutospacing="1" w:after="100" w:afterAutospacing="1"/>
      <w:ind w:left="562"/>
      <w:jc w:val="center"/>
    </w:pPr>
    <w:rPr>
      <w:rFonts w:ascii="宋体"/>
      <w:b/>
      <w:bCs/>
      <w:szCs w:val="21"/>
    </w:rPr>
  </w:style>
  <w:style w:type="paragraph" w:customStyle="1" w:styleId="14">
    <w:name w:val="列出段落1"/>
    <w:basedOn w:val="1"/>
    <w:unhideWhenUsed/>
    <w:qFormat/>
    <w:uiPriority w:val="99"/>
    <w:pPr>
      <w:ind w:firstLine="420" w:firstLineChars="200"/>
    </w:pPr>
  </w:style>
  <w:style w:type="character" w:customStyle="1" w:styleId="15">
    <w:name w:val="页眉 Char"/>
    <w:basedOn w:val="11"/>
    <w:link w:val="6"/>
    <w:qFormat/>
    <w:uiPriority w:val="99"/>
    <w:rPr>
      <w:rFonts w:ascii="Tahoma" w:hAnsi="Tahoma"/>
      <w:sz w:val="18"/>
      <w:szCs w:val="18"/>
    </w:rPr>
  </w:style>
  <w:style w:type="character" w:customStyle="1" w:styleId="16">
    <w:name w:val="页脚 Char"/>
    <w:basedOn w:val="11"/>
    <w:link w:val="5"/>
    <w:qFormat/>
    <w:uiPriority w:val="0"/>
    <w:rPr>
      <w:rFonts w:ascii="Tahoma" w:hAnsi="Tahoma"/>
      <w:sz w:val="18"/>
      <w:szCs w:val="18"/>
    </w:rPr>
  </w:style>
  <w:style w:type="paragraph" w:styleId="17">
    <w:name w:val="List Paragraph"/>
    <w:basedOn w:val="1"/>
    <w:unhideWhenUsed/>
    <w:qFormat/>
    <w:uiPriority w:val="99"/>
    <w:pPr>
      <w:ind w:firstLine="420" w:firstLineChars="200"/>
    </w:pPr>
  </w:style>
  <w:style w:type="paragraph" w:customStyle="1" w:styleId="18">
    <w:name w:val="p0"/>
    <w:basedOn w:val="1"/>
    <w:qFormat/>
    <w:uiPriority w:val="0"/>
    <w:pPr>
      <w:adjustRightInd/>
      <w:snapToGrid/>
      <w:spacing w:after="0" w:line="365" w:lineRule="atLeast"/>
      <w:ind w:left="1"/>
      <w:jc w:val="both"/>
    </w:pPr>
    <w:rPr>
      <w:rFonts w:ascii="Calibri" w:hAnsi="Calibri" w:eastAsia="宋体" w:cs="Times New Roman"/>
      <w:sz w:val="20"/>
      <w:szCs w:val="24"/>
    </w:rPr>
  </w:style>
  <w:style w:type="character" w:customStyle="1" w:styleId="19">
    <w:name w:val="正文文本缩进 Char"/>
    <w:basedOn w:val="11"/>
    <w:link w:val="4"/>
    <w:semiHidden/>
    <w:qFormat/>
    <w:uiPriority w:val="0"/>
    <w:rPr>
      <w:rFonts w:ascii="Tahoma" w:hAnsi="Tahoma" w:eastAsia="微软雅黑" w:cs="黑体"/>
      <w:sz w:val="22"/>
      <w:szCs w:val="22"/>
    </w:rPr>
  </w:style>
  <w:style w:type="character" w:customStyle="1" w:styleId="20">
    <w:name w:val="正文首行缩进 2 Char"/>
    <w:basedOn w:val="19"/>
    <w:link w:val="9"/>
    <w:qFormat/>
    <w:uiPriority w:val="0"/>
    <w:rPr>
      <w:kern w:val="2"/>
      <w:sz w:val="21"/>
      <w:szCs w:val="24"/>
    </w:rPr>
  </w:style>
  <w:style w:type="character" w:customStyle="1" w:styleId="21">
    <w:name w:val="正文文本 Char"/>
    <w:basedOn w:val="11"/>
    <w:link w:val="3"/>
    <w:semiHidden/>
    <w:qFormat/>
    <w:uiPriority w:val="0"/>
    <w:rPr>
      <w:rFonts w:ascii="Tahoma" w:hAnsi="Tahoma" w:eastAsia="微软雅黑" w:cs="黑体"/>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4247</Words>
  <Characters>4423</Characters>
  <Lines>31</Lines>
  <Paragraphs>8</Paragraphs>
  <TotalTime>0</TotalTime>
  <ScaleCrop>false</ScaleCrop>
  <LinksUpToDate>false</LinksUpToDate>
  <CharactersWithSpaces>4428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江山</cp:lastModifiedBy>
  <dcterms:modified xsi:type="dcterms:W3CDTF">2024-12-26T03:16:37Z</dcterms:modified>
  <dc:title>2017年度部门整体绩效评价报告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6DD3441A55DF43428F37502AA3453A06</vt:lpwstr>
  </property>
</Properties>
</file>