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570" w:beforeAutospacing="0" w:after="225" w:afterAutospacing="0"/>
        <w:ind w:left="0" w:right="0" w:firstLine="0"/>
        <w:jc w:val="center"/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000000" w:themeColor="text1"/>
          <w:spacing w:val="0"/>
          <w:sz w:val="24"/>
          <w:szCs w:val="24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000000" w:themeColor="text1"/>
          <w:spacing w:val="0"/>
          <w:sz w:val="48"/>
          <w:szCs w:val="48"/>
          <w:bdr w:val="none" w:color="auto" w:sz="0" w:space="0"/>
          <w:shd w:val="clear" w:fill="FFFFFF"/>
          <w:lang w:eastAsia="zh-CN"/>
          <w14:textFill>
            <w14:solidFill>
              <w14:schemeClr w14:val="tx1"/>
            </w14:solidFill>
          </w14:textFill>
        </w:rPr>
        <w:t>蓝山</w:t>
      </w:r>
      <w:r>
        <w:rPr>
          <w:rFonts w:hint="eastAsia" w:ascii="方正大标宋简体" w:hAnsi="方正大标宋简体" w:eastAsia="方正大标宋简体" w:cs="方正大标宋简体"/>
          <w:b/>
          <w:bCs/>
          <w:i w:val="0"/>
          <w:iCs w:val="0"/>
          <w:caps w:val="0"/>
          <w:color w:val="000000" w:themeColor="text1"/>
          <w:spacing w:val="0"/>
          <w:sz w:val="48"/>
          <w:szCs w:val="48"/>
          <w:bdr w:val="none" w:color="auto" w:sz="0" w:space="0"/>
          <w:shd w:val="clear" w:fill="FFFFFF"/>
          <w14:textFill>
            <w14:solidFill>
              <w14:schemeClr w14:val="tx1"/>
            </w14:solidFill>
          </w14:textFill>
        </w:rPr>
        <w:t>县应急管理局政务公开制度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为进一步做好政务公开工作，保障我县人民群众实时获取政务信息,提高部门工作透明度,促进依法行政,充分发挥政府信息对人民群众生产、生活和经济社会活动的服务作用,结合本部门工作实际，制定本制度。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一、基本原则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根据新修订的《中华人民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共和国政府信息公开条例》，对涉及群众切身利益、需要公众广泛知晓或者需要群众参与决策的政务信息，局机关各股室、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大队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应当遵循公开为常态、不公开为例外的原则，积极主动公开。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二、公开形式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公开形式采取主动公开和依申请公开两种形式。主动公开主要依托县政府信息公开平台网上公开，依申请公开内容通过纸质档请示、电子邮件等两种途径向政府办递交申请，由政府办专人审核报批后予以公开。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三、公开内容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1、本部门的机关简介、机构设置、办公地址、办公时间、联系方式、法定代表人姓名;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2、本部门与履行职责相关的法律、法规、规章和规范性文件;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本部门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begin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instrText xml:space="preserve"> HYPERLINK "http://admin.yzcity.gov.cn:8888/website-webapp/common/preview_resource.action?id=b66f1ec20b41473cba0a790d421976f8&amp;type=pdf&amp;jcrVer=1.0" \t "http://admin.yzcity.gov.cn:8888/app-editor/ewebeditor/_blank" </w:instrTex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separate"/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职能配置、内设机构和人员编制规定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4、安全生产、自然灾害、应急管理相关政策文件;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5.本部门工作制度;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6、本部门财政预决算、三公经费信息;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7、本部门工作动态等;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8、本部门工作人员招考、录用、任职信息;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9、年度工作报告；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10、法律、法规、规章规定应当公开的其他政务信息;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四、保密审查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各股室、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lang w:eastAsia="zh-CN"/>
        </w:rPr>
        <w:t>大队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在编辑政务信息时,需确定公开属性,标明主动公开、不予公开或依申请公开,未标明的,办公室不予公布。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对于确定公开属性需重点把握以下几点: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1、公开后可能对国防、外交、国家安全、领土完整、民族团结等国家利益产生不利影响的信息不予公开;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2、公开后可能影响重大经济金融政策的有效实施、信息安全或者造成经济金融市场异常波动的信息不予公开;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3、经县人民政府确认,公开后可能在一定范围内危害公共安全、社会稳定的信息,或者涉及民族、宗教、侨胞等事项公开后可能造成不利影响的信息不予公开。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0" w:afterAutospacing="0" w:line="42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4、依法确定为国家秘密的信息和其他法律、法规禁止公开的信息不得公开。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琥珀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综艺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正大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A02B6B"/>
    <w:rsid w:val="4DA0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2021-03-14T01:33:00Z</dcterms:created>
  <dc:creator>Punster Magic Friend</dc:creator>
  <cp:lastModifiedBy>Punster Magic Friend</cp:lastModifiedBy>
  <dcterms:modified xsi:type="dcterms:W3CDTF">2021-03-14T01:39:53Z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D3DC53BFBAD04856ADE8439D28428AC8</vt:lpwstr>
  </property>
  <property fmtid="{D5CDD505-2E9C-101B-9397-08002B2CF9AE}" pid="4" name="KSOSaveFontToCloudKey">
    <vt:lpwstr>461115204_btnclosed</vt:lpwstr>
  </property>
</Properties>
</file>