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b w:val="0"/>
          <w:bCs w:val="0"/>
          <w:sz w:val="36"/>
          <w:szCs w:val="36"/>
          <w:lang w:val="en-US" w:eastAsia="zh-CN"/>
        </w:rPr>
      </w:pPr>
      <w:r>
        <w:rPr>
          <w:rFonts w:hint="eastAsia" w:ascii="方正小标宋简体" w:eastAsia="方正小标宋简体" w:cs="方正小标宋简体"/>
          <w:b w:val="0"/>
          <w:bCs w:val="0"/>
          <w:sz w:val="36"/>
          <w:szCs w:val="36"/>
          <w:lang w:val="en-US" w:eastAsia="zh-CN"/>
        </w:rPr>
        <w:t>2023</w:t>
      </w:r>
      <w:bookmarkStart w:id="0" w:name="_GoBack"/>
      <w:bookmarkEnd w:id="0"/>
      <w:r>
        <w:rPr>
          <w:rFonts w:hint="eastAsia" w:ascii="方正小标宋简体" w:eastAsia="方正小标宋简体" w:cs="方正小标宋简体"/>
          <w:b w:val="0"/>
          <w:bCs w:val="0"/>
          <w:sz w:val="36"/>
          <w:szCs w:val="36"/>
          <w:lang w:val="en-US" w:eastAsia="zh-CN"/>
        </w:rPr>
        <w:t>年度县文化旅游广电体育局“谁执法谁普法”普法责任清单</w:t>
      </w:r>
    </w:p>
    <w:p>
      <w:pPr>
        <w:pStyle w:val="2"/>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0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责任单位名称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公共普法内容</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楷体_GB2312" w:eastAsia="楷体_GB2312" w:cs="仿宋_GB2312"/>
                <w:color w:val="auto"/>
                <w:sz w:val="28"/>
                <w:szCs w:val="28"/>
                <w:lang w:val="en-US" w:eastAsia="zh-CN"/>
              </w:rPr>
              <w:t>习近平法治思想、宪法、民法典、党内法规、永州市地方性法规等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本部门法律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普及内容</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eastAsia="仿宋_GB2312" w:cs="仿宋_GB2312"/>
                <w:sz w:val="32"/>
                <w:szCs w:val="32"/>
                <w:vertAlign w:val="baseline"/>
                <w:lang w:val="en-US" w:eastAsia="zh-CN"/>
              </w:rPr>
            </w:pPr>
            <w:r>
              <w:rPr>
                <w:rFonts w:hint="eastAsia" w:ascii="仿宋_GB2312" w:hAnsi="仿宋_GB2312" w:eastAsia="仿宋_GB2312" w:cs="仿宋_GB2312"/>
                <w:snapToGrid/>
                <w:color w:val="auto"/>
                <w:spacing w:val="0"/>
                <w:w w:val="100"/>
                <w:kern w:val="2"/>
                <w:position w:val="0"/>
                <w:sz w:val="24"/>
                <w:szCs w:val="24"/>
                <w:u w:val="none" w:color="auto"/>
                <w:shd w:val="clear" w:color="auto" w:fill="auto"/>
                <w:vertAlign w:val="baseline"/>
                <w:lang w:val="en-US" w:eastAsia="zh-CN" w:bidi="ar-SA"/>
              </w:rPr>
              <w:t>重点宣传普及《中华人民共和国未成年人保护法》《中华人民共和国文物保护法》《中华人民共和国公共文化服务保障法》《中华人民共和国体育法》《中华人民共和国旅游法》《互联网上网服务营业场所管理条例》《娱乐场所管理条例》《营业性演出管理条例》《出版管理条例》《印刷业管理条例》《广播电视管理条例》《出版物</w:t>
            </w:r>
            <w:r>
              <w:rPr>
                <w:rFonts w:hint="eastAsia" w:ascii="仿宋_GB2312" w:hAnsi="仿宋_GB2312" w:eastAsia="仿宋_GB2312" w:cs="仿宋_GB2312"/>
                <w:bCs/>
                <w:snapToGrid/>
                <w:color w:val="auto"/>
                <w:spacing w:val="0"/>
                <w:w w:val="100"/>
                <w:kern w:val="2"/>
                <w:position w:val="0"/>
                <w:sz w:val="24"/>
                <w:szCs w:val="24"/>
                <w:u w:val="none" w:color="auto"/>
                <w:shd w:val="clear" w:color="auto" w:fill="auto"/>
                <w:vertAlign w:val="baseline"/>
                <w:lang w:val="en-US" w:eastAsia="zh-CN" w:bidi="ar-SA"/>
              </w:rPr>
              <w:t>市</w:t>
            </w:r>
            <w:r>
              <w:rPr>
                <w:rFonts w:hint="eastAsia" w:ascii="仿宋_GB2312" w:hAnsi="仿宋_GB2312" w:eastAsia="仿宋_GB2312" w:cs="仿宋_GB2312"/>
                <w:snapToGrid/>
                <w:color w:val="auto"/>
                <w:spacing w:val="0"/>
                <w:w w:val="100"/>
                <w:kern w:val="2"/>
                <w:position w:val="0"/>
                <w:sz w:val="24"/>
                <w:szCs w:val="24"/>
                <w:u w:val="none" w:color="auto"/>
                <w:shd w:val="clear" w:color="auto" w:fill="auto"/>
                <w:vertAlign w:val="baseline"/>
                <w:lang w:val="en-US" w:eastAsia="zh-CN" w:bidi="ar-SA"/>
              </w:rPr>
              <w:t>场管理规定》《导游人员管理条例》《文物保护法》，以及公共图书馆法、非物质文化遗产法、旅行社条例、湖南省红色资源保护和利用条例等法律法规。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本单位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普法平台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蓝山县人民政府网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责任领导、</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部门及普法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联络员</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分管领导：廖芮芮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Merge w:val="continue"/>
            <w:tcBorders>
              <w:top w:val="single" w:color="auto" w:sz="4" w:space="0"/>
              <w:left w:val="single" w:color="auto" w:sz="4" w:space="0"/>
              <w:bottom w:val="single" w:color="auto" w:sz="4" w:space="0"/>
              <w:right w:val="single" w:color="auto" w:sz="4" w:space="0"/>
            </w:tcBorders>
            <w:noWrap/>
            <w:vAlign w:val="center"/>
          </w:tcP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责任部门：全局各二级机构、馆所及股室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Merge w:val="continue"/>
            <w:tcBorders>
              <w:top w:val="single" w:color="auto" w:sz="4" w:space="0"/>
              <w:left w:val="single" w:color="auto" w:sz="4" w:space="0"/>
              <w:bottom w:val="single" w:color="auto" w:sz="4" w:space="0"/>
              <w:right w:val="single" w:color="auto" w:sz="4" w:space="0"/>
            </w:tcBorders>
            <w:noWrap/>
            <w:vAlign w:val="center"/>
          </w:tcP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普法联络员：秦伟杰</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202</w:t>
      </w:r>
      <w:r>
        <w:rPr>
          <w:rFonts w:hint="eastAsia" w:ascii="方正小标宋简体" w:eastAsia="方正小标宋简体" w:cs="方正小标宋简体"/>
          <w:sz w:val="36"/>
          <w:szCs w:val="36"/>
          <w:lang w:val="en-US" w:eastAsia="zh-CN"/>
        </w:rPr>
        <w:t>3</w:t>
      </w:r>
      <w:r>
        <w:rPr>
          <w:rFonts w:hint="eastAsia" w:ascii="方正小标宋简体" w:eastAsia="方正小标宋简体" w:cs="方正小标宋简体"/>
          <w:sz w:val="36"/>
          <w:szCs w:val="36"/>
        </w:rPr>
        <w:t>年度</w:t>
      </w:r>
      <w:r>
        <w:rPr>
          <w:rFonts w:hint="eastAsia" w:ascii="方正小标宋简体" w:eastAsia="方正小标宋简体" w:cs="方正小标宋简体"/>
          <w:sz w:val="36"/>
          <w:szCs w:val="36"/>
          <w:lang w:val="en-US" w:eastAsia="zh-CN"/>
        </w:rPr>
        <w:t>县文化旅游广电体育局</w:t>
      </w:r>
      <w:r>
        <w:rPr>
          <w:rFonts w:hint="eastAsia" w:ascii="方正小标宋简体" w:eastAsia="方正小标宋简体" w:cs="方正小标宋简体"/>
          <w:sz w:val="36"/>
          <w:szCs w:val="36"/>
        </w:rPr>
        <w:t>“谁执法谁普法”年度任务清单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0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责任单位名称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重点普法任务</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1</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深入学习宣传习近平法治思想，将相关内容纳入年内党委（党组）中心组集中学法内容和本单位、本系统法治培训内容，开展宣讲不少于1次。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
              </w:rPr>
              <w:t>2.</w:t>
            </w:r>
            <w:r>
              <w:rPr>
                <w:rFonts w:hint="eastAsia" w:ascii="Times New Roman" w:hAnsi="Times New Roman" w:eastAsia="仿宋_GB2312" w:cs="仿宋_GB2312"/>
                <w:b w:val="0"/>
                <w:bCs/>
                <w:color w:val="auto"/>
                <w:spacing w:val="0"/>
                <w:sz w:val="28"/>
                <w:szCs w:val="28"/>
              </w:rPr>
              <w:t>突出宣传宪法，开展宪法进机关活动，组织系统干部开展日常宪法学习宣传，集中组织好本系统“宪法宣传周”活动。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eastAsia="仿宋_GB2312"/>
                <w:lang w:val="en-US" w:eastAsia="zh-CN"/>
              </w:rPr>
            </w:pPr>
            <w:r>
              <w:rPr>
                <w:rFonts w:hint="eastAsia" w:eastAsia="仿宋_GB2312" w:cs="仿宋_GB2312"/>
                <w:b w:val="0"/>
                <w:bCs/>
                <w:color w:val="auto"/>
                <w:spacing w:val="0"/>
                <w:sz w:val="28"/>
                <w:szCs w:val="28"/>
                <w:lang w:val="en-US" w:eastAsia="zh-CN"/>
              </w:rPr>
              <w:t>3.</w:t>
            </w:r>
            <w:r>
              <w:rPr>
                <w:rFonts w:hint="eastAsia" w:ascii="仿宋_GB2312" w:eastAsia="仿宋_GB2312" w:cs="仿宋_GB2312"/>
                <w:b w:val="0"/>
                <w:bCs/>
                <w:color w:val="auto"/>
                <w:spacing w:val="0"/>
                <w:sz w:val="28"/>
                <w:szCs w:val="28"/>
                <w:lang w:val="en-US" w:eastAsia="zh-CN"/>
              </w:rPr>
              <w:t>年内组织开展1次《民法典》学习或宣传。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4</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落实党委（党组）理论学习中心组学法制度，年</w:t>
            </w:r>
            <w:r>
              <w:rPr>
                <w:rFonts w:hint="eastAsia" w:ascii="Times New Roman" w:hAnsi="Times New Roman" w:eastAsia="仿宋_GB2312" w:cs="仿宋_GB2312"/>
                <w:b w:val="0"/>
                <w:bCs/>
                <w:color w:val="auto"/>
                <w:spacing w:val="0"/>
                <w:sz w:val="28"/>
                <w:szCs w:val="28"/>
                <w:lang w:eastAsia="zh-CN"/>
              </w:rPr>
              <w:t>内</w:t>
            </w:r>
            <w:r>
              <w:rPr>
                <w:rFonts w:hint="eastAsia" w:ascii="Times New Roman" w:hAnsi="Times New Roman" w:eastAsia="仿宋_GB2312" w:cs="仿宋_GB2312"/>
                <w:b w:val="0"/>
                <w:bCs/>
                <w:color w:val="auto"/>
                <w:spacing w:val="0"/>
                <w:sz w:val="28"/>
                <w:szCs w:val="28"/>
              </w:rPr>
              <w:t>组织学法不少于2次。</w:t>
            </w:r>
          </w:p>
          <w:p>
            <w:pPr>
              <w:keepNext w:val="0"/>
              <w:keepLines w:val="0"/>
              <w:pageBreakBefore w:val="0"/>
              <w:widowControl w:val="0"/>
              <w:kinsoku/>
              <w:wordWrap/>
              <w:overflowPunct/>
              <w:topLinePunct w:val="0"/>
              <w:autoSpaceDE/>
              <w:autoSpaceDN/>
              <w:bidi w:val="0"/>
              <w:adjustRightInd/>
              <w:snapToGrid/>
              <w:spacing w:line="360" w:lineRule="exact"/>
              <w:ind w:firstLine="536" w:firstLineChars="200"/>
              <w:textAlignment w:val="auto"/>
              <w:rPr>
                <w:rFonts w:hint="eastAsia" w:ascii="Times New Roman" w:hAnsi="Times New Roman" w:eastAsia="仿宋_GB2312" w:cs="仿宋_GB2312"/>
                <w:b w:val="0"/>
                <w:bCs/>
                <w:color w:val="auto"/>
                <w:spacing w:val="-6"/>
                <w:sz w:val="28"/>
                <w:szCs w:val="28"/>
              </w:rPr>
            </w:pPr>
            <w:r>
              <w:rPr>
                <w:rFonts w:hint="eastAsia" w:ascii="Times New Roman" w:hAnsi="Times New Roman" w:eastAsia="仿宋_GB2312" w:cs="仿宋_GB2312"/>
                <w:b w:val="0"/>
                <w:bCs/>
                <w:color w:val="auto"/>
                <w:spacing w:val="-6"/>
                <w:sz w:val="28"/>
                <w:szCs w:val="28"/>
                <w:lang w:val="en-US" w:eastAsia="zh-CN"/>
              </w:rPr>
              <w:t>5</w:t>
            </w:r>
            <w:r>
              <w:rPr>
                <w:rFonts w:hint="eastAsia" w:ascii="Times New Roman" w:hAnsi="Times New Roman" w:eastAsia="仿宋_GB2312" w:cs="仿宋_GB2312"/>
                <w:b w:val="0"/>
                <w:bCs/>
                <w:color w:val="auto"/>
                <w:spacing w:val="-6"/>
                <w:sz w:val="28"/>
                <w:szCs w:val="28"/>
                <w:lang w:val="en"/>
              </w:rPr>
              <w:t>.</w:t>
            </w:r>
            <w:r>
              <w:rPr>
                <w:rFonts w:hint="eastAsia" w:ascii="Times New Roman" w:hAnsi="Times New Roman" w:eastAsia="仿宋_GB2312" w:cs="仿宋_GB2312"/>
                <w:b w:val="0"/>
                <w:bCs/>
                <w:color w:val="auto"/>
                <w:spacing w:val="-6"/>
                <w:sz w:val="28"/>
                <w:szCs w:val="28"/>
              </w:rPr>
              <w:t>落实领导干部年终述法制度，在年度述职中加入述法内容。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6</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健全完善国家工作人员日常学法制度、法治培训制度、学法用法考核制度，年</w:t>
            </w:r>
            <w:r>
              <w:rPr>
                <w:rFonts w:hint="eastAsia" w:ascii="Times New Roman" w:hAnsi="Times New Roman" w:eastAsia="仿宋_GB2312" w:cs="仿宋_GB2312"/>
                <w:b w:val="0"/>
                <w:bCs/>
                <w:color w:val="auto"/>
                <w:spacing w:val="0"/>
                <w:sz w:val="28"/>
                <w:szCs w:val="28"/>
                <w:lang w:eastAsia="zh-CN"/>
              </w:rPr>
              <w:t>内</w:t>
            </w:r>
            <w:r>
              <w:rPr>
                <w:rFonts w:hint="eastAsia" w:ascii="Times New Roman" w:hAnsi="Times New Roman" w:eastAsia="仿宋_GB2312" w:cs="仿宋_GB2312"/>
                <w:b w:val="0"/>
                <w:bCs/>
                <w:color w:val="auto"/>
                <w:spacing w:val="0"/>
                <w:sz w:val="28"/>
                <w:szCs w:val="28"/>
              </w:rPr>
              <w:t>举办法治专题培训班</w:t>
            </w:r>
            <w:r>
              <w:rPr>
                <w:rFonts w:hint="eastAsia" w:ascii="Times New Roman" w:hAnsi="Times New Roman" w:eastAsia="仿宋_GB2312" w:cs="仿宋_GB2312"/>
                <w:b w:val="0"/>
                <w:bCs/>
                <w:color w:val="auto"/>
                <w:spacing w:val="0"/>
                <w:sz w:val="28"/>
                <w:szCs w:val="28"/>
                <w:lang w:eastAsia="zh-CN"/>
              </w:rPr>
              <w:t>或法治学习讲座</w:t>
            </w:r>
            <w:r>
              <w:rPr>
                <w:rFonts w:hint="eastAsia" w:ascii="Times New Roman" w:hAnsi="Times New Roman" w:eastAsia="仿宋_GB2312" w:cs="仿宋_GB2312"/>
                <w:b w:val="0"/>
                <w:bCs/>
                <w:color w:val="auto"/>
                <w:spacing w:val="0"/>
                <w:sz w:val="28"/>
                <w:szCs w:val="28"/>
              </w:rPr>
              <w:t>不少于1次。组织做好本单位工作人员网上学法，年内课时达标率100%，应考人员参考率100%，合格率</w:t>
            </w:r>
            <w:r>
              <w:rPr>
                <w:rFonts w:hint="eastAsia" w:ascii="Times New Roman" w:hAnsi="Times New Roman" w:eastAsia="仿宋_GB2312" w:cs="仿宋_GB2312"/>
                <w:b w:val="0"/>
                <w:bCs/>
                <w:color w:val="auto"/>
                <w:spacing w:val="0"/>
                <w:sz w:val="28"/>
                <w:szCs w:val="28"/>
                <w:lang w:val="en-US" w:eastAsia="zh-CN"/>
              </w:rPr>
              <w:t>100</w:t>
            </w:r>
            <w:r>
              <w:rPr>
                <w:rFonts w:hint="eastAsia" w:ascii="Times New Roman" w:hAnsi="Times New Roman" w:eastAsia="仿宋_GB2312" w:cs="仿宋_GB2312"/>
                <w:b w:val="0"/>
                <w:bCs/>
                <w:color w:val="auto"/>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7</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8</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在部门单位门户网站、自办刊物、官方微博、微信公众号开辟法治宣传专栏（专题）</w:t>
            </w:r>
            <w:r>
              <w:rPr>
                <w:rFonts w:hint="eastAsia" w:ascii="Times New Roman" w:hAnsi="Times New Roman" w:eastAsia="仿宋_GB2312" w:cs="仿宋_GB2312"/>
                <w:b w:val="0"/>
                <w:bCs/>
                <w:color w:val="auto"/>
                <w:spacing w:val="0"/>
                <w:sz w:val="28"/>
                <w:szCs w:val="28"/>
                <w:lang w:eastAsia="zh-CN"/>
              </w:rPr>
              <w:t>，</w:t>
            </w:r>
            <w:r>
              <w:rPr>
                <w:rFonts w:hint="eastAsia" w:ascii="Times New Roman" w:hAnsi="Times New Roman" w:eastAsia="仿宋_GB2312" w:cs="仿宋_GB2312"/>
                <w:b w:val="0"/>
                <w:bCs/>
                <w:color w:val="auto"/>
                <w:spacing w:val="0"/>
                <w:sz w:val="28"/>
                <w:szCs w:val="28"/>
              </w:rPr>
              <w:t>设置“以案释法”栏目，定期发布普法宣传内容和“以案释法”案例，年内报送不少于3个典型案例。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highlight w:val="none"/>
              </w:rPr>
            </w:pPr>
            <w:r>
              <w:rPr>
                <w:rFonts w:hint="eastAsia" w:ascii="Times New Roman" w:hAnsi="Times New Roman" w:eastAsia="仿宋_GB2312" w:cs="仿宋_GB2312"/>
                <w:b w:val="0"/>
                <w:bCs/>
                <w:color w:val="auto"/>
                <w:spacing w:val="0"/>
                <w:sz w:val="28"/>
                <w:szCs w:val="28"/>
                <w:highlight w:val="none"/>
                <w:lang w:val="en-US" w:eastAsia="zh-CN"/>
              </w:rPr>
              <w:t>9</w:t>
            </w:r>
            <w:r>
              <w:rPr>
                <w:rFonts w:hint="eastAsia" w:ascii="Times New Roman" w:hAnsi="Times New Roman" w:eastAsia="仿宋_GB2312" w:cs="仿宋_GB2312"/>
                <w:b w:val="0"/>
                <w:bCs/>
                <w:color w:val="auto"/>
                <w:spacing w:val="0"/>
                <w:sz w:val="28"/>
                <w:szCs w:val="28"/>
                <w:highlight w:val="none"/>
                <w:lang w:val="en"/>
              </w:rPr>
              <w:t>.</w:t>
            </w:r>
            <w:r>
              <w:rPr>
                <w:rFonts w:hint="eastAsia" w:ascii="Times New Roman" w:hAnsi="Times New Roman" w:eastAsia="仿宋_GB2312" w:cs="仿宋_GB2312"/>
                <w:b w:val="0"/>
                <w:bCs/>
                <w:color w:val="auto"/>
                <w:spacing w:val="0"/>
                <w:sz w:val="28"/>
                <w:szCs w:val="28"/>
                <w:highlight w:val="none"/>
                <w:lang w:val="en" w:eastAsia="zh-CN"/>
              </w:rPr>
              <w:t>有乡村振兴联系点的单位，结合乡村振兴联系点打造本单位普法联系点</w:t>
            </w:r>
            <w:r>
              <w:rPr>
                <w:rFonts w:hint="eastAsia" w:ascii="Times New Roman" w:hAnsi="Times New Roman" w:eastAsia="仿宋_GB2312" w:cs="仿宋_GB2312"/>
                <w:b w:val="0"/>
                <w:bCs/>
                <w:color w:val="auto"/>
                <w:spacing w:val="0"/>
                <w:sz w:val="28"/>
                <w:szCs w:val="28"/>
                <w:highlight w:val="none"/>
              </w:rPr>
              <w:t>，有针对性地宣传普及本部门与群众生产生活和乡村治理密切相关的法律法规，年内开展</w:t>
            </w:r>
            <w:r>
              <w:rPr>
                <w:rFonts w:hint="eastAsia" w:ascii="Times New Roman" w:hAnsi="Times New Roman" w:eastAsia="仿宋_GB2312" w:cs="仿宋_GB2312"/>
                <w:b w:val="0"/>
                <w:bCs/>
                <w:color w:val="auto"/>
                <w:spacing w:val="0"/>
                <w:sz w:val="28"/>
                <w:szCs w:val="28"/>
                <w:highlight w:val="none"/>
                <w:lang w:eastAsia="zh-CN"/>
              </w:rPr>
              <w:t>“</w:t>
            </w:r>
            <w:r>
              <w:rPr>
                <w:rFonts w:hint="eastAsia" w:ascii="Times New Roman" w:hAnsi="Times New Roman" w:eastAsia="仿宋_GB2312" w:cs="仿宋_GB2312"/>
                <w:b w:val="0"/>
                <w:bCs/>
                <w:color w:val="auto"/>
                <w:spacing w:val="0"/>
                <w:sz w:val="28"/>
                <w:szCs w:val="28"/>
                <w:highlight w:val="none"/>
              </w:rPr>
              <w:t>送法下乡</w:t>
            </w:r>
            <w:r>
              <w:rPr>
                <w:rFonts w:hint="eastAsia" w:ascii="Times New Roman" w:hAnsi="Times New Roman" w:eastAsia="仿宋_GB2312" w:cs="仿宋_GB2312"/>
                <w:b w:val="0"/>
                <w:bCs/>
                <w:color w:val="auto"/>
                <w:spacing w:val="0"/>
                <w:sz w:val="28"/>
                <w:szCs w:val="28"/>
                <w:highlight w:val="none"/>
                <w:lang w:eastAsia="zh-CN"/>
              </w:rPr>
              <w:t>”</w:t>
            </w:r>
            <w:r>
              <w:rPr>
                <w:rFonts w:hint="eastAsia" w:ascii="Times New Roman" w:hAnsi="Times New Roman" w:eastAsia="仿宋_GB2312" w:cs="仿宋_GB2312"/>
                <w:b w:val="0"/>
                <w:bCs/>
                <w:color w:val="auto"/>
                <w:spacing w:val="0"/>
                <w:sz w:val="28"/>
                <w:szCs w:val="28"/>
                <w:highlight w:val="none"/>
              </w:rPr>
              <w:t>活动不少于1次。</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b w:val="0"/>
                <w:bCs/>
                <w:color w:val="auto"/>
                <w:spacing w:val="0"/>
                <w:sz w:val="28"/>
                <w:szCs w:val="28"/>
                <w:lang w:eastAsia="zh-CN"/>
              </w:rPr>
            </w:pPr>
            <w:r>
              <w:rPr>
                <w:rFonts w:hint="eastAsia" w:ascii="Times New Roman" w:hAnsi="Times New Roman" w:eastAsia="仿宋_GB2312" w:cs="仿宋_GB2312"/>
                <w:b w:val="0"/>
                <w:bCs/>
                <w:color w:val="auto"/>
                <w:spacing w:val="0"/>
                <w:sz w:val="28"/>
                <w:szCs w:val="28"/>
                <w:lang w:val="en-US" w:eastAsia="zh-CN"/>
              </w:rPr>
              <w:t>10</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认真贯彻落实《湖南省法治社会建设实施方案（2021-2025年）》</w:t>
            </w:r>
            <w:r>
              <w:rPr>
                <w:rFonts w:hint="eastAsia" w:ascii="Times New Roman" w:hAnsi="Times New Roman" w:eastAsia="仿宋_GB2312" w:cs="仿宋_GB2312"/>
                <w:b w:val="0"/>
                <w:bCs/>
                <w:color w:val="auto"/>
                <w:spacing w:val="0"/>
                <w:sz w:val="28"/>
                <w:szCs w:val="28"/>
                <w:lang w:eastAsia="zh-CN"/>
              </w:rPr>
              <w:t>和蓝山县“八五”普法规</w:t>
            </w:r>
            <w:r>
              <w:rPr>
                <w:rFonts w:hint="eastAsia" w:ascii="Times New Roman" w:hAnsi="Times New Roman" w:cs="仿宋_GB2312"/>
                <w:b w:val="0"/>
                <w:bCs/>
                <w:color w:val="auto"/>
                <w:spacing w:val="0"/>
                <w:sz w:val="28"/>
                <w:szCs w:val="28"/>
                <w:lang w:eastAsia="zh-CN"/>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11.扎实推进《湖南省实施&lt;中华人民共和国公共图书馆法〉办法》立法调研工作，在调研过程中一并开展《中华人民共和国公共图书馆法》的普法宣传</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12.继续组织推广“学法送票”和“法治进文旅场馆”“诗与远方”法治演讲比赛等普法活动</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13.全面落实“八五”普法。推进“谁执法谁普法”责任制落实，充分利用文化和旅游公共服务平台，结合“3·15”消费者权益日、“5·18”国际博物馆日、“5·19”中国旅游日、安全生产月、文化和自然遗产日、“12·4”国家宪法日等时间节点，开展法治宣传主题活动。加大对《民法典》有关内容的解读，提升机关干部职工和公众对《民法典》的理解和认知</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仿宋_GB2312"/>
                <w:b w:val="0"/>
                <w:bCs/>
                <w:color w:val="auto"/>
                <w:spacing w:val="0"/>
                <w:kern w:val="0"/>
                <w:sz w:val="28"/>
                <w:szCs w:val="28"/>
                <w:lang w:val="en-US" w:eastAsia="zh-CN" w:bidi="ar-SA"/>
              </w:rPr>
            </w:pPr>
            <w:r>
              <w:rPr>
                <w:rFonts w:hint="eastAsia" w:ascii="Times New Roman" w:hAnsi="Times New Roman" w:cs="仿宋_GB2312"/>
                <w:b w:val="0"/>
                <w:bCs/>
                <w:color w:val="auto"/>
                <w:spacing w:val="0"/>
                <w:kern w:val="0"/>
                <w:sz w:val="28"/>
                <w:szCs w:val="28"/>
                <w:lang w:val="en-US" w:eastAsia="zh-CN" w:bidi="ar-SA"/>
              </w:rPr>
              <w:t>14.开展法治教育培训。建立法治教育培训机制，组织开展全县文旅系统法治能力建设培训。</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15.加大行政执法人员法规学习培训力度，采取培训、讲座、执法等各种方式提高依法行政意识和能力，年内不少于1次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16.结合培训开展普法，组织广播电视网络视听媒体节目内容</w:t>
            </w:r>
            <w:r>
              <w:rPr>
                <w:rFonts w:hint="eastAsia" w:ascii="Times New Roman" w:hAnsi="Times New Roman" w:cs="仿宋_GB2312"/>
                <w:b w:val="0"/>
                <w:bCs/>
                <w:color w:val="auto"/>
                <w:spacing w:val="-6"/>
                <w:kern w:val="0"/>
                <w:sz w:val="28"/>
                <w:szCs w:val="28"/>
                <w:lang w:val="en-US" w:eastAsia="zh-CN" w:bidi="ar-SA"/>
              </w:rPr>
              <w:t>审核人员开展培训，进行有针对性地普法宣传，年内不少于1次</w:t>
            </w:r>
            <w:r>
              <w:rPr>
                <w:rFonts w:hint="default" w:ascii="Times New Roman" w:hAnsi="Times New Roman" w:cs="仿宋_GB2312"/>
                <w:b w:val="0"/>
                <w:bCs/>
                <w:color w:val="auto"/>
                <w:spacing w:val="-6"/>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17.通过约谈，发整改通知等形式加强对违规播出广告的监管，将普法贯穿监管全过程，年内不少于2次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18.加强重点领域的治理，通过现场检查或约谈、发整改通知等形式加强对传输机构及酒店违规接收、播出境外电视节目等问题的监管，将普法贯穿监管全过程，年内不少于2次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仿宋_GB2312"/>
                <w:b w:val="0"/>
                <w:bCs/>
                <w:color w:val="auto"/>
                <w:spacing w:val="0"/>
                <w:kern w:val="0"/>
                <w:sz w:val="28"/>
                <w:szCs w:val="28"/>
                <w:lang w:val="en-US" w:eastAsia="zh-CN" w:bidi="ar-SA"/>
              </w:rPr>
            </w:pPr>
            <w:r>
              <w:rPr>
                <w:rFonts w:hint="eastAsia" w:ascii="Times New Roman" w:hAnsi="Times New Roman" w:cs="仿宋_GB2312"/>
                <w:b w:val="0"/>
                <w:bCs/>
                <w:color w:val="auto"/>
                <w:spacing w:val="0"/>
                <w:kern w:val="0"/>
                <w:sz w:val="28"/>
                <w:szCs w:val="28"/>
                <w:lang w:val="en-US" w:eastAsia="zh-CN" w:bidi="ar-SA"/>
              </w:rPr>
              <w:t>19落实媒体公益普法制度，媒体开设普法栏目，联合县委宣传部、县司法局制作播出1期法治节目，鼓励创作播出普法公益广告。</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20.积极开展《体育法》专项普法工程，做好新修订《体育法》的宣传普及工作</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21.深入学习宣传习近平关于体育的重要论述及体育法等体育及全民健身相关法律法规</w:t>
            </w:r>
            <w:r>
              <w:rPr>
                <w:rFonts w:hint="default" w:ascii="Times New Roman" w:hAnsi="Times New Roman" w:cs="仿宋_GB2312"/>
                <w:b w:val="0"/>
                <w:bCs/>
                <w:color w:val="auto"/>
                <w:spacing w:val="0"/>
                <w:kern w:val="0"/>
                <w:sz w:val="28"/>
                <w:szCs w:val="28"/>
                <w:lang w:val="en"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eastAsia="仿宋_GB2312" w:cs="仿宋_GB2312"/>
                <w:sz w:val="32"/>
                <w:szCs w:val="32"/>
                <w:vertAlign w:val="baseline"/>
                <w:lang w:val="en-US" w:eastAsia="zh-CN"/>
              </w:rPr>
            </w:pPr>
            <w:r>
              <w:rPr>
                <w:rFonts w:hint="eastAsia" w:ascii="Times New Roman" w:hAnsi="Times New Roman" w:eastAsia="仿宋_GB2312" w:cs="仿宋_GB2312"/>
                <w:b w:val="0"/>
                <w:bCs/>
                <w:color w:val="auto"/>
                <w:spacing w:val="0"/>
                <w:kern w:val="0"/>
                <w:sz w:val="28"/>
                <w:szCs w:val="28"/>
                <w:lang w:val="en-US" w:eastAsia="zh-CN" w:bidi="ar-SA"/>
              </w:rPr>
              <w:t>22.组织运动员、教练员等开展反兴奋剂教育培训，深入学习贯彻习近平总书记关于反兴奋剂工作重要指示批示精神，加强对反兴奋剂新规则的学习和理解。划，制定年度任务清单并抓好组织实施。</w:t>
            </w:r>
          </w:p>
        </w:tc>
      </w:tr>
    </w:tbl>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hint="default" w:ascii="Times New Roman" w:hAnsi="Times New Roman" w:eastAsia="仿宋_GB2312" w:cs="仿宋_GB2312"/>
          <w:spacing w:val="0"/>
          <w:sz w:val="32"/>
          <w:szCs w:val="32"/>
          <w:lang w:val="en-US" w:eastAsia="zh-CN"/>
        </w:rPr>
      </w:pPr>
    </w:p>
    <w:sectPr>
      <w:footerReference r:id="rId3" w:type="default"/>
      <w:pgSz w:w="16838" w:h="11906" w:orient="landscape"/>
      <w:pgMar w:top="1644" w:right="2041" w:bottom="1531" w:left="1814" w:header="1587"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DVjZWRkZjA0YWY3ZmMwYWYxY2RkYzI4YzU5MTkifQ=="/>
  </w:docVars>
  <w:rsids>
    <w:rsidRoot w:val="02581A37"/>
    <w:rsid w:val="000050B2"/>
    <w:rsid w:val="00CC13AA"/>
    <w:rsid w:val="00D71DD2"/>
    <w:rsid w:val="01AB4F07"/>
    <w:rsid w:val="02581A37"/>
    <w:rsid w:val="026223A4"/>
    <w:rsid w:val="02B964A3"/>
    <w:rsid w:val="033C0E47"/>
    <w:rsid w:val="0430153D"/>
    <w:rsid w:val="04380670"/>
    <w:rsid w:val="04FC43EA"/>
    <w:rsid w:val="05EE467B"/>
    <w:rsid w:val="065F7326"/>
    <w:rsid w:val="06D01FD2"/>
    <w:rsid w:val="0A3D107B"/>
    <w:rsid w:val="0A472821"/>
    <w:rsid w:val="0A5FFE68"/>
    <w:rsid w:val="0A9C0EDE"/>
    <w:rsid w:val="0B730B33"/>
    <w:rsid w:val="0C16498E"/>
    <w:rsid w:val="0CF014A4"/>
    <w:rsid w:val="0D2E359F"/>
    <w:rsid w:val="0D3443CA"/>
    <w:rsid w:val="0D7D1B4F"/>
    <w:rsid w:val="0DBF1056"/>
    <w:rsid w:val="0DD87318"/>
    <w:rsid w:val="0DF201AC"/>
    <w:rsid w:val="0E1E1875"/>
    <w:rsid w:val="0E76345F"/>
    <w:rsid w:val="0ECA70A2"/>
    <w:rsid w:val="0F5110D7"/>
    <w:rsid w:val="10986FB0"/>
    <w:rsid w:val="10D821AF"/>
    <w:rsid w:val="11F052D6"/>
    <w:rsid w:val="12F02B19"/>
    <w:rsid w:val="132745DC"/>
    <w:rsid w:val="141B6E70"/>
    <w:rsid w:val="149A3C1F"/>
    <w:rsid w:val="14E4026D"/>
    <w:rsid w:val="155468E1"/>
    <w:rsid w:val="15F1786F"/>
    <w:rsid w:val="16553D6F"/>
    <w:rsid w:val="175D16A0"/>
    <w:rsid w:val="18493992"/>
    <w:rsid w:val="198F3108"/>
    <w:rsid w:val="19C50373"/>
    <w:rsid w:val="1A972270"/>
    <w:rsid w:val="1BD25A4D"/>
    <w:rsid w:val="1BF6798D"/>
    <w:rsid w:val="1C513AA5"/>
    <w:rsid w:val="1CF540E9"/>
    <w:rsid w:val="1D6B9B20"/>
    <w:rsid w:val="1DD7B2F6"/>
    <w:rsid w:val="1DDF5810"/>
    <w:rsid w:val="1EAE0C12"/>
    <w:rsid w:val="1EBF675C"/>
    <w:rsid w:val="1F220A99"/>
    <w:rsid w:val="1F4A5D44"/>
    <w:rsid w:val="1F773D4E"/>
    <w:rsid w:val="1FA86760"/>
    <w:rsid w:val="200B64EA"/>
    <w:rsid w:val="215D400B"/>
    <w:rsid w:val="216B504F"/>
    <w:rsid w:val="217A5B78"/>
    <w:rsid w:val="21A104F6"/>
    <w:rsid w:val="21AB2FC8"/>
    <w:rsid w:val="21CB5A1E"/>
    <w:rsid w:val="21F50D50"/>
    <w:rsid w:val="227417A6"/>
    <w:rsid w:val="228160B6"/>
    <w:rsid w:val="238C6112"/>
    <w:rsid w:val="24B22C39"/>
    <w:rsid w:val="24B86C26"/>
    <w:rsid w:val="24FF3D57"/>
    <w:rsid w:val="25072C0B"/>
    <w:rsid w:val="26D4131A"/>
    <w:rsid w:val="26FE3B9A"/>
    <w:rsid w:val="27CB7F20"/>
    <w:rsid w:val="27D61F96"/>
    <w:rsid w:val="27DF9788"/>
    <w:rsid w:val="29334545"/>
    <w:rsid w:val="29FD282F"/>
    <w:rsid w:val="2A005E7B"/>
    <w:rsid w:val="2A282C76"/>
    <w:rsid w:val="2BFC07F2"/>
    <w:rsid w:val="2C324A12"/>
    <w:rsid w:val="2CAB6572"/>
    <w:rsid w:val="2D746964"/>
    <w:rsid w:val="2E2E745B"/>
    <w:rsid w:val="2E7679CB"/>
    <w:rsid w:val="2F61667B"/>
    <w:rsid w:val="2FBD4BDA"/>
    <w:rsid w:val="30024976"/>
    <w:rsid w:val="301B3A0F"/>
    <w:rsid w:val="302535DF"/>
    <w:rsid w:val="30967C9C"/>
    <w:rsid w:val="30AE4883"/>
    <w:rsid w:val="312B4CBC"/>
    <w:rsid w:val="316B62D0"/>
    <w:rsid w:val="34012BCE"/>
    <w:rsid w:val="341449FD"/>
    <w:rsid w:val="34680F54"/>
    <w:rsid w:val="347352B7"/>
    <w:rsid w:val="356FC6C0"/>
    <w:rsid w:val="35D11499"/>
    <w:rsid w:val="35EA13E5"/>
    <w:rsid w:val="366E326C"/>
    <w:rsid w:val="36E27742"/>
    <w:rsid w:val="37216138"/>
    <w:rsid w:val="37282D41"/>
    <w:rsid w:val="373F65F1"/>
    <w:rsid w:val="377E4FAF"/>
    <w:rsid w:val="37E34E12"/>
    <w:rsid w:val="37FFC500"/>
    <w:rsid w:val="384D672F"/>
    <w:rsid w:val="386B3C18"/>
    <w:rsid w:val="38EF3C8A"/>
    <w:rsid w:val="39280BF5"/>
    <w:rsid w:val="39A6259B"/>
    <w:rsid w:val="3A414072"/>
    <w:rsid w:val="3A6C1B58"/>
    <w:rsid w:val="3A6D130B"/>
    <w:rsid w:val="3AD62A0C"/>
    <w:rsid w:val="3AEF7F72"/>
    <w:rsid w:val="3B050B60"/>
    <w:rsid w:val="3C850284"/>
    <w:rsid w:val="3CA27965"/>
    <w:rsid w:val="3D232155"/>
    <w:rsid w:val="3DC56D68"/>
    <w:rsid w:val="3DCAEFE0"/>
    <w:rsid w:val="3E76A54F"/>
    <w:rsid w:val="3EFF982E"/>
    <w:rsid w:val="3F373C95"/>
    <w:rsid w:val="3F6A7BC7"/>
    <w:rsid w:val="3F74AC26"/>
    <w:rsid w:val="409D2A35"/>
    <w:rsid w:val="42511C4D"/>
    <w:rsid w:val="4335673E"/>
    <w:rsid w:val="44760DBC"/>
    <w:rsid w:val="44953E16"/>
    <w:rsid w:val="458A2D71"/>
    <w:rsid w:val="45971E73"/>
    <w:rsid w:val="464F5D68"/>
    <w:rsid w:val="468B10D8"/>
    <w:rsid w:val="46A86EE9"/>
    <w:rsid w:val="46B04F83"/>
    <w:rsid w:val="46DD605D"/>
    <w:rsid w:val="47451645"/>
    <w:rsid w:val="47FE15B1"/>
    <w:rsid w:val="47FFA688"/>
    <w:rsid w:val="4887363D"/>
    <w:rsid w:val="48A50743"/>
    <w:rsid w:val="49155047"/>
    <w:rsid w:val="49836455"/>
    <w:rsid w:val="49DC7913"/>
    <w:rsid w:val="4A2A2D74"/>
    <w:rsid w:val="4A527BD5"/>
    <w:rsid w:val="4A7F0A56"/>
    <w:rsid w:val="4AC64CA6"/>
    <w:rsid w:val="4B582862"/>
    <w:rsid w:val="4B736055"/>
    <w:rsid w:val="4C5D160E"/>
    <w:rsid w:val="4CA9091A"/>
    <w:rsid w:val="4CC028FF"/>
    <w:rsid w:val="4CDC1834"/>
    <w:rsid w:val="4D1E0115"/>
    <w:rsid w:val="4D257B59"/>
    <w:rsid w:val="4D297313"/>
    <w:rsid w:val="4DF47921"/>
    <w:rsid w:val="4E01203E"/>
    <w:rsid w:val="4E7B76FB"/>
    <w:rsid w:val="4E843E1F"/>
    <w:rsid w:val="4F2B50BA"/>
    <w:rsid w:val="4F358C76"/>
    <w:rsid w:val="4F716D4F"/>
    <w:rsid w:val="4F7B17E1"/>
    <w:rsid w:val="510501AA"/>
    <w:rsid w:val="5107796B"/>
    <w:rsid w:val="51E02979"/>
    <w:rsid w:val="525C7843"/>
    <w:rsid w:val="5285323E"/>
    <w:rsid w:val="52EB0BC7"/>
    <w:rsid w:val="53476745"/>
    <w:rsid w:val="541D3002"/>
    <w:rsid w:val="54E90592"/>
    <w:rsid w:val="5665874F"/>
    <w:rsid w:val="56B45E9F"/>
    <w:rsid w:val="579A60AA"/>
    <w:rsid w:val="579F6A64"/>
    <w:rsid w:val="579F6BBB"/>
    <w:rsid w:val="57E79BED"/>
    <w:rsid w:val="58B57CAD"/>
    <w:rsid w:val="58D17048"/>
    <w:rsid w:val="595F1DC0"/>
    <w:rsid w:val="5A1E534A"/>
    <w:rsid w:val="5A577137"/>
    <w:rsid w:val="5A673229"/>
    <w:rsid w:val="5B3A53A5"/>
    <w:rsid w:val="5BAE3AD8"/>
    <w:rsid w:val="5BAF4E87"/>
    <w:rsid w:val="5C0738EE"/>
    <w:rsid w:val="5D8616AC"/>
    <w:rsid w:val="5E4F5D42"/>
    <w:rsid w:val="5E937324"/>
    <w:rsid w:val="5ECB647C"/>
    <w:rsid w:val="5EDFF83B"/>
    <w:rsid w:val="5F2E2567"/>
    <w:rsid w:val="5F54209A"/>
    <w:rsid w:val="5F785962"/>
    <w:rsid w:val="5F910757"/>
    <w:rsid w:val="5FCDC6BA"/>
    <w:rsid w:val="5FFCEFB8"/>
    <w:rsid w:val="60EA0710"/>
    <w:rsid w:val="60EE1BA5"/>
    <w:rsid w:val="61720E31"/>
    <w:rsid w:val="61BF394A"/>
    <w:rsid w:val="62075E3A"/>
    <w:rsid w:val="620852F1"/>
    <w:rsid w:val="626F35C2"/>
    <w:rsid w:val="629D5E7E"/>
    <w:rsid w:val="62BB05B6"/>
    <w:rsid w:val="63770981"/>
    <w:rsid w:val="63B82D47"/>
    <w:rsid w:val="644A1BF1"/>
    <w:rsid w:val="64B46C2D"/>
    <w:rsid w:val="64C56C22"/>
    <w:rsid w:val="65E76735"/>
    <w:rsid w:val="662F5543"/>
    <w:rsid w:val="66D02156"/>
    <w:rsid w:val="67695728"/>
    <w:rsid w:val="68170135"/>
    <w:rsid w:val="6842639B"/>
    <w:rsid w:val="684727D9"/>
    <w:rsid w:val="68684D3C"/>
    <w:rsid w:val="69286279"/>
    <w:rsid w:val="6974326C"/>
    <w:rsid w:val="69CD5F85"/>
    <w:rsid w:val="6A897D1D"/>
    <w:rsid w:val="6AAC0F51"/>
    <w:rsid w:val="6AD22940"/>
    <w:rsid w:val="6B5E2426"/>
    <w:rsid w:val="6B632901"/>
    <w:rsid w:val="6B9F6CC6"/>
    <w:rsid w:val="6C4F1887"/>
    <w:rsid w:val="6CB73B9C"/>
    <w:rsid w:val="6DCC3677"/>
    <w:rsid w:val="6DD15131"/>
    <w:rsid w:val="6EDEF058"/>
    <w:rsid w:val="6F082DD5"/>
    <w:rsid w:val="6F3B8F42"/>
    <w:rsid w:val="6F6072BC"/>
    <w:rsid w:val="6FCF38F2"/>
    <w:rsid w:val="6FFCA9E3"/>
    <w:rsid w:val="6FFF1AD5"/>
    <w:rsid w:val="704E3A6D"/>
    <w:rsid w:val="709F5073"/>
    <w:rsid w:val="70D016D0"/>
    <w:rsid w:val="71C56D5B"/>
    <w:rsid w:val="71D9708F"/>
    <w:rsid w:val="725D6F93"/>
    <w:rsid w:val="729B5D0E"/>
    <w:rsid w:val="72ED47BB"/>
    <w:rsid w:val="73CD1BB5"/>
    <w:rsid w:val="73DE2F43"/>
    <w:rsid w:val="73FF5B17"/>
    <w:rsid w:val="746D7236"/>
    <w:rsid w:val="755212F7"/>
    <w:rsid w:val="75D7685B"/>
    <w:rsid w:val="775070C7"/>
    <w:rsid w:val="77CB0E43"/>
    <w:rsid w:val="77D25D2E"/>
    <w:rsid w:val="77D77C14"/>
    <w:rsid w:val="793E8C4E"/>
    <w:rsid w:val="79A33E26"/>
    <w:rsid w:val="79A85B67"/>
    <w:rsid w:val="79DF824E"/>
    <w:rsid w:val="7A0D5743"/>
    <w:rsid w:val="7A3F0093"/>
    <w:rsid w:val="7A6111A1"/>
    <w:rsid w:val="7AAB765C"/>
    <w:rsid w:val="7B203C3A"/>
    <w:rsid w:val="7B3A4316"/>
    <w:rsid w:val="7B551150"/>
    <w:rsid w:val="7B9B28DB"/>
    <w:rsid w:val="7BDFAF56"/>
    <w:rsid w:val="7C7BB41F"/>
    <w:rsid w:val="7C7F0D7F"/>
    <w:rsid w:val="7C857813"/>
    <w:rsid w:val="7DB55ED6"/>
    <w:rsid w:val="7DEBC34B"/>
    <w:rsid w:val="7DEF224A"/>
    <w:rsid w:val="7DF11F4F"/>
    <w:rsid w:val="7E631DD5"/>
    <w:rsid w:val="7E704F9D"/>
    <w:rsid w:val="7E8A1837"/>
    <w:rsid w:val="7EF2D1C0"/>
    <w:rsid w:val="7FC7AF81"/>
    <w:rsid w:val="7FD57484"/>
    <w:rsid w:val="7FDA60C7"/>
    <w:rsid w:val="7FFD075F"/>
    <w:rsid w:val="7FFD7DA3"/>
    <w:rsid w:val="7FFFE7F5"/>
    <w:rsid w:val="89D6E5C6"/>
    <w:rsid w:val="93EF7666"/>
    <w:rsid w:val="9EFF2AD8"/>
    <w:rsid w:val="9F5EEDD7"/>
    <w:rsid w:val="9F982835"/>
    <w:rsid w:val="A15F925C"/>
    <w:rsid w:val="AADFC3CA"/>
    <w:rsid w:val="AD368CAC"/>
    <w:rsid w:val="B3F71D8E"/>
    <w:rsid w:val="B5F97017"/>
    <w:rsid w:val="BCE5D711"/>
    <w:rsid w:val="BDE8CF72"/>
    <w:rsid w:val="BF6FF0E2"/>
    <w:rsid w:val="BFDF4A79"/>
    <w:rsid w:val="BFDF5EA4"/>
    <w:rsid w:val="BFFB2F33"/>
    <w:rsid w:val="C0EF9DD5"/>
    <w:rsid w:val="D8E976E0"/>
    <w:rsid w:val="DBBDCE6C"/>
    <w:rsid w:val="DCFE29F3"/>
    <w:rsid w:val="DDFFD463"/>
    <w:rsid w:val="DEBFE835"/>
    <w:rsid w:val="DFF1E59B"/>
    <w:rsid w:val="E82E1B7C"/>
    <w:rsid w:val="E9BF799C"/>
    <w:rsid w:val="EBFDCC67"/>
    <w:rsid w:val="EEFFAFA4"/>
    <w:rsid w:val="EF6F1D9B"/>
    <w:rsid w:val="F3E61AB8"/>
    <w:rsid w:val="F3FD20A0"/>
    <w:rsid w:val="F5FF1662"/>
    <w:rsid w:val="F77E86FC"/>
    <w:rsid w:val="F9EB0579"/>
    <w:rsid w:val="FB3EF83F"/>
    <w:rsid w:val="FB6FEFCC"/>
    <w:rsid w:val="FBBB7DAD"/>
    <w:rsid w:val="FBEF04DB"/>
    <w:rsid w:val="FCE05004"/>
    <w:rsid w:val="FDBE53DD"/>
    <w:rsid w:val="FEDD88BD"/>
    <w:rsid w:val="FEFFD89C"/>
    <w:rsid w:val="FFD79BB9"/>
    <w:rsid w:val="FFD81BE4"/>
    <w:rsid w:val="FFD9E7F6"/>
    <w:rsid w:val="FFF58497"/>
    <w:rsid w:val="FFFE64E4"/>
    <w:rsid w:val="FFFF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3">
    <w:name w:val="Body Text"/>
    <w:basedOn w:val="1"/>
    <w:qFormat/>
    <w:uiPriority w:val="0"/>
    <w:pPr>
      <w:spacing w:after="120"/>
    </w:pPr>
  </w:style>
  <w:style w:type="paragraph" w:styleId="4">
    <w:name w:val="Body Text Indent"/>
    <w:basedOn w:val="1"/>
    <w:next w:val="5"/>
    <w:qFormat/>
    <w:uiPriority w:val="0"/>
    <w:pPr>
      <w:ind w:firstLine="600" w:firstLineChars="200"/>
    </w:pPr>
    <w:rPr>
      <w:rFonts w:ascii="仿宋_GB2312" w:hAnsi="宋体" w:eastAsia="仿宋_GB2312" w:cs="Arial"/>
      <w:bCs/>
      <w:sz w:val="30"/>
      <w:szCs w:val="28"/>
    </w:r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rFonts w:ascii="Calibri" w:hAnsi="Calibri"/>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215</Words>
  <Characters>230</Characters>
  <Lines>0</Lines>
  <Paragraphs>0</Paragraphs>
  <TotalTime>2</TotalTime>
  <ScaleCrop>false</ScaleCrop>
  <LinksUpToDate>false</LinksUpToDate>
  <CharactersWithSpaces>230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2021-03-27T22:57:00Z</dcterms:created>
  <dc:creator>微语</dc:creator>
  <cp:lastModifiedBy>Administrator</cp:lastModifiedBy>
  <cp:lastPrinted>2022-11-21T03:48:00Z</cp:lastPrinted>
  <dcterms:modified xsi:type="dcterms:W3CDTF">2023-12-07T08:59:38Z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788D04B18653410EB041EE40B7E537D3_13</vt:lpwstr>
  </property>
</Properties>
</file>