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both"/>
        <w:rPr>
          <w:rFonts w:hAnsi="黑体"/>
          <w:sz w:val="36"/>
          <w:szCs w:val="36"/>
        </w:rPr>
      </w:pPr>
    </w:p>
    <w:p>
      <w:pPr>
        <w:pStyle w:val="15"/>
        <w:jc w:val="center"/>
        <w:rPr>
          <w:rFonts w:ascii="Times New Roman" w:hAnsi="Times New Roman" w:cs="Times New Roman"/>
          <w:sz w:val="56"/>
          <w:szCs w:val="56"/>
        </w:rPr>
      </w:pPr>
    </w:p>
    <w:p>
      <w:pPr>
        <w:pStyle w:val="15"/>
        <w:jc w:val="center"/>
        <w:rPr>
          <w:rFonts w:ascii="Times New Roman" w:hAnsi="Times New Roman" w:cs="Times New Roman"/>
          <w:sz w:val="84"/>
          <w:szCs w:val="84"/>
        </w:rPr>
      </w:pPr>
    </w:p>
    <w:p>
      <w:pPr>
        <w:pStyle w:val="15"/>
        <w:jc w:val="center"/>
        <w:rPr>
          <w:rFonts w:ascii="Times New Roman" w:hAnsi="Times New Roman" w:cs="Times New Roman"/>
          <w:sz w:val="84"/>
          <w:szCs w:val="84"/>
        </w:rPr>
      </w:pPr>
    </w:p>
    <w:p>
      <w:pPr>
        <w:pStyle w:val="15"/>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2024年度</w:t>
      </w:r>
    </w:p>
    <w:p>
      <w:pPr>
        <w:pStyle w:val="15"/>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蓝山县退役军人事务局</w:t>
      </w:r>
      <w:r>
        <w:rPr>
          <w:rFonts w:ascii="Times New Roman" w:hAnsi="Times New Roman" w:eastAsia="方正小标宋简体" w:cs="Times New Roman"/>
          <w:sz w:val="44"/>
          <w:szCs w:val="44"/>
        </w:rPr>
        <w:t>部门决算</w:t>
      </w:r>
    </w:p>
    <w:p>
      <w:pPr>
        <w:pStyle w:val="15"/>
        <w:jc w:val="center"/>
        <w:rPr>
          <w:rFonts w:ascii="Times New Roman" w:hAnsi="Times New Roman" w:eastAsia="方正小标宋_GBK" w:cs="Times New Roman"/>
          <w:sz w:val="56"/>
          <w:szCs w:val="56"/>
        </w:rPr>
      </w:pPr>
    </w:p>
    <w:p>
      <w:pPr>
        <w:pStyle w:val="15"/>
        <w:jc w:val="center"/>
        <w:rPr>
          <w:rFonts w:ascii="Times New Roman" w:hAnsi="Times New Roman" w:cs="Times New Roman"/>
          <w:sz w:val="56"/>
          <w:szCs w:val="56"/>
        </w:rPr>
      </w:pPr>
    </w:p>
    <w:p>
      <w:pPr>
        <w:pStyle w:val="15"/>
        <w:rPr>
          <w:rFonts w:ascii="Times New Roman" w:hAnsi="Times New Roman" w:cs="Times New Roman"/>
          <w:sz w:val="56"/>
          <w:szCs w:val="56"/>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jc w:val="center"/>
        <w:rPr>
          <w:rFonts w:ascii="Times New Roman" w:hAnsi="Times New Roman" w:cs="Times New Roman"/>
          <w:sz w:val="32"/>
          <w:szCs w:val="32"/>
        </w:rPr>
      </w:pPr>
    </w:p>
    <w:p>
      <w:pPr>
        <w:pStyle w:val="15"/>
        <w:spacing w:line="540" w:lineRule="exact"/>
        <w:jc w:val="center"/>
        <w:rPr>
          <w:rFonts w:ascii="Times New Roman" w:hAnsi="Times New Roman" w:cs="Times New Roman"/>
          <w:sz w:val="56"/>
          <w:szCs w:val="56"/>
        </w:rPr>
      </w:pPr>
    </w:p>
    <w:p>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pPr>
        <w:pStyle w:val="15"/>
        <w:spacing w:line="600" w:lineRule="exact"/>
        <w:jc w:val="both"/>
        <w:rPr>
          <w:rFonts w:ascii="Times New Roman" w:hAnsi="Times New Roman" w:cs="Times New Roman"/>
          <w:b/>
          <w:sz w:val="36"/>
          <w:szCs w:val="28"/>
        </w:rPr>
      </w:pPr>
    </w:p>
    <w:p>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pPr>
        <w:pStyle w:val="15"/>
        <w:spacing w:line="600" w:lineRule="exact"/>
        <w:jc w:val="center"/>
        <w:rPr>
          <w:rFonts w:ascii="Times New Roman" w:hAnsi="Times New Roman" w:cs="Times New Roman"/>
          <w:b/>
          <w:sz w:val="36"/>
          <w:szCs w:val="28"/>
        </w:rPr>
      </w:pPr>
    </w:p>
    <w:p>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蓝山县退役军人事务局</w:t>
      </w:r>
      <w:r>
        <w:rPr>
          <w:rFonts w:ascii="Times New Roman" w:hAnsi="Times New Roman" w:cs="Times New Roman"/>
          <w:bCs/>
          <w:sz w:val="32"/>
          <w:szCs w:val="32"/>
        </w:rPr>
        <w:t>概况</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pPr>
        <w:pStyle w:val="15"/>
        <w:spacing w:line="600" w:lineRule="exact"/>
        <w:rPr>
          <w:rFonts w:ascii="Times New Roman" w:hAnsi="Times New Roman" w:cs="Times New Roman"/>
          <w:bCs/>
          <w:sz w:val="28"/>
          <w:szCs w:val="28"/>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jc w:val="center"/>
        <w:rPr>
          <w:rFonts w:ascii="Times New Roman" w:hAnsi="Times New Roman" w:cs="Times New Roman"/>
          <w:sz w:val="72"/>
          <w:szCs w:val="72"/>
        </w:rPr>
      </w:pPr>
    </w:p>
    <w:p>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pP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第一部分</w:t>
      </w:r>
    </w:p>
    <w:p>
      <w:pPr>
        <w:pStyle w:val="15"/>
        <w:spacing w:line="360" w:lineRule="auto"/>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蓝山县退役军人事务局部门</w:t>
      </w:r>
      <w:r>
        <w:rPr>
          <w:rFonts w:ascii="Times New Roman" w:hAnsi="Times New Roman" w:eastAsia="方正小标宋_GBK" w:cs="Times New Roman"/>
          <w:sz w:val="44"/>
          <w:szCs w:val="44"/>
        </w:rPr>
        <w:t>概况</w:t>
      </w:r>
    </w:p>
    <w:p>
      <w:pPr>
        <w:pStyle w:val="5"/>
        <w:ind w:left="0" w:leftChars="0" w:firstLine="0" w:firstLineChars="0"/>
        <w:rPr>
          <w:rFonts w:ascii="Times New Roman" w:hAnsi="Times New Roman" w:cs="Times New Roman"/>
        </w:rPr>
      </w:pPr>
    </w:p>
    <w:p>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一）</w:t>
      </w:r>
      <w:r>
        <w:rPr>
          <w:rFonts w:hint="default" w:ascii="Times New Roman" w:hAnsi="Times New Roman" w:eastAsia="仿宋_GB2312" w:cs="Times New Roman"/>
          <w:spacing w:val="0"/>
          <w:kern w:val="0"/>
          <w:sz w:val="32"/>
          <w:szCs w:val="32"/>
        </w:rPr>
        <w:t>贯彻执行党和国家关于退役军人思想政治、管理保障和安置优抚等工作政策法规，组织实施本省制定的相关地方性法规、规章，拟定全县退役军人事务发展规划和政策措施，并组织实施；褒扬彰显退役军人为党、国家和人民牺牲奉献的精神风范和价值导向。</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二）</w:t>
      </w:r>
      <w:r>
        <w:rPr>
          <w:rFonts w:hint="default" w:ascii="Times New Roman" w:hAnsi="Times New Roman" w:eastAsia="仿宋_GB2312" w:cs="Times New Roman"/>
          <w:spacing w:val="0"/>
          <w:kern w:val="0"/>
          <w:sz w:val="32"/>
          <w:szCs w:val="32"/>
        </w:rPr>
        <w:t>负责全县军队转业干部、复员干部、离休退休干部、退役士兵和无军籍退休退职职工的移交安置工作和自主择业、就业退役军人服务管理工作。</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三）</w:t>
      </w:r>
      <w:r>
        <w:rPr>
          <w:rFonts w:hint="default" w:ascii="Times New Roman" w:hAnsi="Times New Roman" w:eastAsia="仿宋_GB2312" w:cs="Times New Roman"/>
          <w:spacing w:val="0"/>
          <w:kern w:val="0"/>
          <w:sz w:val="32"/>
          <w:szCs w:val="32"/>
        </w:rPr>
        <w:t>组织指导全县退役军人教育培训工作，协调扶持退役军人和随军随调家属就业创业。</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四）</w:t>
      </w:r>
      <w:r>
        <w:rPr>
          <w:rFonts w:hint="default" w:ascii="Times New Roman" w:hAnsi="Times New Roman" w:eastAsia="仿宋_GB2312" w:cs="Times New Roman"/>
          <w:spacing w:val="0"/>
          <w:kern w:val="0"/>
          <w:sz w:val="32"/>
          <w:szCs w:val="32"/>
        </w:rPr>
        <w:t>贯彻落实国家关于退役军人的特殊保障政策，组织实施省退役军人事务厅会同有关部门制定的相关政策。</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五）</w:t>
      </w:r>
      <w:r>
        <w:rPr>
          <w:rFonts w:hint="default" w:ascii="Times New Roman" w:hAnsi="Times New Roman" w:eastAsia="仿宋_GB2312" w:cs="Times New Roman"/>
          <w:spacing w:val="0"/>
          <w:kern w:val="0"/>
          <w:sz w:val="32"/>
          <w:szCs w:val="32"/>
        </w:rPr>
        <w:t>组织、协调落实全县移交地方的离休退休军人、符合条件的其他退役军人和无军籍退休退职职工的住房保障工作，以及退役军人医疗保障、社会保险等待遇保障工作。</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六）</w:t>
      </w:r>
      <w:r>
        <w:rPr>
          <w:rFonts w:hint="default" w:ascii="Times New Roman" w:hAnsi="Times New Roman" w:eastAsia="仿宋_GB2312" w:cs="Times New Roman"/>
          <w:spacing w:val="0"/>
          <w:kern w:val="0"/>
          <w:sz w:val="32"/>
          <w:szCs w:val="32"/>
        </w:rPr>
        <w:t>组织指导全县伤病残退役军人服务管理和抚恤工作，贯彻落实退役军人医疗、疗养、养老等机构的规划政策并指导实施。承担全县不适宜继续服役的伤病残军人相关工作。组织指导全县军供服务保障工作。</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七）</w:t>
      </w:r>
      <w:r>
        <w:rPr>
          <w:rFonts w:hint="default" w:ascii="Times New Roman" w:hAnsi="Times New Roman" w:eastAsia="仿宋_GB2312" w:cs="Times New Roman"/>
          <w:spacing w:val="0"/>
          <w:kern w:val="0"/>
          <w:sz w:val="32"/>
          <w:szCs w:val="32"/>
        </w:rPr>
        <w:t>组织和指导全县拥军优属工作，承担全县现役军人、退役军人、军队文职人员和军属优待、抚恤等工作。贯彻执行国家关于国民党抗战老兵等有关人员优待政策并指导实施。</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八）</w:t>
      </w:r>
      <w:r>
        <w:rPr>
          <w:rFonts w:hint="default" w:ascii="Times New Roman" w:hAnsi="Times New Roman" w:eastAsia="仿宋_GB2312" w:cs="Times New Roman"/>
          <w:spacing w:val="0"/>
          <w:kern w:val="0"/>
          <w:sz w:val="32"/>
          <w:szCs w:val="32"/>
        </w:rPr>
        <w:t>负责全县烈士及退役军人荣誉奖励、军人公墓管理维护、纪念活动等工作，依法承担英雄烈士保护相关工作，审核拟列入全县重点保护单位的烈士纪念建筑物名录，总结表彰和宣扬退役军人、退役军人工作单位和个人先进典型事迹。</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九）</w:t>
      </w:r>
      <w:r>
        <w:rPr>
          <w:rFonts w:hint="default" w:ascii="Times New Roman" w:hAnsi="Times New Roman" w:eastAsia="仿宋_GB2312" w:cs="Times New Roman"/>
          <w:spacing w:val="0"/>
          <w:kern w:val="0"/>
          <w:sz w:val="32"/>
          <w:szCs w:val="32"/>
        </w:rPr>
        <w:t>指导并监督检查退役军人相关法律法规和政策措施的落实，开展全县退役军人权益维护和有关人员的帮扶援助工作。</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十）</w:t>
      </w:r>
      <w:r>
        <w:rPr>
          <w:rFonts w:hint="default" w:ascii="Times New Roman" w:hAnsi="Times New Roman" w:eastAsia="仿宋_GB2312" w:cs="Times New Roman"/>
          <w:spacing w:val="0"/>
          <w:kern w:val="0"/>
          <w:sz w:val="32"/>
          <w:szCs w:val="32"/>
        </w:rPr>
        <w:t>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keepNext w:val="0"/>
        <w:keepLines w:val="0"/>
        <w:pageBreakBefore w:val="0"/>
        <w:widowControl/>
        <w:kinsoku/>
        <w:wordWrap/>
        <w:overflowPunct/>
        <w:topLinePunct w:val="0"/>
        <w:autoSpaceDE/>
        <w:autoSpaceDN/>
        <w:bidi w:val="0"/>
        <w:adjustRightInd/>
        <w:snapToGrid/>
        <w:spacing w:line="600" w:lineRule="exact"/>
        <w:ind w:left="0" w:leftChars="0" w:right="0" w:firstLine="640" w:firstLineChars="200"/>
        <w:jc w:val="left"/>
        <w:textAlignment w:val="auto"/>
        <w:rPr>
          <w:rFonts w:hint="default" w:ascii="Times New Roman" w:hAnsi="Times New Roman" w:eastAsia="仿宋_GB2312" w:cs="Times New Roman"/>
          <w:b/>
          <w:bCs/>
          <w:spacing w:val="0"/>
          <w:kern w:val="0"/>
          <w:sz w:val="32"/>
          <w:szCs w:val="32"/>
        </w:rPr>
      </w:pPr>
      <w:r>
        <w:rPr>
          <w:rFonts w:hint="default" w:ascii="Times New Roman" w:hAnsi="Times New Roman" w:eastAsia="仿宋_GB2312" w:cs="Times New Roman"/>
          <w:spacing w:val="0"/>
          <w:kern w:val="0"/>
          <w:sz w:val="32"/>
          <w:szCs w:val="32"/>
          <w:lang w:eastAsia="zh-CN"/>
        </w:rPr>
        <w:t>（</w:t>
      </w:r>
      <w:r>
        <w:rPr>
          <w:rFonts w:hint="default" w:ascii="Times New Roman" w:hAnsi="Times New Roman" w:eastAsia="仿宋_GB2312" w:cs="Times New Roman"/>
          <w:spacing w:val="0"/>
          <w:kern w:val="0"/>
          <w:sz w:val="32"/>
          <w:szCs w:val="32"/>
          <w:lang w:val="en-US" w:eastAsia="zh-CN"/>
        </w:rPr>
        <w:t>十一）</w:t>
      </w:r>
      <w:r>
        <w:rPr>
          <w:rFonts w:hint="default" w:ascii="Times New Roman" w:hAnsi="Times New Roman" w:eastAsia="仿宋_GB2312" w:cs="Times New Roman"/>
          <w:spacing w:val="0"/>
          <w:kern w:val="0"/>
          <w:sz w:val="32"/>
          <w:szCs w:val="32"/>
        </w:rPr>
        <w:t>完成县委、县政府和交办的其他任务。</w:t>
      </w:r>
    </w:p>
    <w:p>
      <w:pPr>
        <w:spacing w:line="600" w:lineRule="exact"/>
        <w:ind w:firstLine="800" w:firstLineChars="250"/>
        <w:jc w:val="left"/>
        <w:rPr>
          <w:rFonts w:ascii="Times New Roman" w:hAnsi="Times New Roman" w:eastAsia="仿宋_GB2312" w:cs="Times New Roman"/>
          <w:sz w:val="32"/>
          <w:szCs w:val="32"/>
        </w:rPr>
      </w:pPr>
    </w:p>
    <w:p>
      <w:pPr>
        <w:spacing w:line="600" w:lineRule="exact"/>
        <w:ind w:firstLine="800" w:firstLineChars="250"/>
        <w:jc w:val="left"/>
        <w:rPr>
          <w:rFonts w:ascii="Times New Roman" w:hAnsi="Times New Roman" w:eastAsia="仿宋_GB2312" w:cs="Times New Roman"/>
          <w:sz w:val="32"/>
          <w:szCs w:val="32"/>
        </w:rPr>
      </w:pPr>
    </w:p>
    <w:p>
      <w:pPr>
        <w:spacing w:line="600" w:lineRule="exact"/>
        <w:jc w:val="left"/>
        <w:rPr>
          <w:rFonts w:ascii="Times New Roman" w:hAnsi="Times New Roman" w:eastAsia="仿宋_GB2312" w:cs="Times New Roman"/>
          <w:sz w:val="32"/>
          <w:szCs w:val="32"/>
        </w:rPr>
      </w:pPr>
    </w:p>
    <w:p>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pPr>
        <w:keepNext w:val="0"/>
        <w:keepLines w:val="0"/>
        <w:pageBreakBefore w:val="0"/>
        <w:kinsoku/>
        <w:wordWrap/>
        <w:overflowPunct/>
        <w:topLinePunct w:val="0"/>
        <w:autoSpaceDE/>
        <w:autoSpaceDN/>
        <w:bidi w:val="0"/>
        <w:adjustRightInd/>
        <w:snapToGrid/>
        <w:spacing w:line="600" w:lineRule="atLeast"/>
        <w:ind w:left="0" w:leftChars="0" w:right="0" w:firstLine="643" w:firstLineChars="200"/>
        <w:jc w:val="both"/>
        <w:textAlignment w:val="auto"/>
        <w:rPr>
          <w:rFonts w:hint="default" w:ascii="Times New Roman" w:hAnsi="Times New Roman" w:eastAsia="仿宋_GB2312" w:cs="Times New Roman"/>
          <w:bCs/>
          <w:spacing w:val="0"/>
          <w:kern w:val="0"/>
          <w:sz w:val="32"/>
          <w:szCs w:val="32"/>
          <w:lang w:eastAsia="zh-CN"/>
        </w:rPr>
      </w:pPr>
      <w:r>
        <w:rPr>
          <w:rFonts w:hint="eastAsia" w:ascii="楷体_GB2312" w:hAnsi="宋体" w:eastAsia="楷体_GB2312"/>
          <w:b/>
          <w:bCs/>
          <w:spacing w:val="0"/>
          <w:kern w:val="0"/>
          <w:sz w:val="32"/>
          <w:szCs w:val="32"/>
        </w:rPr>
        <w:t>（一）内设机构设置。</w:t>
      </w:r>
      <w:r>
        <w:rPr>
          <w:rFonts w:hint="default" w:ascii="Times New Roman" w:hAnsi="Times New Roman" w:eastAsia="仿宋_GB2312" w:cs="Times New Roman"/>
          <w:spacing w:val="0"/>
          <w:sz w:val="32"/>
          <w:szCs w:val="32"/>
          <w:lang w:eastAsia="zh-CN"/>
        </w:rPr>
        <w:t>蓝山</w:t>
      </w:r>
      <w:r>
        <w:rPr>
          <w:rFonts w:hint="default" w:ascii="Times New Roman" w:hAnsi="Times New Roman" w:eastAsia="仿宋_GB2312" w:cs="Times New Roman"/>
          <w:spacing w:val="0"/>
          <w:sz w:val="32"/>
          <w:szCs w:val="32"/>
        </w:rPr>
        <w:t>县退役军人事务局</w:t>
      </w:r>
      <w:r>
        <w:rPr>
          <w:rFonts w:hint="default" w:ascii="Times New Roman" w:hAnsi="Times New Roman" w:eastAsia="仿宋_GB2312" w:cs="Times New Roman"/>
          <w:spacing w:val="0"/>
          <w:sz w:val="32"/>
          <w:szCs w:val="32"/>
          <w:lang w:val="en-US" w:eastAsia="zh-CN"/>
        </w:rPr>
        <w:t>单位</w:t>
      </w:r>
      <w:r>
        <w:rPr>
          <w:rFonts w:hint="default" w:ascii="Times New Roman" w:hAnsi="Times New Roman" w:eastAsia="仿宋_GB2312" w:cs="Times New Roman"/>
          <w:spacing w:val="0"/>
          <w:sz w:val="32"/>
          <w:szCs w:val="32"/>
        </w:rPr>
        <w:t>内设机构</w:t>
      </w:r>
      <w:r>
        <w:rPr>
          <w:rFonts w:hint="default" w:ascii="Times New Roman" w:hAnsi="Times New Roman" w:eastAsia="仿宋_GB2312" w:cs="Times New Roman"/>
          <w:spacing w:val="0"/>
          <w:sz w:val="32"/>
          <w:szCs w:val="32"/>
          <w:lang w:val="en-US" w:eastAsia="zh-CN"/>
        </w:rPr>
        <w:t>包括7</w:t>
      </w:r>
      <w:r>
        <w:rPr>
          <w:rFonts w:hint="default" w:ascii="Times New Roman" w:hAnsi="Times New Roman" w:eastAsia="仿宋_GB2312" w:cs="Times New Roman"/>
          <w:spacing w:val="0"/>
          <w:sz w:val="32"/>
          <w:szCs w:val="32"/>
        </w:rPr>
        <w:t>个，即办公室、规划财务股、思想政治和权益维护股、安置和就业创业股、军休服务股、拥军优抚股</w:t>
      </w:r>
      <w:r>
        <w:rPr>
          <w:rFonts w:hint="default" w:ascii="Times New Roman" w:hAnsi="Times New Roman" w:eastAsia="仿宋_GB2312" w:cs="Times New Roman"/>
          <w:spacing w:val="0"/>
          <w:sz w:val="32"/>
          <w:szCs w:val="32"/>
          <w:lang w:eastAsia="zh-CN"/>
        </w:rPr>
        <w:t>、烈士陵园设施管理所。</w:t>
      </w:r>
    </w:p>
    <w:p>
      <w:pPr>
        <w:keepNext w:val="0"/>
        <w:keepLines w:val="0"/>
        <w:pageBreakBefore w:val="0"/>
        <w:kinsoku/>
        <w:wordWrap/>
        <w:overflowPunct/>
        <w:topLinePunct w:val="0"/>
        <w:autoSpaceDE/>
        <w:autoSpaceDN/>
        <w:bidi w:val="0"/>
        <w:adjustRightInd/>
        <w:snapToGrid/>
        <w:spacing w:line="600" w:lineRule="atLeast"/>
        <w:ind w:left="0" w:leftChars="0" w:right="0" w:firstLine="643" w:firstLineChars="200"/>
        <w:jc w:val="both"/>
        <w:textAlignment w:val="auto"/>
        <w:rPr>
          <w:rFonts w:hint="default" w:ascii="Times New Roman" w:hAnsi="Times New Roman" w:eastAsia="仿宋_GB2312" w:cs="Times New Roman"/>
          <w:bCs/>
          <w:spacing w:val="0"/>
          <w:kern w:val="0"/>
          <w:sz w:val="32"/>
          <w:szCs w:val="32"/>
        </w:rPr>
      </w:pPr>
      <w:r>
        <w:rPr>
          <w:rFonts w:hint="eastAsia" w:ascii="楷体_GB2312" w:hAnsi="宋体" w:eastAsia="楷体_GB2312"/>
          <w:b/>
          <w:bCs/>
          <w:spacing w:val="0"/>
          <w:kern w:val="0"/>
          <w:sz w:val="32"/>
          <w:szCs w:val="32"/>
        </w:rPr>
        <w:t>（二）决算单位构成。</w:t>
      </w:r>
      <w:r>
        <w:rPr>
          <w:rFonts w:hint="default" w:ascii="Times New Roman" w:hAnsi="Times New Roman" w:eastAsia="仿宋_GB2312" w:cs="Times New Roman"/>
          <w:spacing w:val="0"/>
          <w:sz w:val="32"/>
          <w:szCs w:val="32"/>
          <w:lang w:eastAsia="zh-CN"/>
        </w:rPr>
        <w:t>蓝山</w:t>
      </w:r>
      <w:r>
        <w:rPr>
          <w:rFonts w:hint="default" w:ascii="Times New Roman" w:hAnsi="Times New Roman" w:eastAsia="仿宋_GB2312" w:cs="Times New Roman"/>
          <w:spacing w:val="0"/>
          <w:sz w:val="32"/>
          <w:szCs w:val="32"/>
        </w:rPr>
        <w:t>县退役军人事务局</w:t>
      </w:r>
      <w:r>
        <w:rPr>
          <w:rFonts w:hint="default" w:ascii="Times New Roman" w:hAnsi="Times New Roman" w:eastAsia="仿宋_GB2312" w:cs="Times New Roman"/>
          <w:bCs/>
          <w:spacing w:val="0"/>
          <w:kern w:val="0"/>
          <w:sz w:val="32"/>
          <w:szCs w:val="32"/>
        </w:rPr>
        <w:t>单位202</w:t>
      </w:r>
      <w:r>
        <w:rPr>
          <w:rFonts w:hint="eastAsia" w:ascii="Times New Roman" w:hAnsi="Times New Roman" w:eastAsia="仿宋_GB2312" w:cs="Times New Roman"/>
          <w:bCs/>
          <w:spacing w:val="0"/>
          <w:kern w:val="0"/>
          <w:sz w:val="32"/>
          <w:szCs w:val="32"/>
          <w:lang w:val="en-US" w:eastAsia="zh-CN"/>
        </w:rPr>
        <w:t>4</w:t>
      </w:r>
      <w:r>
        <w:rPr>
          <w:rFonts w:hint="default" w:ascii="Times New Roman" w:hAnsi="Times New Roman" w:eastAsia="仿宋_GB2312" w:cs="Times New Roman"/>
          <w:bCs/>
          <w:spacing w:val="0"/>
          <w:kern w:val="0"/>
          <w:sz w:val="32"/>
          <w:szCs w:val="32"/>
        </w:rPr>
        <w:t>年部门决算汇总公开单位构成包括：</w:t>
      </w:r>
      <w:r>
        <w:rPr>
          <w:rFonts w:hint="default" w:ascii="Times New Roman" w:hAnsi="Times New Roman" w:eastAsia="仿宋_GB2312" w:cs="Times New Roman"/>
          <w:spacing w:val="0"/>
          <w:kern w:val="36"/>
          <w:sz w:val="32"/>
          <w:szCs w:val="32"/>
        </w:rPr>
        <w:t>蓝山县退役军人事务局</w:t>
      </w:r>
      <w:r>
        <w:rPr>
          <w:rFonts w:hint="eastAsia" w:eastAsia="仿宋_GB2312" w:cs="Times New Roman"/>
          <w:spacing w:val="0"/>
          <w:kern w:val="36"/>
          <w:sz w:val="32"/>
          <w:szCs w:val="32"/>
          <w:lang w:val="en-US" w:eastAsia="zh-CN"/>
        </w:rPr>
        <w:t>单位</w:t>
      </w:r>
      <w:r>
        <w:rPr>
          <w:rFonts w:hint="default" w:ascii="Times New Roman" w:hAnsi="Times New Roman" w:eastAsia="仿宋_GB2312" w:cs="Times New Roman"/>
          <w:bCs/>
          <w:spacing w:val="0"/>
          <w:kern w:val="0"/>
          <w:sz w:val="32"/>
          <w:szCs w:val="32"/>
        </w:rPr>
        <w:t>本级。</w:t>
      </w:r>
    </w:p>
    <w:p>
      <w:pPr>
        <w:jc w:val="left"/>
        <w:rPr>
          <w:rFonts w:ascii="Times New Roman" w:hAnsi="Times New Roman" w:eastAsia="仿宋_GB2312" w:cs="Times New Roman"/>
          <w:sz w:val="28"/>
          <w:szCs w:val="32"/>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jc w:val="center"/>
        <w:rPr>
          <w:rFonts w:ascii="Times New Roman" w:hAnsi="Times New Roman" w:eastAsia="黑体" w:cs="Times New Roman"/>
          <w:sz w:val="28"/>
          <w:szCs w:val="28"/>
        </w:rPr>
      </w:pPr>
    </w:p>
    <w:p>
      <w:pPr>
        <w:pStyle w:val="9"/>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蓝山县退役军人事务局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2"/>
        <w:tblW w:w="14896" w:type="dxa"/>
        <w:jc w:val="center"/>
        <w:tblInd w:w="0" w:type="dxa"/>
        <w:tblLayout w:type="fixed"/>
        <w:tblCellMar>
          <w:top w:w="0" w:type="dxa"/>
          <w:left w:w="108" w:type="dxa"/>
          <w:bottom w:w="0" w:type="dxa"/>
          <w:right w:w="108" w:type="dxa"/>
        </w:tblCellMar>
      </w:tblPr>
      <w:tblGrid>
        <w:gridCol w:w="5762"/>
        <w:gridCol w:w="850"/>
        <w:gridCol w:w="1291"/>
        <w:gridCol w:w="4851"/>
        <w:gridCol w:w="850"/>
        <w:gridCol w:w="1292"/>
      </w:tblGrid>
      <w:tr>
        <w:tblPrEx>
          <w:tblLayout w:type="fixed"/>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4420.68</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Times New Roman" w:hAnsi="Times New Roman" w:eastAsia="仿宋_GB2312" w:cs="Times New Roman"/>
                <w:color w:val="000000"/>
                <w:sz w:val="24"/>
                <w:szCs w:val="24"/>
                <w:lang w:eastAsia="zh-CN"/>
              </w:rPr>
            </w:pPr>
            <w:r>
              <w:rPr>
                <w:rFonts w:hint="eastAsia" w:ascii="Times New Roman" w:hAnsi="Times New Roman" w:eastAsia="仿宋_GB2312" w:cs="Times New Roman"/>
                <w:color w:val="000000"/>
                <w:sz w:val="24"/>
                <w:szCs w:val="24"/>
                <w:lang w:eastAsia="zh-CN"/>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4070.64</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eastAsia="zh-CN"/>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350.04</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b/>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4420.68</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4420.68</w:t>
            </w: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4420.68</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4420.68</w:t>
            </w:r>
          </w:p>
        </w:tc>
      </w:tr>
    </w:tbl>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hint="eastAsia" w:ascii="Times New Roman" w:hAnsi="Times New Roman" w:eastAsia="仿宋_GB2312" w:cs="Times New Roman"/>
          <w:color w:val="000000"/>
          <w:sz w:val="20"/>
          <w:szCs w:val="20"/>
          <w:lang w:eastAsia="zh-CN"/>
        </w:rPr>
        <w:t>蓝山县退役军人事务局</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2"/>
        <w:tblW w:w="14666" w:type="dxa"/>
        <w:jc w:val="center"/>
        <w:tblInd w:w="0" w:type="dxa"/>
        <w:tblLayout w:type="fixed"/>
        <w:tblCellMar>
          <w:top w:w="0" w:type="dxa"/>
          <w:left w:w="0" w:type="dxa"/>
          <w:bottom w:w="0" w:type="dxa"/>
          <w:right w:w="0" w:type="dxa"/>
        </w:tblCellMar>
      </w:tblPr>
      <w:tblGrid>
        <w:gridCol w:w="1886"/>
        <w:gridCol w:w="1300"/>
        <w:gridCol w:w="1640"/>
        <w:gridCol w:w="1640"/>
        <w:gridCol w:w="1640"/>
        <w:gridCol w:w="1640"/>
        <w:gridCol w:w="1640"/>
        <w:gridCol w:w="1897"/>
        <w:gridCol w:w="1383"/>
      </w:tblGrid>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tblPrEx>
          <w:tblLayout w:type="fixed"/>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30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00" w:type="dxa"/>
            <w:vMerge w:val="continue"/>
            <w:tcBorders>
              <w:top w:val="nil"/>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4"/>
              </w:rPr>
            </w:pP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tblPrEx>
          <w:tblLayout w:type="fixed"/>
          <w:tblCellMar>
            <w:top w:w="0" w:type="dxa"/>
            <w:left w:w="0" w:type="dxa"/>
            <w:bottom w:w="0" w:type="dxa"/>
            <w:right w:w="0" w:type="dxa"/>
          </w:tblCellMar>
        </w:tblPrEx>
        <w:trPr>
          <w:trHeight w:val="450" w:hRule="atLeast"/>
          <w:jc w:val="center"/>
        </w:trPr>
        <w:tc>
          <w:tcPr>
            <w:tcW w:w="318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abs>
                <w:tab w:val="left" w:pos="232"/>
                <w:tab w:val="right" w:pos="1940"/>
              </w:tabs>
              <w:jc w:val="left"/>
              <w:rPr>
                <w:rFonts w:ascii="Times New Roman" w:hAnsi="Times New Roman" w:eastAsia="仿宋_GB2312" w:cs="Times New Roman"/>
                <w:sz w:val="24"/>
                <w:szCs w:val="24"/>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4420.68</w:t>
            </w:r>
            <w:r>
              <w:rPr>
                <w:rFonts w:hint="eastAsia" w:ascii="Times New Roman" w:hAnsi="Times New Roman" w:eastAsia="仿宋_GB2312" w:cs="Times New Roman"/>
                <w:lang w:eastAsia="zh-CN"/>
              </w:rPr>
              <w:tab/>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4420.68</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行政单位离退休</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abs>
                <w:tab w:val="left" w:pos="420"/>
                <w:tab w:val="right" w:pos="1940"/>
              </w:tabs>
              <w:jc w:val="left"/>
              <w:rPr>
                <w:rFonts w:ascii="Times New Roman" w:hAnsi="Times New Roman" w:eastAsia="仿宋_GB2312" w:cs="Times New Roman"/>
                <w:sz w:val="24"/>
                <w:szCs w:val="24"/>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0.03</w:t>
            </w:r>
            <w:r>
              <w:rPr>
                <w:rFonts w:hint="eastAsia" w:ascii="Times New Roman" w:hAnsi="Times New Roman" w:eastAsia="仿宋_GB2312" w:cs="Times New Roman"/>
                <w:lang w:eastAsia="zh-CN"/>
              </w:rPr>
              <w:tab/>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lang w:eastAsia="zh-CN"/>
              </w:rPr>
              <w:t>机关事业单位基本养老保险缴费支出</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abs>
                <w:tab w:val="left" w:pos="382"/>
                <w:tab w:val="right" w:pos="1940"/>
              </w:tabs>
              <w:jc w:val="left"/>
              <w:rPr>
                <w:rFonts w:ascii="Times New Roman" w:hAnsi="Times New Roman" w:eastAsia="仿宋_GB2312" w:cs="Times New Roman"/>
                <w:sz w:val="24"/>
                <w:szCs w:val="24"/>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26.35</w:t>
            </w:r>
            <w:r>
              <w:rPr>
                <w:rFonts w:hint="eastAsia" w:ascii="Times New Roman" w:hAnsi="Times New Roman" w:eastAsia="仿宋_GB2312" w:cs="Times New Roman"/>
                <w:lang w:eastAsia="zh-CN"/>
              </w:rPr>
              <w:tab/>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26.35</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2080599</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其他行政事业单位养老支出</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abs>
                <w:tab w:val="center" w:pos="805"/>
                <w:tab w:val="right" w:pos="1940"/>
              </w:tabs>
              <w:ind w:firstLine="420" w:firstLineChars="200"/>
              <w:jc w:val="lef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0.90</w:t>
            </w:r>
            <w:r>
              <w:rPr>
                <w:rFonts w:hint="eastAsia" w:ascii="Times New Roman" w:hAnsi="Times New Roman" w:eastAsia="仿宋_GB2312" w:cs="Times New Roman"/>
                <w:lang w:eastAsia="zh-CN"/>
              </w:rPr>
              <w:tab/>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0.90</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2080801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sz w:val="24"/>
                <w:szCs w:val="24"/>
                <w:lang w:eastAsia="zh-CN"/>
              </w:rPr>
            </w:pPr>
            <w:r>
              <w:rPr>
                <w:rFonts w:hint="eastAsia" w:ascii="Times New Roman" w:hAnsi="Times New Roman" w:eastAsia="仿宋_GB2312" w:cs="Times New Roman"/>
                <w:lang w:eastAsia="zh-CN"/>
              </w:rPr>
              <w:t>死亡抚恤</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abs>
                <w:tab w:val="left" w:pos="270"/>
                <w:tab w:val="right" w:pos="1940"/>
              </w:tabs>
              <w:jc w:val="left"/>
              <w:rPr>
                <w:rFonts w:ascii="Times New Roman" w:hAnsi="Times New Roman" w:eastAsia="仿宋_GB2312" w:cs="Times New Roman"/>
                <w:sz w:val="24"/>
                <w:szCs w:val="24"/>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143.03</w:t>
            </w:r>
            <w:r>
              <w:rPr>
                <w:rFonts w:hint="eastAsia" w:ascii="Times New Roman" w:hAnsi="Times New Roman" w:eastAsia="仿宋_GB2312" w:cs="Times New Roman"/>
                <w:lang w:eastAsia="zh-CN"/>
              </w:rPr>
              <w:tab/>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143.03</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2080802</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lang w:eastAsia="zh-CN"/>
              </w:rPr>
              <w:t>伤残抚恤</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abs>
                <w:tab w:val="left" w:pos="395"/>
                <w:tab w:val="right" w:pos="1940"/>
              </w:tabs>
              <w:ind w:firstLine="210" w:firstLineChars="100"/>
              <w:jc w:val="lef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750.89</w:t>
            </w:r>
            <w:r>
              <w:rPr>
                <w:rFonts w:hint="eastAsia" w:ascii="Times New Roman" w:hAnsi="Times New Roman" w:eastAsia="仿宋_GB2312" w:cs="Times New Roman"/>
                <w:lang w:eastAsia="zh-CN"/>
              </w:rPr>
              <w:tab/>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750.89</w:t>
            </w: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2080803</w:t>
            </w:r>
          </w:p>
        </w:tc>
        <w:tc>
          <w:tcPr>
            <w:tcW w:w="1300"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ascii="Times New Roman" w:hAnsi="Times New Roman" w:eastAsia="仿宋_GB2312" w:cs="Times New Roman"/>
                <w:sz w:val="24"/>
                <w:szCs w:val="24"/>
              </w:rPr>
            </w:pPr>
            <w:r>
              <w:rPr>
                <w:rFonts w:hint="eastAsia" w:ascii="Times New Roman" w:hAnsi="Times New Roman" w:eastAsia="仿宋_GB2312" w:cs="Times New Roman"/>
                <w:lang w:eastAsia="zh-CN"/>
              </w:rPr>
              <w:t>在乡复员、退伍军人生活补助</w:t>
            </w:r>
            <w:r>
              <w:rPr>
                <w:rFonts w:ascii="Times New Roman" w:hAnsi="Times New Roman" w:eastAsia="仿宋_GB2312" w:cs="Times New Roman"/>
              </w:rPr>
              <w:t>　</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ind w:firstLine="210" w:firstLineChars="100"/>
              <w:jc w:val="both"/>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133.16</w:t>
            </w:r>
            <w:r>
              <w:rPr>
                <w:rFonts w:ascii="Times New Roman" w:hAnsi="Times New Roman" w:eastAsia="仿宋_GB2312" w:cs="Times New Roman"/>
              </w:rPr>
              <w:t>　</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133.16</w:t>
            </w:r>
            <w:r>
              <w:rPr>
                <w:rFonts w:ascii="Times New Roman" w:hAnsi="Times New Roman" w:eastAsia="仿宋_GB2312" w:cs="Times New Roman"/>
              </w:rPr>
              <w:t>　</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2080805</w:t>
            </w:r>
          </w:p>
        </w:tc>
        <w:tc>
          <w:tcPr>
            <w:tcW w:w="1300"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义务兵优待</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ind w:firstLine="210" w:firstLineChars="100"/>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354.90</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354.90</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2080806</w:t>
            </w:r>
          </w:p>
        </w:tc>
        <w:tc>
          <w:tcPr>
            <w:tcW w:w="1300"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农村籍退役士兵老年生活补助</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tabs>
                <w:tab w:val="left" w:pos="307"/>
              </w:tabs>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723.40</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723.40</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2080808</w:t>
            </w:r>
          </w:p>
        </w:tc>
        <w:tc>
          <w:tcPr>
            <w:tcW w:w="1300"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褒扬纪念</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tabs>
                <w:tab w:val="left" w:pos="357"/>
              </w:tabs>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0.36</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0.36</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2080899</w:t>
            </w:r>
          </w:p>
        </w:tc>
        <w:tc>
          <w:tcPr>
            <w:tcW w:w="1300"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其他优抚支出</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tabs>
                <w:tab w:val="left" w:pos="270"/>
              </w:tabs>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1174.90</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1174.90</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2080901</w:t>
            </w:r>
          </w:p>
        </w:tc>
        <w:tc>
          <w:tcPr>
            <w:tcW w:w="1300"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退役士兵安置</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tabs>
                <w:tab w:val="left" w:pos="357"/>
              </w:tabs>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185.83</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185.83</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2080902</w:t>
            </w:r>
          </w:p>
        </w:tc>
        <w:tc>
          <w:tcPr>
            <w:tcW w:w="1300"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军队移交政府的离退休人员安置</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tabs>
                <w:tab w:val="left" w:pos="495"/>
              </w:tabs>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56.35</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56.35</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2080903</w:t>
            </w:r>
          </w:p>
        </w:tc>
        <w:tc>
          <w:tcPr>
            <w:tcW w:w="1300"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军队移交政府离退休干部管理机构</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cente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2.14</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2.14</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2080904</w:t>
            </w:r>
          </w:p>
        </w:tc>
        <w:tc>
          <w:tcPr>
            <w:tcW w:w="1300"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退役士兵管理教育</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tabs>
                <w:tab w:val="left" w:pos="507"/>
              </w:tabs>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9.14</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9.14</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2080905</w:t>
            </w:r>
          </w:p>
        </w:tc>
        <w:tc>
          <w:tcPr>
            <w:tcW w:w="1300"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军队转业干部安置</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tabs>
                <w:tab w:val="left" w:pos="445"/>
              </w:tabs>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67.03</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67.03</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2080999</w:t>
            </w:r>
          </w:p>
        </w:tc>
        <w:tc>
          <w:tcPr>
            <w:tcW w:w="1300"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其他退役安置支出</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ind w:firstLine="420" w:firstLineChars="200"/>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3.19</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3.19</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2082801</w:t>
            </w:r>
          </w:p>
        </w:tc>
        <w:tc>
          <w:tcPr>
            <w:tcW w:w="1300"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行政运行</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tabs>
                <w:tab w:val="left" w:pos="432"/>
              </w:tabs>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267.87</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267.87</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ind w:firstLine="210" w:firstLineChars="100"/>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2082804</w:t>
            </w:r>
          </w:p>
        </w:tc>
        <w:tc>
          <w:tcPr>
            <w:tcW w:w="1300"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拥军优属</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ind w:firstLine="420" w:firstLineChars="200"/>
              <w:jc w:val="both"/>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156.79</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156.79</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2082899</w:t>
            </w:r>
          </w:p>
        </w:tc>
        <w:tc>
          <w:tcPr>
            <w:tcW w:w="1300"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其他退役军人事务管理支出</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tabs>
                <w:tab w:val="left" w:pos="532"/>
              </w:tabs>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14.39</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14.39</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2101101</w:t>
            </w:r>
          </w:p>
        </w:tc>
        <w:tc>
          <w:tcPr>
            <w:tcW w:w="1300" w:type="dxa"/>
            <w:tcBorders>
              <w:top w:val="nil"/>
              <w:left w:val="nil"/>
              <w:bottom w:val="nil"/>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行政单位医疗</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tabs>
                <w:tab w:val="left" w:pos="595"/>
              </w:tabs>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eastAsia="zh-CN"/>
              </w:rPr>
              <w:tab/>
            </w:r>
            <w:r>
              <w:rPr>
                <w:rFonts w:hint="eastAsia" w:ascii="Times New Roman" w:hAnsi="Times New Roman" w:eastAsia="仿宋_GB2312" w:cs="Times New Roman"/>
                <w:lang w:val="en-US" w:eastAsia="zh-CN"/>
              </w:rPr>
              <w:t>8.00</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8.00</w:t>
            </w: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nil"/>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r>
        <w:tblPrEx>
          <w:tblLayout w:type="fixed"/>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2101401</w:t>
            </w:r>
          </w:p>
        </w:tc>
        <w:tc>
          <w:tcPr>
            <w:tcW w:w="13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pPr>
              <w:rPr>
                <w:rFonts w:hint="eastAsia" w:ascii="Times New Roman" w:hAnsi="Times New Roman" w:eastAsia="仿宋_GB2312" w:cs="Times New Roman"/>
                <w:lang w:eastAsia="zh-CN"/>
              </w:rPr>
            </w:pPr>
            <w:r>
              <w:rPr>
                <w:rFonts w:hint="eastAsia" w:ascii="Times New Roman" w:hAnsi="Times New Roman" w:eastAsia="仿宋_GB2312" w:cs="Times New Roman"/>
                <w:lang w:eastAsia="zh-CN"/>
              </w:rPr>
              <w:t>优抚对象医疗补助</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tabs>
                <w:tab w:val="left" w:pos="595"/>
              </w:tabs>
              <w:jc w:val="lef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 xml:space="preserve">    342.04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342.04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pPr>
              <w:jc w:val="right"/>
              <w:rPr>
                <w:rFonts w:ascii="Times New Roman" w:hAnsi="Times New Roman" w:eastAsia="仿宋_GB2312" w:cs="Times New Roman"/>
              </w:rPr>
            </w:pPr>
          </w:p>
        </w:tc>
      </w:tr>
    </w:tbl>
    <w:p>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蓝山县退役军人事务局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2"/>
        <w:tblW w:w="14214" w:type="dxa"/>
        <w:jc w:val="center"/>
        <w:tblInd w:w="0" w:type="dxa"/>
        <w:tblLayout w:type="fixed"/>
        <w:tblCellMar>
          <w:top w:w="0" w:type="dxa"/>
          <w:left w:w="108" w:type="dxa"/>
          <w:bottom w:w="0" w:type="dxa"/>
          <w:right w:w="108" w:type="dxa"/>
        </w:tblCellMar>
      </w:tblPr>
      <w:tblGrid>
        <w:gridCol w:w="2035"/>
        <w:gridCol w:w="4056"/>
        <w:gridCol w:w="1488"/>
        <w:gridCol w:w="945"/>
        <w:gridCol w:w="996"/>
        <w:gridCol w:w="1439"/>
        <w:gridCol w:w="946"/>
        <w:gridCol w:w="2309"/>
      </w:tblGrid>
      <w:tr>
        <w:tblPrEx>
          <w:tblLayout w:type="fixed"/>
          <w:tblCellMar>
            <w:top w:w="0" w:type="dxa"/>
            <w:left w:w="108" w:type="dxa"/>
            <w:bottom w:w="0" w:type="dxa"/>
            <w:right w:w="108" w:type="dxa"/>
          </w:tblCellMar>
        </w:tblPrEx>
        <w:trPr>
          <w:trHeight w:val="595" w:hRule="atLeast"/>
          <w:jc w:val="center"/>
        </w:trPr>
        <w:tc>
          <w:tcPr>
            <w:tcW w:w="60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48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94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99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43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94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3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tblPrEx>
          <w:tblLayout w:type="fixed"/>
          <w:tblCellMar>
            <w:top w:w="0" w:type="dxa"/>
            <w:left w:w="108" w:type="dxa"/>
            <w:bottom w:w="0" w:type="dxa"/>
            <w:right w:w="108" w:type="dxa"/>
          </w:tblCellMar>
        </w:tblPrEx>
        <w:trPr>
          <w:trHeight w:val="312" w:hRule="exact"/>
          <w:jc w:val="center"/>
        </w:trPr>
        <w:tc>
          <w:tcPr>
            <w:tcW w:w="20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405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14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c>
          <w:tcPr>
            <w:tcW w:w="23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b/>
                <w:bCs/>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4056"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4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14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94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c>
          <w:tcPr>
            <w:tcW w:w="23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60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488"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945"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99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39"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94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309"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tblPrEx>
          <w:tblLayout w:type="fixed"/>
          <w:tblCellMar>
            <w:top w:w="0" w:type="dxa"/>
            <w:left w:w="108" w:type="dxa"/>
            <w:bottom w:w="0" w:type="dxa"/>
            <w:right w:w="108" w:type="dxa"/>
          </w:tblCellMar>
        </w:tblPrEx>
        <w:trPr>
          <w:trHeight w:val="595" w:hRule="atLeast"/>
          <w:jc w:val="center"/>
        </w:trPr>
        <w:tc>
          <w:tcPr>
            <w:tcW w:w="609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48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4420.68</w:t>
            </w:r>
            <w:r>
              <w:rPr>
                <w:rFonts w:ascii="Times New Roman" w:hAnsi="Times New Roman" w:eastAsia="仿宋_GB2312" w:cs="Times New Roman"/>
                <w:kern w:val="0"/>
                <w:sz w:val="24"/>
                <w:szCs w:val="24"/>
              </w:rPr>
              <w:t>　</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397.48</w:t>
            </w:r>
            <w:r>
              <w:rPr>
                <w:rFonts w:ascii="Times New Roman" w:hAnsi="Times New Roman" w:eastAsia="仿宋_GB2312" w:cs="Times New Roman"/>
                <w:kern w:val="0"/>
                <w:sz w:val="24"/>
                <w:szCs w:val="24"/>
              </w:rPr>
              <w:t>　</w:t>
            </w:r>
          </w:p>
        </w:tc>
        <w:tc>
          <w:tcPr>
            <w:tcW w:w="9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4023.2</w:t>
            </w:r>
            <w:r>
              <w:rPr>
                <w:rFonts w:ascii="Times New Roman" w:hAnsi="Times New Roman" w:eastAsia="仿宋_GB2312" w:cs="Times New Roman"/>
                <w:kern w:val="0"/>
                <w:sz w:val="24"/>
                <w:szCs w:val="24"/>
              </w:rPr>
              <w:t>　</w:t>
            </w:r>
          </w:p>
        </w:tc>
        <w:tc>
          <w:tcPr>
            <w:tcW w:w="143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0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2080501</w:t>
            </w:r>
            <w:r>
              <w:rPr>
                <w:rFonts w:ascii="Times New Roman" w:hAnsi="Times New Roman" w:eastAsia="仿宋_GB2312" w:cs="Times New Roman"/>
                <w:kern w:val="0"/>
                <w:sz w:val="24"/>
                <w:szCs w:val="24"/>
              </w:rPr>
              <w:t>　</w:t>
            </w:r>
          </w:p>
        </w:tc>
        <w:tc>
          <w:tcPr>
            <w:tcW w:w="405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行政单位离退休</w:t>
            </w:r>
            <w:r>
              <w:rPr>
                <w:rFonts w:ascii="Times New Roman" w:hAnsi="Times New Roman" w:eastAsia="仿宋_GB2312" w:cs="Times New Roman"/>
                <w:kern w:val="0"/>
                <w:sz w:val="24"/>
                <w:szCs w:val="24"/>
              </w:rPr>
              <w:t>　</w:t>
            </w:r>
          </w:p>
        </w:tc>
        <w:tc>
          <w:tcPr>
            <w:tcW w:w="148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0.03</w:t>
            </w:r>
            <w:r>
              <w:rPr>
                <w:rFonts w:ascii="Times New Roman" w:hAnsi="Times New Roman" w:eastAsia="仿宋_GB2312" w:cs="Times New Roman"/>
                <w:kern w:val="0"/>
                <w:sz w:val="24"/>
                <w:szCs w:val="24"/>
              </w:rPr>
              <w:t>　</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0.03</w:t>
            </w:r>
            <w:r>
              <w:rPr>
                <w:rFonts w:ascii="Times New Roman" w:hAnsi="Times New Roman" w:eastAsia="仿宋_GB2312" w:cs="Times New Roman"/>
                <w:kern w:val="0"/>
                <w:sz w:val="24"/>
                <w:szCs w:val="24"/>
              </w:rPr>
              <w:t>　</w:t>
            </w:r>
          </w:p>
        </w:tc>
        <w:tc>
          <w:tcPr>
            <w:tcW w:w="9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3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0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2080505</w:t>
            </w:r>
            <w:r>
              <w:rPr>
                <w:rFonts w:ascii="Times New Roman" w:hAnsi="Times New Roman" w:eastAsia="仿宋_GB2312" w:cs="Times New Roman"/>
                <w:kern w:val="0"/>
                <w:sz w:val="24"/>
                <w:szCs w:val="24"/>
              </w:rPr>
              <w:t>　</w:t>
            </w:r>
          </w:p>
        </w:tc>
        <w:tc>
          <w:tcPr>
            <w:tcW w:w="405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机关事业单位基本养老保险缴费支出</w:t>
            </w:r>
            <w:r>
              <w:rPr>
                <w:rFonts w:ascii="Times New Roman" w:hAnsi="Times New Roman" w:eastAsia="仿宋_GB2312" w:cs="Times New Roman"/>
                <w:kern w:val="0"/>
                <w:sz w:val="24"/>
                <w:szCs w:val="24"/>
              </w:rPr>
              <w:t>　</w:t>
            </w:r>
          </w:p>
        </w:tc>
        <w:tc>
          <w:tcPr>
            <w:tcW w:w="148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26.35</w:t>
            </w:r>
            <w:r>
              <w:rPr>
                <w:rFonts w:ascii="Times New Roman" w:hAnsi="Times New Roman" w:eastAsia="仿宋_GB2312" w:cs="Times New Roman"/>
                <w:kern w:val="0"/>
                <w:sz w:val="24"/>
                <w:szCs w:val="24"/>
              </w:rPr>
              <w:t>　</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26.35</w:t>
            </w:r>
            <w:r>
              <w:rPr>
                <w:rFonts w:ascii="Times New Roman" w:hAnsi="Times New Roman" w:eastAsia="仿宋_GB2312" w:cs="Times New Roman"/>
                <w:kern w:val="0"/>
                <w:sz w:val="24"/>
                <w:szCs w:val="24"/>
              </w:rPr>
              <w:t>　</w:t>
            </w:r>
          </w:p>
        </w:tc>
        <w:tc>
          <w:tcPr>
            <w:tcW w:w="9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3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0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2080599</w:t>
            </w:r>
            <w:r>
              <w:rPr>
                <w:rFonts w:ascii="Times New Roman" w:hAnsi="Times New Roman" w:eastAsia="仿宋_GB2312" w:cs="Times New Roman"/>
                <w:kern w:val="0"/>
                <w:sz w:val="24"/>
                <w:szCs w:val="24"/>
              </w:rPr>
              <w:t>　</w:t>
            </w:r>
          </w:p>
        </w:tc>
        <w:tc>
          <w:tcPr>
            <w:tcW w:w="405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其他行政事业单位养老支出</w:t>
            </w:r>
            <w:r>
              <w:rPr>
                <w:rFonts w:ascii="Times New Roman" w:hAnsi="Times New Roman" w:eastAsia="仿宋_GB2312" w:cs="Times New Roman"/>
                <w:kern w:val="0"/>
                <w:sz w:val="24"/>
                <w:szCs w:val="24"/>
              </w:rPr>
              <w:t>　</w:t>
            </w:r>
          </w:p>
        </w:tc>
        <w:tc>
          <w:tcPr>
            <w:tcW w:w="148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0.90</w:t>
            </w:r>
            <w:r>
              <w:rPr>
                <w:rFonts w:ascii="Times New Roman" w:hAnsi="Times New Roman" w:eastAsia="仿宋_GB2312" w:cs="Times New Roman"/>
                <w:kern w:val="0"/>
                <w:sz w:val="24"/>
                <w:szCs w:val="24"/>
              </w:rPr>
              <w:t>　</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0.90</w:t>
            </w:r>
            <w:r>
              <w:rPr>
                <w:rFonts w:ascii="Times New Roman" w:hAnsi="Times New Roman" w:eastAsia="仿宋_GB2312" w:cs="Times New Roman"/>
                <w:kern w:val="0"/>
                <w:sz w:val="24"/>
                <w:szCs w:val="24"/>
              </w:rPr>
              <w:t>　</w:t>
            </w:r>
          </w:p>
        </w:tc>
        <w:tc>
          <w:tcPr>
            <w:tcW w:w="9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3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0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2080801</w:t>
            </w:r>
            <w:r>
              <w:rPr>
                <w:rFonts w:ascii="Times New Roman" w:hAnsi="Times New Roman" w:eastAsia="仿宋_GB2312" w:cs="Times New Roman"/>
                <w:kern w:val="0"/>
                <w:sz w:val="24"/>
                <w:szCs w:val="24"/>
              </w:rPr>
              <w:t>　</w:t>
            </w:r>
          </w:p>
        </w:tc>
        <w:tc>
          <w:tcPr>
            <w:tcW w:w="405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死亡抚恤</w:t>
            </w:r>
            <w:r>
              <w:rPr>
                <w:rFonts w:ascii="Times New Roman" w:hAnsi="Times New Roman" w:eastAsia="仿宋_GB2312" w:cs="Times New Roman"/>
                <w:kern w:val="0"/>
                <w:sz w:val="24"/>
                <w:szCs w:val="24"/>
              </w:rPr>
              <w:t>　</w:t>
            </w:r>
          </w:p>
        </w:tc>
        <w:tc>
          <w:tcPr>
            <w:tcW w:w="148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143.03</w:t>
            </w:r>
            <w:r>
              <w:rPr>
                <w:rFonts w:ascii="Times New Roman" w:hAnsi="Times New Roman" w:eastAsia="仿宋_GB2312" w:cs="Times New Roman"/>
                <w:kern w:val="0"/>
                <w:sz w:val="24"/>
                <w:szCs w:val="24"/>
              </w:rPr>
              <w:t>　</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0.83</w:t>
            </w:r>
            <w:r>
              <w:rPr>
                <w:rFonts w:ascii="Times New Roman" w:hAnsi="Times New Roman" w:eastAsia="仿宋_GB2312" w:cs="Times New Roman"/>
                <w:kern w:val="0"/>
                <w:sz w:val="24"/>
                <w:szCs w:val="24"/>
              </w:rPr>
              <w:t>　</w:t>
            </w:r>
          </w:p>
        </w:tc>
        <w:tc>
          <w:tcPr>
            <w:tcW w:w="9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142.2</w:t>
            </w:r>
            <w:r>
              <w:rPr>
                <w:rFonts w:ascii="Times New Roman" w:hAnsi="Times New Roman" w:eastAsia="仿宋_GB2312" w:cs="Times New Roman"/>
                <w:kern w:val="0"/>
                <w:sz w:val="24"/>
                <w:szCs w:val="24"/>
              </w:rPr>
              <w:t>　</w:t>
            </w:r>
          </w:p>
        </w:tc>
        <w:tc>
          <w:tcPr>
            <w:tcW w:w="143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0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2080802</w:t>
            </w:r>
            <w:r>
              <w:rPr>
                <w:rFonts w:ascii="Times New Roman" w:hAnsi="Times New Roman" w:eastAsia="仿宋_GB2312" w:cs="Times New Roman"/>
                <w:kern w:val="0"/>
                <w:sz w:val="24"/>
                <w:szCs w:val="24"/>
              </w:rPr>
              <w:t>　</w:t>
            </w:r>
          </w:p>
        </w:tc>
        <w:tc>
          <w:tcPr>
            <w:tcW w:w="4056" w:type="dxa"/>
            <w:tcBorders>
              <w:top w:val="nil"/>
              <w:left w:val="nil"/>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伤残抚恤</w:t>
            </w:r>
            <w:r>
              <w:rPr>
                <w:rFonts w:ascii="Times New Roman" w:hAnsi="Times New Roman" w:eastAsia="仿宋_GB2312" w:cs="Times New Roman"/>
                <w:kern w:val="0"/>
                <w:sz w:val="24"/>
                <w:szCs w:val="24"/>
              </w:rPr>
              <w:t>　</w:t>
            </w:r>
          </w:p>
        </w:tc>
        <w:tc>
          <w:tcPr>
            <w:tcW w:w="1488"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750.89</w:t>
            </w:r>
            <w:r>
              <w:rPr>
                <w:rFonts w:ascii="Times New Roman" w:hAnsi="Times New Roman" w:eastAsia="仿宋_GB2312" w:cs="Times New Roman"/>
                <w:kern w:val="0"/>
                <w:sz w:val="24"/>
                <w:szCs w:val="24"/>
              </w:rPr>
              <w:t>　</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0.57</w:t>
            </w:r>
            <w:r>
              <w:rPr>
                <w:rFonts w:ascii="Times New Roman" w:hAnsi="Times New Roman" w:eastAsia="仿宋_GB2312" w:cs="Times New Roman"/>
                <w:kern w:val="0"/>
                <w:sz w:val="24"/>
                <w:szCs w:val="24"/>
              </w:rPr>
              <w:t>　</w:t>
            </w:r>
          </w:p>
        </w:tc>
        <w:tc>
          <w:tcPr>
            <w:tcW w:w="99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750.32</w:t>
            </w:r>
            <w:r>
              <w:rPr>
                <w:rFonts w:ascii="Times New Roman" w:hAnsi="Times New Roman" w:eastAsia="仿宋_GB2312" w:cs="Times New Roman"/>
                <w:kern w:val="0"/>
                <w:sz w:val="24"/>
                <w:szCs w:val="24"/>
              </w:rPr>
              <w:t>　</w:t>
            </w:r>
          </w:p>
        </w:tc>
        <w:tc>
          <w:tcPr>
            <w:tcW w:w="143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0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2080803</w:t>
            </w:r>
            <w:r>
              <w:rPr>
                <w:rFonts w:ascii="Times New Roman" w:hAnsi="Times New Roman" w:eastAsia="仿宋_GB2312" w:cs="Times New Roman"/>
                <w:kern w:val="0"/>
                <w:sz w:val="24"/>
                <w:szCs w:val="24"/>
              </w:rPr>
              <w:t>　</w:t>
            </w:r>
          </w:p>
        </w:tc>
        <w:tc>
          <w:tcPr>
            <w:tcW w:w="4056" w:type="dxa"/>
            <w:tcBorders>
              <w:top w:val="nil"/>
              <w:left w:val="nil"/>
              <w:bottom w:val="nil"/>
              <w:right w:val="single" w:color="auto" w:sz="4" w:space="0"/>
            </w:tcBorders>
            <w:shd w:val="clear" w:color="000000" w:fill="FFFFFF"/>
            <w:vAlign w:val="center"/>
          </w:tcPr>
          <w:p>
            <w:pPr>
              <w:widowControl/>
              <w:jc w:val="lef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eastAsia="zh-CN"/>
              </w:rPr>
              <w:t>在乡复员、退伍军人生活补助</w:t>
            </w:r>
            <w:r>
              <w:rPr>
                <w:rFonts w:ascii="Times New Roman" w:hAnsi="Times New Roman" w:eastAsia="仿宋_GB2312" w:cs="Times New Roman"/>
                <w:kern w:val="0"/>
                <w:sz w:val="24"/>
                <w:szCs w:val="24"/>
              </w:rPr>
              <w:t>　</w:t>
            </w:r>
          </w:p>
        </w:tc>
        <w:tc>
          <w:tcPr>
            <w:tcW w:w="1488"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133.16</w:t>
            </w:r>
            <w:r>
              <w:rPr>
                <w:rFonts w:ascii="Times New Roman" w:hAnsi="Times New Roman" w:eastAsia="仿宋_GB2312" w:cs="Times New Roman"/>
                <w:kern w:val="0"/>
                <w:sz w:val="24"/>
                <w:szCs w:val="24"/>
              </w:rPr>
              <w:t>　</w:t>
            </w:r>
          </w:p>
        </w:tc>
        <w:tc>
          <w:tcPr>
            <w:tcW w:w="945"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96"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133.16</w:t>
            </w:r>
            <w:r>
              <w:rPr>
                <w:rFonts w:ascii="Times New Roman" w:hAnsi="Times New Roman" w:eastAsia="仿宋_GB2312" w:cs="Times New Roman"/>
                <w:kern w:val="0"/>
                <w:sz w:val="24"/>
                <w:szCs w:val="24"/>
              </w:rPr>
              <w:t>　</w:t>
            </w:r>
          </w:p>
        </w:tc>
        <w:tc>
          <w:tcPr>
            <w:tcW w:w="143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46"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30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2080805</w:t>
            </w:r>
          </w:p>
        </w:tc>
        <w:tc>
          <w:tcPr>
            <w:tcW w:w="4056" w:type="dxa"/>
            <w:tcBorders>
              <w:top w:val="nil"/>
              <w:left w:val="nil"/>
              <w:bottom w:val="nil"/>
              <w:right w:val="single" w:color="auto" w:sz="4" w:space="0"/>
            </w:tcBorders>
            <w:shd w:val="clear" w:color="000000" w:fill="FFFFFF"/>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义务兵优待</w:t>
            </w:r>
          </w:p>
        </w:tc>
        <w:tc>
          <w:tcPr>
            <w:tcW w:w="1488"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354.90</w:t>
            </w:r>
          </w:p>
        </w:tc>
        <w:tc>
          <w:tcPr>
            <w:tcW w:w="945"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96"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354.90</w:t>
            </w:r>
          </w:p>
        </w:tc>
        <w:tc>
          <w:tcPr>
            <w:tcW w:w="143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46"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0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2080806</w:t>
            </w:r>
          </w:p>
        </w:tc>
        <w:tc>
          <w:tcPr>
            <w:tcW w:w="4056" w:type="dxa"/>
            <w:tcBorders>
              <w:top w:val="nil"/>
              <w:left w:val="nil"/>
              <w:bottom w:val="nil"/>
              <w:right w:val="single" w:color="auto" w:sz="4" w:space="0"/>
            </w:tcBorders>
            <w:shd w:val="clear" w:color="000000" w:fill="FFFFFF"/>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农村籍退役士兵老年生活补助</w:t>
            </w:r>
          </w:p>
        </w:tc>
        <w:tc>
          <w:tcPr>
            <w:tcW w:w="1488"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723.40</w:t>
            </w:r>
          </w:p>
        </w:tc>
        <w:tc>
          <w:tcPr>
            <w:tcW w:w="945"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96"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723.40</w:t>
            </w:r>
          </w:p>
        </w:tc>
        <w:tc>
          <w:tcPr>
            <w:tcW w:w="143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46"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0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2080808</w:t>
            </w:r>
          </w:p>
        </w:tc>
        <w:tc>
          <w:tcPr>
            <w:tcW w:w="4056" w:type="dxa"/>
            <w:tcBorders>
              <w:top w:val="nil"/>
              <w:left w:val="nil"/>
              <w:bottom w:val="nil"/>
              <w:right w:val="single" w:color="auto" w:sz="4" w:space="0"/>
            </w:tcBorders>
            <w:shd w:val="clear" w:color="000000" w:fill="FFFFFF"/>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褒扬纪念</w:t>
            </w:r>
          </w:p>
        </w:tc>
        <w:tc>
          <w:tcPr>
            <w:tcW w:w="1488"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0.36</w:t>
            </w:r>
          </w:p>
        </w:tc>
        <w:tc>
          <w:tcPr>
            <w:tcW w:w="945"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0.36</w:t>
            </w:r>
          </w:p>
        </w:tc>
        <w:tc>
          <w:tcPr>
            <w:tcW w:w="996"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143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46"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0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2080899</w:t>
            </w:r>
          </w:p>
        </w:tc>
        <w:tc>
          <w:tcPr>
            <w:tcW w:w="4056" w:type="dxa"/>
            <w:tcBorders>
              <w:top w:val="nil"/>
              <w:left w:val="nil"/>
              <w:bottom w:val="nil"/>
              <w:right w:val="single" w:color="auto" w:sz="4" w:space="0"/>
            </w:tcBorders>
            <w:shd w:val="clear" w:color="000000" w:fill="FFFFFF"/>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其他优抚支出</w:t>
            </w:r>
          </w:p>
        </w:tc>
        <w:tc>
          <w:tcPr>
            <w:tcW w:w="1488"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1174.90</w:t>
            </w:r>
          </w:p>
        </w:tc>
        <w:tc>
          <w:tcPr>
            <w:tcW w:w="945"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96"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1174.90</w:t>
            </w:r>
          </w:p>
        </w:tc>
        <w:tc>
          <w:tcPr>
            <w:tcW w:w="143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46"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0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2080901</w:t>
            </w:r>
          </w:p>
        </w:tc>
        <w:tc>
          <w:tcPr>
            <w:tcW w:w="4056" w:type="dxa"/>
            <w:tcBorders>
              <w:top w:val="nil"/>
              <w:left w:val="nil"/>
              <w:bottom w:val="nil"/>
              <w:right w:val="single" w:color="auto" w:sz="4" w:space="0"/>
            </w:tcBorders>
            <w:shd w:val="clear" w:color="000000" w:fill="FFFFFF"/>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退役士兵安置</w:t>
            </w:r>
          </w:p>
        </w:tc>
        <w:tc>
          <w:tcPr>
            <w:tcW w:w="1488"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185.83</w:t>
            </w:r>
          </w:p>
        </w:tc>
        <w:tc>
          <w:tcPr>
            <w:tcW w:w="945"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5.83</w:t>
            </w:r>
          </w:p>
        </w:tc>
        <w:tc>
          <w:tcPr>
            <w:tcW w:w="996"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180.00</w:t>
            </w:r>
          </w:p>
        </w:tc>
        <w:tc>
          <w:tcPr>
            <w:tcW w:w="143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46"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0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2080902</w:t>
            </w:r>
          </w:p>
        </w:tc>
        <w:tc>
          <w:tcPr>
            <w:tcW w:w="4056" w:type="dxa"/>
            <w:tcBorders>
              <w:top w:val="nil"/>
              <w:left w:val="nil"/>
              <w:bottom w:val="nil"/>
              <w:right w:val="single" w:color="auto" w:sz="4" w:space="0"/>
            </w:tcBorders>
            <w:shd w:val="clear" w:color="000000" w:fill="FFFFFF"/>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军队移交政府的离退休人员安置</w:t>
            </w:r>
          </w:p>
        </w:tc>
        <w:tc>
          <w:tcPr>
            <w:tcW w:w="1488"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56.35</w:t>
            </w:r>
          </w:p>
        </w:tc>
        <w:tc>
          <w:tcPr>
            <w:tcW w:w="945"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96"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56.35</w:t>
            </w:r>
          </w:p>
        </w:tc>
        <w:tc>
          <w:tcPr>
            <w:tcW w:w="143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46"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0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2080903</w:t>
            </w:r>
          </w:p>
        </w:tc>
        <w:tc>
          <w:tcPr>
            <w:tcW w:w="4056" w:type="dxa"/>
            <w:tcBorders>
              <w:top w:val="nil"/>
              <w:left w:val="nil"/>
              <w:bottom w:val="nil"/>
              <w:right w:val="single" w:color="auto" w:sz="4" w:space="0"/>
            </w:tcBorders>
            <w:shd w:val="clear" w:color="000000" w:fill="FFFFFF"/>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军队移交政府离退休干部管理机构</w:t>
            </w:r>
          </w:p>
        </w:tc>
        <w:tc>
          <w:tcPr>
            <w:tcW w:w="1488"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2.14</w:t>
            </w:r>
          </w:p>
        </w:tc>
        <w:tc>
          <w:tcPr>
            <w:tcW w:w="945"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2.14</w:t>
            </w:r>
          </w:p>
        </w:tc>
        <w:tc>
          <w:tcPr>
            <w:tcW w:w="996" w:type="dxa"/>
            <w:tcBorders>
              <w:top w:val="nil"/>
              <w:left w:val="nil"/>
              <w:bottom w:val="nil"/>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4"/>
                <w:szCs w:val="24"/>
                <w:lang w:val="en-US" w:eastAsia="zh-CN"/>
              </w:rPr>
            </w:pPr>
          </w:p>
        </w:tc>
        <w:tc>
          <w:tcPr>
            <w:tcW w:w="143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46"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0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2080904</w:t>
            </w:r>
          </w:p>
        </w:tc>
        <w:tc>
          <w:tcPr>
            <w:tcW w:w="4056" w:type="dxa"/>
            <w:tcBorders>
              <w:top w:val="nil"/>
              <w:left w:val="nil"/>
              <w:bottom w:val="nil"/>
              <w:right w:val="single" w:color="auto" w:sz="4" w:space="0"/>
            </w:tcBorders>
            <w:shd w:val="clear" w:color="000000" w:fill="FFFFFF"/>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退役士兵管理教育</w:t>
            </w:r>
          </w:p>
        </w:tc>
        <w:tc>
          <w:tcPr>
            <w:tcW w:w="1488"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9.14</w:t>
            </w:r>
          </w:p>
        </w:tc>
        <w:tc>
          <w:tcPr>
            <w:tcW w:w="945"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96"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9.14</w:t>
            </w:r>
          </w:p>
        </w:tc>
        <w:tc>
          <w:tcPr>
            <w:tcW w:w="143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46"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0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2080905</w:t>
            </w:r>
          </w:p>
        </w:tc>
        <w:tc>
          <w:tcPr>
            <w:tcW w:w="4056" w:type="dxa"/>
            <w:tcBorders>
              <w:top w:val="nil"/>
              <w:left w:val="nil"/>
              <w:bottom w:val="nil"/>
              <w:right w:val="single" w:color="auto" w:sz="4" w:space="0"/>
            </w:tcBorders>
            <w:shd w:val="clear" w:color="000000" w:fill="FFFFFF"/>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军队转业干部安置</w:t>
            </w:r>
          </w:p>
        </w:tc>
        <w:tc>
          <w:tcPr>
            <w:tcW w:w="1488"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67.03</w:t>
            </w:r>
          </w:p>
        </w:tc>
        <w:tc>
          <w:tcPr>
            <w:tcW w:w="945"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67.03</w:t>
            </w:r>
          </w:p>
        </w:tc>
        <w:tc>
          <w:tcPr>
            <w:tcW w:w="996" w:type="dxa"/>
            <w:tcBorders>
              <w:top w:val="nil"/>
              <w:left w:val="nil"/>
              <w:bottom w:val="nil"/>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4"/>
                <w:szCs w:val="24"/>
                <w:lang w:val="en-US" w:eastAsia="zh-CN"/>
              </w:rPr>
            </w:pPr>
          </w:p>
        </w:tc>
        <w:tc>
          <w:tcPr>
            <w:tcW w:w="143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46"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0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2080999</w:t>
            </w:r>
          </w:p>
        </w:tc>
        <w:tc>
          <w:tcPr>
            <w:tcW w:w="4056" w:type="dxa"/>
            <w:tcBorders>
              <w:top w:val="nil"/>
              <w:left w:val="nil"/>
              <w:bottom w:val="nil"/>
              <w:right w:val="single" w:color="auto" w:sz="4" w:space="0"/>
            </w:tcBorders>
            <w:shd w:val="clear" w:color="000000" w:fill="FFFFFF"/>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其他退役安置支出</w:t>
            </w:r>
          </w:p>
        </w:tc>
        <w:tc>
          <w:tcPr>
            <w:tcW w:w="1488"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3.19</w:t>
            </w:r>
          </w:p>
        </w:tc>
        <w:tc>
          <w:tcPr>
            <w:tcW w:w="945"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3.19</w:t>
            </w:r>
          </w:p>
        </w:tc>
        <w:tc>
          <w:tcPr>
            <w:tcW w:w="996" w:type="dxa"/>
            <w:tcBorders>
              <w:top w:val="nil"/>
              <w:left w:val="nil"/>
              <w:bottom w:val="nil"/>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4"/>
                <w:szCs w:val="24"/>
                <w:lang w:val="en-US" w:eastAsia="zh-CN"/>
              </w:rPr>
            </w:pPr>
          </w:p>
        </w:tc>
        <w:tc>
          <w:tcPr>
            <w:tcW w:w="143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46"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0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2082801</w:t>
            </w:r>
          </w:p>
        </w:tc>
        <w:tc>
          <w:tcPr>
            <w:tcW w:w="4056" w:type="dxa"/>
            <w:tcBorders>
              <w:top w:val="nil"/>
              <w:left w:val="nil"/>
              <w:bottom w:val="nil"/>
              <w:right w:val="single" w:color="auto" w:sz="4" w:space="0"/>
            </w:tcBorders>
            <w:shd w:val="clear" w:color="000000" w:fill="FFFFFF"/>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行政运行</w:t>
            </w:r>
          </w:p>
        </w:tc>
        <w:tc>
          <w:tcPr>
            <w:tcW w:w="1488"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267.87</w:t>
            </w:r>
          </w:p>
        </w:tc>
        <w:tc>
          <w:tcPr>
            <w:tcW w:w="945"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267.87</w:t>
            </w:r>
          </w:p>
        </w:tc>
        <w:tc>
          <w:tcPr>
            <w:tcW w:w="996" w:type="dxa"/>
            <w:tcBorders>
              <w:top w:val="nil"/>
              <w:left w:val="nil"/>
              <w:bottom w:val="nil"/>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4"/>
                <w:szCs w:val="24"/>
                <w:lang w:val="en-US" w:eastAsia="zh-CN"/>
              </w:rPr>
            </w:pPr>
          </w:p>
        </w:tc>
        <w:tc>
          <w:tcPr>
            <w:tcW w:w="143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46"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0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2082804</w:t>
            </w:r>
          </w:p>
        </w:tc>
        <w:tc>
          <w:tcPr>
            <w:tcW w:w="4056" w:type="dxa"/>
            <w:tcBorders>
              <w:top w:val="nil"/>
              <w:left w:val="nil"/>
              <w:bottom w:val="nil"/>
              <w:right w:val="single" w:color="auto" w:sz="4" w:space="0"/>
            </w:tcBorders>
            <w:shd w:val="clear" w:color="000000" w:fill="FFFFFF"/>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拥军优属</w:t>
            </w:r>
          </w:p>
        </w:tc>
        <w:tc>
          <w:tcPr>
            <w:tcW w:w="1488"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156.79</w:t>
            </w:r>
          </w:p>
        </w:tc>
        <w:tc>
          <w:tcPr>
            <w:tcW w:w="945"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96"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156.79</w:t>
            </w:r>
          </w:p>
        </w:tc>
        <w:tc>
          <w:tcPr>
            <w:tcW w:w="143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46"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0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2082899</w:t>
            </w:r>
          </w:p>
        </w:tc>
        <w:tc>
          <w:tcPr>
            <w:tcW w:w="4056" w:type="dxa"/>
            <w:tcBorders>
              <w:top w:val="nil"/>
              <w:left w:val="nil"/>
              <w:bottom w:val="nil"/>
              <w:right w:val="single" w:color="auto" w:sz="4" w:space="0"/>
            </w:tcBorders>
            <w:shd w:val="clear" w:color="000000" w:fill="FFFFFF"/>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其他退役军人事务管理支出</w:t>
            </w:r>
          </w:p>
        </w:tc>
        <w:tc>
          <w:tcPr>
            <w:tcW w:w="1488"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14.39</w:t>
            </w:r>
          </w:p>
        </w:tc>
        <w:tc>
          <w:tcPr>
            <w:tcW w:w="945"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14.39</w:t>
            </w:r>
          </w:p>
        </w:tc>
        <w:tc>
          <w:tcPr>
            <w:tcW w:w="996" w:type="dxa"/>
            <w:tcBorders>
              <w:top w:val="nil"/>
              <w:left w:val="nil"/>
              <w:bottom w:val="nil"/>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4"/>
                <w:szCs w:val="24"/>
                <w:lang w:val="en-US" w:eastAsia="zh-CN"/>
              </w:rPr>
            </w:pPr>
          </w:p>
        </w:tc>
        <w:tc>
          <w:tcPr>
            <w:tcW w:w="143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46"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0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2101101</w:t>
            </w:r>
          </w:p>
        </w:tc>
        <w:tc>
          <w:tcPr>
            <w:tcW w:w="4056" w:type="dxa"/>
            <w:tcBorders>
              <w:top w:val="nil"/>
              <w:left w:val="nil"/>
              <w:bottom w:val="nil"/>
              <w:right w:val="single" w:color="auto" w:sz="4" w:space="0"/>
            </w:tcBorders>
            <w:shd w:val="clear" w:color="000000" w:fill="FFFFFF"/>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行政单位医疗</w:t>
            </w:r>
          </w:p>
        </w:tc>
        <w:tc>
          <w:tcPr>
            <w:tcW w:w="1488"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8.00</w:t>
            </w:r>
          </w:p>
        </w:tc>
        <w:tc>
          <w:tcPr>
            <w:tcW w:w="945" w:type="dxa"/>
            <w:tcBorders>
              <w:top w:val="nil"/>
              <w:left w:val="nil"/>
              <w:bottom w:val="nil"/>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8.00</w:t>
            </w:r>
          </w:p>
        </w:tc>
        <w:tc>
          <w:tcPr>
            <w:tcW w:w="996" w:type="dxa"/>
            <w:tcBorders>
              <w:top w:val="nil"/>
              <w:left w:val="nil"/>
              <w:bottom w:val="nil"/>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4"/>
                <w:szCs w:val="24"/>
                <w:lang w:val="en-US" w:eastAsia="zh-CN"/>
              </w:rPr>
            </w:pPr>
          </w:p>
        </w:tc>
        <w:tc>
          <w:tcPr>
            <w:tcW w:w="143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946"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09" w:type="dxa"/>
            <w:tcBorders>
              <w:top w:val="nil"/>
              <w:left w:val="nil"/>
              <w:bottom w:val="nil"/>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r>
        <w:tblPrEx>
          <w:tblLayout w:type="fixed"/>
          <w:tblCellMar>
            <w:top w:w="0" w:type="dxa"/>
            <w:left w:w="108" w:type="dxa"/>
            <w:bottom w:w="0" w:type="dxa"/>
            <w:right w:w="108" w:type="dxa"/>
          </w:tblCellMar>
        </w:tblPrEx>
        <w:trPr>
          <w:trHeight w:val="595" w:hRule="atLeast"/>
          <w:jc w:val="center"/>
        </w:trPr>
        <w:tc>
          <w:tcPr>
            <w:tcW w:w="203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2101401</w:t>
            </w:r>
          </w:p>
        </w:tc>
        <w:tc>
          <w:tcPr>
            <w:tcW w:w="4056" w:type="dxa"/>
            <w:tcBorders>
              <w:top w:val="nil"/>
              <w:left w:val="nil"/>
              <w:bottom w:val="single" w:color="auto" w:sz="4" w:space="0"/>
              <w:right w:val="single" w:color="auto" w:sz="4" w:space="0"/>
            </w:tcBorders>
            <w:shd w:val="clear" w:color="000000" w:fill="FFFFFF"/>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优抚对象医疗补助</w:t>
            </w:r>
          </w:p>
        </w:tc>
        <w:tc>
          <w:tcPr>
            <w:tcW w:w="1488"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342.04</w:t>
            </w:r>
          </w:p>
        </w:tc>
        <w:tc>
          <w:tcPr>
            <w:tcW w:w="945" w:type="dxa"/>
            <w:tcBorders>
              <w:top w:val="nil"/>
              <w:left w:val="nil"/>
              <w:bottom w:val="single" w:color="auto" w:sz="4" w:space="0"/>
              <w:right w:val="single" w:color="auto" w:sz="4" w:space="0"/>
            </w:tcBorders>
            <w:shd w:val="clear" w:color="auto" w:fill="auto"/>
            <w:vAlign w:val="center"/>
          </w:tcPr>
          <w:p>
            <w:pPr>
              <w:widowControl/>
              <w:jc w:val="right"/>
              <w:rPr>
                <w:rFonts w:hint="eastAsia" w:ascii="Times New Roman" w:hAnsi="Times New Roman" w:eastAsia="仿宋_GB2312" w:cs="Times New Roman"/>
                <w:kern w:val="0"/>
                <w:sz w:val="24"/>
                <w:szCs w:val="24"/>
                <w:lang w:val="en-US" w:eastAsia="zh-CN"/>
              </w:rPr>
            </w:pPr>
          </w:p>
        </w:tc>
        <w:tc>
          <w:tcPr>
            <w:tcW w:w="996"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342.04</w:t>
            </w:r>
          </w:p>
        </w:tc>
        <w:tc>
          <w:tcPr>
            <w:tcW w:w="1439"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eastAsia="仿宋_GB2312" w:cs="Times New Roman"/>
                <w:kern w:val="0"/>
                <w:sz w:val="24"/>
                <w:szCs w:val="24"/>
                <w:lang w:val="en-US" w:eastAsia="zh-CN"/>
              </w:rPr>
            </w:pPr>
          </w:p>
        </w:tc>
        <w:tc>
          <w:tcPr>
            <w:tcW w:w="946"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c>
          <w:tcPr>
            <w:tcW w:w="230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4"/>
                <w:szCs w:val="24"/>
              </w:rPr>
            </w:pPr>
          </w:p>
        </w:tc>
      </w:tr>
    </w:tbl>
    <w:p>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pPr>
        <w:widowControl/>
        <w:spacing w:line="400" w:lineRule="exact"/>
        <w:jc w:val="center"/>
        <w:textAlignment w:val="center"/>
        <w:rPr>
          <w:rFonts w:ascii="Times New Roman" w:hAnsi="Times New Roman" w:eastAsia="黑体"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蓝山县退役军人事务局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2"/>
        <w:tblW w:w="14220" w:type="dxa"/>
        <w:jc w:val="center"/>
        <w:tblInd w:w="0" w:type="dxa"/>
        <w:tblLayout w:type="fixed"/>
        <w:tblCellMar>
          <w:top w:w="0" w:type="dxa"/>
          <w:left w:w="108" w:type="dxa"/>
          <w:bottom w:w="0" w:type="dxa"/>
          <w:right w:w="108" w:type="dxa"/>
        </w:tblCellMar>
      </w:tblPr>
      <w:tblGrid>
        <w:gridCol w:w="3516"/>
        <w:gridCol w:w="616"/>
        <w:gridCol w:w="931"/>
        <w:gridCol w:w="2856"/>
        <w:gridCol w:w="616"/>
        <w:gridCol w:w="931"/>
        <w:gridCol w:w="1660"/>
        <w:gridCol w:w="1495"/>
        <w:gridCol w:w="1599"/>
      </w:tblGrid>
      <w:tr>
        <w:tblPrEx>
          <w:tblLayout w:type="fixed"/>
          <w:tblCellMar>
            <w:top w:w="0" w:type="dxa"/>
            <w:left w:w="108" w:type="dxa"/>
            <w:bottom w:w="0" w:type="dxa"/>
            <w:right w:w="108" w:type="dxa"/>
          </w:tblCellMar>
        </w:tblPrEx>
        <w:trPr>
          <w:trHeight w:val="402" w:hRule="atLeast"/>
          <w:jc w:val="center"/>
        </w:trPr>
        <w:tc>
          <w:tcPr>
            <w:tcW w:w="5063"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157" w:type="dxa"/>
            <w:gridSpan w:val="6"/>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tblPrEx>
          <w:tblLayout w:type="fixed"/>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4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59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59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4420.68</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eastAsia="zh-CN"/>
              </w:rPr>
              <w:t>八、社会保障和就业支出</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4070.64</w:t>
            </w: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both"/>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4070.64</w:t>
            </w:r>
          </w:p>
        </w:tc>
        <w:tc>
          <w:tcPr>
            <w:tcW w:w="14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9"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931"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eastAsia="zh-CN"/>
              </w:rPr>
              <w:t>九、卫生健康支出</w:t>
            </w: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350.04</w:t>
            </w: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350.04</w:t>
            </w:r>
            <w:r>
              <w:rPr>
                <w:rFonts w:ascii="Times New Roman" w:hAnsi="Times New Roman" w:eastAsia="仿宋_GB2312" w:cs="Times New Roman"/>
                <w:kern w:val="0"/>
                <w:sz w:val="22"/>
              </w:rPr>
              <w:t>　</w:t>
            </w:r>
          </w:p>
        </w:tc>
        <w:tc>
          <w:tcPr>
            <w:tcW w:w="14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9"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4420.68</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4420.68</w:t>
            </w: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4420.68</w:t>
            </w:r>
            <w:r>
              <w:rPr>
                <w:rFonts w:ascii="Times New Roman" w:hAnsi="Times New Roman" w:eastAsia="仿宋_GB2312" w:cs="Times New Roman"/>
                <w:kern w:val="0"/>
                <w:sz w:val="22"/>
              </w:rPr>
              <w:t>　</w:t>
            </w:r>
          </w:p>
        </w:tc>
        <w:tc>
          <w:tcPr>
            <w:tcW w:w="14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9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9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tblPrEx>
          <w:tblLayout w:type="fixed"/>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931" w:type="dxa"/>
            <w:tcBorders>
              <w:top w:val="nil"/>
              <w:left w:val="nil"/>
              <w:bottom w:val="single" w:color="auto" w:sz="4" w:space="0"/>
              <w:right w:val="single" w:color="auto" w:sz="4" w:space="0"/>
            </w:tcBorders>
            <w:shd w:val="clear" w:color="auto" w:fill="auto"/>
            <w:vAlign w:val="center"/>
          </w:tcPr>
          <w:p>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4420.68</w:t>
            </w:r>
            <w:r>
              <w:rPr>
                <w:rFonts w:ascii="Times New Roman" w:hAnsi="Times New Roman" w:eastAsia="仿宋_GB2312" w:cs="Times New Roman"/>
                <w:kern w:val="0"/>
                <w:sz w:val="22"/>
              </w:rPr>
              <w:t>　</w:t>
            </w:r>
          </w:p>
        </w:tc>
        <w:tc>
          <w:tcPr>
            <w:tcW w:w="285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931" w:type="dxa"/>
            <w:tcBorders>
              <w:top w:val="nil"/>
              <w:left w:val="nil"/>
              <w:bottom w:val="single" w:color="auto" w:sz="4" w:space="0"/>
              <w:right w:val="single" w:color="auto" w:sz="4" w:space="0"/>
            </w:tcBorders>
            <w:shd w:val="clear" w:color="000000" w:fill="FFFFFF"/>
            <w:vAlign w:val="center"/>
          </w:tcPr>
          <w:p>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4420.68</w:t>
            </w:r>
            <w:r>
              <w:rPr>
                <w:rFonts w:ascii="Times New Roman" w:hAnsi="Times New Roman" w:eastAsia="仿宋_GB2312" w:cs="Times New Roman"/>
                <w:kern w:val="0"/>
                <w:sz w:val="22"/>
              </w:rPr>
              <w:t>　</w:t>
            </w:r>
          </w:p>
        </w:tc>
        <w:tc>
          <w:tcPr>
            <w:tcW w:w="1660" w:type="dxa"/>
            <w:tcBorders>
              <w:top w:val="nil"/>
              <w:left w:val="nil"/>
              <w:bottom w:val="single" w:color="auto" w:sz="4" w:space="0"/>
              <w:right w:val="single" w:color="auto" w:sz="4" w:space="0"/>
            </w:tcBorders>
            <w:shd w:val="clear" w:color="000000" w:fill="FFFFFF"/>
            <w:vAlign w:val="center"/>
          </w:tcPr>
          <w:p>
            <w:pPr>
              <w:widowControl/>
              <w:jc w:val="both"/>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4420.68</w:t>
            </w:r>
            <w:r>
              <w:rPr>
                <w:rFonts w:ascii="Times New Roman" w:hAnsi="Times New Roman" w:eastAsia="仿宋_GB2312" w:cs="Times New Roman"/>
                <w:kern w:val="0"/>
                <w:sz w:val="22"/>
              </w:rPr>
              <w:t>　</w:t>
            </w:r>
          </w:p>
        </w:tc>
        <w:tc>
          <w:tcPr>
            <w:tcW w:w="1495"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59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pPr>
        <w:widowControl/>
        <w:jc w:val="center"/>
        <w:rPr>
          <w:rFonts w:ascii="Times New Roman" w:hAnsi="Times New Roman" w:eastAsia="方正小标宋_GBK" w:cs="Times New Roman"/>
          <w:kern w:val="0"/>
          <w:sz w:val="36"/>
          <w:szCs w:val="36"/>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蓝山县退役军人事务局</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2"/>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Layout w:type="fixed"/>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4420.68</w:t>
            </w: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397.48</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4023.20</w:t>
            </w: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eastAsia="zh-CN"/>
              </w:rPr>
              <w:t>行政单位离退休</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0.03</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0.03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2080505</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26.35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26.35</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2080599</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其他行政事业单位养老支出</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0.90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0.90</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2080801</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死亡抚恤</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143.03</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0.83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142.20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2080802</w:t>
            </w: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伤残抚恤</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750.89</w:t>
            </w:r>
          </w:p>
        </w:tc>
        <w:tc>
          <w:tcPr>
            <w:tcW w:w="3492" w:type="dxa"/>
            <w:tcBorders>
              <w:top w:val="nil"/>
              <w:left w:val="nil"/>
              <w:bottom w:val="single" w:color="auto" w:sz="4" w:space="0"/>
              <w:right w:val="single" w:color="auto" w:sz="4" w:space="0"/>
            </w:tcBorders>
            <w:shd w:val="clear" w:color="auto" w:fill="auto"/>
            <w:vAlign w:val="center"/>
          </w:tcPr>
          <w:p>
            <w:pPr>
              <w:widowControl/>
              <w:ind w:firstLine="1260" w:firstLineChars="6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0.57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750.32</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2080803</w:t>
            </w:r>
            <w:r>
              <w:rPr>
                <w:rFonts w:ascii="Times New Roman" w:hAnsi="Times New Roman" w:eastAsia="仿宋_GB2312" w:cs="Times New Roman"/>
                <w:kern w:val="0"/>
                <w:szCs w:val="21"/>
              </w:rPr>
              <w:t>　</w:t>
            </w:r>
          </w:p>
        </w:tc>
        <w:tc>
          <w:tcPr>
            <w:tcW w:w="3527" w:type="dxa"/>
            <w:tcBorders>
              <w:top w:val="nil"/>
              <w:left w:val="nil"/>
              <w:bottom w:val="nil"/>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eastAsia="zh-CN"/>
              </w:rPr>
              <w:t>在乡复员、退伍军人生活补助</w:t>
            </w:r>
            <w:r>
              <w:rPr>
                <w:rFonts w:ascii="Times New Roman" w:hAnsi="Times New Roman" w:eastAsia="仿宋_GB2312" w:cs="Times New Roman"/>
                <w:kern w:val="0"/>
                <w:szCs w:val="21"/>
              </w:rPr>
              <w:t>　</w:t>
            </w:r>
          </w:p>
        </w:tc>
        <w:tc>
          <w:tcPr>
            <w:tcW w:w="3000"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133.16</w:t>
            </w:r>
          </w:p>
        </w:tc>
        <w:tc>
          <w:tcPr>
            <w:tcW w:w="3492" w:type="dxa"/>
            <w:tcBorders>
              <w:top w:val="nil"/>
              <w:left w:val="nil"/>
              <w:bottom w:val="nil"/>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nil"/>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 xml:space="preserve">         133.16</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2080805</w:t>
            </w:r>
          </w:p>
        </w:tc>
        <w:tc>
          <w:tcPr>
            <w:tcW w:w="3527" w:type="dxa"/>
            <w:tcBorders>
              <w:top w:val="nil"/>
              <w:left w:val="nil"/>
              <w:bottom w:val="nil"/>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义务兵优待</w:t>
            </w:r>
          </w:p>
        </w:tc>
        <w:tc>
          <w:tcPr>
            <w:tcW w:w="3000" w:type="dxa"/>
            <w:tcBorders>
              <w:top w:val="nil"/>
              <w:left w:val="nil"/>
              <w:bottom w:val="nil"/>
              <w:right w:val="single" w:color="auto" w:sz="4" w:space="0"/>
            </w:tcBorders>
            <w:shd w:val="clear" w:color="auto" w:fill="auto"/>
            <w:vAlign w:val="center"/>
          </w:tcPr>
          <w:p>
            <w:pPr>
              <w:widowControl/>
              <w:ind w:firstLine="840" w:firstLineChars="4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354.90</w:t>
            </w:r>
          </w:p>
        </w:tc>
        <w:tc>
          <w:tcPr>
            <w:tcW w:w="3492" w:type="dxa"/>
            <w:tcBorders>
              <w:top w:val="nil"/>
              <w:left w:val="nil"/>
              <w:bottom w:val="nil"/>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nil"/>
              <w:right w:val="single" w:color="auto" w:sz="8" w:space="0"/>
            </w:tcBorders>
            <w:shd w:val="clear" w:color="auto" w:fill="auto"/>
            <w:vAlign w:val="center"/>
          </w:tcPr>
          <w:p>
            <w:pPr>
              <w:widowControl/>
              <w:ind w:firstLine="1260" w:firstLineChars="6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354.90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2080806</w:t>
            </w:r>
          </w:p>
        </w:tc>
        <w:tc>
          <w:tcPr>
            <w:tcW w:w="3527" w:type="dxa"/>
            <w:tcBorders>
              <w:top w:val="nil"/>
              <w:left w:val="nil"/>
              <w:bottom w:val="nil"/>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农村籍退役士兵老年生活补助</w:t>
            </w:r>
          </w:p>
        </w:tc>
        <w:tc>
          <w:tcPr>
            <w:tcW w:w="3000" w:type="dxa"/>
            <w:tcBorders>
              <w:top w:val="nil"/>
              <w:left w:val="nil"/>
              <w:bottom w:val="nil"/>
              <w:right w:val="single" w:color="auto" w:sz="4" w:space="0"/>
            </w:tcBorders>
            <w:shd w:val="clear" w:color="auto" w:fill="auto"/>
            <w:vAlign w:val="center"/>
          </w:tcPr>
          <w:p>
            <w:pPr>
              <w:widowControl/>
              <w:ind w:firstLine="840" w:firstLineChars="4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723.40</w:t>
            </w:r>
          </w:p>
        </w:tc>
        <w:tc>
          <w:tcPr>
            <w:tcW w:w="3492" w:type="dxa"/>
            <w:tcBorders>
              <w:top w:val="nil"/>
              <w:left w:val="nil"/>
              <w:bottom w:val="nil"/>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nil"/>
              <w:right w:val="single" w:color="auto" w:sz="8" w:space="0"/>
            </w:tcBorders>
            <w:shd w:val="clear" w:color="auto" w:fill="auto"/>
            <w:vAlign w:val="center"/>
          </w:tcPr>
          <w:p>
            <w:pPr>
              <w:widowControl/>
              <w:ind w:firstLine="1260" w:firstLineChars="6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723.40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2080808</w:t>
            </w:r>
          </w:p>
        </w:tc>
        <w:tc>
          <w:tcPr>
            <w:tcW w:w="3527" w:type="dxa"/>
            <w:tcBorders>
              <w:top w:val="nil"/>
              <w:left w:val="nil"/>
              <w:bottom w:val="nil"/>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褒扬纪念</w:t>
            </w:r>
          </w:p>
        </w:tc>
        <w:tc>
          <w:tcPr>
            <w:tcW w:w="3000" w:type="dxa"/>
            <w:tcBorders>
              <w:top w:val="nil"/>
              <w:left w:val="nil"/>
              <w:bottom w:val="nil"/>
              <w:right w:val="single" w:color="auto" w:sz="4" w:space="0"/>
            </w:tcBorders>
            <w:shd w:val="clear" w:color="auto" w:fill="auto"/>
            <w:vAlign w:val="center"/>
          </w:tcPr>
          <w:p>
            <w:pPr>
              <w:widowControl/>
              <w:ind w:firstLine="840" w:firstLineChars="4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0.36</w:t>
            </w:r>
          </w:p>
        </w:tc>
        <w:tc>
          <w:tcPr>
            <w:tcW w:w="3492" w:type="dxa"/>
            <w:tcBorders>
              <w:top w:val="nil"/>
              <w:left w:val="nil"/>
              <w:bottom w:val="nil"/>
              <w:right w:val="single" w:color="auto" w:sz="4" w:space="0"/>
            </w:tcBorders>
            <w:shd w:val="clear" w:color="auto" w:fill="auto"/>
            <w:vAlign w:val="center"/>
          </w:tcPr>
          <w:p>
            <w:pPr>
              <w:widowControl/>
              <w:ind w:firstLine="1260" w:firstLineChars="6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0.36</w:t>
            </w:r>
          </w:p>
        </w:tc>
        <w:tc>
          <w:tcPr>
            <w:tcW w:w="3000" w:type="dxa"/>
            <w:tcBorders>
              <w:top w:val="nil"/>
              <w:left w:val="nil"/>
              <w:bottom w:val="nil"/>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2080899</w:t>
            </w:r>
          </w:p>
        </w:tc>
        <w:tc>
          <w:tcPr>
            <w:tcW w:w="3527" w:type="dxa"/>
            <w:tcBorders>
              <w:top w:val="nil"/>
              <w:left w:val="nil"/>
              <w:bottom w:val="nil"/>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其他优抚支出</w:t>
            </w:r>
          </w:p>
        </w:tc>
        <w:tc>
          <w:tcPr>
            <w:tcW w:w="3000" w:type="dxa"/>
            <w:tcBorders>
              <w:top w:val="nil"/>
              <w:left w:val="nil"/>
              <w:bottom w:val="nil"/>
              <w:right w:val="single" w:color="auto" w:sz="4" w:space="0"/>
            </w:tcBorders>
            <w:shd w:val="clear" w:color="auto" w:fill="auto"/>
            <w:vAlign w:val="center"/>
          </w:tcPr>
          <w:p>
            <w:pPr>
              <w:widowControl/>
              <w:ind w:firstLine="630" w:firstLineChars="3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1174.90</w:t>
            </w:r>
          </w:p>
        </w:tc>
        <w:tc>
          <w:tcPr>
            <w:tcW w:w="3492" w:type="dxa"/>
            <w:tcBorders>
              <w:top w:val="nil"/>
              <w:left w:val="nil"/>
              <w:bottom w:val="nil"/>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nil"/>
              <w:right w:val="single" w:color="auto" w:sz="8" w:space="0"/>
            </w:tcBorders>
            <w:shd w:val="clear" w:color="auto" w:fill="auto"/>
            <w:vAlign w:val="center"/>
          </w:tcPr>
          <w:p>
            <w:pPr>
              <w:widowControl/>
              <w:ind w:firstLine="1050" w:firstLineChars="500"/>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1174.90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2080901</w:t>
            </w:r>
          </w:p>
        </w:tc>
        <w:tc>
          <w:tcPr>
            <w:tcW w:w="3527" w:type="dxa"/>
            <w:tcBorders>
              <w:top w:val="nil"/>
              <w:left w:val="nil"/>
              <w:bottom w:val="nil"/>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退役士兵安置</w:t>
            </w:r>
          </w:p>
        </w:tc>
        <w:tc>
          <w:tcPr>
            <w:tcW w:w="3000"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185.83</w:t>
            </w:r>
          </w:p>
        </w:tc>
        <w:tc>
          <w:tcPr>
            <w:tcW w:w="3492"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5.83</w:t>
            </w:r>
          </w:p>
        </w:tc>
        <w:tc>
          <w:tcPr>
            <w:tcW w:w="3000" w:type="dxa"/>
            <w:tcBorders>
              <w:top w:val="nil"/>
              <w:left w:val="nil"/>
              <w:bottom w:val="nil"/>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180.00</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2080902</w:t>
            </w:r>
          </w:p>
        </w:tc>
        <w:tc>
          <w:tcPr>
            <w:tcW w:w="3527" w:type="dxa"/>
            <w:tcBorders>
              <w:top w:val="nil"/>
              <w:left w:val="nil"/>
              <w:bottom w:val="nil"/>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军队移交政府的离退休人员安置</w:t>
            </w:r>
          </w:p>
        </w:tc>
        <w:tc>
          <w:tcPr>
            <w:tcW w:w="3000"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56.35</w:t>
            </w:r>
          </w:p>
        </w:tc>
        <w:tc>
          <w:tcPr>
            <w:tcW w:w="3492" w:type="dxa"/>
            <w:tcBorders>
              <w:top w:val="nil"/>
              <w:left w:val="nil"/>
              <w:bottom w:val="nil"/>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nil"/>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56.35</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2080903</w:t>
            </w:r>
          </w:p>
        </w:tc>
        <w:tc>
          <w:tcPr>
            <w:tcW w:w="3527" w:type="dxa"/>
            <w:tcBorders>
              <w:top w:val="nil"/>
              <w:left w:val="nil"/>
              <w:bottom w:val="nil"/>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军队移交政府离退休干部管理机构</w:t>
            </w:r>
          </w:p>
        </w:tc>
        <w:tc>
          <w:tcPr>
            <w:tcW w:w="3000"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2.14</w:t>
            </w:r>
          </w:p>
        </w:tc>
        <w:tc>
          <w:tcPr>
            <w:tcW w:w="3492"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2.14</w:t>
            </w:r>
          </w:p>
        </w:tc>
        <w:tc>
          <w:tcPr>
            <w:tcW w:w="3000" w:type="dxa"/>
            <w:tcBorders>
              <w:top w:val="nil"/>
              <w:left w:val="nil"/>
              <w:bottom w:val="nil"/>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2080904</w:t>
            </w:r>
          </w:p>
        </w:tc>
        <w:tc>
          <w:tcPr>
            <w:tcW w:w="3527" w:type="dxa"/>
            <w:tcBorders>
              <w:top w:val="nil"/>
              <w:left w:val="nil"/>
              <w:bottom w:val="nil"/>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退役士兵管理教育</w:t>
            </w:r>
          </w:p>
        </w:tc>
        <w:tc>
          <w:tcPr>
            <w:tcW w:w="3000"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9.14</w:t>
            </w:r>
          </w:p>
        </w:tc>
        <w:tc>
          <w:tcPr>
            <w:tcW w:w="3492" w:type="dxa"/>
            <w:tcBorders>
              <w:top w:val="nil"/>
              <w:left w:val="nil"/>
              <w:bottom w:val="nil"/>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nil"/>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9.14</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2080905</w:t>
            </w:r>
          </w:p>
        </w:tc>
        <w:tc>
          <w:tcPr>
            <w:tcW w:w="3527" w:type="dxa"/>
            <w:tcBorders>
              <w:top w:val="nil"/>
              <w:left w:val="nil"/>
              <w:bottom w:val="nil"/>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军队转业干部安置</w:t>
            </w:r>
          </w:p>
        </w:tc>
        <w:tc>
          <w:tcPr>
            <w:tcW w:w="3000"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67.03</w:t>
            </w:r>
          </w:p>
        </w:tc>
        <w:tc>
          <w:tcPr>
            <w:tcW w:w="3492"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67.03</w:t>
            </w:r>
          </w:p>
        </w:tc>
        <w:tc>
          <w:tcPr>
            <w:tcW w:w="3000" w:type="dxa"/>
            <w:tcBorders>
              <w:top w:val="nil"/>
              <w:left w:val="nil"/>
              <w:bottom w:val="nil"/>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2080999</w:t>
            </w:r>
          </w:p>
        </w:tc>
        <w:tc>
          <w:tcPr>
            <w:tcW w:w="3527" w:type="dxa"/>
            <w:tcBorders>
              <w:top w:val="nil"/>
              <w:left w:val="nil"/>
              <w:bottom w:val="nil"/>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其他退役安置支出</w:t>
            </w:r>
          </w:p>
        </w:tc>
        <w:tc>
          <w:tcPr>
            <w:tcW w:w="3000"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3.19</w:t>
            </w:r>
          </w:p>
        </w:tc>
        <w:tc>
          <w:tcPr>
            <w:tcW w:w="3492"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3.19</w:t>
            </w:r>
          </w:p>
        </w:tc>
        <w:tc>
          <w:tcPr>
            <w:tcW w:w="3000" w:type="dxa"/>
            <w:tcBorders>
              <w:top w:val="nil"/>
              <w:left w:val="nil"/>
              <w:bottom w:val="nil"/>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2082801</w:t>
            </w:r>
          </w:p>
        </w:tc>
        <w:tc>
          <w:tcPr>
            <w:tcW w:w="3527" w:type="dxa"/>
            <w:tcBorders>
              <w:top w:val="nil"/>
              <w:left w:val="nil"/>
              <w:bottom w:val="nil"/>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行政运行</w:t>
            </w:r>
          </w:p>
        </w:tc>
        <w:tc>
          <w:tcPr>
            <w:tcW w:w="3000"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267.87</w:t>
            </w:r>
          </w:p>
        </w:tc>
        <w:tc>
          <w:tcPr>
            <w:tcW w:w="3492"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267.87</w:t>
            </w:r>
          </w:p>
        </w:tc>
        <w:tc>
          <w:tcPr>
            <w:tcW w:w="3000" w:type="dxa"/>
            <w:tcBorders>
              <w:top w:val="nil"/>
              <w:left w:val="nil"/>
              <w:bottom w:val="nil"/>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2082804</w:t>
            </w:r>
          </w:p>
        </w:tc>
        <w:tc>
          <w:tcPr>
            <w:tcW w:w="3527" w:type="dxa"/>
            <w:tcBorders>
              <w:top w:val="nil"/>
              <w:left w:val="nil"/>
              <w:bottom w:val="nil"/>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拥军优属</w:t>
            </w:r>
          </w:p>
        </w:tc>
        <w:tc>
          <w:tcPr>
            <w:tcW w:w="3000"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156.79</w:t>
            </w:r>
          </w:p>
        </w:tc>
        <w:tc>
          <w:tcPr>
            <w:tcW w:w="3492" w:type="dxa"/>
            <w:tcBorders>
              <w:top w:val="nil"/>
              <w:left w:val="nil"/>
              <w:bottom w:val="nil"/>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nil"/>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156.79</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2082899</w:t>
            </w:r>
          </w:p>
        </w:tc>
        <w:tc>
          <w:tcPr>
            <w:tcW w:w="3527" w:type="dxa"/>
            <w:tcBorders>
              <w:top w:val="nil"/>
              <w:left w:val="nil"/>
              <w:bottom w:val="nil"/>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其他退役军人事务管理支出</w:t>
            </w:r>
          </w:p>
        </w:tc>
        <w:tc>
          <w:tcPr>
            <w:tcW w:w="3000"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14.39</w:t>
            </w:r>
          </w:p>
        </w:tc>
        <w:tc>
          <w:tcPr>
            <w:tcW w:w="3492"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14.39</w:t>
            </w:r>
          </w:p>
        </w:tc>
        <w:tc>
          <w:tcPr>
            <w:tcW w:w="3000" w:type="dxa"/>
            <w:tcBorders>
              <w:top w:val="nil"/>
              <w:left w:val="nil"/>
              <w:bottom w:val="nil"/>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2101101</w:t>
            </w:r>
          </w:p>
        </w:tc>
        <w:tc>
          <w:tcPr>
            <w:tcW w:w="3527" w:type="dxa"/>
            <w:tcBorders>
              <w:top w:val="nil"/>
              <w:left w:val="nil"/>
              <w:bottom w:val="nil"/>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行政单位医疗</w:t>
            </w:r>
          </w:p>
        </w:tc>
        <w:tc>
          <w:tcPr>
            <w:tcW w:w="3000"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8.00</w:t>
            </w:r>
          </w:p>
        </w:tc>
        <w:tc>
          <w:tcPr>
            <w:tcW w:w="3492" w:type="dxa"/>
            <w:tcBorders>
              <w:top w:val="nil"/>
              <w:left w:val="nil"/>
              <w:bottom w:val="nil"/>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8.00</w:t>
            </w:r>
          </w:p>
        </w:tc>
        <w:tc>
          <w:tcPr>
            <w:tcW w:w="3000" w:type="dxa"/>
            <w:tcBorders>
              <w:top w:val="nil"/>
              <w:left w:val="nil"/>
              <w:bottom w:val="nil"/>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lang w:val="en-US" w:eastAsia="zh-CN"/>
              </w:rPr>
            </w:pP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2101401</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eastAsia="zh-CN"/>
              </w:rPr>
              <w:t>优抚对象医疗补助</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342.04</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 xml:space="preserve">           342.04</w:t>
            </w:r>
          </w:p>
        </w:tc>
      </w:tr>
    </w:tbl>
    <w:p>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蓝山县退役军人事务局</w:t>
      </w:r>
      <w:r>
        <w:rPr>
          <w:rFonts w:ascii="Times New Roman" w:hAnsi="Times New Roman" w:eastAsia="仿宋_GB2312" w:cs="Times New Roman"/>
          <w:color w:val="000000"/>
          <w:kern w:val="0"/>
          <w:szCs w:val="21"/>
        </w:rPr>
        <w:t xml:space="preserve">                                                                                                                公开06表</w:t>
      </w:r>
    </w:p>
    <w:p>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2"/>
        <w:tblW w:w="14627" w:type="dxa"/>
        <w:jc w:val="center"/>
        <w:tblInd w:w="0" w:type="dxa"/>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tblPrEx>
          <w:tblLayout w:type="fixed"/>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270.03</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2270.03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39.39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95.88</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5.99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16.84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69.77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7.37</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36.83</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0.60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26.35</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1.96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0.25</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14.24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6.08</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0.96</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0.32</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88.06</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0.30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5.49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1.19</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58.25</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1.70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2.71</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0.29</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0.19</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Layout w:type="fixed"/>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bl>
            <w:tblPr>
              <w:tblStyle w:val="12"/>
              <w:tblW w:w="3946" w:type="dxa"/>
              <w:tblInd w:w="0" w:type="dxa"/>
              <w:tblLayout w:type="fixed"/>
              <w:tblCellMar>
                <w:top w:w="0" w:type="dxa"/>
                <w:left w:w="108" w:type="dxa"/>
                <w:bottom w:w="0" w:type="dxa"/>
                <w:right w:w="108" w:type="dxa"/>
              </w:tblCellMar>
            </w:tblPr>
            <w:tblGrid>
              <w:gridCol w:w="3946"/>
            </w:tblGrid>
            <w:tr>
              <w:tblPrEx>
                <w:tblLayout w:type="fixed"/>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tblPrEx>
                <w:tblLayout w:type="fixed"/>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1.23</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8.63</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25.4</w:t>
            </w: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0.00</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11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3.92</w:t>
            </w:r>
            <w:r>
              <w:rPr>
                <w:rFonts w:ascii="Times New Roman" w:hAnsi="Times New Roman" w:eastAsia="仿宋_GB2312" w:cs="Times New Roman"/>
                <w:color w:val="000000"/>
                <w:kern w:val="0"/>
                <w:szCs w:val="20"/>
              </w:rPr>
              <w:t>　</w:t>
            </w:r>
          </w:p>
        </w:tc>
        <w:tc>
          <w:tcPr>
            <w:tcW w:w="12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tblPrEx>
          <w:tblLayout w:type="fixed"/>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358.09</w:t>
            </w: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39.39</w:t>
            </w:r>
          </w:p>
        </w:tc>
      </w:tr>
    </w:tbl>
    <w:p>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pPr>
        <w:widowControl/>
        <w:spacing w:line="400" w:lineRule="exact"/>
        <w:jc w:val="center"/>
        <w:textAlignment w:val="center"/>
        <w:rPr>
          <w:rFonts w:ascii="Times New Roman" w:hAnsi="Times New Roman" w:eastAsia="仿宋_GB2312"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蓝山县退役军人事务局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326" w:type="dxa"/>
        <w:jc w:val="center"/>
        <w:tblInd w:w="0" w:type="dxa"/>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tblPrEx>
          <w:tblLayout w:type="fixed"/>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tblPrEx>
          <w:tblLayout w:type="fixed"/>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tblPrEx>
          <w:tblLayout w:type="fixed"/>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pPr>
        <w:widowControl/>
        <w:jc w:val="left"/>
        <w:textAlignment w:val="center"/>
        <w:rPr>
          <w:rFonts w:ascii="Times New Roman" w:hAnsi="Times New Roman" w:eastAsia="仿宋_GB2312" w:cs="Times New Roman"/>
          <w:color w:val="000000"/>
          <w:kern w:val="0"/>
          <w:sz w:val="24"/>
          <w:szCs w:val="24"/>
          <w:lang w:bidi="ar"/>
        </w:rPr>
      </w:pPr>
    </w:p>
    <w:p>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w:t>
      </w:r>
    </w:p>
    <w:p>
      <w:pPr>
        <w:widowControl/>
        <w:jc w:val="center"/>
        <w:rPr>
          <w:rFonts w:ascii="Times New Roman" w:hAnsi="Times New Roman" w:eastAsia="方正小标宋_GBK" w:cs="Times New Roman"/>
          <w:color w:val="000000"/>
          <w:kern w:val="0"/>
          <w:sz w:val="36"/>
          <w:szCs w:val="36"/>
        </w:rPr>
      </w:pPr>
    </w:p>
    <w:p>
      <w:pPr>
        <w:widowControl/>
        <w:spacing w:line="400" w:lineRule="exact"/>
        <w:textAlignment w:val="center"/>
        <w:rPr>
          <w:rFonts w:ascii="Times New Roman" w:hAnsi="Times New Roman" w:eastAsia="黑体" w:cs="Times New Roman"/>
          <w:color w:val="000000"/>
          <w:kern w:val="0"/>
          <w:sz w:val="36"/>
          <w:szCs w:val="36"/>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蓝山县退役军人事务局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2"/>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tblPrEx>
          <w:tblLayout w:type="fixed"/>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tblPrEx>
          <w:tblLayout w:type="fixed"/>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tblPrEx>
          <w:tblLayout w:type="fixed"/>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w:t>
            </w: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r>
        <w:tblPrEx>
          <w:tblLayout w:type="fixed"/>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宋体" w:cs="Times New Roman"/>
                <w:color w:val="000000"/>
                <w:sz w:val="24"/>
                <w:szCs w:val="24"/>
              </w:rPr>
            </w:pPr>
          </w:p>
        </w:tc>
      </w:tr>
    </w:tbl>
    <w:p>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pPr>
        <w:widowControl/>
        <w:jc w:val="left"/>
        <w:textAlignment w:val="center"/>
        <w:rPr>
          <w:rFonts w:ascii="Times New Roman" w:hAnsi="Times New Roman" w:eastAsia="宋体" w:cs="Times New Roman"/>
          <w:color w:val="000000"/>
          <w:kern w:val="0"/>
          <w:sz w:val="24"/>
          <w:szCs w:val="24"/>
          <w:lang w:bidi="ar"/>
        </w:rPr>
      </w:pPr>
    </w:p>
    <w:p>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pPr>
        <w:widowControl/>
        <w:jc w:val="center"/>
        <w:rPr>
          <w:rFonts w:ascii="Times New Roman" w:hAnsi="Times New Roman" w:eastAsia="方正小标宋_GBK" w:cs="Times New Roman"/>
          <w:color w:val="000000"/>
          <w:kern w:val="0"/>
          <w:sz w:val="36"/>
          <w:szCs w:val="36"/>
        </w:rPr>
      </w:pPr>
    </w:p>
    <w:p>
      <w:pPr>
        <w:pStyle w:val="9"/>
        <w:spacing w:line="400" w:lineRule="exact"/>
        <w:rPr>
          <w:rFonts w:ascii="Times New Roman" w:hAnsi="Times New Roman" w:eastAsia="华文中宋" w:cs="Times New Roman"/>
          <w:color w:val="000000"/>
          <w:kern w:val="0"/>
          <w:sz w:val="32"/>
          <w:szCs w:val="32"/>
          <w:lang w:bidi="ar"/>
        </w:rPr>
      </w:pPr>
    </w:p>
    <w:p>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蓝山县退役军人事务局</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2"/>
        <w:tblW w:w="14544" w:type="dxa"/>
        <w:jc w:val="center"/>
        <w:tblInd w:w="0" w:type="dxa"/>
        <w:tblLayout w:type="fixed"/>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tblPrEx>
          <w:tblLayout w:type="fixed"/>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tblPrEx>
          <w:tblLayout w:type="fixed"/>
          <w:tblCellMar>
            <w:top w:w="0" w:type="dxa"/>
            <w:left w:w="108" w:type="dxa"/>
            <w:bottom w:w="0" w:type="dxa"/>
            <w:right w:w="108" w:type="dxa"/>
          </w:tblCellMar>
        </w:tblPrEx>
        <w:trPr>
          <w:trHeight w:val="495" w:hRule="atLeast"/>
          <w:jc w:val="center"/>
        </w:trPr>
        <w:tc>
          <w:tcPr>
            <w:tcW w:w="9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tblPrEx>
          <w:tblLayout w:type="fixed"/>
          <w:tblCellMar>
            <w:top w:w="0" w:type="dxa"/>
            <w:left w:w="108" w:type="dxa"/>
            <w:bottom w:w="0" w:type="dxa"/>
            <w:right w:w="108" w:type="dxa"/>
          </w:tblCellMar>
        </w:tblPrEx>
        <w:trPr>
          <w:trHeight w:val="864" w:hRule="atLeast"/>
          <w:jc w:val="center"/>
        </w:trPr>
        <w:tc>
          <w:tcPr>
            <w:tcW w:w="9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仿宋_GB2312" w:cs="Times New Roman"/>
                <w:color w:val="000000"/>
                <w:sz w:val="22"/>
              </w:rPr>
            </w:pPr>
          </w:p>
        </w:tc>
      </w:tr>
      <w:tr>
        <w:tblPrEx>
          <w:tblLayout w:type="fixed"/>
          <w:tblCellMar>
            <w:top w:w="0" w:type="dxa"/>
            <w:left w:w="108" w:type="dxa"/>
            <w:bottom w:w="0" w:type="dxa"/>
            <w:right w:w="108" w:type="dxa"/>
          </w:tblCellMar>
        </w:tblPrEx>
        <w:trPr>
          <w:trHeight w:val="61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tblPrEx>
          <w:tblLayout w:type="fixed"/>
          <w:tblCellMar>
            <w:top w:w="0" w:type="dxa"/>
            <w:left w:w="108" w:type="dxa"/>
            <w:bottom w:w="0" w:type="dxa"/>
            <w:right w:w="108" w:type="dxa"/>
          </w:tblCellMar>
        </w:tblPrEx>
        <w:trPr>
          <w:trHeight w:val="579"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5.49</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5.49</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5.49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5.49</w:t>
            </w:r>
          </w:p>
        </w:tc>
      </w:tr>
    </w:tbl>
    <w:p>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autoSpaceDE w:val="0"/>
        <w:autoSpaceDN w:val="0"/>
        <w:adjustRightInd w:val="0"/>
        <w:ind w:left="315" w:leftChars="150"/>
        <w:jc w:val="left"/>
        <w:rPr>
          <w:rFonts w:ascii="Times New Roman" w:hAnsi="Times New Roman" w:eastAsia="宋体" w:cs="Times New Roman"/>
          <w:kern w:val="0"/>
          <w:sz w:val="24"/>
          <w:szCs w:val="24"/>
        </w:rPr>
      </w:pPr>
    </w:p>
    <w:p>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eastAsia="方正小标宋_GBK"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4420.68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318.6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7.77</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pacing w:val="0"/>
          <w:sz w:val="32"/>
          <w:szCs w:val="32"/>
          <w:lang w:eastAsia="zh-CN"/>
        </w:rPr>
        <w:t>项目支出增加。</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4420.68</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4420.68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4420.68</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397.48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8.99</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4023.20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91.01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4420.68</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318.6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7.77</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pacing w:val="0"/>
          <w:sz w:val="32"/>
          <w:szCs w:val="32"/>
          <w:lang w:eastAsia="zh-CN"/>
        </w:rPr>
        <w:t>项目支出增加。</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4420.68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318.6</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7.77</w:t>
      </w:r>
      <w:r>
        <w:rPr>
          <w:rFonts w:ascii="Times New Roman" w:hAnsi="Times New Roman" w:eastAsia="仿宋_GB2312" w:cs="Times New Roman"/>
          <w:sz w:val="32"/>
          <w:szCs w:val="32"/>
        </w:rPr>
        <w:t>%，主要是因为</w:t>
      </w:r>
      <w:r>
        <w:rPr>
          <w:rFonts w:hint="eastAsia" w:ascii="Times New Roman" w:hAnsi="Times New Roman" w:eastAsia="仿宋_GB2312" w:cs="Times New Roman"/>
          <w:color w:val="auto"/>
          <w:spacing w:val="0"/>
          <w:sz w:val="32"/>
          <w:szCs w:val="32"/>
          <w:lang w:eastAsia="zh-CN"/>
        </w:rPr>
        <w:t>项目支出增加。</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4420.68</w:t>
      </w:r>
      <w:r>
        <w:rPr>
          <w:rFonts w:ascii="Times New Roman" w:hAnsi="Times New Roman" w:eastAsia="仿宋_GB2312" w:cs="Times New Roman"/>
          <w:sz w:val="32"/>
          <w:szCs w:val="32"/>
        </w:rPr>
        <w:t>万元，主要用于以下方面：</w:t>
      </w:r>
      <w:r>
        <w:rPr>
          <w:rFonts w:hint="default" w:ascii="Times New Roman" w:hAnsi="Times New Roman" w:eastAsia="仿宋_GB2312" w:cs="Times New Roman"/>
          <w:color w:val="auto"/>
          <w:spacing w:val="0"/>
          <w:sz w:val="32"/>
          <w:szCs w:val="32"/>
        </w:rPr>
        <w:t>社会保障和就业（类）支出</w:t>
      </w:r>
      <w:r>
        <w:rPr>
          <w:rFonts w:hint="eastAsia" w:ascii="Times New Roman" w:hAnsi="Times New Roman" w:eastAsia="仿宋_GB2312" w:cs="Times New Roman"/>
          <w:color w:val="auto"/>
          <w:spacing w:val="0"/>
          <w:sz w:val="32"/>
          <w:szCs w:val="32"/>
          <w:lang w:val="en-US" w:eastAsia="zh-CN"/>
        </w:rPr>
        <w:t>4070.64</w:t>
      </w:r>
      <w:r>
        <w:rPr>
          <w:rFonts w:hint="default" w:ascii="Times New Roman" w:hAnsi="Times New Roman" w:eastAsia="仿宋_GB2312" w:cs="Times New Roman"/>
          <w:color w:val="auto"/>
          <w:spacing w:val="0"/>
          <w:sz w:val="32"/>
          <w:szCs w:val="32"/>
        </w:rPr>
        <w:t>万元，占</w:t>
      </w:r>
      <w:r>
        <w:rPr>
          <w:rFonts w:hint="eastAsia" w:ascii="Times New Roman" w:hAnsi="Times New Roman" w:eastAsia="仿宋_GB2312" w:cs="Times New Roman"/>
          <w:color w:val="auto"/>
          <w:spacing w:val="0"/>
          <w:sz w:val="32"/>
          <w:szCs w:val="32"/>
          <w:lang w:val="en-US" w:eastAsia="zh-CN"/>
        </w:rPr>
        <w:t>92.08</w:t>
      </w:r>
      <w:r>
        <w:rPr>
          <w:rFonts w:hint="default" w:ascii="Times New Roman" w:hAnsi="Times New Roman" w:eastAsia="仿宋_GB2312" w:cs="Times New Roman"/>
          <w:color w:val="auto"/>
          <w:spacing w:val="0"/>
          <w:sz w:val="32"/>
          <w:szCs w:val="32"/>
        </w:rPr>
        <w:t>%；卫生健康（类）支出</w:t>
      </w:r>
      <w:r>
        <w:rPr>
          <w:rFonts w:hint="eastAsia" w:ascii="Times New Roman" w:hAnsi="Times New Roman" w:eastAsia="仿宋_GB2312" w:cs="Times New Roman"/>
          <w:color w:val="auto"/>
          <w:spacing w:val="0"/>
          <w:sz w:val="32"/>
          <w:szCs w:val="32"/>
          <w:lang w:val="en-US" w:eastAsia="zh-CN"/>
        </w:rPr>
        <w:t>350.04</w:t>
      </w:r>
      <w:r>
        <w:rPr>
          <w:rFonts w:hint="default" w:ascii="Times New Roman" w:hAnsi="Times New Roman" w:eastAsia="仿宋_GB2312" w:cs="Times New Roman"/>
          <w:color w:val="auto"/>
          <w:spacing w:val="0"/>
          <w:sz w:val="32"/>
          <w:szCs w:val="32"/>
        </w:rPr>
        <w:t>万元，占</w:t>
      </w:r>
      <w:r>
        <w:rPr>
          <w:rFonts w:hint="eastAsia" w:ascii="Times New Roman" w:hAnsi="Times New Roman" w:eastAsia="仿宋_GB2312" w:cs="Times New Roman"/>
          <w:color w:val="auto"/>
          <w:spacing w:val="0"/>
          <w:sz w:val="32"/>
          <w:szCs w:val="32"/>
          <w:lang w:val="en-US" w:eastAsia="zh-CN"/>
        </w:rPr>
        <w:t>7.92</w:t>
      </w:r>
      <w:r>
        <w:rPr>
          <w:rFonts w:hint="default" w:ascii="Times New Roman" w:hAnsi="Times New Roman" w:eastAsia="仿宋_GB2312" w:cs="Times New Roman"/>
          <w:color w:val="auto"/>
          <w:spacing w:val="0"/>
          <w:sz w:val="32"/>
          <w:szCs w:val="32"/>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4420.68</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4420.68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1、社会保障和就业（类）抚</w:t>
      </w:r>
      <w:r>
        <w:rPr>
          <w:rFonts w:hint="default" w:ascii="Times New Roman" w:hAnsi="Times New Roman" w:eastAsia="仿宋_GB2312" w:cs="Times New Roman"/>
          <w:color w:val="auto"/>
          <w:spacing w:val="0"/>
          <w:sz w:val="32"/>
          <w:szCs w:val="32"/>
          <w:lang w:eastAsia="zh-CN"/>
        </w:rPr>
        <w:t>恤</w:t>
      </w:r>
      <w:r>
        <w:rPr>
          <w:rFonts w:hint="default" w:ascii="Times New Roman" w:hAnsi="Times New Roman" w:eastAsia="仿宋_GB2312" w:cs="Times New Roman"/>
          <w:color w:val="auto"/>
          <w:spacing w:val="0"/>
          <w:sz w:val="32"/>
          <w:szCs w:val="32"/>
        </w:rPr>
        <w:t>（款）伤残抚恤（项）。</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color w:val="auto"/>
          <w:spacing w:val="0"/>
          <w:sz w:val="32"/>
          <w:szCs w:val="32"/>
        </w:rPr>
        <w:t>年初预算为</w:t>
      </w:r>
      <w:r>
        <w:rPr>
          <w:rFonts w:hint="eastAsia" w:ascii="Times New Roman" w:hAnsi="Times New Roman" w:eastAsia="仿宋_GB2312" w:cs="Times New Roman"/>
          <w:color w:val="auto"/>
          <w:spacing w:val="0"/>
          <w:sz w:val="32"/>
          <w:szCs w:val="32"/>
          <w:lang w:val="en-US" w:eastAsia="zh-CN"/>
        </w:rPr>
        <w:t>750.89</w:t>
      </w:r>
      <w:r>
        <w:rPr>
          <w:rFonts w:hint="default" w:ascii="Times New Roman" w:hAnsi="Times New Roman" w:eastAsia="仿宋_GB2312" w:cs="Times New Roman"/>
          <w:color w:val="auto"/>
          <w:spacing w:val="0"/>
          <w:sz w:val="32"/>
          <w:szCs w:val="32"/>
        </w:rPr>
        <w:t>万元，支出决算为</w:t>
      </w:r>
      <w:r>
        <w:rPr>
          <w:rFonts w:hint="eastAsia" w:ascii="Times New Roman" w:hAnsi="Times New Roman" w:eastAsia="仿宋_GB2312" w:cs="Times New Roman"/>
          <w:color w:val="auto"/>
          <w:spacing w:val="0"/>
          <w:sz w:val="32"/>
          <w:szCs w:val="32"/>
          <w:lang w:val="en-US" w:eastAsia="zh-CN"/>
        </w:rPr>
        <w:t>750.89</w:t>
      </w:r>
      <w:r>
        <w:rPr>
          <w:rFonts w:hint="default" w:ascii="Times New Roman" w:hAnsi="Times New Roman" w:eastAsia="仿宋_GB2312" w:cs="Times New Roman"/>
          <w:color w:val="auto"/>
          <w:spacing w:val="0"/>
          <w:sz w:val="32"/>
          <w:szCs w:val="32"/>
        </w:rPr>
        <w:t>万元，完成年初预算的100%，</w:t>
      </w:r>
      <w:r>
        <w:rPr>
          <w:rFonts w:hint="eastAsia" w:ascii="Times New Roman" w:hAnsi="Times New Roman" w:eastAsia="仿宋_GB2312" w:cs="Times New Roman"/>
          <w:color w:val="auto"/>
          <w:spacing w:val="0"/>
          <w:sz w:val="32"/>
          <w:szCs w:val="32"/>
          <w:lang w:val="en-US" w:eastAsia="zh-CN"/>
        </w:rPr>
        <w:t>决算数等于年初预算数的主要原因是：严格执行预算。</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2、社会保障和就业（类）抚恤（款）在乡复员、退伍军人生活补助（项）。</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年初预算为</w:t>
      </w:r>
      <w:r>
        <w:rPr>
          <w:rFonts w:hint="eastAsia" w:ascii="Times New Roman" w:hAnsi="Times New Roman" w:eastAsia="仿宋_GB2312" w:cs="Times New Roman"/>
          <w:color w:val="auto"/>
          <w:spacing w:val="0"/>
          <w:sz w:val="32"/>
          <w:szCs w:val="32"/>
          <w:lang w:val="en-US" w:eastAsia="zh-CN"/>
        </w:rPr>
        <w:t>133.16</w:t>
      </w:r>
      <w:r>
        <w:rPr>
          <w:rFonts w:hint="default" w:ascii="Times New Roman" w:hAnsi="Times New Roman" w:eastAsia="仿宋_GB2312" w:cs="Times New Roman"/>
          <w:color w:val="auto"/>
          <w:spacing w:val="0"/>
          <w:sz w:val="32"/>
          <w:szCs w:val="32"/>
        </w:rPr>
        <w:t>万元，支出决算为</w:t>
      </w:r>
      <w:r>
        <w:rPr>
          <w:rFonts w:hint="eastAsia" w:ascii="Times New Roman" w:hAnsi="Times New Roman" w:eastAsia="仿宋_GB2312" w:cs="Times New Roman"/>
          <w:color w:val="auto"/>
          <w:spacing w:val="0"/>
          <w:sz w:val="32"/>
          <w:szCs w:val="32"/>
          <w:lang w:val="en-US" w:eastAsia="zh-CN"/>
        </w:rPr>
        <w:t>133.16</w:t>
      </w:r>
      <w:r>
        <w:rPr>
          <w:rFonts w:hint="default" w:ascii="Times New Roman" w:hAnsi="Times New Roman" w:eastAsia="仿宋_GB2312" w:cs="Times New Roman"/>
          <w:color w:val="auto"/>
          <w:spacing w:val="0"/>
          <w:sz w:val="32"/>
          <w:szCs w:val="32"/>
        </w:rPr>
        <w:t>万元，完成年初预算的100%</w:t>
      </w:r>
      <w:r>
        <w:rPr>
          <w:rFonts w:hint="eastAsia" w:ascii="Times New Roman" w:hAnsi="Times New Roman" w:eastAsia="仿宋_GB2312" w:cs="Times New Roman"/>
          <w:color w:val="auto"/>
          <w:spacing w:val="0"/>
          <w:sz w:val="32"/>
          <w:szCs w:val="32"/>
          <w:lang w:val="en-US" w:eastAsia="zh-CN"/>
        </w:rPr>
        <w:t>,决算数等于年初预算数的主要原因是:严格执行预算</w:t>
      </w:r>
      <w:r>
        <w:rPr>
          <w:rFonts w:hint="default" w:ascii="Times New Roman" w:hAnsi="Times New Roman" w:eastAsia="仿宋_GB2312" w:cs="Times New Roman"/>
          <w:color w:val="auto"/>
          <w:spacing w:val="0"/>
          <w:sz w:val="32"/>
          <w:szCs w:val="32"/>
        </w:rPr>
        <w:t>。</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3</w:t>
      </w:r>
      <w:r>
        <w:rPr>
          <w:rFonts w:hint="default" w:ascii="Times New Roman" w:hAnsi="Times New Roman" w:eastAsia="仿宋_GB2312" w:cs="Times New Roman"/>
          <w:color w:val="auto"/>
          <w:spacing w:val="0"/>
          <w:sz w:val="32"/>
          <w:szCs w:val="32"/>
        </w:rPr>
        <w:t>、社会保障和就业（类）抚恤（款）义务兵优待（项）。</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年初预算为</w:t>
      </w:r>
      <w:r>
        <w:rPr>
          <w:rFonts w:hint="eastAsia" w:ascii="Times New Roman" w:hAnsi="Times New Roman" w:eastAsia="仿宋_GB2312" w:cs="Times New Roman"/>
          <w:color w:val="auto"/>
          <w:spacing w:val="0"/>
          <w:sz w:val="32"/>
          <w:szCs w:val="32"/>
          <w:lang w:val="en-US" w:eastAsia="zh-CN"/>
        </w:rPr>
        <w:t>354.90</w:t>
      </w:r>
      <w:r>
        <w:rPr>
          <w:rFonts w:hint="default" w:ascii="Times New Roman" w:hAnsi="Times New Roman" w:eastAsia="仿宋_GB2312" w:cs="Times New Roman"/>
          <w:color w:val="auto"/>
          <w:spacing w:val="0"/>
          <w:sz w:val="32"/>
          <w:szCs w:val="32"/>
        </w:rPr>
        <w:t>万元，支出决算为</w:t>
      </w:r>
      <w:r>
        <w:rPr>
          <w:rFonts w:hint="eastAsia" w:ascii="Times New Roman" w:hAnsi="Times New Roman" w:eastAsia="仿宋_GB2312" w:cs="Times New Roman"/>
          <w:color w:val="auto"/>
          <w:spacing w:val="0"/>
          <w:sz w:val="32"/>
          <w:szCs w:val="32"/>
          <w:lang w:val="en-US" w:eastAsia="zh-CN"/>
        </w:rPr>
        <w:t>354.90</w:t>
      </w:r>
      <w:r>
        <w:rPr>
          <w:rFonts w:hint="default" w:ascii="Times New Roman" w:hAnsi="Times New Roman" w:eastAsia="仿宋_GB2312" w:cs="Times New Roman"/>
          <w:color w:val="auto"/>
          <w:spacing w:val="0"/>
          <w:sz w:val="32"/>
          <w:szCs w:val="32"/>
        </w:rPr>
        <w:t>万元，完成年初预算的100%</w:t>
      </w:r>
      <w:r>
        <w:rPr>
          <w:rFonts w:hint="eastAsia" w:ascii="Times New Roman" w:hAnsi="Times New Roman" w:eastAsia="仿宋_GB2312" w:cs="Times New Roman"/>
          <w:color w:val="auto"/>
          <w:spacing w:val="0"/>
          <w:sz w:val="32"/>
          <w:szCs w:val="32"/>
          <w:lang w:val="en-US" w:eastAsia="zh-CN"/>
        </w:rPr>
        <w:t>,决算数等于年初预算数的主要原因是:严格执行预算</w:t>
      </w:r>
      <w:r>
        <w:rPr>
          <w:rFonts w:hint="default" w:ascii="Times New Roman" w:hAnsi="Times New Roman" w:eastAsia="仿宋_GB2312" w:cs="Times New Roman"/>
          <w:color w:val="auto"/>
          <w:spacing w:val="0"/>
          <w:sz w:val="32"/>
          <w:szCs w:val="32"/>
        </w:rPr>
        <w:t>。</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4</w:t>
      </w:r>
      <w:r>
        <w:rPr>
          <w:rFonts w:hint="default" w:ascii="Times New Roman" w:hAnsi="Times New Roman" w:eastAsia="仿宋_GB2312" w:cs="Times New Roman"/>
          <w:color w:val="auto"/>
          <w:spacing w:val="0"/>
          <w:sz w:val="32"/>
          <w:szCs w:val="32"/>
        </w:rPr>
        <w:t>、社会保障和就业（类）抚恤（款）农村籍退役士兵老年生活补助（项）。</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年初预算为</w:t>
      </w:r>
      <w:r>
        <w:rPr>
          <w:rFonts w:hint="eastAsia" w:ascii="Times New Roman" w:hAnsi="Times New Roman" w:eastAsia="仿宋_GB2312" w:cs="Times New Roman"/>
          <w:color w:val="auto"/>
          <w:spacing w:val="0"/>
          <w:sz w:val="32"/>
          <w:szCs w:val="32"/>
          <w:lang w:val="en-US" w:eastAsia="zh-CN"/>
        </w:rPr>
        <w:t>723.40</w:t>
      </w:r>
      <w:r>
        <w:rPr>
          <w:rFonts w:hint="default" w:ascii="Times New Roman" w:hAnsi="Times New Roman" w:eastAsia="仿宋_GB2312" w:cs="Times New Roman"/>
          <w:color w:val="auto"/>
          <w:spacing w:val="0"/>
          <w:sz w:val="32"/>
          <w:szCs w:val="32"/>
        </w:rPr>
        <w:t>万元，支出决算为</w:t>
      </w:r>
      <w:r>
        <w:rPr>
          <w:rFonts w:hint="eastAsia" w:ascii="Times New Roman" w:hAnsi="Times New Roman" w:eastAsia="仿宋_GB2312" w:cs="Times New Roman"/>
          <w:color w:val="auto"/>
          <w:spacing w:val="0"/>
          <w:sz w:val="32"/>
          <w:szCs w:val="32"/>
          <w:lang w:val="en-US" w:eastAsia="zh-CN"/>
        </w:rPr>
        <w:t>723.40</w:t>
      </w:r>
      <w:r>
        <w:rPr>
          <w:rFonts w:hint="default" w:ascii="Times New Roman" w:hAnsi="Times New Roman" w:eastAsia="仿宋_GB2312" w:cs="Times New Roman"/>
          <w:color w:val="auto"/>
          <w:spacing w:val="0"/>
          <w:sz w:val="32"/>
          <w:szCs w:val="32"/>
        </w:rPr>
        <w:t>万元，完成年初预算的100%</w:t>
      </w:r>
      <w:r>
        <w:rPr>
          <w:rFonts w:hint="eastAsia" w:ascii="Times New Roman" w:hAnsi="Times New Roman" w:eastAsia="仿宋_GB2312" w:cs="Times New Roman"/>
          <w:color w:val="auto"/>
          <w:spacing w:val="0"/>
          <w:sz w:val="32"/>
          <w:szCs w:val="32"/>
          <w:lang w:val="en-US" w:eastAsia="zh-CN"/>
        </w:rPr>
        <w:t>,决算数等于年初预算数的主要原因是:严格执行预算</w:t>
      </w:r>
      <w:r>
        <w:rPr>
          <w:rFonts w:hint="default" w:ascii="Times New Roman" w:hAnsi="Times New Roman" w:eastAsia="仿宋_GB2312" w:cs="Times New Roman"/>
          <w:color w:val="auto"/>
          <w:spacing w:val="0"/>
          <w:sz w:val="32"/>
          <w:szCs w:val="32"/>
        </w:rPr>
        <w:t>。</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5</w:t>
      </w:r>
      <w:r>
        <w:rPr>
          <w:rFonts w:hint="default" w:ascii="Times New Roman" w:hAnsi="Times New Roman" w:eastAsia="仿宋_GB2312" w:cs="Times New Roman"/>
          <w:color w:val="auto"/>
          <w:spacing w:val="0"/>
          <w:sz w:val="32"/>
          <w:szCs w:val="32"/>
        </w:rPr>
        <w:t>、社会保障和就业（类）抚恤（款）其他优抚支出（项）。</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年初预算为</w:t>
      </w:r>
      <w:r>
        <w:rPr>
          <w:rFonts w:hint="eastAsia" w:ascii="Times New Roman" w:hAnsi="Times New Roman" w:eastAsia="仿宋_GB2312" w:cs="Times New Roman"/>
          <w:color w:val="auto"/>
          <w:spacing w:val="0"/>
          <w:sz w:val="32"/>
          <w:szCs w:val="32"/>
          <w:lang w:val="en-US" w:eastAsia="zh-CN"/>
        </w:rPr>
        <w:t>1174.90</w:t>
      </w:r>
      <w:r>
        <w:rPr>
          <w:rFonts w:hint="default" w:ascii="Times New Roman" w:hAnsi="Times New Roman" w:eastAsia="仿宋_GB2312" w:cs="Times New Roman"/>
          <w:color w:val="auto"/>
          <w:spacing w:val="0"/>
          <w:sz w:val="32"/>
          <w:szCs w:val="32"/>
        </w:rPr>
        <w:t>万元，支出决算为</w:t>
      </w:r>
      <w:r>
        <w:rPr>
          <w:rFonts w:hint="eastAsia" w:ascii="Times New Roman" w:hAnsi="Times New Roman" w:eastAsia="仿宋_GB2312" w:cs="Times New Roman"/>
          <w:color w:val="auto"/>
          <w:spacing w:val="0"/>
          <w:sz w:val="32"/>
          <w:szCs w:val="32"/>
          <w:lang w:val="en-US" w:eastAsia="zh-CN"/>
        </w:rPr>
        <w:t>1174.90</w:t>
      </w:r>
      <w:r>
        <w:rPr>
          <w:rFonts w:hint="default" w:ascii="Times New Roman" w:hAnsi="Times New Roman" w:eastAsia="仿宋_GB2312" w:cs="Times New Roman"/>
          <w:color w:val="auto"/>
          <w:spacing w:val="0"/>
          <w:sz w:val="32"/>
          <w:szCs w:val="32"/>
        </w:rPr>
        <w:t>万元，完成年初预算的100%</w:t>
      </w:r>
      <w:r>
        <w:rPr>
          <w:rFonts w:hint="eastAsia" w:ascii="Times New Roman" w:hAnsi="Times New Roman" w:eastAsia="仿宋_GB2312" w:cs="Times New Roman"/>
          <w:color w:val="auto"/>
          <w:spacing w:val="0"/>
          <w:sz w:val="32"/>
          <w:szCs w:val="32"/>
          <w:lang w:val="en-US" w:eastAsia="zh-CN"/>
        </w:rPr>
        <w:t>,决算数等于年初预算数的主要原因是:严格执行预算</w:t>
      </w:r>
      <w:r>
        <w:rPr>
          <w:rFonts w:hint="default" w:ascii="Times New Roman" w:hAnsi="Times New Roman" w:eastAsia="仿宋_GB2312" w:cs="Times New Roman"/>
          <w:color w:val="auto"/>
          <w:spacing w:val="0"/>
          <w:sz w:val="32"/>
          <w:szCs w:val="32"/>
        </w:rPr>
        <w:t>。</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6</w:t>
      </w:r>
      <w:r>
        <w:rPr>
          <w:rFonts w:hint="default" w:ascii="Times New Roman" w:hAnsi="Times New Roman" w:eastAsia="仿宋_GB2312" w:cs="Times New Roman"/>
          <w:color w:val="auto"/>
          <w:spacing w:val="0"/>
          <w:sz w:val="32"/>
          <w:szCs w:val="32"/>
        </w:rPr>
        <w:t>、社会保障和就业（类）退役安置（款）退役士兵安置（项）。</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年初预算为</w:t>
      </w:r>
      <w:r>
        <w:rPr>
          <w:rFonts w:hint="default" w:ascii="Times New Roman" w:hAnsi="Times New Roman" w:eastAsia="仿宋_GB2312" w:cs="Times New Roman"/>
          <w:color w:val="auto"/>
          <w:spacing w:val="0"/>
          <w:sz w:val="32"/>
          <w:szCs w:val="32"/>
          <w:lang w:val="en-US" w:eastAsia="zh-CN"/>
        </w:rPr>
        <w:t>1</w:t>
      </w:r>
      <w:r>
        <w:rPr>
          <w:rFonts w:hint="eastAsia" w:ascii="Times New Roman" w:hAnsi="Times New Roman" w:eastAsia="仿宋_GB2312" w:cs="Times New Roman"/>
          <w:color w:val="auto"/>
          <w:spacing w:val="0"/>
          <w:sz w:val="32"/>
          <w:szCs w:val="32"/>
          <w:lang w:val="en-US" w:eastAsia="zh-CN"/>
        </w:rPr>
        <w:t>85.83</w:t>
      </w:r>
      <w:r>
        <w:rPr>
          <w:rFonts w:hint="default" w:ascii="Times New Roman" w:hAnsi="Times New Roman" w:eastAsia="仿宋_GB2312" w:cs="Times New Roman"/>
          <w:color w:val="auto"/>
          <w:spacing w:val="0"/>
          <w:sz w:val="32"/>
          <w:szCs w:val="32"/>
        </w:rPr>
        <w:t>万元，支出决算为</w:t>
      </w:r>
      <w:r>
        <w:rPr>
          <w:rFonts w:hint="eastAsia" w:ascii="Times New Roman" w:hAnsi="Times New Roman" w:eastAsia="仿宋_GB2312" w:cs="Times New Roman"/>
          <w:color w:val="auto"/>
          <w:spacing w:val="0"/>
          <w:sz w:val="32"/>
          <w:szCs w:val="32"/>
          <w:lang w:val="en-US" w:eastAsia="zh-CN"/>
        </w:rPr>
        <w:t>185.83</w:t>
      </w:r>
      <w:r>
        <w:rPr>
          <w:rFonts w:hint="default" w:ascii="Times New Roman" w:hAnsi="Times New Roman" w:eastAsia="仿宋_GB2312" w:cs="Times New Roman"/>
          <w:color w:val="auto"/>
          <w:spacing w:val="0"/>
          <w:sz w:val="32"/>
          <w:szCs w:val="32"/>
        </w:rPr>
        <w:t>万元，完成年初预算的100%</w:t>
      </w:r>
      <w:r>
        <w:rPr>
          <w:rFonts w:hint="eastAsia" w:ascii="Times New Roman" w:hAnsi="Times New Roman" w:eastAsia="仿宋_GB2312" w:cs="Times New Roman"/>
          <w:color w:val="auto"/>
          <w:spacing w:val="0"/>
          <w:sz w:val="32"/>
          <w:szCs w:val="32"/>
          <w:lang w:val="en-US" w:eastAsia="zh-CN"/>
        </w:rPr>
        <w:t>,决算数等于年初预算数的主要原因是:严格执行预算</w:t>
      </w:r>
      <w:r>
        <w:rPr>
          <w:rFonts w:hint="default" w:ascii="Times New Roman" w:hAnsi="Times New Roman" w:eastAsia="仿宋_GB2312" w:cs="Times New Roman"/>
          <w:color w:val="auto"/>
          <w:spacing w:val="0"/>
          <w:sz w:val="32"/>
          <w:szCs w:val="32"/>
        </w:rPr>
        <w:t>。</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7</w:t>
      </w:r>
      <w:r>
        <w:rPr>
          <w:rFonts w:hint="default" w:ascii="Times New Roman" w:hAnsi="Times New Roman" w:eastAsia="仿宋_GB2312" w:cs="Times New Roman"/>
          <w:color w:val="auto"/>
          <w:spacing w:val="0"/>
          <w:sz w:val="32"/>
          <w:szCs w:val="32"/>
        </w:rPr>
        <w:t>、社会保障和就业（类）退役安置（款）军队移交政府的离退休人员安置（项）。</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年初预算为</w:t>
      </w:r>
      <w:r>
        <w:rPr>
          <w:rFonts w:hint="eastAsia" w:ascii="Times New Roman" w:hAnsi="Times New Roman" w:eastAsia="仿宋_GB2312" w:cs="Times New Roman"/>
          <w:color w:val="auto"/>
          <w:spacing w:val="0"/>
          <w:sz w:val="32"/>
          <w:szCs w:val="32"/>
          <w:lang w:val="en-US" w:eastAsia="zh-CN"/>
        </w:rPr>
        <w:t>56.35</w:t>
      </w:r>
      <w:r>
        <w:rPr>
          <w:rFonts w:hint="default" w:ascii="Times New Roman" w:hAnsi="Times New Roman" w:eastAsia="仿宋_GB2312" w:cs="Times New Roman"/>
          <w:color w:val="auto"/>
          <w:spacing w:val="0"/>
          <w:sz w:val="32"/>
          <w:szCs w:val="32"/>
        </w:rPr>
        <w:t>万元，支出决算为</w:t>
      </w:r>
      <w:r>
        <w:rPr>
          <w:rFonts w:hint="eastAsia" w:ascii="Times New Roman" w:hAnsi="Times New Roman" w:eastAsia="仿宋_GB2312" w:cs="Times New Roman"/>
          <w:color w:val="auto"/>
          <w:spacing w:val="0"/>
          <w:sz w:val="32"/>
          <w:szCs w:val="32"/>
          <w:lang w:val="en-US" w:eastAsia="zh-CN"/>
        </w:rPr>
        <w:t>56.35</w:t>
      </w:r>
      <w:r>
        <w:rPr>
          <w:rFonts w:hint="default" w:ascii="Times New Roman" w:hAnsi="Times New Roman" w:eastAsia="仿宋_GB2312" w:cs="Times New Roman"/>
          <w:color w:val="auto"/>
          <w:spacing w:val="0"/>
          <w:sz w:val="32"/>
          <w:szCs w:val="32"/>
        </w:rPr>
        <w:t>万元，完成年初预算的100%</w:t>
      </w:r>
      <w:r>
        <w:rPr>
          <w:rFonts w:hint="eastAsia" w:ascii="Times New Roman" w:hAnsi="Times New Roman" w:eastAsia="仿宋_GB2312" w:cs="Times New Roman"/>
          <w:color w:val="auto"/>
          <w:spacing w:val="0"/>
          <w:sz w:val="32"/>
          <w:szCs w:val="32"/>
          <w:lang w:val="en-US" w:eastAsia="zh-CN"/>
        </w:rPr>
        <w:t>,决算数等于年初预算数的主要原因是:严格执行预算</w:t>
      </w:r>
      <w:r>
        <w:rPr>
          <w:rFonts w:hint="default" w:ascii="Times New Roman" w:hAnsi="Times New Roman" w:eastAsia="仿宋_GB2312" w:cs="Times New Roman"/>
          <w:color w:val="auto"/>
          <w:spacing w:val="0"/>
          <w:sz w:val="32"/>
          <w:szCs w:val="32"/>
        </w:rPr>
        <w:t>。</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8</w:t>
      </w:r>
      <w:r>
        <w:rPr>
          <w:rFonts w:hint="default" w:ascii="Times New Roman" w:hAnsi="Times New Roman" w:eastAsia="仿宋_GB2312" w:cs="Times New Roman"/>
          <w:color w:val="auto"/>
          <w:spacing w:val="0"/>
          <w:sz w:val="32"/>
          <w:szCs w:val="32"/>
        </w:rPr>
        <w:t>、社会保障和就业（类）退役安置（款）退役士兵管理教育（项）。</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年初预算为</w:t>
      </w:r>
      <w:r>
        <w:rPr>
          <w:rFonts w:hint="eastAsia" w:ascii="Times New Roman" w:hAnsi="Times New Roman" w:eastAsia="仿宋_GB2312" w:cs="Times New Roman"/>
          <w:color w:val="auto"/>
          <w:spacing w:val="0"/>
          <w:sz w:val="32"/>
          <w:szCs w:val="32"/>
          <w:lang w:val="en-US" w:eastAsia="zh-CN"/>
        </w:rPr>
        <w:t>9.14</w:t>
      </w:r>
      <w:r>
        <w:rPr>
          <w:rFonts w:hint="default" w:ascii="Times New Roman" w:hAnsi="Times New Roman" w:eastAsia="仿宋_GB2312" w:cs="Times New Roman"/>
          <w:color w:val="auto"/>
          <w:spacing w:val="0"/>
          <w:sz w:val="32"/>
          <w:szCs w:val="32"/>
        </w:rPr>
        <w:t>万元，支出决算为</w:t>
      </w:r>
      <w:r>
        <w:rPr>
          <w:rFonts w:hint="eastAsia" w:ascii="Times New Roman" w:hAnsi="Times New Roman" w:eastAsia="仿宋_GB2312" w:cs="Times New Roman"/>
          <w:color w:val="auto"/>
          <w:spacing w:val="0"/>
          <w:sz w:val="32"/>
          <w:szCs w:val="32"/>
          <w:lang w:val="en-US" w:eastAsia="zh-CN"/>
        </w:rPr>
        <w:t>9.14</w:t>
      </w:r>
      <w:r>
        <w:rPr>
          <w:rFonts w:hint="default" w:ascii="Times New Roman" w:hAnsi="Times New Roman" w:eastAsia="仿宋_GB2312" w:cs="Times New Roman"/>
          <w:color w:val="auto"/>
          <w:spacing w:val="0"/>
          <w:sz w:val="32"/>
          <w:szCs w:val="32"/>
        </w:rPr>
        <w:t>万元，完成年初预算的100%</w:t>
      </w:r>
      <w:r>
        <w:rPr>
          <w:rFonts w:hint="eastAsia" w:ascii="Times New Roman" w:hAnsi="Times New Roman" w:eastAsia="仿宋_GB2312" w:cs="Times New Roman"/>
          <w:color w:val="auto"/>
          <w:spacing w:val="0"/>
          <w:sz w:val="32"/>
          <w:szCs w:val="32"/>
          <w:lang w:val="en-US" w:eastAsia="zh-CN"/>
        </w:rPr>
        <w:t>,决算数等于年初预算数的主要原因是:严格执行预算</w:t>
      </w:r>
      <w:r>
        <w:rPr>
          <w:rFonts w:hint="default" w:ascii="Times New Roman" w:hAnsi="Times New Roman" w:eastAsia="仿宋_GB2312" w:cs="Times New Roman"/>
          <w:color w:val="auto"/>
          <w:spacing w:val="0"/>
          <w:sz w:val="32"/>
          <w:szCs w:val="32"/>
        </w:rPr>
        <w:t>。</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lang w:val="en-US" w:eastAsia="zh-CN"/>
        </w:rPr>
        <w:t>9</w:t>
      </w:r>
      <w:r>
        <w:rPr>
          <w:rFonts w:hint="default" w:ascii="Times New Roman" w:hAnsi="Times New Roman" w:eastAsia="仿宋_GB2312" w:cs="Times New Roman"/>
          <w:color w:val="auto"/>
          <w:spacing w:val="0"/>
          <w:sz w:val="32"/>
          <w:szCs w:val="32"/>
        </w:rPr>
        <w:t>、社会保障和就业（类）退役军人管理事务（款）行政运行（项）。</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年初预算为</w:t>
      </w:r>
      <w:r>
        <w:rPr>
          <w:rFonts w:hint="eastAsia" w:ascii="Times New Roman" w:hAnsi="Times New Roman" w:eastAsia="仿宋_GB2312" w:cs="Times New Roman"/>
          <w:color w:val="auto"/>
          <w:spacing w:val="0"/>
          <w:sz w:val="32"/>
          <w:szCs w:val="32"/>
          <w:lang w:val="en-US" w:eastAsia="zh-CN"/>
        </w:rPr>
        <w:t>267.87</w:t>
      </w:r>
      <w:r>
        <w:rPr>
          <w:rFonts w:hint="default" w:ascii="Times New Roman" w:hAnsi="Times New Roman" w:eastAsia="仿宋_GB2312" w:cs="Times New Roman"/>
          <w:color w:val="auto"/>
          <w:spacing w:val="0"/>
          <w:sz w:val="32"/>
          <w:szCs w:val="32"/>
        </w:rPr>
        <w:t>万元，支出决算为</w:t>
      </w:r>
      <w:r>
        <w:rPr>
          <w:rFonts w:hint="eastAsia" w:ascii="Times New Roman" w:hAnsi="Times New Roman" w:eastAsia="仿宋_GB2312" w:cs="Times New Roman"/>
          <w:color w:val="auto"/>
          <w:spacing w:val="0"/>
          <w:sz w:val="32"/>
          <w:szCs w:val="32"/>
          <w:lang w:val="en-US" w:eastAsia="zh-CN"/>
        </w:rPr>
        <w:t>267.87</w:t>
      </w:r>
      <w:r>
        <w:rPr>
          <w:rFonts w:hint="default" w:ascii="Times New Roman" w:hAnsi="Times New Roman" w:eastAsia="仿宋_GB2312" w:cs="Times New Roman"/>
          <w:color w:val="auto"/>
          <w:spacing w:val="0"/>
          <w:sz w:val="32"/>
          <w:szCs w:val="32"/>
        </w:rPr>
        <w:t>万元，完成年初预算的100%</w:t>
      </w:r>
      <w:r>
        <w:rPr>
          <w:rFonts w:hint="eastAsia" w:ascii="Times New Roman" w:hAnsi="Times New Roman" w:eastAsia="仿宋_GB2312" w:cs="Times New Roman"/>
          <w:color w:val="auto"/>
          <w:spacing w:val="0"/>
          <w:sz w:val="32"/>
          <w:szCs w:val="32"/>
          <w:lang w:val="en-US" w:eastAsia="zh-CN"/>
        </w:rPr>
        <w:t>,决算数等于年初预算数的主要原因是:严格执行预算</w:t>
      </w:r>
      <w:r>
        <w:rPr>
          <w:rFonts w:hint="default" w:ascii="Times New Roman" w:hAnsi="Times New Roman" w:eastAsia="仿宋_GB2312" w:cs="Times New Roman"/>
          <w:color w:val="auto"/>
          <w:spacing w:val="0"/>
          <w:sz w:val="32"/>
          <w:szCs w:val="32"/>
        </w:rPr>
        <w:t>。</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1</w:t>
      </w:r>
      <w:r>
        <w:rPr>
          <w:rFonts w:hint="default" w:ascii="Times New Roman" w:hAnsi="Times New Roman" w:eastAsia="仿宋_GB2312" w:cs="Times New Roman"/>
          <w:color w:val="auto"/>
          <w:spacing w:val="0"/>
          <w:sz w:val="32"/>
          <w:szCs w:val="32"/>
          <w:lang w:val="en-US" w:eastAsia="zh-CN"/>
        </w:rPr>
        <w:t>0</w:t>
      </w:r>
      <w:r>
        <w:rPr>
          <w:rFonts w:hint="default" w:ascii="Times New Roman" w:hAnsi="Times New Roman" w:eastAsia="仿宋_GB2312" w:cs="Times New Roman"/>
          <w:color w:val="auto"/>
          <w:spacing w:val="0"/>
          <w:sz w:val="32"/>
          <w:szCs w:val="32"/>
        </w:rPr>
        <w:t>、卫生健康（类）优抚对象医疗（款）优抚对象医疗补助（项）。</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年初预算为</w:t>
      </w:r>
      <w:r>
        <w:rPr>
          <w:rFonts w:hint="eastAsia" w:ascii="Times New Roman" w:hAnsi="Times New Roman" w:eastAsia="仿宋_GB2312" w:cs="Times New Roman"/>
          <w:color w:val="auto"/>
          <w:spacing w:val="0"/>
          <w:sz w:val="32"/>
          <w:szCs w:val="32"/>
          <w:lang w:val="en-US" w:eastAsia="zh-CN"/>
        </w:rPr>
        <w:t>342.04</w:t>
      </w:r>
      <w:r>
        <w:rPr>
          <w:rFonts w:hint="default" w:ascii="Times New Roman" w:hAnsi="Times New Roman" w:eastAsia="仿宋_GB2312" w:cs="Times New Roman"/>
          <w:color w:val="auto"/>
          <w:spacing w:val="0"/>
          <w:sz w:val="32"/>
          <w:szCs w:val="32"/>
        </w:rPr>
        <w:t>万元，支出决算为</w:t>
      </w:r>
      <w:r>
        <w:rPr>
          <w:rFonts w:hint="eastAsia" w:ascii="Times New Roman" w:hAnsi="Times New Roman" w:eastAsia="仿宋_GB2312" w:cs="Times New Roman"/>
          <w:color w:val="auto"/>
          <w:spacing w:val="0"/>
          <w:sz w:val="32"/>
          <w:szCs w:val="32"/>
          <w:lang w:val="en-US" w:eastAsia="zh-CN"/>
        </w:rPr>
        <w:t>342.04</w:t>
      </w:r>
      <w:r>
        <w:rPr>
          <w:rFonts w:hint="default" w:ascii="Times New Roman" w:hAnsi="Times New Roman" w:eastAsia="仿宋_GB2312" w:cs="Times New Roman"/>
          <w:color w:val="auto"/>
          <w:spacing w:val="0"/>
          <w:sz w:val="32"/>
          <w:szCs w:val="32"/>
        </w:rPr>
        <w:t>万元，完成年初预算的100%</w:t>
      </w:r>
      <w:r>
        <w:rPr>
          <w:rFonts w:hint="eastAsia" w:ascii="Times New Roman" w:hAnsi="Times New Roman" w:eastAsia="仿宋_GB2312" w:cs="Times New Roman"/>
          <w:color w:val="auto"/>
          <w:spacing w:val="0"/>
          <w:sz w:val="32"/>
          <w:szCs w:val="32"/>
          <w:lang w:val="en-US" w:eastAsia="zh-CN"/>
        </w:rPr>
        <w:t>,决算数等于年初预算数的主要原因是:严格执行预算</w:t>
      </w:r>
      <w:r>
        <w:rPr>
          <w:rFonts w:hint="default" w:ascii="Times New Roman" w:hAnsi="Times New Roman" w:eastAsia="仿宋_GB2312" w:cs="Times New Roman"/>
          <w:color w:val="auto"/>
          <w:spacing w:val="0"/>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397.48</w:t>
      </w:r>
      <w:r>
        <w:rPr>
          <w:rFonts w:ascii="Times New Roman" w:hAnsi="Times New Roman" w:eastAsia="仿宋_GB2312" w:cs="Times New Roman"/>
          <w:sz w:val="32"/>
          <w:szCs w:val="32"/>
        </w:rPr>
        <w:t>万元，</w:t>
      </w:r>
      <w:r>
        <w:rPr>
          <w:rFonts w:ascii="Times New Roman" w:hAnsi="Times New Roman" w:eastAsia="仿宋_GB2312" w:cs="Times New Roman"/>
          <w:color w:val="auto"/>
          <w:spacing w:val="0"/>
          <w:sz w:val="32"/>
          <w:szCs w:val="32"/>
        </w:rPr>
        <w:t>其中：人员经费</w:t>
      </w:r>
      <w:r>
        <w:rPr>
          <w:rFonts w:hint="eastAsia" w:ascii="Times New Roman" w:hAnsi="Times New Roman" w:eastAsia="仿宋_GB2312" w:cs="Times New Roman"/>
          <w:color w:val="auto"/>
          <w:spacing w:val="0"/>
          <w:sz w:val="32"/>
          <w:szCs w:val="32"/>
          <w:lang w:val="en-US" w:eastAsia="zh-CN"/>
        </w:rPr>
        <w:t>358.09</w:t>
      </w:r>
      <w:r>
        <w:rPr>
          <w:rFonts w:ascii="Times New Roman" w:hAnsi="Times New Roman" w:eastAsia="仿宋_GB2312" w:cs="Times New Roman"/>
          <w:color w:val="auto"/>
          <w:spacing w:val="0"/>
          <w:sz w:val="32"/>
          <w:szCs w:val="32"/>
        </w:rPr>
        <w:t>万元，占基本支出的</w:t>
      </w:r>
      <w:r>
        <w:rPr>
          <w:rFonts w:hint="eastAsia" w:ascii="Times New Roman" w:hAnsi="Times New Roman" w:eastAsia="仿宋_GB2312" w:cs="Times New Roman"/>
          <w:color w:val="auto"/>
          <w:spacing w:val="0"/>
          <w:sz w:val="32"/>
          <w:szCs w:val="32"/>
          <w:lang w:val="en-US" w:eastAsia="zh-CN"/>
        </w:rPr>
        <w:t>90.09</w:t>
      </w:r>
      <w:r>
        <w:rPr>
          <w:rFonts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主要包括基本工资、津贴补贴、奖金、伙食补助费</w:t>
      </w:r>
      <w:r>
        <w:rPr>
          <w:rFonts w:hint="default" w:ascii="Times New Roman" w:hAnsi="Times New Roman" w:eastAsia="仿宋_GB2312" w:cs="Times New Roman"/>
          <w:color w:val="auto"/>
          <w:spacing w:val="0"/>
          <w:sz w:val="32"/>
          <w:szCs w:val="32"/>
          <w:lang w:eastAsia="zh-CN"/>
        </w:rPr>
        <w:t>、</w:t>
      </w:r>
      <w:r>
        <w:rPr>
          <w:rFonts w:hint="eastAsia" w:ascii="Times New Roman" w:hAnsi="Times New Roman" w:eastAsia="仿宋_GB2312" w:cs="Times New Roman"/>
          <w:color w:val="auto"/>
          <w:spacing w:val="0"/>
          <w:sz w:val="32"/>
          <w:szCs w:val="32"/>
          <w:lang w:eastAsia="zh-CN"/>
        </w:rPr>
        <w:t>绩效工资、机关事业单位基本养老保险费、职工基本医疗保险缴费、</w:t>
      </w:r>
      <w:r>
        <w:rPr>
          <w:rFonts w:hint="default" w:ascii="Times New Roman" w:hAnsi="Times New Roman" w:eastAsia="仿宋_GB2312" w:cs="Times New Roman"/>
          <w:color w:val="auto"/>
          <w:spacing w:val="0"/>
          <w:sz w:val="32"/>
          <w:szCs w:val="32"/>
        </w:rPr>
        <w:t>其他社会保障缴费、</w:t>
      </w:r>
      <w:r>
        <w:rPr>
          <w:rFonts w:hint="eastAsia" w:ascii="Times New Roman" w:hAnsi="Times New Roman" w:eastAsia="仿宋_GB2312" w:cs="Times New Roman"/>
          <w:color w:val="auto"/>
          <w:spacing w:val="0"/>
          <w:sz w:val="32"/>
          <w:szCs w:val="32"/>
          <w:lang w:eastAsia="zh-CN"/>
        </w:rPr>
        <w:t>其他工资福利支出、</w:t>
      </w:r>
      <w:r>
        <w:rPr>
          <w:rFonts w:hint="default" w:ascii="Times New Roman" w:hAnsi="Times New Roman" w:eastAsia="仿宋_GB2312" w:cs="Times New Roman"/>
          <w:color w:val="auto"/>
          <w:spacing w:val="0"/>
          <w:sz w:val="32"/>
          <w:szCs w:val="32"/>
        </w:rPr>
        <w:t>抚恤金、生活补助</w:t>
      </w:r>
      <w:r>
        <w:rPr>
          <w:rFonts w:hint="eastAsia" w:ascii="Times New Roman" w:hAnsi="Times New Roman" w:eastAsia="仿宋_GB2312" w:cs="Times New Roman"/>
          <w:color w:val="auto"/>
          <w:spacing w:val="0"/>
          <w:sz w:val="32"/>
          <w:szCs w:val="32"/>
          <w:lang w:eastAsia="zh-CN"/>
        </w:rPr>
        <w:t>、医疗费补助、奖励金</w:t>
      </w:r>
      <w:r>
        <w:rPr>
          <w:rFonts w:hint="default" w:ascii="Times New Roman" w:hAnsi="Times New Roman" w:eastAsia="仿宋_GB2312" w:cs="Times New Roman"/>
          <w:color w:val="auto"/>
          <w:spacing w:val="0"/>
          <w:sz w:val="32"/>
          <w:szCs w:val="32"/>
        </w:rPr>
        <w:t>；公用经费</w:t>
      </w:r>
      <w:r>
        <w:rPr>
          <w:rFonts w:hint="eastAsia" w:ascii="Times New Roman" w:hAnsi="Times New Roman" w:eastAsia="仿宋_GB2312" w:cs="Times New Roman"/>
          <w:color w:val="auto"/>
          <w:spacing w:val="0"/>
          <w:sz w:val="32"/>
          <w:szCs w:val="32"/>
          <w:lang w:val="en-US" w:eastAsia="zh-CN"/>
        </w:rPr>
        <w:t>39.39</w:t>
      </w:r>
      <w:r>
        <w:rPr>
          <w:rFonts w:hint="default" w:ascii="Times New Roman" w:hAnsi="Times New Roman" w:eastAsia="仿宋_GB2312" w:cs="Times New Roman"/>
          <w:color w:val="auto"/>
          <w:spacing w:val="0"/>
          <w:sz w:val="32"/>
          <w:szCs w:val="32"/>
        </w:rPr>
        <w:t>万元，占基本支出的</w:t>
      </w:r>
      <w:r>
        <w:rPr>
          <w:rFonts w:hint="eastAsia" w:ascii="Times New Roman" w:hAnsi="Times New Roman" w:eastAsia="仿宋_GB2312" w:cs="Times New Roman"/>
          <w:color w:val="auto"/>
          <w:spacing w:val="0"/>
          <w:sz w:val="32"/>
          <w:szCs w:val="32"/>
          <w:lang w:val="en-US" w:eastAsia="zh-CN"/>
        </w:rPr>
        <w:t>9.91</w:t>
      </w:r>
      <w:r>
        <w:rPr>
          <w:rFonts w:hint="default" w:ascii="Times New Roman" w:hAnsi="Times New Roman" w:eastAsia="仿宋_GB2312" w:cs="Times New Roman"/>
          <w:color w:val="auto"/>
          <w:spacing w:val="0"/>
          <w:sz w:val="32"/>
          <w:szCs w:val="32"/>
        </w:rPr>
        <w:t>%，主要包括办公费、印刷费、水费、电费、</w:t>
      </w:r>
      <w:r>
        <w:rPr>
          <w:rFonts w:hint="eastAsia" w:ascii="Times New Roman" w:hAnsi="Times New Roman" w:eastAsia="仿宋_GB2312" w:cs="Times New Roman"/>
          <w:color w:val="auto"/>
          <w:spacing w:val="0"/>
          <w:sz w:val="32"/>
          <w:szCs w:val="32"/>
          <w:lang w:eastAsia="zh-CN"/>
        </w:rPr>
        <w:t>邮电费、</w:t>
      </w:r>
      <w:r>
        <w:rPr>
          <w:rFonts w:hint="default" w:ascii="Times New Roman" w:hAnsi="Times New Roman" w:eastAsia="仿宋_GB2312" w:cs="Times New Roman"/>
          <w:color w:val="auto"/>
          <w:spacing w:val="0"/>
          <w:sz w:val="32"/>
          <w:szCs w:val="32"/>
        </w:rPr>
        <w:t>差旅费、</w:t>
      </w:r>
      <w:r>
        <w:rPr>
          <w:rFonts w:hint="eastAsia" w:ascii="Times New Roman" w:hAnsi="Times New Roman" w:eastAsia="仿宋_GB2312" w:cs="Times New Roman"/>
          <w:color w:val="auto"/>
          <w:spacing w:val="0"/>
          <w:sz w:val="32"/>
          <w:szCs w:val="32"/>
          <w:lang w:eastAsia="zh-CN"/>
        </w:rPr>
        <w:t>维修费、租赁费、会议费、培训费、</w:t>
      </w:r>
      <w:r>
        <w:rPr>
          <w:rFonts w:hint="default" w:ascii="Times New Roman" w:hAnsi="Times New Roman" w:eastAsia="仿宋_GB2312" w:cs="Times New Roman"/>
          <w:color w:val="auto"/>
          <w:spacing w:val="0"/>
          <w:sz w:val="32"/>
          <w:szCs w:val="32"/>
        </w:rPr>
        <w:t>公务接待费、劳务费</w:t>
      </w:r>
      <w:r>
        <w:rPr>
          <w:rFonts w:hint="eastAsia" w:ascii="Times New Roman" w:hAnsi="Times New Roman" w:eastAsia="仿宋_GB2312" w:cs="Times New Roman"/>
          <w:color w:val="auto"/>
          <w:spacing w:val="0"/>
          <w:sz w:val="32"/>
          <w:szCs w:val="32"/>
          <w:lang w:eastAsia="zh-CN"/>
        </w:rPr>
        <w:t>、工会经费、福利费、其他交通费、其他商品和服务支出</w:t>
      </w:r>
      <w:r>
        <w:rPr>
          <w:rFonts w:hint="default" w:ascii="Times New Roman" w:hAnsi="Times New Roman" w:eastAsia="仿宋_GB2312" w:cs="Times New Roman"/>
          <w:color w:val="auto"/>
          <w:spacing w:val="0"/>
          <w:sz w:val="32"/>
          <w:szCs w:val="32"/>
        </w:rPr>
        <w:t>。</w:t>
      </w:r>
    </w:p>
    <w:p>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“三公”经费财政拨款支出预算为</w:t>
      </w:r>
      <w:r>
        <w:rPr>
          <w:rFonts w:hint="default" w:ascii="Times New Roman" w:hAnsi="Times New Roman" w:eastAsia="仿宋_GB2312" w:cs="Times New Roman"/>
          <w:color w:val="auto"/>
          <w:spacing w:val="0"/>
          <w:sz w:val="32"/>
          <w:szCs w:val="32"/>
          <w:lang w:val="en-US" w:eastAsia="zh-CN"/>
        </w:rPr>
        <w:t>6</w:t>
      </w:r>
      <w:r>
        <w:rPr>
          <w:rFonts w:hint="default" w:ascii="Times New Roman" w:hAnsi="Times New Roman" w:eastAsia="仿宋_GB2312" w:cs="Times New Roman"/>
          <w:color w:val="auto"/>
          <w:spacing w:val="0"/>
          <w:sz w:val="32"/>
          <w:szCs w:val="32"/>
        </w:rPr>
        <w:t>万元，支出决算为</w:t>
      </w:r>
      <w:r>
        <w:rPr>
          <w:rFonts w:hint="default" w:ascii="Times New Roman" w:hAnsi="Times New Roman" w:eastAsia="仿宋_GB2312" w:cs="Times New Roman"/>
          <w:color w:val="auto"/>
          <w:spacing w:val="0"/>
          <w:sz w:val="32"/>
          <w:szCs w:val="32"/>
          <w:lang w:val="en-US" w:eastAsia="zh-CN"/>
        </w:rPr>
        <w:t>5.49</w:t>
      </w:r>
      <w:r>
        <w:rPr>
          <w:rFonts w:hint="default" w:ascii="Times New Roman" w:hAnsi="Times New Roman" w:eastAsia="仿宋_GB2312" w:cs="Times New Roman"/>
          <w:color w:val="auto"/>
          <w:spacing w:val="0"/>
          <w:sz w:val="32"/>
          <w:szCs w:val="32"/>
        </w:rPr>
        <w:t>万元，完成预算的</w:t>
      </w:r>
      <w:r>
        <w:rPr>
          <w:rFonts w:hint="default" w:ascii="Times New Roman" w:hAnsi="Times New Roman" w:eastAsia="仿宋_GB2312" w:cs="Times New Roman"/>
          <w:color w:val="auto"/>
          <w:spacing w:val="0"/>
          <w:sz w:val="32"/>
          <w:szCs w:val="32"/>
          <w:lang w:val="en-US" w:eastAsia="zh-CN"/>
        </w:rPr>
        <w:t>91.5</w:t>
      </w:r>
      <w:r>
        <w:rPr>
          <w:rFonts w:hint="default" w:ascii="Times New Roman" w:hAnsi="Times New Roman" w:eastAsia="仿宋_GB2312" w:cs="Times New Roman"/>
          <w:color w:val="auto"/>
          <w:spacing w:val="0"/>
          <w:sz w:val="32"/>
          <w:szCs w:val="32"/>
        </w:rPr>
        <w:t>%，其中：</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color w:val="auto"/>
          <w:spacing w:val="0"/>
          <w:sz w:val="32"/>
          <w:szCs w:val="32"/>
        </w:rPr>
        <w:t>因公出国（境）费支出预算为</w:t>
      </w:r>
      <w:r>
        <w:rPr>
          <w:rFonts w:hint="default" w:ascii="Times New Roman" w:hAnsi="Times New Roman" w:eastAsia="仿宋_GB2312" w:cs="Times New Roman"/>
          <w:color w:val="auto"/>
          <w:spacing w:val="0"/>
          <w:sz w:val="32"/>
          <w:szCs w:val="32"/>
          <w:lang w:val="en-US" w:eastAsia="zh-CN"/>
        </w:rPr>
        <w:t>0</w:t>
      </w:r>
      <w:r>
        <w:rPr>
          <w:rFonts w:hint="default" w:ascii="Times New Roman" w:hAnsi="Times New Roman" w:eastAsia="仿宋_GB2312" w:cs="Times New Roman"/>
          <w:color w:val="auto"/>
          <w:spacing w:val="0"/>
          <w:sz w:val="32"/>
          <w:szCs w:val="32"/>
        </w:rPr>
        <w:t>万元，支出决算为</w:t>
      </w:r>
      <w:r>
        <w:rPr>
          <w:rFonts w:hint="default" w:ascii="Times New Roman" w:hAnsi="Times New Roman" w:eastAsia="仿宋_GB2312" w:cs="Times New Roman"/>
          <w:color w:val="auto"/>
          <w:spacing w:val="0"/>
          <w:sz w:val="32"/>
          <w:szCs w:val="32"/>
          <w:lang w:val="en-US" w:eastAsia="zh-CN"/>
        </w:rPr>
        <w:t>0</w:t>
      </w:r>
      <w:r>
        <w:rPr>
          <w:rFonts w:hint="default" w:ascii="Times New Roman" w:hAnsi="Times New Roman" w:eastAsia="仿宋_GB2312" w:cs="Times New Roman"/>
          <w:color w:val="auto"/>
          <w:spacing w:val="0"/>
          <w:sz w:val="32"/>
          <w:szCs w:val="32"/>
        </w:rPr>
        <w:t>万元，完成预算的</w:t>
      </w:r>
      <w:r>
        <w:rPr>
          <w:rFonts w:hint="default" w:ascii="Times New Roman" w:hAnsi="Times New Roman" w:eastAsia="仿宋_GB2312" w:cs="Times New Roman"/>
          <w:color w:val="auto"/>
          <w:spacing w:val="0"/>
          <w:sz w:val="32"/>
          <w:szCs w:val="32"/>
          <w:lang w:val="en-US" w:eastAsia="zh-CN"/>
        </w:rPr>
        <w:t>0</w:t>
      </w: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eastAsia="zh-CN"/>
        </w:rPr>
        <w:t>决算数等于年初预算数的主要原因是严格执行预算</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rPr>
        <w:t>与上年</w:t>
      </w:r>
      <w:r>
        <w:rPr>
          <w:rFonts w:hint="eastAsia" w:ascii="Times New Roman" w:hAnsi="Times New Roman" w:eastAsia="仿宋_GB2312" w:cs="Times New Roman"/>
          <w:color w:val="auto"/>
          <w:spacing w:val="0"/>
          <w:sz w:val="32"/>
          <w:szCs w:val="32"/>
          <w:lang w:eastAsia="zh-CN"/>
        </w:rPr>
        <w:t>相比</w:t>
      </w:r>
      <w:r>
        <w:rPr>
          <w:rFonts w:hint="default" w:ascii="Times New Roman" w:hAnsi="Times New Roman" w:eastAsia="仿宋_GB2312" w:cs="Times New Roman"/>
          <w:color w:val="auto"/>
          <w:spacing w:val="0"/>
          <w:sz w:val="32"/>
          <w:szCs w:val="32"/>
          <w:lang w:eastAsia="zh-CN"/>
        </w:rPr>
        <w:t>持平</w:t>
      </w:r>
      <w:r>
        <w:rPr>
          <w:rFonts w:hint="eastAsia" w:ascii="Times New Roman" w:hAnsi="Times New Roman" w:eastAsia="仿宋_GB2312" w:cs="Times New Roman"/>
          <w:color w:val="auto"/>
          <w:spacing w:val="0"/>
          <w:sz w:val="32"/>
          <w:szCs w:val="32"/>
          <w:lang w:val="en-US" w:eastAsia="zh-CN"/>
        </w:rPr>
        <w:t>,持平的主要原因是无因公出国</w:t>
      </w:r>
      <w:r>
        <w:rPr>
          <w:rFonts w:hint="eastAsia" w:ascii="Times New Roman" w:hAnsi="Times New Roman" w:eastAsia="仿宋_GB2312" w:cs="Times New Roman"/>
          <w:b w:val="0"/>
          <w:bCs w:val="0"/>
          <w:color w:val="auto"/>
          <w:spacing w:val="0"/>
          <w:sz w:val="32"/>
          <w:szCs w:val="32"/>
          <w:lang w:val="en-US" w:eastAsia="zh-CN"/>
        </w:rPr>
        <w:t>(境)费支出</w:t>
      </w:r>
      <w:r>
        <w:rPr>
          <w:rFonts w:hint="default" w:ascii="Times New Roman" w:hAnsi="Times New Roman" w:eastAsia="仿宋_GB2312" w:cs="Times New Roman"/>
          <w:color w:val="auto"/>
          <w:spacing w:val="0"/>
          <w:sz w:val="32"/>
          <w:szCs w:val="32"/>
          <w:lang w:eastAsia="zh-CN"/>
        </w:rPr>
        <w:t>。</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color w:val="auto"/>
          <w:spacing w:val="0"/>
          <w:sz w:val="32"/>
          <w:szCs w:val="32"/>
        </w:rPr>
        <w:t>公务接待费支出预算</w:t>
      </w:r>
      <w:r>
        <w:rPr>
          <w:rFonts w:hint="default" w:ascii="Times New Roman" w:hAnsi="Times New Roman" w:eastAsia="仿宋_GB2312" w:cs="Times New Roman"/>
          <w:color w:val="auto"/>
          <w:spacing w:val="0"/>
          <w:sz w:val="32"/>
          <w:szCs w:val="32"/>
          <w:lang w:val="en-US" w:eastAsia="zh-CN"/>
        </w:rPr>
        <w:t>6</w:t>
      </w:r>
      <w:r>
        <w:rPr>
          <w:rFonts w:hint="default" w:ascii="Times New Roman" w:hAnsi="Times New Roman" w:eastAsia="仿宋_GB2312" w:cs="Times New Roman"/>
          <w:color w:val="auto"/>
          <w:spacing w:val="0"/>
          <w:sz w:val="32"/>
          <w:szCs w:val="32"/>
        </w:rPr>
        <w:t>万元，支出决算为</w:t>
      </w:r>
      <w:r>
        <w:rPr>
          <w:rFonts w:hint="default" w:ascii="Times New Roman" w:hAnsi="Times New Roman" w:eastAsia="仿宋_GB2312" w:cs="Times New Roman"/>
          <w:color w:val="auto"/>
          <w:spacing w:val="0"/>
          <w:sz w:val="32"/>
          <w:szCs w:val="32"/>
          <w:lang w:val="en-US" w:eastAsia="zh-CN"/>
        </w:rPr>
        <w:t>5.49</w:t>
      </w:r>
      <w:r>
        <w:rPr>
          <w:rFonts w:hint="default" w:ascii="Times New Roman" w:hAnsi="Times New Roman" w:eastAsia="仿宋_GB2312" w:cs="Times New Roman"/>
          <w:color w:val="auto"/>
          <w:spacing w:val="0"/>
          <w:sz w:val="32"/>
          <w:szCs w:val="32"/>
        </w:rPr>
        <w:t>万元，完成预算的</w:t>
      </w:r>
      <w:r>
        <w:rPr>
          <w:rFonts w:hint="default" w:ascii="Times New Roman" w:hAnsi="Times New Roman" w:eastAsia="仿宋_GB2312" w:cs="Times New Roman"/>
          <w:color w:val="auto"/>
          <w:spacing w:val="0"/>
          <w:sz w:val="32"/>
          <w:szCs w:val="32"/>
          <w:lang w:val="en-US" w:eastAsia="zh-CN"/>
        </w:rPr>
        <w:t>91.5</w:t>
      </w:r>
      <w:r>
        <w:rPr>
          <w:rFonts w:hint="default" w:ascii="Times New Roman" w:hAnsi="Times New Roman" w:eastAsia="仿宋_GB2312" w:cs="Times New Roman"/>
          <w:color w:val="auto"/>
          <w:spacing w:val="0"/>
          <w:sz w:val="32"/>
          <w:szCs w:val="32"/>
        </w:rPr>
        <w:t>%，决算数小于年初预算数的主要原因是合理控制公务接待次数和费用支出，与上年相比</w:t>
      </w:r>
      <w:r>
        <w:rPr>
          <w:rFonts w:hint="eastAsia" w:ascii="Times New Roman" w:hAnsi="Times New Roman" w:eastAsia="仿宋_GB2312" w:cs="Times New Roman"/>
          <w:color w:val="auto"/>
          <w:spacing w:val="0"/>
          <w:sz w:val="32"/>
          <w:szCs w:val="32"/>
          <w:lang w:eastAsia="zh-CN"/>
        </w:rPr>
        <w:t>持平</w:t>
      </w: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eastAsia="zh-CN"/>
        </w:rPr>
        <w:t>持平</w:t>
      </w:r>
      <w:r>
        <w:rPr>
          <w:rFonts w:hint="default" w:ascii="Times New Roman" w:hAnsi="Times New Roman" w:eastAsia="仿宋_GB2312" w:cs="Times New Roman"/>
          <w:color w:val="auto"/>
          <w:spacing w:val="0"/>
          <w:sz w:val="32"/>
          <w:szCs w:val="32"/>
        </w:rPr>
        <w:t>的主要原因是</w:t>
      </w:r>
      <w:r>
        <w:rPr>
          <w:rFonts w:hint="eastAsia" w:ascii="Times New Roman" w:hAnsi="Times New Roman" w:eastAsia="仿宋_GB2312" w:cs="Times New Roman"/>
          <w:color w:val="auto"/>
          <w:spacing w:val="0"/>
          <w:sz w:val="32"/>
          <w:szCs w:val="32"/>
          <w:lang w:eastAsia="zh-CN"/>
        </w:rPr>
        <w:t>严格执行公务接待管理规定</w:t>
      </w:r>
      <w:r>
        <w:rPr>
          <w:rFonts w:hint="eastAsia" w:ascii="Times New Roman" w:hAnsi="Times New Roman" w:eastAsia="仿宋_GB2312" w:cs="Times New Roman"/>
          <w:color w:val="auto"/>
          <w:spacing w:val="0"/>
          <w:sz w:val="32"/>
          <w:szCs w:val="32"/>
          <w:lang w:val="en-US" w:eastAsia="zh-CN"/>
        </w:rPr>
        <w:t>,年初即结合上年实际接待需求与年度工作规划,制定了精准的接待费用预算,全年接待活动均按预算标准执行,未出现超支或节约偏差</w:t>
      </w:r>
      <w:r>
        <w:rPr>
          <w:rFonts w:hint="default" w:ascii="Times New Roman" w:hAnsi="Times New Roman" w:eastAsia="仿宋_GB2312" w:cs="Times New Roman"/>
          <w:color w:val="auto"/>
          <w:spacing w:val="0"/>
          <w:sz w:val="32"/>
          <w:szCs w:val="32"/>
        </w:rPr>
        <w:t>。</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ascii="Times New Roman" w:hAnsi="Times New Roman" w:eastAsia="仿宋_GB2312" w:cs="Times New Roman"/>
          <w:sz w:val="32"/>
          <w:szCs w:val="32"/>
          <w:highlight w:val="yellow"/>
        </w:rPr>
      </w:pPr>
      <w:r>
        <w:rPr>
          <w:rFonts w:hint="default" w:ascii="Times New Roman" w:hAnsi="Times New Roman" w:eastAsia="仿宋_GB2312" w:cs="Times New Roman"/>
          <w:color w:val="auto"/>
          <w:spacing w:val="0"/>
          <w:sz w:val="32"/>
          <w:szCs w:val="32"/>
        </w:rPr>
        <w:t>公务用车购置费及运行维护费支出预算为</w:t>
      </w:r>
      <w:r>
        <w:rPr>
          <w:rFonts w:hint="default" w:ascii="Times New Roman" w:hAnsi="Times New Roman" w:eastAsia="仿宋_GB2312" w:cs="Times New Roman"/>
          <w:color w:val="auto"/>
          <w:spacing w:val="0"/>
          <w:sz w:val="32"/>
          <w:szCs w:val="32"/>
          <w:lang w:val="en-US" w:eastAsia="zh-CN"/>
        </w:rPr>
        <w:t>0</w:t>
      </w:r>
      <w:r>
        <w:rPr>
          <w:rFonts w:hint="default" w:ascii="Times New Roman" w:hAnsi="Times New Roman" w:eastAsia="仿宋_GB2312" w:cs="Times New Roman"/>
          <w:color w:val="auto"/>
          <w:spacing w:val="0"/>
          <w:sz w:val="32"/>
          <w:szCs w:val="32"/>
        </w:rPr>
        <w:t>万元，支出决算为</w:t>
      </w:r>
      <w:r>
        <w:rPr>
          <w:rFonts w:hint="default" w:ascii="Times New Roman" w:hAnsi="Times New Roman" w:eastAsia="仿宋_GB2312" w:cs="Times New Roman"/>
          <w:color w:val="auto"/>
          <w:spacing w:val="0"/>
          <w:sz w:val="32"/>
          <w:szCs w:val="32"/>
          <w:lang w:val="en-US" w:eastAsia="zh-CN"/>
        </w:rPr>
        <w:t>0</w:t>
      </w:r>
      <w:r>
        <w:rPr>
          <w:rFonts w:hint="default" w:ascii="Times New Roman" w:hAnsi="Times New Roman" w:eastAsia="仿宋_GB2312" w:cs="Times New Roman"/>
          <w:color w:val="auto"/>
          <w:spacing w:val="0"/>
          <w:sz w:val="32"/>
          <w:szCs w:val="32"/>
        </w:rPr>
        <w:t>万元，完成预算的</w:t>
      </w:r>
      <w:r>
        <w:rPr>
          <w:rFonts w:hint="default" w:ascii="Times New Roman" w:hAnsi="Times New Roman" w:eastAsia="仿宋_GB2312" w:cs="Times New Roman"/>
          <w:color w:val="auto"/>
          <w:spacing w:val="0"/>
          <w:sz w:val="32"/>
          <w:szCs w:val="32"/>
          <w:lang w:val="en-US" w:eastAsia="zh-CN"/>
        </w:rPr>
        <w:t>0</w:t>
      </w:r>
      <w:r>
        <w:rPr>
          <w:rFonts w:hint="default" w:ascii="Times New Roman" w:hAnsi="Times New Roman" w:eastAsia="仿宋_GB2312" w:cs="Times New Roman"/>
          <w:color w:val="auto"/>
          <w:spacing w:val="0"/>
          <w:sz w:val="32"/>
          <w:szCs w:val="32"/>
        </w:rPr>
        <w:t>%，</w:t>
      </w:r>
      <w:r>
        <w:rPr>
          <w:rFonts w:hint="eastAsia" w:ascii="Times New Roman" w:hAnsi="Times New Roman" w:eastAsia="仿宋_GB2312" w:cs="Times New Roman"/>
          <w:color w:val="auto"/>
          <w:spacing w:val="0"/>
          <w:sz w:val="32"/>
          <w:szCs w:val="32"/>
          <w:lang w:eastAsia="zh-CN"/>
        </w:rPr>
        <w:t>决算数等于年初预算数的主要原因是严格执行预算</w:t>
      </w:r>
      <w:r>
        <w:rPr>
          <w:rFonts w:hint="eastAsia" w:ascii="Times New Roman" w:hAnsi="Times New Roman" w:eastAsia="仿宋_GB2312" w:cs="Times New Roman"/>
          <w:color w:val="auto"/>
          <w:spacing w:val="0"/>
          <w:sz w:val="32"/>
          <w:szCs w:val="32"/>
          <w:lang w:val="en-US" w:eastAsia="zh-CN"/>
        </w:rPr>
        <w:t>,</w:t>
      </w:r>
      <w:r>
        <w:rPr>
          <w:rFonts w:hint="default" w:ascii="Times New Roman" w:hAnsi="Times New Roman" w:eastAsia="仿宋_GB2312" w:cs="Times New Roman"/>
          <w:color w:val="auto"/>
          <w:spacing w:val="0"/>
          <w:sz w:val="32"/>
          <w:szCs w:val="32"/>
        </w:rPr>
        <w:t>与上年</w:t>
      </w:r>
      <w:r>
        <w:rPr>
          <w:rFonts w:hint="eastAsia" w:ascii="Times New Roman" w:hAnsi="Times New Roman" w:eastAsia="仿宋_GB2312" w:cs="Times New Roman"/>
          <w:color w:val="auto"/>
          <w:spacing w:val="0"/>
          <w:sz w:val="32"/>
          <w:szCs w:val="32"/>
          <w:lang w:eastAsia="zh-CN"/>
        </w:rPr>
        <w:t>相比</w:t>
      </w:r>
      <w:r>
        <w:rPr>
          <w:rFonts w:hint="default" w:ascii="Times New Roman" w:hAnsi="Times New Roman" w:eastAsia="仿宋_GB2312" w:cs="Times New Roman"/>
          <w:color w:val="auto"/>
          <w:spacing w:val="0"/>
          <w:sz w:val="32"/>
          <w:szCs w:val="32"/>
          <w:lang w:eastAsia="zh-CN"/>
        </w:rPr>
        <w:t>持平</w:t>
      </w:r>
      <w:r>
        <w:rPr>
          <w:rFonts w:hint="eastAsia" w:ascii="Times New Roman" w:hAnsi="Times New Roman" w:eastAsia="仿宋_GB2312" w:cs="Times New Roman"/>
          <w:color w:val="auto"/>
          <w:spacing w:val="0"/>
          <w:sz w:val="32"/>
          <w:szCs w:val="32"/>
          <w:lang w:val="en-US" w:eastAsia="zh-CN"/>
        </w:rPr>
        <w:t>,持平的主要原因是无公务用车购置费及运行维护费支出</w:t>
      </w:r>
      <w:r>
        <w:rPr>
          <w:rFonts w:hint="default" w:ascii="Times New Roman" w:hAnsi="Times New Roman" w:eastAsia="仿宋_GB2312" w:cs="Times New Roman"/>
          <w:color w:val="auto"/>
          <w:spacing w:val="0"/>
          <w:sz w:val="32"/>
          <w:szCs w:val="32"/>
          <w:lang w:eastAsia="zh-CN"/>
        </w:rPr>
        <w:t>。</w:t>
      </w:r>
    </w:p>
    <w:p>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ascii="Times New Roman" w:hAnsi="Times New Roman" w:eastAsia="仿宋_GB2312" w:cs="Times New Roman"/>
          <w:color w:val="auto"/>
          <w:spacing w:val="0"/>
          <w:sz w:val="32"/>
          <w:szCs w:val="32"/>
        </w:rPr>
      </w:pPr>
      <w:r>
        <w:rPr>
          <w:rFonts w:hint="eastAsia" w:ascii="Times New Roman" w:hAnsi="Times New Roman" w:eastAsia="仿宋_GB2312" w:cs="Times New Roman"/>
          <w:color w:val="auto"/>
          <w:spacing w:val="0"/>
          <w:sz w:val="32"/>
          <w:szCs w:val="32"/>
          <w:lang w:val="en-US" w:eastAsia="zh-CN"/>
        </w:rPr>
        <w:t>2024</w:t>
      </w:r>
      <w:r>
        <w:rPr>
          <w:rFonts w:ascii="Times New Roman" w:hAnsi="Times New Roman" w:eastAsia="仿宋_GB2312" w:cs="Times New Roman"/>
          <w:color w:val="auto"/>
          <w:spacing w:val="0"/>
          <w:sz w:val="32"/>
          <w:szCs w:val="32"/>
        </w:rPr>
        <w:t>年度“三公”经费财政拨款支出决算中，公务接待费支出决算</w:t>
      </w:r>
      <w:r>
        <w:rPr>
          <w:rFonts w:hint="eastAsia" w:ascii="Times New Roman" w:hAnsi="Times New Roman" w:eastAsia="仿宋_GB2312" w:cs="Times New Roman"/>
          <w:color w:val="auto"/>
          <w:spacing w:val="0"/>
          <w:sz w:val="32"/>
          <w:szCs w:val="32"/>
          <w:lang w:val="en-US" w:eastAsia="zh-CN"/>
        </w:rPr>
        <w:t>5.49</w:t>
      </w:r>
      <w:r>
        <w:rPr>
          <w:rFonts w:ascii="Times New Roman" w:hAnsi="Times New Roman" w:eastAsia="仿宋_GB2312" w:cs="Times New Roman"/>
          <w:color w:val="auto"/>
          <w:spacing w:val="0"/>
          <w:sz w:val="32"/>
          <w:szCs w:val="32"/>
        </w:rPr>
        <w:t>万元，占</w:t>
      </w:r>
      <w:r>
        <w:rPr>
          <w:rFonts w:hint="eastAsia" w:ascii="Times New Roman" w:hAnsi="Times New Roman" w:eastAsia="仿宋_GB2312" w:cs="Times New Roman"/>
          <w:color w:val="auto"/>
          <w:spacing w:val="0"/>
          <w:sz w:val="32"/>
          <w:szCs w:val="32"/>
          <w:lang w:val="en-US" w:eastAsia="zh-CN"/>
        </w:rPr>
        <w:t>100</w:t>
      </w:r>
      <w:r>
        <w:rPr>
          <w:rFonts w:ascii="Times New Roman" w:hAnsi="Times New Roman" w:eastAsia="仿宋_GB2312" w:cs="Times New Roman"/>
          <w:color w:val="auto"/>
          <w:spacing w:val="0"/>
          <w:sz w:val="32"/>
          <w:szCs w:val="32"/>
        </w:rPr>
        <w:t>%,因公出国（境）费支出决算</w:t>
      </w:r>
      <w:r>
        <w:rPr>
          <w:rFonts w:hint="eastAsia" w:ascii="Times New Roman" w:hAnsi="Times New Roman" w:eastAsia="仿宋_GB2312" w:cs="Times New Roman"/>
          <w:color w:val="auto"/>
          <w:spacing w:val="0"/>
          <w:sz w:val="32"/>
          <w:szCs w:val="32"/>
          <w:lang w:val="en-US" w:eastAsia="zh-CN"/>
        </w:rPr>
        <w:t>0</w:t>
      </w:r>
      <w:r>
        <w:rPr>
          <w:rFonts w:ascii="Times New Roman" w:hAnsi="Times New Roman" w:eastAsia="仿宋_GB2312" w:cs="Times New Roman"/>
          <w:color w:val="auto"/>
          <w:spacing w:val="0"/>
          <w:sz w:val="32"/>
          <w:szCs w:val="32"/>
        </w:rPr>
        <w:t>万元，占</w:t>
      </w:r>
      <w:r>
        <w:rPr>
          <w:rFonts w:hint="eastAsia" w:ascii="Times New Roman" w:hAnsi="Times New Roman" w:eastAsia="仿宋_GB2312" w:cs="Times New Roman"/>
          <w:color w:val="auto"/>
          <w:spacing w:val="0"/>
          <w:sz w:val="32"/>
          <w:szCs w:val="32"/>
          <w:lang w:val="en-US" w:eastAsia="zh-CN"/>
        </w:rPr>
        <w:t>0</w:t>
      </w:r>
      <w:r>
        <w:rPr>
          <w:rFonts w:ascii="Times New Roman" w:hAnsi="Times New Roman" w:eastAsia="仿宋_GB2312" w:cs="Times New Roman"/>
          <w:color w:val="auto"/>
          <w:spacing w:val="0"/>
          <w:sz w:val="32"/>
          <w:szCs w:val="32"/>
        </w:rPr>
        <w:t>%,公务用车购置费及运行维护费支出决算</w:t>
      </w:r>
      <w:r>
        <w:rPr>
          <w:rFonts w:hint="eastAsia" w:ascii="Times New Roman" w:hAnsi="Times New Roman" w:eastAsia="仿宋_GB2312" w:cs="Times New Roman"/>
          <w:color w:val="auto"/>
          <w:spacing w:val="0"/>
          <w:sz w:val="32"/>
          <w:szCs w:val="32"/>
          <w:lang w:val="en-US" w:eastAsia="zh-CN"/>
        </w:rPr>
        <w:t>0</w:t>
      </w:r>
      <w:r>
        <w:rPr>
          <w:rFonts w:ascii="Times New Roman" w:hAnsi="Times New Roman" w:eastAsia="仿宋_GB2312" w:cs="Times New Roman"/>
          <w:color w:val="auto"/>
          <w:spacing w:val="0"/>
          <w:sz w:val="32"/>
          <w:szCs w:val="32"/>
        </w:rPr>
        <w:t>万元，占</w:t>
      </w:r>
      <w:r>
        <w:rPr>
          <w:rFonts w:hint="eastAsia" w:ascii="Times New Roman" w:hAnsi="Times New Roman" w:eastAsia="仿宋_GB2312" w:cs="Times New Roman"/>
          <w:color w:val="auto"/>
          <w:spacing w:val="0"/>
          <w:sz w:val="32"/>
          <w:szCs w:val="32"/>
          <w:lang w:val="en-US" w:eastAsia="zh-CN"/>
        </w:rPr>
        <w:t>0</w:t>
      </w:r>
      <w:r>
        <w:rPr>
          <w:rFonts w:ascii="Times New Roman" w:hAnsi="Times New Roman" w:eastAsia="仿宋_GB2312" w:cs="Times New Roman"/>
          <w:color w:val="auto"/>
          <w:spacing w:val="0"/>
          <w:sz w:val="32"/>
          <w:szCs w:val="32"/>
        </w:rPr>
        <w:t>%。其中：</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hint="eastAsia" w:ascii="Times New Roman" w:hAnsi="Times New Roman" w:eastAsia="仿宋_GB2312" w:cs="Times New Roman"/>
          <w:b/>
          <w:color w:val="auto"/>
          <w:spacing w:val="0"/>
          <w:sz w:val="32"/>
          <w:szCs w:val="32"/>
          <w:lang w:eastAsia="zh-CN"/>
        </w:rPr>
      </w:pPr>
      <w:r>
        <w:rPr>
          <w:rFonts w:ascii="Times New Roman" w:hAnsi="Times New Roman" w:eastAsia="仿宋_GB2312" w:cs="Times New Roman"/>
          <w:color w:val="auto"/>
          <w:spacing w:val="0"/>
          <w:sz w:val="32"/>
          <w:szCs w:val="32"/>
        </w:rPr>
        <w:t>1、因公出国（境）费支出决算为</w:t>
      </w:r>
      <w:r>
        <w:rPr>
          <w:rFonts w:hint="eastAsia" w:ascii="Times New Roman" w:hAnsi="Times New Roman" w:eastAsia="仿宋_GB2312" w:cs="Times New Roman"/>
          <w:color w:val="auto"/>
          <w:spacing w:val="0"/>
          <w:sz w:val="32"/>
          <w:szCs w:val="32"/>
          <w:lang w:val="en-US" w:eastAsia="zh-CN"/>
        </w:rPr>
        <w:t>0</w:t>
      </w:r>
      <w:r>
        <w:rPr>
          <w:rFonts w:ascii="Times New Roman" w:hAnsi="Times New Roman" w:eastAsia="仿宋_GB2312" w:cs="Times New Roman"/>
          <w:color w:val="auto"/>
          <w:spacing w:val="0"/>
          <w:sz w:val="32"/>
          <w:szCs w:val="32"/>
        </w:rPr>
        <w:t>万元，全年安排因公出国（境）团组</w:t>
      </w:r>
      <w:r>
        <w:rPr>
          <w:rFonts w:hint="eastAsia" w:ascii="Times New Roman" w:hAnsi="Times New Roman" w:eastAsia="仿宋_GB2312" w:cs="Times New Roman"/>
          <w:color w:val="auto"/>
          <w:spacing w:val="0"/>
          <w:sz w:val="32"/>
          <w:szCs w:val="32"/>
          <w:lang w:val="en-US" w:eastAsia="zh-CN"/>
        </w:rPr>
        <w:t>0</w:t>
      </w:r>
      <w:r>
        <w:rPr>
          <w:rFonts w:ascii="Times New Roman" w:hAnsi="Times New Roman" w:eastAsia="仿宋_GB2312" w:cs="Times New Roman"/>
          <w:color w:val="auto"/>
          <w:spacing w:val="0"/>
          <w:sz w:val="32"/>
          <w:szCs w:val="32"/>
        </w:rPr>
        <w:t>个，累计</w:t>
      </w:r>
      <w:r>
        <w:rPr>
          <w:rFonts w:hint="eastAsia" w:ascii="Times New Roman" w:hAnsi="Times New Roman" w:eastAsia="仿宋_GB2312" w:cs="Times New Roman"/>
          <w:color w:val="auto"/>
          <w:spacing w:val="0"/>
          <w:sz w:val="32"/>
          <w:szCs w:val="32"/>
          <w:lang w:val="en-US" w:eastAsia="zh-CN"/>
        </w:rPr>
        <w:t>0</w:t>
      </w:r>
      <w:r>
        <w:rPr>
          <w:rFonts w:ascii="Times New Roman" w:hAnsi="Times New Roman" w:eastAsia="仿宋_GB2312" w:cs="Times New Roman"/>
          <w:color w:val="auto"/>
          <w:spacing w:val="0"/>
          <w:sz w:val="32"/>
          <w:szCs w:val="32"/>
        </w:rPr>
        <w:t>人次</w:t>
      </w:r>
      <w:r>
        <w:rPr>
          <w:rFonts w:hint="eastAsia" w:ascii="Times New Roman" w:hAnsi="Times New Roman" w:eastAsia="仿宋_GB2312" w:cs="Times New Roman"/>
          <w:color w:val="auto"/>
          <w:spacing w:val="0"/>
          <w:sz w:val="32"/>
          <w:szCs w:val="32"/>
          <w:lang w:val="en-US" w:eastAsia="zh-CN"/>
        </w:rPr>
        <w:t>,开支内容无</w:t>
      </w:r>
      <w:r>
        <w:rPr>
          <w:rFonts w:hint="eastAsia" w:ascii="Times New Roman" w:hAnsi="Times New Roman" w:eastAsia="仿宋_GB2312" w:cs="Times New Roman"/>
          <w:color w:val="auto"/>
          <w:spacing w:val="0"/>
          <w:sz w:val="32"/>
          <w:szCs w:val="32"/>
          <w:lang w:eastAsia="zh-CN"/>
        </w:rPr>
        <w:t>。</w:t>
      </w:r>
    </w:p>
    <w:p>
      <w:pPr>
        <w:pStyle w:val="15"/>
        <w:keepNext w:val="0"/>
        <w:keepLines w:val="0"/>
        <w:pageBreakBefore w:val="0"/>
        <w:kinsoku/>
        <w:overflowPunct/>
        <w:topLinePunct w:val="0"/>
        <w:bidi w:val="0"/>
        <w:snapToGrid/>
        <w:spacing w:line="600" w:lineRule="exact"/>
        <w:ind w:left="0" w:leftChars="0" w:right="0" w:firstLine="640" w:firstLineChars="200"/>
        <w:textAlignment w:val="auto"/>
        <w:rPr>
          <w:rFonts w:ascii="Times New Roman" w:hAnsi="Times New Roman" w:eastAsia="仿宋_GB2312" w:cs="Times New Roman"/>
          <w:color w:val="auto"/>
          <w:spacing w:val="0"/>
          <w:sz w:val="32"/>
          <w:szCs w:val="32"/>
        </w:rPr>
      </w:pPr>
      <w:r>
        <w:rPr>
          <w:rFonts w:ascii="Times New Roman" w:hAnsi="Times New Roman" w:eastAsia="仿宋_GB2312" w:cs="Times New Roman"/>
          <w:color w:val="auto"/>
          <w:spacing w:val="0"/>
          <w:sz w:val="32"/>
          <w:szCs w:val="32"/>
        </w:rPr>
        <w:t>2、公务接待费支出决算为</w:t>
      </w:r>
      <w:r>
        <w:rPr>
          <w:rFonts w:hint="eastAsia" w:ascii="Times New Roman" w:hAnsi="Times New Roman" w:eastAsia="仿宋_GB2312" w:cs="Times New Roman"/>
          <w:color w:val="auto"/>
          <w:spacing w:val="0"/>
          <w:sz w:val="32"/>
          <w:szCs w:val="32"/>
          <w:lang w:val="en-US" w:eastAsia="zh-CN"/>
        </w:rPr>
        <w:t>5.49</w:t>
      </w:r>
      <w:r>
        <w:rPr>
          <w:rFonts w:ascii="Times New Roman" w:hAnsi="Times New Roman" w:eastAsia="仿宋_GB2312" w:cs="Times New Roman"/>
          <w:color w:val="auto"/>
          <w:spacing w:val="0"/>
          <w:sz w:val="32"/>
          <w:szCs w:val="32"/>
        </w:rPr>
        <w:t>万元，全年共接待来访团组</w:t>
      </w:r>
      <w:r>
        <w:rPr>
          <w:rFonts w:hint="eastAsia" w:ascii="Times New Roman" w:hAnsi="Times New Roman" w:eastAsia="仿宋_GB2312" w:cs="Times New Roman"/>
          <w:color w:val="auto"/>
          <w:spacing w:val="0"/>
          <w:sz w:val="32"/>
          <w:szCs w:val="32"/>
          <w:lang w:val="en-US" w:eastAsia="zh-CN"/>
        </w:rPr>
        <w:t>78</w:t>
      </w:r>
      <w:r>
        <w:rPr>
          <w:rFonts w:ascii="Times New Roman" w:hAnsi="Times New Roman" w:eastAsia="仿宋_GB2312" w:cs="Times New Roman"/>
          <w:color w:val="auto"/>
          <w:spacing w:val="0"/>
          <w:sz w:val="32"/>
          <w:szCs w:val="32"/>
        </w:rPr>
        <w:t>个、来宾</w:t>
      </w:r>
      <w:r>
        <w:rPr>
          <w:rFonts w:hint="eastAsia" w:ascii="Times New Roman" w:hAnsi="Times New Roman" w:eastAsia="仿宋_GB2312" w:cs="Times New Roman"/>
          <w:color w:val="auto"/>
          <w:spacing w:val="0"/>
          <w:sz w:val="32"/>
          <w:szCs w:val="32"/>
          <w:lang w:val="en-US" w:eastAsia="zh-CN"/>
        </w:rPr>
        <w:t>780</w:t>
      </w:r>
      <w:r>
        <w:rPr>
          <w:rFonts w:ascii="Times New Roman" w:hAnsi="Times New Roman" w:eastAsia="仿宋_GB2312" w:cs="Times New Roman"/>
          <w:color w:val="auto"/>
          <w:spacing w:val="0"/>
          <w:sz w:val="32"/>
          <w:szCs w:val="32"/>
        </w:rPr>
        <w:t>人次，主要是</w:t>
      </w:r>
      <w:r>
        <w:rPr>
          <w:rFonts w:hint="eastAsia" w:ascii="Times New Roman" w:hAnsi="Times New Roman" w:eastAsia="仿宋_GB2312" w:cs="Times New Roman"/>
          <w:color w:val="auto"/>
          <w:spacing w:val="0"/>
          <w:sz w:val="32"/>
          <w:szCs w:val="32"/>
        </w:rPr>
        <w:t>烈士纪念日活动、上级部门</w:t>
      </w:r>
      <w:r>
        <w:rPr>
          <w:rFonts w:hint="eastAsia" w:ascii="仿宋" w:hAnsi="仿宋" w:eastAsia="仿宋" w:cs="仿宋_GB2312"/>
          <w:bCs/>
          <w:spacing w:val="0"/>
          <w:kern w:val="0"/>
          <w:sz w:val="32"/>
          <w:szCs w:val="32"/>
          <w:shd w:val="clear" w:color="auto" w:fill="FFFFFF"/>
        </w:rPr>
        <w:t>来我县</w:t>
      </w:r>
      <w:r>
        <w:rPr>
          <w:rFonts w:hint="eastAsia" w:ascii="Times New Roman" w:hAnsi="Times New Roman" w:eastAsia="仿宋_GB2312" w:cs="Times New Roman"/>
          <w:color w:val="auto"/>
          <w:spacing w:val="0"/>
          <w:sz w:val="32"/>
          <w:szCs w:val="32"/>
        </w:rPr>
        <w:t>指导调研、检查工作、兄弟县区来我县交流工作</w:t>
      </w:r>
      <w:r>
        <w:rPr>
          <w:rFonts w:hint="eastAsia" w:ascii="Times New Roman" w:hAnsi="Times New Roman" w:eastAsia="仿宋_GB2312" w:cs="Times New Roman"/>
          <w:color w:val="auto"/>
          <w:spacing w:val="0"/>
          <w:sz w:val="32"/>
          <w:szCs w:val="32"/>
          <w:lang w:eastAsia="zh-CN"/>
        </w:rPr>
        <w:t>发生的接待支出</w:t>
      </w:r>
      <w:r>
        <w:rPr>
          <w:rFonts w:hint="eastAsia" w:ascii="Times New Roman" w:hAnsi="Times New Roman" w:eastAsia="仿宋_GB2312" w:cs="Times New Roman"/>
          <w:color w:val="auto"/>
          <w:spacing w:val="0"/>
          <w:sz w:val="32"/>
          <w:szCs w:val="32"/>
        </w:rPr>
        <w:t>。</w:t>
      </w:r>
    </w:p>
    <w:p>
      <w:pPr>
        <w:keepNext w:val="0"/>
        <w:keepLines w:val="0"/>
        <w:pageBreakBefore w:val="0"/>
        <w:kinsoku/>
        <w:overflowPunct/>
        <w:topLinePunct w:val="0"/>
        <w:bidi w:val="0"/>
        <w:snapToGrid/>
        <w:spacing w:line="600" w:lineRule="exact"/>
        <w:ind w:left="0" w:leftChars="0" w:right="0" w:firstLine="640" w:firstLineChars="200"/>
        <w:textAlignment w:val="auto"/>
        <w:rPr>
          <w:rFonts w:ascii="Times New Roman" w:hAnsi="Times New Roman" w:eastAsia="仿宋_GB2312" w:cs="Times New Roman"/>
          <w:spacing w:val="0"/>
          <w:sz w:val="32"/>
          <w:szCs w:val="32"/>
        </w:rPr>
      </w:pPr>
      <w:r>
        <w:rPr>
          <w:rFonts w:eastAsia="仿宋_GB2312"/>
          <w:spacing w:val="0"/>
          <w:sz w:val="32"/>
          <w:szCs w:val="32"/>
        </w:rPr>
        <w:t>3、公务用车购置费及运行维护费支出决算为</w:t>
      </w:r>
      <w:r>
        <w:rPr>
          <w:rFonts w:hint="eastAsia" w:eastAsia="仿宋_GB2312"/>
          <w:spacing w:val="0"/>
          <w:sz w:val="32"/>
          <w:szCs w:val="32"/>
          <w:lang w:val="en-US" w:eastAsia="zh-CN"/>
        </w:rPr>
        <w:t>0</w:t>
      </w:r>
      <w:r>
        <w:rPr>
          <w:rFonts w:eastAsia="仿宋_GB2312"/>
          <w:spacing w:val="0"/>
          <w:sz w:val="32"/>
          <w:szCs w:val="32"/>
        </w:rPr>
        <w:t>万元，其中：公</w:t>
      </w:r>
      <w:r>
        <w:rPr>
          <w:rFonts w:ascii="Times New Roman" w:hAnsi="Times New Roman" w:eastAsia="仿宋_GB2312" w:cs="Times New Roman"/>
          <w:spacing w:val="0"/>
          <w:sz w:val="32"/>
          <w:szCs w:val="32"/>
        </w:rPr>
        <w:t>务用车购置费</w:t>
      </w:r>
      <w:r>
        <w:rPr>
          <w:rFonts w:hint="eastAsia" w:ascii="Times New Roman" w:hAnsi="Times New Roman" w:eastAsia="仿宋_GB2312" w:cs="Times New Roman"/>
          <w:spacing w:val="0"/>
          <w:sz w:val="32"/>
          <w:szCs w:val="32"/>
          <w:lang w:val="en-US" w:eastAsia="zh-CN"/>
        </w:rPr>
        <w:t>0</w:t>
      </w:r>
      <w:r>
        <w:rPr>
          <w:rFonts w:ascii="Times New Roman" w:hAnsi="Times New Roman" w:eastAsia="仿宋_GB2312" w:cs="Times New Roman"/>
          <w:spacing w:val="0"/>
          <w:sz w:val="32"/>
          <w:szCs w:val="32"/>
        </w:rPr>
        <w:t>万元，</w:t>
      </w:r>
      <w:r>
        <w:rPr>
          <w:rFonts w:hint="eastAsia" w:ascii="Times New Roman" w:hAnsi="Times New Roman" w:eastAsia="仿宋_GB2312" w:cs="Times New Roman"/>
          <w:spacing w:val="0"/>
          <w:sz w:val="32"/>
          <w:szCs w:val="32"/>
          <w:lang w:eastAsia="zh-CN"/>
        </w:rPr>
        <w:t>蓝山县退役军人事务局</w:t>
      </w:r>
      <w:r>
        <w:rPr>
          <w:rFonts w:ascii="Times New Roman" w:hAnsi="Times New Roman" w:eastAsia="仿宋_GB2312" w:cs="Times New Roman"/>
          <w:spacing w:val="0"/>
          <w:sz w:val="32"/>
          <w:szCs w:val="32"/>
        </w:rPr>
        <w:t>更新公务用车</w:t>
      </w:r>
      <w:r>
        <w:rPr>
          <w:rFonts w:hint="default" w:ascii="Times New Roman" w:hAnsi="Times New Roman" w:eastAsia="仿宋_GB2312" w:cs="Times New Roman"/>
          <w:spacing w:val="0"/>
          <w:sz w:val="32"/>
          <w:szCs w:val="32"/>
          <w:lang w:val="en-US" w:eastAsia="zh-CN"/>
        </w:rPr>
        <w:t>0</w:t>
      </w:r>
      <w:r>
        <w:rPr>
          <w:rFonts w:ascii="Times New Roman" w:hAnsi="Times New Roman" w:eastAsia="仿宋_GB2312" w:cs="Times New Roman"/>
          <w:spacing w:val="0"/>
          <w:sz w:val="32"/>
          <w:szCs w:val="32"/>
        </w:rPr>
        <w:t>辆。公务用车运行维护费</w:t>
      </w:r>
      <w:r>
        <w:rPr>
          <w:rFonts w:hint="default" w:ascii="Times New Roman" w:hAnsi="Times New Roman" w:eastAsia="仿宋_GB2312" w:cs="Times New Roman"/>
          <w:spacing w:val="0"/>
          <w:sz w:val="32"/>
          <w:szCs w:val="32"/>
          <w:lang w:val="en-US" w:eastAsia="zh-CN"/>
        </w:rPr>
        <w:t>0</w:t>
      </w:r>
      <w:r>
        <w:rPr>
          <w:rFonts w:ascii="Times New Roman" w:hAnsi="Times New Roman" w:eastAsia="仿宋_GB2312" w:cs="Times New Roman"/>
          <w:spacing w:val="0"/>
          <w:sz w:val="32"/>
          <w:szCs w:val="32"/>
        </w:rPr>
        <w:t>万元，</w:t>
      </w:r>
      <w:r>
        <w:rPr>
          <w:rFonts w:hint="eastAsia" w:ascii="Times New Roman" w:hAnsi="Times New Roman" w:eastAsia="仿宋_GB2312" w:cs="Times New Roman"/>
          <w:spacing w:val="0"/>
          <w:sz w:val="32"/>
          <w:szCs w:val="32"/>
          <w:lang w:eastAsia="zh-CN"/>
        </w:rPr>
        <w:t>主要是无公务用车运行维护费</w:t>
      </w:r>
      <w:r>
        <w:rPr>
          <w:rFonts w:hint="eastAsia" w:ascii="Times New Roman" w:hAnsi="Times New Roman" w:eastAsia="仿宋_GB2312" w:cs="Times New Roman"/>
          <w:spacing w:val="0"/>
          <w:sz w:val="32"/>
          <w:szCs w:val="32"/>
          <w:lang w:val="en-US" w:eastAsia="zh-CN"/>
        </w:rPr>
        <w:t>,</w:t>
      </w:r>
      <w:r>
        <w:rPr>
          <w:rFonts w:ascii="Times New Roman" w:hAnsi="Times New Roman" w:eastAsia="仿宋_GB2312" w:cs="Times New Roman"/>
          <w:spacing w:val="0"/>
          <w:sz w:val="32"/>
          <w:szCs w:val="32"/>
        </w:rPr>
        <w:t>截止</w:t>
      </w:r>
      <w:r>
        <w:rPr>
          <w:rFonts w:hint="default" w:ascii="Times New Roman" w:hAnsi="Times New Roman" w:eastAsia="仿宋_GB2312" w:cs="Times New Roman"/>
          <w:spacing w:val="0"/>
          <w:sz w:val="32"/>
          <w:szCs w:val="32"/>
        </w:rPr>
        <w:t>202</w:t>
      </w:r>
      <w:r>
        <w:rPr>
          <w:rFonts w:hint="eastAsia" w:ascii="Times New Roman" w:hAnsi="Times New Roman" w:eastAsia="仿宋_GB2312" w:cs="Times New Roman"/>
          <w:spacing w:val="0"/>
          <w:sz w:val="32"/>
          <w:szCs w:val="32"/>
          <w:lang w:val="en-US" w:eastAsia="zh-CN"/>
        </w:rPr>
        <w:t>4</w:t>
      </w:r>
      <w:r>
        <w:rPr>
          <w:rFonts w:ascii="Times New Roman" w:hAnsi="Times New Roman" w:eastAsia="仿宋_GB2312" w:cs="Times New Roman"/>
          <w:spacing w:val="0"/>
          <w:sz w:val="32"/>
          <w:szCs w:val="32"/>
        </w:rPr>
        <w:t>年12月31日，我单位开支财政拨款的公务用车保有量为</w:t>
      </w:r>
      <w:r>
        <w:rPr>
          <w:rFonts w:hint="eastAsia" w:ascii="Times New Roman" w:hAnsi="Times New Roman" w:eastAsia="仿宋_GB2312" w:cs="Times New Roman"/>
          <w:spacing w:val="0"/>
          <w:sz w:val="32"/>
          <w:szCs w:val="32"/>
        </w:rPr>
        <w:t>0</w:t>
      </w:r>
      <w:r>
        <w:rPr>
          <w:rFonts w:ascii="Times New Roman" w:hAnsi="Times New Roman" w:eastAsia="仿宋_GB2312" w:cs="Times New Roman"/>
          <w:spacing w:val="0"/>
          <w:sz w:val="32"/>
          <w:szCs w:val="32"/>
        </w:rPr>
        <w:t>辆</w:t>
      </w:r>
      <w:r>
        <w:rPr>
          <w:rFonts w:hint="eastAsia" w:ascii="Times New Roman" w:hAnsi="Times New Roman" w:eastAsia="仿宋_GB2312" w:cs="Times New Roman"/>
          <w:spacing w:val="0"/>
          <w:sz w:val="32"/>
          <w:szCs w:val="32"/>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default" w:ascii="Times New Roman" w:hAnsi="Times New Roman" w:eastAsia="仿宋_GB2312" w:cs="Times New Roman"/>
          <w:color w:val="auto"/>
          <w:spacing w:val="0"/>
          <w:sz w:val="32"/>
          <w:szCs w:val="32"/>
        </w:rPr>
        <w:t>202</w:t>
      </w:r>
      <w:r>
        <w:rPr>
          <w:rFonts w:hint="eastAsia" w:ascii="Times New Roman" w:hAnsi="Times New Roman" w:eastAsia="仿宋_GB2312" w:cs="Times New Roman"/>
          <w:color w:val="auto"/>
          <w:spacing w:val="0"/>
          <w:sz w:val="32"/>
          <w:szCs w:val="32"/>
          <w:lang w:val="en-US" w:eastAsia="zh-CN"/>
        </w:rPr>
        <w:t>4</w:t>
      </w:r>
      <w:r>
        <w:rPr>
          <w:rFonts w:hint="default" w:ascii="Times New Roman" w:hAnsi="Times New Roman" w:eastAsia="仿宋_GB2312" w:cs="Times New Roman"/>
          <w:color w:val="auto"/>
          <w:spacing w:val="0"/>
          <w:sz w:val="32"/>
          <w:szCs w:val="32"/>
        </w:rPr>
        <w:t>年度本单位无政府性基金收支</w:t>
      </w:r>
      <w:r>
        <w:rPr>
          <w:rFonts w:hint="default" w:ascii="Times New Roman" w:hAnsi="Times New Roman" w:eastAsia="仿宋_GB2312" w:cs="Times New Roman"/>
          <w:color w:val="auto"/>
          <w:spacing w:val="0"/>
          <w:sz w:val="32"/>
          <w:szCs w:val="32"/>
          <w:lang w:eastAsia="zh-CN"/>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pPr>
        <w:spacing w:line="600" w:lineRule="exact"/>
        <w:ind w:firstLine="640" w:firstLineChars="200"/>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color w:val="auto"/>
          <w:spacing w:val="0"/>
          <w:kern w:val="2"/>
          <w:sz w:val="32"/>
          <w:szCs w:val="32"/>
          <w:lang w:val="en-US" w:eastAsia="zh-CN" w:bidi="ar-SA"/>
        </w:rPr>
        <w:t>本部门202</w:t>
      </w:r>
      <w:r>
        <w:rPr>
          <w:rFonts w:hint="eastAsia" w:ascii="Times New Roman" w:hAnsi="Times New Roman" w:eastAsia="仿宋_GB2312" w:cs="Times New Roman"/>
          <w:color w:val="auto"/>
          <w:spacing w:val="0"/>
          <w:kern w:val="2"/>
          <w:sz w:val="32"/>
          <w:szCs w:val="32"/>
          <w:lang w:val="en-US" w:eastAsia="zh-CN" w:bidi="ar-SA"/>
        </w:rPr>
        <w:t>4</w:t>
      </w:r>
      <w:r>
        <w:rPr>
          <w:rFonts w:hint="default" w:ascii="Times New Roman" w:hAnsi="Times New Roman" w:eastAsia="仿宋_GB2312" w:cs="Times New Roman"/>
          <w:color w:val="auto"/>
          <w:spacing w:val="0"/>
          <w:kern w:val="2"/>
          <w:sz w:val="32"/>
          <w:szCs w:val="32"/>
          <w:lang w:val="en-US" w:eastAsia="zh-CN" w:bidi="ar-SA"/>
        </w:rPr>
        <w:t>年度机关运行经费支出</w:t>
      </w:r>
      <w:r>
        <w:rPr>
          <w:rFonts w:hint="eastAsia" w:ascii="Times New Roman" w:hAnsi="Times New Roman" w:eastAsia="仿宋_GB2312" w:cs="Times New Roman"/>
          <w:color w:val="auto"/>
          <w:spacing w:val="0"/>
          <w:kern w:val="2"/>
          <w:sz w:val="32"/>
          <w:szCs w:val="32"/>
          <w:lang w:val="en-US" w:eastAsia="zh-CN" w:bidi="ar-SA"/>
        </w:rPr>
        <w:t>39.39</w:t>
      </w:r>
      <w:r>
        <w:rPr>
          <w:rFonts w:hint="default" w:ascii="Times New Roman" w:hAnsi="Times New Roman" w:eastAsia="仿宋_GB2312" w:cs="Times New Roman"/>
          <w:color w:val="auto"/>
          <w:spacing w:val="0"/>
          <w:kern w:val="2"/>
          <w:sz w:val="32"/>
          <w:szCs w:val="32"/>
          <w:lang w:val="en-US" w:eastAsia="zh-CN" w:bidi="ar-SA"/>
        </w:rPr>
        <w:t>万元，比上年决算数减少</w:t>
      </w:r>
      <w:r>
        <w:rPr>
          <w:rFonts w:hint="eastAsia" w:ascii="Times New Roman" w:hAnsi="Times New Roman" w:eastAsia="仿宋_GB2312" w:cs="Times New Roman"/>
          <w:color w:val="auto"/>
          <w:spacing w:val="0"/>
          <w:kern w:val="2"/>
          <w:sz w:val="32"/>
          <w:szCs w:val="32"/>
          <w:lang w:val="en-US" w:eastAsia="zh-CN" w:bidi="ar-SA"/>
        </w:rPr>
        <w:t>10.79</w:t>
      </w:r>
      <w:r>
        <w:rPr>
          <w:rFonts w:hint="default" w:ascii="Times New Roman" w:hAnsi="Times New Roman" w:eastAsia="仿宋_GB2312" w:cs="Times New Roman"/>
          <w:color w:val="auto"/>
          <w:spacing w:val="0"/>
          <w:kern w:val="2"/>
          <w:sz w:val="32"/>
          <w:szCs w:val="32"/>
          <w:lang w:val="en-US" w:eastAsia="zh-CN" w:bidi="ar-SA"/>
        </w:rPr>
        <w:t>万元，下降</w:t>
      </w:r>
      <w:r>
        <w:rPr>
          <w:rFonts w:hint="eastAsia" w:ascii="Times New Roman" w:hAnsi="Times New Roman" w:eastAsia="仿宋_GB2312" w:cs="Times New Roman"/>
          <w:color w:val="auto"/>
          <w:spacing w:val="0"/>
          <w:kern w:val="2"/>
          <w:sz w:val="32"/>
          <w:szCs w:val="32"/>
          <w:lang w:val="en-US" w:eastAsia="zh-CN" w:bidi="ar-SA"/>
        </w:rPr>
        <w:t>21.50</w:t>
      </w:r>
      <w:r>
        <w:rPr>
          <w:rFonts w:hint="default" w:ascii="Times New Roman" w:hAnsi="Times New Roman" w:eastAsia="仿宋_GB2312" w:cs="Times New Roman"/>
          <w:color w:val="auto"/>
          <w:spacing w:val="0"/>
          <w:kern w:val="2"/>
          <w:sz w:val="32"/>
          <w:szCs w:val="32"/>
          <w:lang w:val="en-US" w:eastAsia="zh-CN" w:bidi="ar-SA"/>
        </w:rPr>
        <w:t>%。主要原因是：办公设施设备购置经费减少、各项行政运行费用支出也相应减少。</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pPr>
        <w:spacing w:line="600" w:lineRule="exact"/>
        <w:ind w:firstLine="640" w:firstLineChars="200"/>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2024年本部门开支会议费0.30万元，用于召开3次会议，人数134人，内容为业务培训会议；开支培训费9.14万元，用于开展3次培训，人数49人，内容为</w:t>
      </w:r>
      <w:r>
        <w:rPr>
          <w:rFonts w:hint="default" w:ascii="Times New Roman" w:hAnsi="Times New Roman" w:eastAsia="仿宋_GB2312" w:cs="Times New Roman"/>
          <w:color w:val="auto"/>
          <w:spacing w:val="0"/>
          <w:kern w:val="2"/>
          <w:sz w:val="32"/>
          <w:szCs w:val="32"/>
          <w:lang w:val="en-US" w:eastAsia="zh-CN" w:bidi="ar-SA"/>
        </w:rPr>
        <w:t>开展</w:t>
      </w:r>
      <w:r>
        <w:rPr>
          <w:rFonts w:hint="eastAsia" w:ascii="Times New Roman" w:hAnsi="Times New Roman" w:eastAsia="仿宋_GB2312" w:cs="Times New Roman"/>
          <w:color w:val="auto"/>
          <w:spacing w:val="0"/>
          <w:kern w:val="2"/>
          <w:sz w:val="32"/>
          <w:szCs w:val="32"/>
          <w:lang w:val="en-US" w:eastAsia="zh-CN" w:bidi="ar-SA"/>
        </w:rPr>
        <w:t>退役士兵管理教育</w:t>
      </w:r>
      <w:r>
        <w:rPr>
          <w:rFonts w:hint="default" w:ascii="Times New Roman" w:hAnsi="Times New Roman" w:eastAsia="仿宋_GB2312" w:cs="Times New Roman"/>
          <w:color w:val="auto"/>
          <w:spacing w:val="0"/>
          <w:kern w:val="2"/>
          <w:sz w:val="32"/>
          <w:szCs w:val="32"/>
          <w:lang w:val="en-US" w:eastAsia="zh-CN" w:bidi="ar-SA"/>
        </w:rPr>
        <w:t>培训</w:t>
      </w:r>
      <w:r>
        <w:rPr>
          <w:rFonts w:hint="eastAsia" w:ascii="Times New Roman" w:hAnsi="Times New Roman" w:eastAsia="仿宋_GB2312" w:cs="Times New Roman"/>
          <w:color w:val="auto"/>
          <w:spacing w:val="0"/>
          <w:kern w:val="2"/>
          <w:sz w:val="32"/>
          <w:szCs w:val="32"/>
          <w:lang w:val="en-US" w:eastAsia="zh-CN" w:bidi="ar-SA"/>
        </w:rPr>
        <w:t>；举办0次</w:t>
      </w:r>
      <w:r>
        <w:rPr>
          <w:rFonts w:eastAsia="仿宋_GB2312"/>
          <w:kern w:val="0"/>
          <w:sz w:val="32"/>
          <w:szCs w:val="32"/>
        </w:rPr>
        <w:t>节庆、晚会、论坛、赛事活动，开支</w:t>
      </w:r>
      <w:r>
        <w:rPr>
          <w:rFonts w:hint="eastAsia" w:eastAsia="仿宋_GB2312"/>
          <w:kern w:val="0"/>
          <w:sz w:val="32"/>
          <w:szCs w:val="32"/>
          <w:lang w:val="en-US" w:eastAsia="zh-CN"/>
        </w:rPr>
        <w:t>0万元，主要是无</w:t>
      </w:r>
      <w:r>
        <w:rPr>
          <w:rFonts w:eastAsia="仿宋_GB2312"/>
          <w:kern w:val="0"/>
          <w:sz w:val="32"/>
          <w:szCs w:val="32"/>
        </w:rPr>
        <w:t>节庆、晚会、论坛、赛事活动</w:t>
      </w:r>
      <w:r>
        <w:rPr>
          <w:rFonts w:hint="eastAsia" w:ascii="Times New Roman" w:hAnsi="Times New Roman" w:eastAsia="仿宋_GB2312" w:cs="Times New Roman"/>
          <w:color w:val="auto"/>
          <w:spacing w:val="0"/>
          <w:kern w:val="2"/>
          <w:sz w:val="32"/>
          <w:szCs w:val="32"/>
          <w:lang w:val="en-US" w:eastAsia="zh-CN" w:bidi="ar-SA"/>
        </w:rPr>
        <w:t>。</w:t>
      </w:r>
    </w:p>
    <w:p>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40.54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40.54</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40.54</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40.54</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pPr>
        <w:keepNext w:val="0"/>
        <w:keepLines w:val="0"/>
        <w:pageBreakBefore w:val="0"/>
        <w:kinsoku/>
        <w:overflowPunct/>
        <w:topLinePunct w:val="0"/>
        <w:bidi w:val="0"/>
        <w:snapToGrid/>
        <w:spacing w:line="600" w:lineRule="exact"/>
        <w:ind w:left="0" w:leftChars="0" w:right="0" w:firstLine="640" w:firstLineChars="200"/>
        <w:textAlignment w:val="auto"/>
        <w:rPr>
          <w:rFonts w:eastAsia="仿宋_GB2312"/>
          <w:spacing w:val="0"/>
          <w:kern w:val="0"/>
          <w:sz w:val="32"/>
          <w:szCs w:val="32"/>
        </w:rPr>
      </w:pPr>
      <w:r>
        <w:rPr>
          <w:rFonts w:eastAsia="仿宋_GB2312"/>
          <w:spacing w:val="0"/>
          <w:kern w:val="0"/>
          <w:sz w:val="32"/>
          <w:szCs w:val="32"/>
        </w:rPr>
        <w:t>截至</w:t>
      </w:r>
      <w:r>
        <w:rPr>
          <w:rFonts w:hint="eastAsia" w:eastAsia="仿宋_GB2312"/>
          <w:spacing w:val="0"/>
          <w:kern w:val="0"/>
          <w:sz w:val="32"/>
          <w:szCs w:val="32"/>
          <w:lang w:val="en-US" w:eastAsia="zh-CN"/>
        </w:rPr>
        <w:t>2024</w:t>
      </w:r>
      <w:r>
        <w:rPr>
          <w:rFonts w:eastAsia="仿宋_GB2312"/>
          <w:spacing w:val="0"/>
          <w:kern w:val="0"/>
          <w:sz w:val="32"/>
          <w:szCs w:val="32"/>
        </w:rPr>
        <w:t>年12月31日，本单位共有车辆</w:t>
      </w:r>
      <w:r>
        <w:rPr>
          <w:rFonts w:hint="eastAsia" w:eastAsia="仿宋_GB2312"/>
          <w:spacing w:val="0"/>
          <w:kern w:val="0"/>
          <w:sz w:val="32"/>
          <w:szCs w:val="32"/>
          <w:lang w:val="en-US" w:eastAsia="zh-CN"/>
        </w:rPr>
        <w:t>0</w:t>
      </w:r>
      <w:r>
        <w:rPr>
          <w:rFonts w:eastAsia="仿宋_GB2312"/>
          <w:spacing w:val="0"/>
          <w:kern w:val="0"/>
          <w:sz w:val="32"/>
          <w:szCs w:val="32"/>
        </w:rPr>
        <w:t>辆，其中，领导干部用车</w:t>
      </w:r>
      <w:r>
        <w:rPr>
          <w:rFonts w:hint="eastAsia" w:eastAsia="仿宋_GB2312"/>
          <w:spacing w:val="0"/>
          <w:kern w:val="0"/>
          <w:sz w:val="32"/>
          <w:szCs w:val="32"/>
          <w:lang w:val="en-US" w:eastAsia="zh-CN"/>
        </w:rPr>
        <w:t>0</w:t>
      </w:r>
      <w:r>
        <w:rPr>
          <w:rFonts w:eastAsia="仿宋_GB2312"/>
          <w:spacing w:val="0"/>
          <w:kern w:val="0"/>
          <w:sz w:val="32"/>
          <w:szCs w:val="32"/>
        </w:rPr>
        <w:t>辆、机要通信用车</w:t>
      </w:r>
      <w:r>
        <w:rPr>
          <w:rFonts w:hint="eastAsia" w:eastAsia="仿宋_GB2312"/>
          <w:spacing w:val="0"/>
          <w:kern w:val="0"/>
          <w:sz w:val="32"/>
          <w:szCs w:val="32"/>
          <w:lang w:val="en-US" w:eastAsia="zh-CN"/>
        </w:rPr>
        <w:t>0</w:t>
      </w:r>
      <w:r>
        <w:rPr>
          <w:rFonts w:eastAsia="仿宋_GB2312"/>
          <w:spacing w:val="0"/>
          <w:kern w:val="0"/>
          <w:sz w:val="32"/>
          <w:szCs w:val="32"/>
        </w:rPr>
        <w:t>辆、应急保障用车</w:t>
      </w:r>
      <w:r>
        <w:rPr>
          <w:rFonts w:hint="eastAsia" w:eastAsia="仿宋_GB2312"/>
          <w:spacing w:val="0"/>
          <w:kern w:val="0"/>
          <w:sz w:val="32"/>
          <w:szCs w:val="32"/>
          <w:lang w:val="en-US" w:eastAsia="zh-CN"/>
        </w:rPr>
        <w:t>0</w:t>
      </w:r>
      <w:r>
        <w:rPr>
          <w:rFonts w:eastAsia="仿宋_GB2312"/>
          <w:spacing w:val="0"/>
          <w:kern w:val="0"/>
          <w:sz w:val="32"/>
          <w:szCs w:val="32"/>
        </w:rPr>
        <w:t>辆、执法执勤用车</w:t>
      </w:r>
      <w:r>
        <w:rPr>
          <w:rFonts w:hint="eastAsia" w:eastAsia="仿宋_GB2312"/>
          <w:spacing w:val="0"/>
          <w:kern w:val="0"/>
          <w:sz w:val="32"/>
          <w:szCs w:val="32"/>
          <w:lang w:val="en-US" w:eastAsia="zh-CN"/>
        </w:rPr>
        <w:t>0</w:t>
      </w:r>
      <w:r>
        <w:rPr>
          <w:rFonts w:eastAsia="仿宋_GB2312"/>
          <w:spacing w:val="0"/>
          <w:kern w:val="0"/>
          <w:sz w:val="32"/>
          <w:szCs w:val="32"/>
        </w:rPr>
        <w:t>辆、特种专业技术用车</w:t>
      </w:r>
      <w:r>
        <w:rPr>
          <w:rFonts w:hint="eastAsia" w:eastAsia="仿宋_GB2312"/>
          <w:spacing w:val="0"/>
          <w:kern w:val="0"/>
          <w:sz w:val="32"/>
          <w:szCs w:val="32"/>
          <w:lang w:val="en-US" w:eastAsia="zh-CN"/>
        </w:rPr>
        <w:t>0</w:t>
      </w:r>
      <w:r>
        <w:rPr>
          <w:rFonts w:eastAsia="仿宋_GB2312"/>
          <w:spacing w:val="0"/>
          <w:kern w:val="0"/>
          <w:sz w:val="32"/>
          <w:szCs w:val="32"/>
        </w:rPr>
        <w:t>辆、其他用车</w:t>
      </w:r>
      <w:r>
        <w:rPr>
          <w:rFonts w:hint="eastAsia" w:eastAsia="仿宋_GB2312"/>
          <w:spacing w:val="0"/>
          <w:kern w:val="0"/>
          <w:sz w:val="32"/>
          <w:szCs w:val="32"/>
          <w:lang w:val="en-US" w:eastAsia="zh-CN"/>
        </w:rPr>
        <w:t>0</w:t>
      </w:r>
      <w:r>
        <w:rPr>
          <w:rFonts w:eastAsia="仿宋_GB2312"/>
          <w:spacing w:val="0"/>
          <w:kern w:val="0"/>
          <w:sz w:val="32"/>
          <w:szCs w:val="32"/>
        </w:rPr>
        <w:t>辆</w:t>
      </w:r>
      <w:r>
        <w:rPr>
          <w:rFonts w:hint="eastAsia" w:eastAsia="仿宋_GB2312"/>
          <w:spacing w:val="0"/>
          <w:kern w:val="0"/>
          <w:sz w:val="32"/>
          <w:szCs w:val="32"/>
          <w:lang w:eastAsia="zh-CN"/>
        </w:rPr>
        <w:t>，</w:t>
      </w:r>
      <w:r>
        <w:rPr>
          <w:rFonts w:hint="eastAsia" w:eastAsia="仿宋_GB2312"/>
          <w:spacing w:val="0"/>
          <w:kern w:val="0"/>
          <w:sz w:val="32"/>
          <w:szCs w:val="32"/>
          <w:lang w:val="en-US" w:eastAsia="zh-CN"/>
        </w:rPr>
        <w:t>其他用车无；</w:t>
      </w:r>
      <w:r>
        <w:rPr>
          <w:rFonts w:eastAsia="仿宋_GB2312"/>
          <w:spacing w:val="0"/>
          <w:kern w:val="0"/>
          <w:sz w:val="32"/>
          <w:szCs w:val="32"/>
        </w:rPr>
        <w:t>单位价值50万元以上通用设备</w:t>
      </w:r>
      <w:r>
        <w:rPr>
          <w:rFonts w:hint="eastAsia" w:eastAsia="仿宋_GB2312"/>
          <w:spacing w:val="0"/>
          <w:kern w:val="0"/>
          <w:sz w:val="32"/>
          <w:szCs w:val="32"/>
          <w:lang w:val="en-US" w:eastAsia="zh-CN"/>
        </w:rPr>
        <w:t>0</w:t>
      </w:r>
      <w:r>
        <w:rPr>
          <w:rFonts w:eastAsia="仿宋_GB2312"/>
          <w:spacing w:val="0"/>
          <w:kern w:val="0"/>
          <w:sz w:val="32"/>
          <w:szCs w:val="32"/>
        </w:rPr>
        <w:t>台（套）；单位价值100万元以上专用设备</w:t>
      </w:r>
      <w:r>
        <w:rPr>
          <w:rFonts w:hint="eastAsia" w:eastAsia="仿宋_GB2312"/>
          <w:spacing w:val="0"/>
          <w:kern w:val="0"/>
          <w:sz w:val="32"/>
          <w:szCs w:val="32"/>
          <w:lang w:val="en-US" w:eastAsia="zh-CN"/>
        </w:rPr>
        <w:t>0</w:t>
      </w:r>
      <w:r>
        <w:rPr>
          <w:rFonts w:eastAsia="仿宋_GB2312"/>
          <w:spacing w:val="0"/>
          <w:kern w:val="0"/>
          <w:sz w:val="32"/>
          <w:szCs w:val="32"/>
        </w:rPr>
        <w:t>台（套）。</w:t>
      </w:r>
    </w:p>
    <w:p>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pPr>
        <w:pStyle w:val="15"/>
        <w:keepNext w:val="0"/>
        <w:keepLines w:val="0"/>
        <w:pageBreakBefore w:val="0"/>
        <w:kinsoku/>
        <w:overflowPunct/>
        <w:topLinePunct w:val="0"/>
        <w:bidi w:val="0"/>
        <w:snapToGrid/>
        <w:spacing w:line="600" w:lineRule="exact"/>
        <w:ind w:left="0" w:leftChars="0" w:right="0" w:firstLine="640" w:firstLineChars="200"/>
        <w:jc w:val="both"/>
        <w:textAlignment w:val="auto"/>
        <w:rPr>
          <w:rFonts w:hint="default" w:ascii="Times New Roman" w:hAnsi="Times New Roman" w:eastAsia="仿宋_GB2312" w:cs="Times New Roman"/>
          <w:color w:val="3C3C3C"/>
          <w:spacing w:val="0"/>
          <w:sz w:val="32"/>
          <w:szCs w:val="32"/>
          <w:shd w:val="clear" w:color="auto" w:fill="FFFFFF"/>
        </w:rPr>
      </w:pPr>
      <w:r>
        <w:rPr>
          <w:rFonts w:hint="eastAsia" w:ascii="Times New Roman" w:hAnsi="Times New Roman" w:eastAsia="仿宋_GB2312" w:cs="Times New Roman"/>
          <w:color w:val="auto"/>
          <w:spacing w:val="0"/>
          <w:kern w:val="2"/>
          <w:sz w:val="32"/>
          <w:szCs w:val="32"/>
          <w:lang w:val="en-US" w:eastAsia="zh-CN" w:bidi="ar-SA"/>
        </w:rPr>
        <w:t>本部门2024年整体</w:t>
      </w:r>
      <w:r>
        <w:rPr>
          <w:rFonts w:hint="default" w:ascii="Times New Roman" w:hAnsi="Times New Roman" w:eastAsia="仿宋_GB2312" w:cs="Times New Roman"/>
          <w:color w:val="auto"/>
          <w:spacing w:val="0"/>
          <w:kern w:val="2"/>
          <w:sz w:val="32"/>
          <w:szCs w:val="32"/>
          <w:lang w:val="en-US" w:eastAsia="zh-CN" w:bidi="ar-SA"/>
        </w:rPr>
        <w:t>支出</w:t>
      </w:r>
      <w:r>
        <w:rPr>
          <w:rFonts w:hint="eastAsia" w:ascii="Times New Roman" w:hAnsi="Times New Roman" w:eastAsia="仿宋_GB2312" w:cs="Times New Roman"/>
          <w:color w:val="auto"/>
          <w:spacing w:val="0"/>
          <w:kern w:val="2"/>
          <w:sz w:val="32"/>
          <w:szCs w:val="32"/>
          <w:lang w:val="en-US" w:eastAsia="zh-CN" w:bidi="ar-SA"/>
        </w:rPr>
        <w:t>4420.68</w:t>
      </w:r>
      <w:r>
        <w:rPr>
          <w:rFonts w:hint="default" w:ascii="Times New Roman" w:hAnsi="Times New Roman" w:eastAsia="仿宋_GB2312" w:cs="Times New Roman"/>
          <w:color w:val="auto"/>
          <w:spacing w:val="0"/>
          <w:kern w:val="2"/>
          <w:sz w:val="32"/>
          <w:szCs w:val="32"/>
          <w:lang w:val="en-US" w:eastAsia="zh-CN" w:bidi="ar-SA"/>
        </w:rPr>
        <w:t>万元。其中，基本支出</w:t>
      </w:r>
      <w:r>
        <w:rPr>
          <w:rFonts w:hint="eastAsia" w:ascii="Times New Roman" w:hAnsi="Times New Roman" w:eastAsia="仿宋_GB2312" w:cs="Times New Roman"/>
          <w:color w:val="auto"/>
          <w:spacing w:val="0"/>
          <w:kern w:val="2"/>
          <w:sz w:val="32"/>
          <w:szCs w:val="32"/>
          <w:lang w:val="en-US" w:eastAsia="zh-CN" w:bidi="ar-SA"/>
        </w:rPr>
        <w:t>397.48</w:t>
      </w:r>
      <w:r>
        <w:rPr>
          <w:rFonts w:hint="default" w:ascii="Times New Roman" w:hAnsi="Times New Roman" w:eastAsia="仿宋_GB2312" w:cs="Times New Roman"/>
          <w:color w:val="auto"/>
          <w:spacing w:val="0"/>
          <w:kern w:val="2"/>
          <w:sz w:val="32"/>
          <w:szCs w:val="32"/>
          <w:lang w:val="en-US" w:eastAsia="zh-CN" w:bidi="ar-SA"/>
        </w:rPr>
        <w:t>万元，项目支出</w:t>
      </w:r>
      <w:r>
        <w:rPr>
          <w:rFonts w:hint="eastAsia" w:ascii="Times New Roman" w:hAnsi="Times New Roman" w:eastAsia="仿宋_GB2312" w:cs="Times New Roman"/>
          <w:color w:val="auto"/>
          <w:spacing w:val="0"/>
          <w:kern w:val="2"/>
          <w:sz w:val="32"/>
          <w:szCs w:val="32"/>
          <w:lang w:val="en-US" w:eastAsia="zh-CN" w:bidi="ar-SA"/>
        </w:rPr>
        <w:t>4023.20</w:t>
      </w:r>
      <w:r>
        <w:rPr>
          <w:rFonts w:hint="default" w:ascii="Times New Roman" w:hAnsi="Times New Roman" w:eastAsia="仿宋_GB2312" w:cs="Times New Roman"/>
          <w:color w:val="auto"/>
          <w:spacing w:val="0"/>
          <w:kern w:val="2"/>
          <w:sz w:val="32"/>
          <w:szCs w:val="32"/>
          <w:lang w:val="en-US" w:eastAsia="zh-CN" w:bidi="ar-SA"/>
        </w:rPr>
        <w:t>万元</w:t>
      </w:r>
      <w:r>
        <w:rPr>
          <w:rFonts w:hint="eastAsia" w:ascii="Times New Roman" w:hAnsi="Times New Roman" w:eastAsia="仿宋_GB2312" w:cs="Times New Roman"/>
          <w:color w:val="auto"/>
          <w:spacing w:val="0"/>
          <w:kern w:val="2"/>
          <w:sz w:val="32"/>
          <w:szCs w:val="32"/>
          <w:lang w:val="en-US" w:eastAsia="zh-CN" w:bidi="ar-SA"/>
        </w:rPr>
        <w:t>,本年度重点项目支出0万元</w:t>
      </w:r>
      <w:r>
        <w:rPr>
          <w:rFonts w:hint="default" w:ascii="Times New Roman" w:hAnsi="Times New Roman" w:eastAsia="仿宋_GB2312" w:cs="Times New Roman"/>
          <w:color w:val="auto"/>
          <w:spacing w:val="0"/>
          <w:kern w:val="2"/>
          <w:sz w:val="32"/>
          <w:szCs w:val="32"/>
          <w:lang w:val="en-US" w:eastAsia="zh-CN" w:bidi="ar-SA"/>
        </w:rPr>
        <w:t>。其中：基本支出主要列支人员工资福利和公用工作经费。</w:t>
      </w:r>
    </w:p>
    <w:p>
      <w:pPr>
        <w:pStyle w:val="15"/>
        <w:keepNext w:val="0"/>
        <w:keepLines w:val="0"/>
        <w:pageBreakBefore w:val="0"/>
        <w:kinsoku/>
        <w:overflowPunct/>
        <w:topLinePunct w:val="0"/>
        <w:bidi w:val="0"/>
        <w:snapToGrid/>
        <w:spacing w:line="600" w:lineRule="exact"/>
        <w:ind w:left="0" w:leftChars="0" w:right="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本</w:t>
      </w:r>
      <w:r>
        <w:rPr>
          <w:rFonts w:hint="default" w:ascii="Times New Roman" w:hAnsi="Times New Roman" w:eastAsia="仿宋_GB2312" w:cs="Times New Roman"/>
          <w:color w:val="auto"/>
          <w:spacing w:val="0"/>
          <w:kern w:val="2"/>
          <w:sz w:val="32"/>
          <w:szCs w:val="32"/>
          <w:lang w:val="en-US" w:eastAsia="zh-CN" w:bidi="ar-SA"/>
        </w:rPr>
        <w:t>单位按照县财政局绩效管理股的要求，从预算的执行、控制与调整，决算与绩效评价等方面对专项资金进行管理，做到了专项资金预算编制有目标、预算执行有监控、预算完成有评价、评价结果有反馈、反馈结果有应用。</w:t>
      </w:r>
    </w:p>
    <w:p>
      <w:pPr>
        <w:pStyle w:val="15"/>
        <w:overflowPunct w:val="0"/>
        <w:autoSpaceDE/>
        <w:autoSpaceDN/>
        <w:spacing w:line="600" w:lineRule="exact"/>
        <w:ind w:firstLine="640" w:firstLineChars="200"/>
        <w:jc w:val="both"/>
        <w:rPr>
          <w:rFonts w:hint="eastAsia" w:ascii="仿宋" w:hAnsi="仿宋" w:eastAsia="仿宋" w:cs="仿宋"/>
          <w:b w:val="0"/>
          <w:bCs w:val="0"/>
          <w:color w:val="auto"/>
          <w:kern w:val="2"/>
          <w:sz w:val="32"/>
          <w:szCs w:val="32"/>
        </w:rPr>
      </w:pPr>
      <w:r>
        <w:rPr>
          <w:rFonts w:hint="eastAsia" w:ascii="仿宋" w:hAnsi="仿宋" w:eastAsia="仿宋" w:cs="仿宋"/>
          <w:b/>
          <w:bCs/>
          <w:color w:val="auto"/>
          <w:kern w:val="2"/>
          <w:sz w:val="32"/>
          <w:szCs w:val="32"/>
          <w:lang w:eastAsia="zh-CN"/>
        </w:rPr>
        <w:t>十四</w:t>
      </w:r>
      <w:r>
        <w:rPr>
          <w:rFonts w:hint="eastAsia" w:ascii="仿宋" w:hAnsi="仿宋" w:eastAsia="仿宋" w:cs="仿宋"/>
          <w:b/>
          <w:bCs/>
          <w:color w:val="auto"/>
          <w:kern w:val="2"/>
          <w:sz w:val="32"/>
          <w:szCs w:val="32"/>
          <w:lang w:val="en-US" w:eastAsia="zh-CN"/>
        </w:rPr>
        <w:t>、</w:t>
      </w:r>
      <w:r>
        <w:rPr>
          <w:rFonts w:hint="eastAsia" w:ascii="仿宋" w:hAnsi="仿宋" w:eastAsia="仿宋" w:cs="仿宋"/>
          <w:b/>
          <w:bCs/>
          <w:color w:val="auto"/>
          <w:kern w:val="2"/>
          <w:sz w:val="32"/>
          <w:szCs w:val="32"/>
        </w:rPr>
        <w:t>评价结果应用情况</w:t>
      </w:r>
      <w:r>
        <w:rPr>
          <w:rFonts w:hint="eastAsia" w:ascii="仿宋" w:hAnsi="仿宋" w:eastAsia="仿宋" w:cs="仿宋"/>
          <w:b w:val="0"/>
          <w:bCs w:val="0"/>
          <w:color w:val="auto"/>
          <w:kern w:val="2"/>
          <w:sz w:val="32"/>
          <w:szCs w:val="32"/>
        </w:rPr>
        <w:t xml:space="preserve"> </w:t>
      </w:r>
    </w:p>
    <w:p>
      <w:pPr>
        <w:pStyle w:val="15"/>
        <w:overflowPunct w:val="0"/>
        <w:autoSpaceDE/>
        <w:autoSpaceDN/>
        <w:spacing w:line="600" w:lineRule="exact"/>
        <w:ind w:firstLine="640" w:firstLineChars="200"/>
        <w:jc w:val="both"/>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基于2024年度绩效自评、部门评价以及财政评价结果，为进一步提升财政资金使用效益，优化部门预算管理，我退役军人事务局在2025年度从预算安排、支出结构调整、资金管理制度建设等方面充分应用评价结果，具体情况如下：</w:t>
      </w:r>
    </w:p>
    <w:p>
      <w:pPr>
        <w:pStyle w:val="15"/>
        <w:overflowPunct w:val="0"/>
        <w:autoSpaceDE/>
        <w:autoSpaceDN/>
        <w:spacing w:line="600" w:lineRule="exact"/>
        <w:ind w:firstLine="640" w:firstLineChars="200"/>
        <w:jc w:val="both"/>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1. 预算安排：对于2024年度绩效评价结果为优且资金执行率高的项目，如退役军人就业创业培训项目，在2025年度预算安排中予以重点保障，适度增加预算额度，以支持拓展培训课程种类、扩大培训覆盖范围，帮助更多退役军人提升就业竞争力。对于绩效评价结果不理想、资金执行率低的项目，如部分退役军人服务设施建设项目，重新评估其必要性和可行性，削减或暂停预算安排。同时，要求项目负责</w:t>
      </w:r>
      <w:r>
        <w:rPr>
          <w:rFonts w:hint="eastAsia" w:ascii="仿宋" w:hAnsi="仿宋" w:eastAsia="仿宋" w:cs="仿宋"/>
          <w:b w:val="0"/>
          <w:bCs w:val="0"/>
          <w:color w:val="auto"/>
          <w:kern w:val="2"/>
          <w:sz w:val="32"/>
          <w:szCs w:val="32"/>
          <w:lang w:eastAsia="zh-CN"/>
        </w:rPr>
        <w:t>股</w:t>
      </w:r>
      <w:r>
        <w:rPr>
          <w:rFonts w:hint="eastAsia" w:ascii="仿宋" w:hAnsi="仿宋" w:eastAsia="仿宋" w:cs="仿宋"/>
          <w:b w:val="0"/>
          <w:bCs w:val="0"/>
          <w:color w:val="auto"/>
          <w:kern w:val="2"/>
          <w:sz w:val="32"/>
          <w:szCs w:val="32"/>
        </w:rPr>
        <w:t>室详细分析原因，制定整改方案，待条件成熟且整改到位后，再考虑恢复预算支持。</w:t>
      </w:r>
    </w:p>
    <w:p>
      <w:pPr>
        <w:pStyle w:val="15"/>
        <w:overflowPunct w:val="0"/>
        <w:autoSpaceDE/>
        <w:autoSpaceDN/>
        <w:spacing w:line="600" w:lineRule="exact"/>
        <w:ind w:firstLine="640" w:firstLineChars="200"/>
        <w:jc w:val="both"/>
        <w:rPr>
          <w:rFonts w:hint="eastAsia" w:ascii="仿宋" w:hAnsi="仿宋" w:eastAsia="仿宋" w:cs="仿宋"/>
          <w:b w:val="0"/>
          <w:bCs w:val="0"/>
          <w:color w:val="auto"/>
          <w:kern w:val="2"/>
          <w:sz w:val="32"/>
          <w:szCs w:val="32"/>
        </w:rPr>
      </w:pPr>
      <w:r>
        <w:rPr>
          <w:rFonts w:hint="eastAsia" w:ascii="仿宋" w:hAnsi="仿宋" w:eastAsia="仿宋" w:cs="仿宋"/>
          <w:b w:val="0"/>
          <w:bCs w:val="0"/>
          <w:color w:val="auto"/>
          <w:kern w:val="2"/>
          <w:sz w:val="32"/>
          <w:szCs w:val="32"/>
        </w:rPr>
        <w:t>2. 支出结构调整：加大对退役军人就业创业扶持、优抚待遇保障等重点领域和关键环节的资金投入力度，确保有限的财政资金向民生保障倾斜。适当压缩行政运行经费等一般性支出，严格控制“三公”经费，将节约下来的资金统筹用于退役军人事务的核心业务和重点项目。</w:t>
      </w:r>
    </w:p>
    <w:p>
      <w:pPr>
        <w:pStyle w:val="15"/>
        <w:overflowPunct w:val="0"/>
        <w:autoSpaceDE/>
        <w:autoSpaceDN/>
        <w:spacing w:line="600" w:lineRule="exact"/>
        <w:ind w:firstLine="640" w:firstLineChars="200"/>
        <w:jc w:val="both"/>
        <w:rPr>
          <w:rFonts w:hint="eastAsia" w:ascii="仿宋" w:hAnsi="仿宋" w:eastAsia="仿宋" w:cs="仿宋"/>
          <w:b w:val="0"/>
          <w:bCs w:val="0"/>
          <w:color w:val="auto"/>
          <w:sz w:val="72"/>
          <w:szCs w:val="72"/>
        </w:rPr>
      </w:pPr>
      <w:r>
        <w:rPr>
          <w:rFonts w:hint="eastAsia" w:ascii="仿宋" w:hAnsi="仿宋" w:eastAsia="仿宋" w:cs="仿宋"/>
          <w:b w:val="0"/>
          <w:bCs w:val="0"/>
          <w:color w:val="auto"/>
          <w:kern w:val="2"/>
          <w:sz w:val="32"/>
          <w:szCs w:val="32"/>
        </w:rPr>
        <w:t>3. 资金管理制度建设：结合绩效评价中发现的问题，如资金拨付流程繁琐、监管不到位等，修订完善资金管理制度。明确资金申请、审核、拨付、使用、监督等各环节的职责和操作规范，简化资金拨付流程，提高资金使用效率。建立健全资金使用全过程动态监控机制，利用信息化手段，实时跟踪资金流向和使用情况，对发现的问题及时预警并督促整改。强化内部审计监督，定期对资金使用情况进行审计检查，严肃查处违规违纪行为，确保资金安全、规范、有效使用。</w:t>
      </w: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pPr>
        <w:widowControl/>
        <w:jc w:val="left"/>
        <w:rPr>
          <w:rFonts w:ascii="Times New Roman" w:hAnsi="Times New Roman" w:cs="Times New Roman"/>
          <w:color w:val="000000"/>
          <w:kern w:val="0"/>
          <w:sz w:val="32"/>
          <w:szCs w:val="32"/>
        </w:rPr>
      </w:pP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（一）机关运行经费</w:t>
      </w:r>
      <w:r>
        <w:rPr>
          <w:rFonts w:hint="eastAsia" w:ascii="仿宋_GB2312" w:hAnsi="仿宋_GB2312" w:eastAsia="仿宋_GB2312" w:cs="仿宋_GB2312"/>
          <w:color w:val="000000"/>
          <w:sz w:val="32"/>
          <w:szCs w:val="32"/>
          <w:u w:val="none"/>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（二）“三公”经费。</w:t>
      </w:r>
      <w:r>
        <w:rPr>
          <w:rFonts w:hint="eastAsia" w:ascii="仿宋_GB2312" w:hAnsi="仿宋_GB2312" w:eastAsia="仿宋_GB2312" w:cs="仿宋_GB2312"/>
          <w:color w:val="000000"/>
          <w:sz w:val="32"/>
          <w:szCs w:val="32"/>
          <w:u w:val="none"/>
          <w:shd w:val="clear" w:color="auto" w:fill="FFFFFF"/>
        </w:rPr>
        <w:t>一般公共预算“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spacing w:line="560" w:lineRule="atLeast"/>
        <w:ind w:firstLine="640" w:firstLineChars="200"/>
        <w:rPr>
          <w:rFonts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（三）基本支出。</w:t>
      </w:r>
      <w:r>
        <w:rPr>
          <w:rFonts w:hint="eastAsia" w:ascii="仿宋_GB2312" w:hAnsi="仿宋_GB2312" w:eastAsia="仿宋_GB2312" w:cs="仿宋_GB2312"/>
          <w:color w:val="000000"/>
          <w:sz w:val="32"/>
          <w:szCs w:val="32"/>
          <w:u w:val="none"/>
          <w:shd w:val="clear" w:color="auto" w:fill="FFFFFF"/>
        </w:rPr>
        <w:t>指为保障机构正常运转、完成日常工作任务而发生的人员支出和公用支出。</w:t>
      </w:r>
    </w:p>
    <w:p>
      <w:pPr>
        <w:spacing w:line="560" w:lineRule="atLeast"/>
        <w:ind w:firstLine="640" w:firstLineChars="200"/>
        <w:rPr>
          <w:rFonts w:hint="eastAsia" w:ascii="仿宋_GB2312" w:hAnsi="仿宋_GB2312" w:eastAsia="仿宋_GB2312" w:cs="仿宋_GB2312"/>
          <w:color w:val="000000"/>
          <w:sz w:val="32"/>
          <w:szCs w:val="32"/>
          <w:u w:val="none"/>
          <w:shd w:val="clear" w:color="auto" w:fill="FFFFFF"/>
        </w:rPr>
      </w:pPr>
      <w:r>
        <w:rPr>
          <w:rFonts w:hint="eastAsia" w:ascii="楷体_GB2312" w:hAnsi="楷体_GB2312" w:eastAsia="楷体_GB2312" w:cs="楷体_GB2312"/>
          <w:b/>
          <w:bCs/>
          <w:color w:val="000000"/>
          <w:sz w:val="32"/>
          <w:szCs w:val="32"/>
          <w:u w:val="none"/>
          <w:shd w:val="clear" w:color="auto" w:fill="FFFFFF"/>
        </w:rPr>
        <w:t>（四）项目支出。</w:t>
      </w:r>
      <w:r>
        <w:rPr>
          <w:rFonts w:hint="eastAsia" w:ascii="仿宋_GB2312" w:hAnsi="仿宋_GB2312" w:eastAsia="仿宋_GB2312" w:cs="仿宋_GB2312"/>
          <w:color w:val="000000"/>
          <w:sz w:val="32"/>
          <w:szCs w:val="32"/>
          <w:u w:val="none"/>
          <w:shd w:val="clear" w:color="auto" w:fill="FFFFFF"/>
        </w:rPr>
        <w:t>指在基本支出之外为完成特定行政任务和事业发展目标所发生的支出。</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2"/>
          <w:sz w:val="32"/>
          <w:szCs w:val="32"/>
          <w:u w:val="none"/>
          <w:shd w:val="clear" w:color="auto" w:fill="FFFFFF"/>
          <w:lang w:val="en-US" w:eastAsia="zh-CN" w:bidi="ar-SA"/>
        </w:rPr>
      </w:pPr>
      <w:r>
        <w:rPr>
          <w:rFonts w:hint="eastAsia" w:ascii="楷体_GB2312" w:hAnsi="楷体_GB2312" w:eastAsia="楷体_GB2312" w:cs="楷体_GB2312"/>
          <w:b/>
          <w:bCs/>
          <w:color w:val="000000"/>
          <w:kern w:val="2"/>
          <w:sz w:val="32"/>
          <w:szCs w:val="32"/>
          <w:u w:val="none"/>
          <w:shd w:val="clear" w:color="auto" w:fill="FFFFFF"/>
          <w:lang w:val="en-US" w:eastAsia="zh-CN" w:bidi="ar-SA"/>
        </w:rPr>
        <w:t>（五）三公经费。</w:t>
      </w:r>
      <w:r>
        <w:rPr>
          <w:rFonts w:hint="default" w:ascii="仿宋_GB2312" w:hAnsi="仿宋_GB2312" w:eastAsia="仿宋_GB2312" w:cs="仿宋_GB2312"/>
          <w:color w:val="000000"/>
          <w:kern w:val="2"/>
          <w:sz w:val="32"/>
          <w:szCs w:val="32"/>
          <w:u w:val="none"/>
          <w:shd w:val="clear" w:color="auto" w:fill="FFFFFF"/>
          <w:lang w:val="en-US" w:eastAsia="zh-CN" w:bidi="ar-SA"/>
        </w:rPr>
        <w:t>纳入财政预算管理的“三公“经费，是指用</w:t>
      </w:r>
      <w:r>
        <w:rPr>
          <w:rFonts w:hint="eastAsia" w:ascii="仿宋_GB2312" w:hAnsi="仿宋_GB2312" w:eastAsia="仿宋_GB2312" w:cs="仿宋_GB2312"/>
          <w:color w:val="000000"/>
          <w:kern w:val="2"/>
          <w:sz w:val="32"/>
          <w:szCs w:val="32"/>
          <w:u w:val="none"/>
          <w:shd w:val="clear" w:color="auto" w:fill="FFFFFF"/>
          <w:lang w:val="en-US" w:eastAsia="zh-CN" w:bidi="ar-SA"/>
        </w:rPr>
        <w:t>财政拨款</w:t>
      </w:r>
      <w:r>
        <w:rPr>
          <w:rFonts w:hint="default" w:ascii="仿宋_GB2312" w:hAnsi="仿宋_GB2312" w:eastAsia="仿宋_GB2312" w:cs="仿宋_GB2312"/>
          <w:color w:val="000000"/>
          <w:kern w:val="2"/>
          <w:sz w:val="32"/>
          <w:szCs w:val="32"/>
          <w:u w:val="none"/>
          <w:shd w:val="clear" w:color="auto" w:fill="FFFFFF"/>
          <w:lang w:val="en-US" w:eastAsia="zh-CN" w:bidi="ar-SA"/>
        </w:rPr>
        <w:t>安排的因公出国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费公务用车购置及运行维护费和公务接待费。其中，因公出国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费反映单位公务出国</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境</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的国际旅费、国外城市间交通费、住宿费、伙食费、培训费、公杂费等支出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公务用车购置及运行维护费反映单位公务用车车辆购置支出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含车辆购置税</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及燃料费、维修费、过桥过路费、保险费、安全奖励费用等支出</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公务接待费反映单位按规定开支的各类公务接待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含外宾接待</w:t>
      </w:r>
      <w:r>
        <w:rPr>
          <w:rFonts w:hint="eastAsia" w:ascii="仿宋_GB2312" w:hAnsi="仿宋_GB2312" w:eastAsia="仿宋_GB2312" w:cs="仿宋_GB2312"/>
          <w:color w:val="000000"/>
          <w:kern w:val="2"/>
          <w:sz w:val="32"/>
          <w:szCs w:val="32"/>
          <w:u w:val="none"/>
          <w:shd w:val="clear" w:color="auto" w:fill="FFFFFF"/>
          <w:lang w:val="en-US" w:eastAsia="zh-CN" w:bidi="ar-SA"/>
        </w:rPr>
        <w:t>）</w:t>
      </w:r>
      <w:r>
        <w:rPr>
          <w:rFonts w:hint="default" w:ascii="仿宋_GB2312" w:hAnsi="仿宋_GB2312" w:eastAsia="仿宋_GB2312" w:cs="仿宋_GB2312"/>
          <w:color w:val="000000"/>
          <w:kern w:val="2"/>
          <w:sz w:val="32"/>
          <w:szCs w:val="32"/>
          <w:u w:val="none"/>
          <w:shd w:val="clear" w:color="auto" w:fill="FFFFFF"/>
          <w:lang w:val="en-US" w:eastAsia="zh-CN" w:bidi="ar-SA"/>
        </w:rPr>
        <w:t>支出</w:t>
      </w:r>
      <w:r>
        <w:rPr>
          <w:rFonts w:hint="eastAsia" w:ascii="仿宋_GB2312" w:hAnsi="仿宋_GB2312" w:eastAsia="仿宋_GB2312" w:cs="仿宋_GB2312"/>
          <w:color w:val="000000"/>
          <w:kern w:val="2"/>
          <w:sz w:val="32"/>
          <w:szCs w:val="32"/>
          <w:u w:val="none"/>
          <w:shd w:val="clear" w:color="auto" w:fill="FFFFFF"/>
          <w:lang w:val="en-US" w:eastAsia="zh-CN" w:bidi="ar-SA"/>
        </w:rPr>
        <w:t>。</w:t>
      </w:r>
    </w:p>
    <w:p>
      <w:pPr>
        <w:pStyle w:val="15"/>
        <w:jc w:val="center"/>
        <w:rPr>
          <w:rFonts w:ascii="Times New Roman" w:hAnsi="Times New Roman" w:cs="Times New Roman"/>
          <w:sz w:val="72"/>
          <w:szCs w:val="72"/>
        </w:rPr>
      </w:pPr>
      <w:bookmarkStart w:id="3" w:name="_GoBack"/>
      <w:bookmarkEnd w:id="3"/>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pStyle w:val="15"/>
        <w:jc w:val="both"/>
        <w:rPr>
          <w:rFonts w:ascii="Times New Roman" w:hAnsi="Times New Roman" w:cs="Times New Roman"/>
          <w:sz w:val="72"/>
          <w:szCs w:val="72"/>
        </w:rPr>
      </w:pPr>
    </w:p>
    <w:p>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pPr>
        <w:rPr>
          <w:rFonts w:ascii="Times New Roman" w:hAnsi="Times New Roman" w:cs="Times New Roman"/>
          <w:sz w:val="72"/>
          <w:szCs w:val="72"/>
        </w:rPr>
      </w:pPr>
    </w:p>
    <w:p>
      <w:pPr>
        <w:pStyle w:val="15"/>
        <w:spacing w:line="600" w:lineRule="exact"/>
        <w:ind w:firstLine="640" w:firstLineChars="200"/>
        <w:rPr>
          <w:rFonts w:ascii="Times New Roman" w:hAnsi="Times New Roman" w:eastAsia="仿宋_GB2312" w:cs="Times New Roman"/>
          <w:sz w:val="32"/>
          <w:szCs w:val="32"/>
        </w:rPr>
      </w:pPr>
    </w:p>
    <w:p>
      <w:pPr>
        <w:spacing w:line="540" w:lineRule="exact"/>
        <w:jc w:val="center"/>
        <w:rPr>
          <w:rFonts w:ascii="仿宋" w:hAnsi="仿宋" w:eastAsia="仿宋"/>
          <w:b/>
          <w:sz w:val="36"/>
          <w:szCs w:val="30"/>
        </w:rPr>
      </w:pPr>
      <w:r>
        <w:rPr>
          <w:rFonts w:hint="eastAsia" w:ascii="仿宋" w:hAnsi="仿宋" w:eastAsia="仿宋"/>
          <w:b/>
          <w:sz w:val="36"/>
          <w:szCs w:val="30"/>
          <w:lang w:val="en-US" w:eastAsia="zh-CN"/>
        </w:rPr>
        <w:t>蓝山县</w:t>
      </w:r>
      <w:r>
        <w:rPr>
          <w:rFonts w:hint="eastAsia" w:ascii="仿宋" w:hAnsi="仿宋" w:eastAsia="仿宋"/>
          <w:b/>
          <w:sz w:val="36"/>
          <w:szCs w:val="30"/>
        </w:rPr>
        <w:t>退役军人事务局202</w:t>
      </w:r>
      <w:r>
        <w:rPr>
          <w:rFonts w:hint="eastAsia" w:ascii="仿宋" w:hAnsi="仿宋" w:eastAsia="仿宋"/>
          <w:b/>
          <w:sz w:val="36"/>
          <w:szCs w:val="30"/>
          <w:lang w:val="en-US" w:eastAsia="zh-CN"/>
        </w:rPr>
        <w:t>4</w:t>
      </w:r>
      <w:r>
        <w:rPr>
          <w:rFonts w:hint="eastAsia" w:ascii="仿宋" w:hAnsi="仿宋" w:eastAsia="仿宋"/>
          <w:b/>
          <w:sz w:val="36"/>
          <w:szCs w:val="30"/>
        </w:rPr>
        <w:t>年整体支出绩效评价报告</w:t>
      </w:r>
    </w:p>
    <w:p>
      <w:pPr>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为加强财政资金管理，切实提高资金使用效益，强化预算绩效理念，提高财政资金使用效益，根据</w:t>
      </w:r>
      <w:r>
        <w:rPr>
          <w:rFonts w:hint="eastAsia" w:ascii="仿宋_GB2312" w:hAnsi="仿宋_GB2312" w:eastAsia="仿宋_GB2312" w:cs="仿宋_GB2312"/>
          <w:sz w:val="32"/>
          <w:szCs w:val="32"/>
          <w:lang w:eastAsia="zh-CN"/>
        </w:rPr>
        <w:t>《中共中央国务院关于全面实施预算绩效管理的意见》（中发</w:t>
      </w:r>
      <w:r>
        <w:rPr>
          <w:rFonts w:hint="eastAsia" w:ascii="仿宋_GB2312" w:hAnsi="仿宋_GB2312" w:eastAsia="仿宋_GB2312" w:cs="仿宋_GB2312"/>
          <w:sz w:val="32"/>
          <w:szCs w:val="32"/>
          <w:lang w:val="en-US" w:eastAsia="zh-CN"/>
        </w:rPr>
        <w:t>[2018]34号</w:t>
      </w:r>
      <w:r>
        <w:rPr>
          <w:rFonts w:hint="eastAsia" w:ascii="仿宋_GB2312" w:hAnsi="仿宋_GB2312" w:eastAsia="仿宋_GB2312" w:cs="仿宋_GB2312"/>
          <w:sz w:val="32"/>
          <w:szCs w:val="32"/>
          <w:lang w:eastAsia="zh-CN"/>
        </w:rPr>
        <w:t>）和中共湖南省委办公厅</w:t>
      </w:r>
      <w:r>
        <w:rPr>
          <w:rFonts w:hint="eastAsia" w:ascii="仿宋_GB2312" w:hAnsi="仿宋_GB2312" w:eastAsia="仿宋_GB2312" w:cs="仿宋_GB2312"/>
          <w:sz w:val="32"/>
          <w:szCs w:val="32"/>
          <w:lang w:val="en-US" w:eastAsia="zh-CN"/>
        </w:rPr>
        <w:t xml:space="preserve"> 湖南省人民政府办公厅《关于全面实施预算绩效管理的实施意见》（湘办发[2019]10号）及《湖南省预算支出绩效评价管理办法》（湘财绩[2020]7号）</w:t>
      </w:r>
      <w:r>
        <w:rPr>
          <w:rFonts w:hint="eastAsia" w:ascii="仿宋_GB2312" w:hAnsi="仿宋_GB2312" w:eastAsia="仿宋_GB2312" w:cs="仿宋_GB2312"/>
          <w:sz w:val="32"/>
          <w:szCs w:val="32"/>
        </w:rPr>
        <w:t>要求，我局领导高度重视，认真组织,对202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年部门整体支出进行了绩效自评，现将我单位部门整体支出绩效自评情况汇报如下：</w:t>
      </w:r>
    </w:p>
    <w:p>
      <w:pPr>
        <w:keepNext w:val="0"/>
        <w:keepLines w:val="0"/>
        <w:pageBreakBefore w:val="0"/>
        <w:widowControl/>
        <w:numPr>
          <w:ilvl w:val="0"/>
          <w:numId w:val="1"/>
        </w:numPr>
        <w:kinsoku/>
        <w:wordWrap w:val="0"/>
        <w:overflowPunct/>
        <w:topLinePunct w:val="0"/>
        <w:autoSpaceDE/>
        <w:autoSpaceDN/>
        <w:bidi w:val="0"/>
        <w:adjustRightInd/>
        <w:spacing w:line="600" w:lineRule="exac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部门概况</w:t>
      </w:r>
    </w:p>
    <w:p>
      <w:pPr>
        <w:keepNext w:val="0"/>
        <w:keepLines w:val="0"/>
        <w:pageBreakBefore w:val="0"/>
        <w:widowControl/>
        <w:kinsoku/>
        <w:wordWrap w:val="0"/>
        <w:overflowPunct/>
        <w:topLinePunct w:val="0"/>
        <w:autoSpaceDE/>
        <w:autoSpaceDN/>
        <w:bidi w:val="0"/>
        <w:adjustRightInd/>
        <w:spacing w:line="600" w:lineRule="exact"/>
        <w:ind w:left="602"/>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（一）部门基本情况</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55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县</w:t>
      </w:r>
      <w:r>
        <w:rPr>
          <w:rFonts w:hint="eastAsia" w:ascii="仿宋_GB2312" w:hAnsi="仿宋_GB2312" w:eastAsia="仿宋_GB2312" w:cs="仿宋_GB2312"/>
          <w:bCs/>
          <w:kern w:val="0"/>
          <w:sz w:val="32"/>
          <w:szCs w:val="32"/>
        </w:rPr>
        <w:t>退役军人事务局</w:t>
      </w:r>
      <w:r>
        <w:rPr>
          <w:rFonts w:hint="eastAsia" w:ascii="仿宋_GB2312" w:hAnsi="仿宋_GB2312" w:eastAsia="仿宋_GB2312" w:cs="仿宋_GB2312"/>
          <w:kern w:val="0"/>
          <w:sz w:val="32"/>
          <w:szCs w:val="32"/>
        </w:rPr>
        <w:t>于2018年11月27日成立，为县人民政府工作部门，正科级单位。内设机构</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个，即办公室、规划财务股、思想政治和权益维护股、安置和就业创业股、军休服务股、拥军优抚股</w:t>
      </w:r>
      <w:r>
        <w:rPr>
          <w:rFonts w:hint="eastAsia" w:ascii="仿宋_GB2312" w:hAnsi="仿宋_GB2312" w:eastAsia="仿宋_GB2312" w:cs="仿宋_GB2312"/>
          <w:kern w:val="0"/>
          <w:sz w:val="32"/>
          <w:szCs w:val="32"/>
          <w:lang w:eastAsia="zh-CN"/>
        </w:rPr>
        <w:t>、烈士纪念设施管理所。</w:t>
      </w:r>
      <w:r>
        <w:rPr>
          <w:rFonts w:hint="eastAsia" w:ascii="仿宋_GB2312" w:hAnsi="仿宋_GB2312" w:eastAsia="仿宋_GB2312" w:cs="仿宋_GB2312"/>
          <w:kern w:val="0"/>
          <w:sz w:val="32"/>
          <w:szCs w:val="32"/>
        </w:rPr>
        <w:t>二级机构为：蓝山县退役军人服务中心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蓝山县光荣院、烈士纪念设施管理所。</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55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（二）人员情况</w:t>
      </w:r>
    </w:p>
    <w:p>
      <w:pPr>
        <w:keepNext w:val="0"/>
        <w:keepLines w:val="0"/>
        <w:pageBreakBefore w:val="0"/>
        <w:widowControl/>
        <w:kinsoku/>
        <w:wordWrap w:val="0"/>
        <w:overflowPunct/>
        <w:topLinePunct w:val="0"/>
        <w:autoSpaceDE/>
        <w:autoSpaceDN/>
        <w:bidi w:val="0"/>
        <w:adjustRightInd/>
        <w:spacing w:line="60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设行政编制7名，事业编制21名。目前在职人员行政</w:t>
      </w:r>
      <w:r>
        <w:rPr>
          <w:rFonts w:hint="eastAsia" w:ascii="仿宋_GB2312" w:hAnsi="仿宋_GB2312" w:eastAsia="仿宋_GB2312" w:cs="仿宋_GB2312"/>
          <w:kern w:val="0"/>
          <w:sz w:val="32"/>
          <w:szCs w:val="32"/>
          <w:lang w:eastAsia="zh-CN"/>
        </w:rPr>
        <w:t>编制</w:t>
      </w: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人，事业编制</w:t>
      </w:r>
      <w:r>
        <w:rPr>
          <w:rFonts w:hint="eastAsia" w:ascii="仿宋_GB2312" w:hAnsi="仿宋_GB2312" w:eastAsia="仿宋_GB2312" w:cs="仿宋_GB2312"/>
          <w:kern w:val="0"/>
          <w:sz w:val="32"/>
          <w:szCs w:val="32"/>
          <w:lang w:val="en-US" w:eastAsia="zh-CN"/>
        </w:rPr>
        <w:t>16</w:t>
      </w:r>
      <w:r>
        <w:rPr>
          <w:rFonts w:hint="eastAsia" w:ascii="仿宋_GB2312" w:hAnsi="仿宋_GB2312" w:eastAsia="仿宋_GB2312" w:cs="仿宋_GB2312"/>
          <w:kern w:val="0"/>
          <w:sz w:val="32"/>
          <w:szCs w:val="32"/>
        </w:rPr>
        <w:t>人，退休人员</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人。</w:t>
      </w:r>
    </w:p>
    <w:p>
      <w:pPr>
        <w:keepNext w:val="0"/>
        <w:keepLines w:val="0"/>
        <w:pageBreakBefore w:val="0"/>
        <w:widowControl/>
        <w:kinsoku/>
        <w:wordWrap w:val="0"/>
        <w:overflowPunct/>
        <w:topLinePunct w:val="0"/>
        <w:autoSpaceDE/>
        <w:autoSpaceDN/>
        <w:bidi w:val="0"/>
        <w:adjustRightInd/>
        <w:spacing w:line="600" w:lineRule="exact"/>
        <w:ind w:firstLine="555"/>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kern w:val="0"/>
          <w:sz w:val="32"/>
          <w:szCs w:val="32"/>
        </w:rPr>
        <w:t>主要职能是：</w:t>
      </w:r>
    </w:p>
    <w:p>
      <w:pPr>
        <w:keepNext w:val="0"/>
        <w:keepLines w:val="0"/>
        <w:pageBreakBefore w:val="0"/>
        <w:widowControl/>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贯彻执行党和国家关于退役军人思想政治、管理保障和安置优抚等工作政策法规，组织实施本省制定的相关地方性法规、规章，拟定全县退役军人事务发展规划和政策措施，并组织实施；褒扬彰显退役军人为党、国家和人民牺牲奉献的精神风范和价值导向。</w:t>
      </w:r>
    </w:p>
    <w:p>
      <w:pPr>
        <w:keepNext w:val="0"/>
        <w:keepLines w:val="0"/>
        <w:pageBreakBefore w:val="0"/>
        <w:widowControl/>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2、负责全县军队转业干部、复员干部、离休退休干部、退役士兵和无军籍退休退职职工的移交安置工作和自主择业、就业退役军人服务管理工作。</w:t>
      </w:r>
    </w:p>
    <w:p>
      <w:pPr>
        <w:keepNext w:val="0"/>
        <w:keepLines w:val="0"/>
        <w:pageBreakBefore w:val="0"/>
        <w:widowControl/>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3、组织指导全县退役军人教育培训工作，协调扶持退役军人和随军随调家属就业创业。</w:t>
      </w:r>
    </w:p>
    <w:p>
      <w:pPr>
        <w:keepNext w:val="0"/>
        <w:keepLines w:val="0"/>
        <w:pageBreakBefore w:val="0"/>
        <w:widowControl/>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4、贯彻落实国家关于退役军人的特殊保障政策，组织实施省退役军人事务厅会同有关部门制定的相关政策。</w:t>
      </w:r>
    </w:p>
    <w:p>
      <w:pPr>
        <w:keepNext w:val="0"/>
        <w:keepLines w:val="0"/>
        <w:pageBreakBefore w:val="0"/>
        <w:widowControl/>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5.组织、协调落实全县移交地方的离休退休军人、符合条件的其他退役军人和无军籍退休退职职工的住房保障工作，以及退役军人医疗保障、社会保险等待遇保障工作。</w:t>
      </w:r>
    </w:p>
    <w:p>
      <w:pPr>
        <w:keepNext w:val="0"/>
        <w:keepLines w:val="0"/>
        <w:pageBreakBefore w:val="0"/>
        <w:widowControl/>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6.组织指导全县伤病残退役军人服务管理和抚恤工作，贯彻落实退役军人医疗、疗养、养老等机构的规划政策并指导实施。承担全县不适宜继续服役的伤病残军人相关工作。组织指导全县军供服务保障工作。</w:t>
      </w:r>
    </w:p>
    <w:p>
      <w:pPr>
        <w:keepNext w:val="0"/>
        <w:keepLines w:val="0"/>
        <w:pageBreakBefore w:val="0"/>
        <w:widowControl/>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7.组织和指导全县拥军优属工作，承担全县现役军人、退役军人、军队文职人员和军属优待、抚恤等工作。贯彻执行国家关于国民党抗战老兵等有关人员优待政策并指导实施。</w:t>
      </w:r>
    </w:p>
    <w:p>
      <w:pPr>
        <w:keepNext w:val="0"/>
        <w:keepLines w:val="0"/>
        <w:pageBreakBefore w:val="0"/>
        <w:widowControl/>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负责全县烈士及退役军人荣誉奖励、军人公墓管理维护、纪念活动等工作，依法承担英雄烈士保护相关工作，审核拟列入全县重点保护单位的烈士纪念建筑物名录，总结表彰和宣扬退役军人、退役军人工作单位和个人先进典型事迹。</w:t>
      </w:r>
    </w:p>
    <w:p>
      <w:pPr>
        <w:keepNext w:val="0"/>
        <w:keepLines w:val="0"/>
        <w:pageBreakBefore w:val="0"/>
        <w:widowControl/>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9.指导并监督检查退役军人相关法律法规和政策措施的落实，开展全县退役军人权益维护和有关人员的帮扶援助工作。</w:t>
      </w:r>
    </w:p>
    <w:p>
      <w:pPr>
        <w:keepNext w:val="0"/>
        <w:keepLines w:val="0"/>
        <w:pageBreakBefore w:val="0"/>
        <w:widowControl/>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加强退役军人思想政治工作和服务保障体系建设，建立健全集中统一、职责清晰的退役军人管理保障体制，协调各方力量更好为军人军属服务，维护军人军属合法权益，让军人成为全社会尊崇的职业，褒扬彰显退役军人为党、国家和人民牺牲奉献的精神风范和价值导向，更好地为增强部队战斗力和凝聚力做好组织保障。</w:t>
      </w:r>
    </w:p>
    <w:p>
      <w:pPr>
        <w:keepNext w:val="0"/>
        <w:keepLines w:val="0"/>
        <w:pageBreakBefore w:val="0"/>
        <w:widowControl/>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11、完成县委、县政府和交办的其他任务。</w:t>
      </w:r>
    </w:p>
    <w:p>
      <w:pPr>
        <w:keepNext w:val="0"/>
        <w:keepLines w:val="0"/>
        <w:pageBreakBefore w:val="0"/>
        <w:widowControl/>
        <w:kinsoku/>
        <w:wordWrap w:val="0"/>
        <w:overflowPunct/>
        <w:topLinePunct w:val="0"/>
        <w:autoSpaceDE/>
        <w:autoSpaceDN/>
        <w:bidi w:val="0"/>
        <w:adjustRightInd/>
        <w:spacing w:line="60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（四）部门整体收支规模、使用方向：</w:t>
      </w:r>
    </w:p>
    <w:p>
      <w:pPr>
        <w:keepNext w:val="0"/>
        <w:keepLines w:val="0"/>
        <w:pageBreakBefore w:val="0"/>
        <w:kinsoku/>
        <w:wordWrap w:val="0"/>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年总收入</w:t>
      </w:r>
      <w:r>
        <w:rPr>
          <w:rFonts w:hint="eastAsia" w:ascii="仿宋_GB2312" w:hAnsi="仿宋_GB2312" w:eastAsia="仿宋_GB2312" w:cs="仿宋_GB2312"/>
          <w:sz w:val="32"/>
          <w:szCs w:val="32"/>
          <w:lang w:val="en-US" w:eastAsia="zh-CN"/>
        </w:rPr>
        <w:t>4420.68</w:t>
      </w:r>
      <w:r>
        <w:rPr>
          <w:rFonts w:hint="eastAsia" w:ascii="仿宋_GB2312" w:hAnsi="仿宋_GB2312" w:eastAsia="仿宋_GB2312" w:cs="仿宋_GB2312"/>
          <w:sz w:val="32"/>
          <w:szCs w:val="32"/>
        </w:rPr>
        <w:t>万元，其中基本支出收入</w:t>
      </w:r>
      <w:r>
        <w:rPr>
          <w:rFonts w:hint="eastAsia" w:ascii="仿宋_GB2312" w:hAnsi="仿宋_GB2312" w:eastAsia="仿宋_GB2312" w:cs="仿宋_GB2312"/>
          <w:sz w:val="32"/>
          <w:szCs w:val="32"/>
          <w:lang w:val="en-US" w:eastAsia="zh-CN"/>
        </w:rPr>
        <w:t>397.48</w:t>
      </w:r>
      <w:r>
        <w:rPr>
          <w:rFonts w:hint="eastAsia" w:ascii="仿宋_GB2312" w:hAnsi="仿宋_GB2312" w:eastAsia="仿宋_GB2312" w:cs="仿宋_GB2312"/>
          <w:sz w:val="32"/>
          <w:szCs w:val="32"/>
        </w:rPr>
        <w:t>万元，项目支出收入</w:t>
      </w:r>
      <w:r>
        <w:rPr>
          <w:rFonts w:hint="eastAsia" w:ascii="仿宋_GB2312" w:hAnsi="仿宋_GB2312" w:eastAsia="仿宋_GB2312" w:cs="仿宋_GB2312"/>
          <w:sz w:val="32"/>
          <w:szCs w:val="32"/>
          <w:lang w:val="en-US" w:eastAsia="zh-CN"/>
        </w:rPr>
        <w:t>4023.20</w:t>
      </w:r>
      <w:r>
        <w:rPr>
          <w:rFonts w:hint="eastAsia" w:ascii="仿宋_GB2312" w:hAnsi="仿宋_GB2312" w:eastAsia="仿宋_GB2312" w:cs="仿宋_GB2312"/>
          <w:sz w:val="32"/>
          <w:szCs w:val="32"/>
        </w:rPr>
        <w:t>万元；202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年总支出</w:t>
      </w:r>
      <w:r>
        <w:rPr>
          <w:rFonts w:hint="eastAsia" w:ascii="仿宋_GB2312" w:hAnsi="仿宋_GB2312" w:eastAsia="仿宋_GB2312" w:cs="仿宋_GB2312"/>
          <w:sz w:val="32"/>
          <w:szCs w:val="32"/>
          <w:lang w:val="en-US" w:eastAsia="zh-CN"/>
        </w:rPr>
        <w:t>4420.68</w:t>
      </w:r>
      <w:r>
        <w:rPr>
          <w:rFonts w:hint="eastAsia" w:ascii="仿宋_GB2312" w:hAnsi="仿宋_GB2312" w:eastAsia="仿宋_GB2312" w:cs="仿宋_GB2312"/>
          <w:sz w:val="32"/>
          <w:szCs w:val="32"/>
        </w:rPr>
        <w:t>万元，按支出性质分基本支出</w:t>
      </w:r>
      <w:r>
        <w:rPr>
          <w:rFonts w:hint="eastAsia" w:ascii="仿宋_GB2312" w:hAnsi="仿宋_GB2312" w:eastAsia="仿宋_GB2312" w:cs="仿宋_GB2312"/>
          <w:sz w:val="32"/>
          <w:szCs w:val="32"/>
          <w:lang w:val="en-US" w:eastAsia="zh-CN"/>
        </w:rPr>
        <w:t>397.48</w:t>
      </w:r>
      <w:r>
        <w:rPr>
          <w:rFonts w:hint="eastAsia" w:ascii="仿宋_GB2312" w:hAnsi="仿宋_GB2312" w:eastAsia="仿宋_GB2312" w:cs="仿宋_GB2312"/>
          <w:sz w:val="32"/>
          <w:szCs w:val="32"/>
        </w:rPr>
        <w:t>万元，其中人员经费</w:t>
      </w:r>
      <w:r>
        <w:rPr>
          <w:rFonts w:hint="eastAsia" w:ascii="仿宋_GB2312" w:hAnsi="仿宋_GB2312" w:eastAsia="仿宋_GB2312" w:cs="仿宋_GB2312"/>
          <w:sz w:val="32"/>
          <w:szCs w:val="32"/>
          <w:lang w:val="en-US" w:eastAsia="zh-CN"/>
        </w:rPr>
        <w:t>358.09</w:t>
      </w:r>
      <w:r>
        <w:rPr>
          <w:rFonts w:hint="eastAsia" w:ascii="仿宋_GB2312" w:hAnsi="仿宋_GB2312" w:eastAsia="仿宋_GB2312" w:cs="仿宋_GB2312"/>
          <w:sz w:val="32"/>
          <w:szCs w:val="32"/>
        </w:rPr>
        <w:t>万元，日常公用经费</w:t>
      </w:r>
      <w:r>
        <w:rPr>
          <w:rFonts w:hint="eastAsia" w:ascii="仿宋_GB2312" w:hAnsi="仿宋_GB2312" w:eastAsia="仿宋_GB2312" w:cs="仿宋_GB2312"/>
          <w:sz w:val="32"/>
          <w:szCs w:val="32"/>
          <w:lang w:val="en-US" w:eastAsia="zh-CN"/>
        </w:rPr>
        <w:t>39.39</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4023.20</w:t>
      </w:r>
      <w:r>
        <w:rPr>
          <w:rFonts w:hint="eastAsia" w:ascii="仿宋_GB2312" w:hAnsi="仿宋_GB2312" w:eastAsia="仿宋_GB2312" w:cs="仿宋_GB2312"/>
          <w:sz w:val="32"/>
          <w:szCs w:val="32"/>
        </w:rPr>
        <w:t>万元。</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480"/>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二、部门整体支出管理及使用情况</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320" w:firstLineChars="1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（一）基本支出</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48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年基本支出为</w:t>
      </w:r>
      <w:r>
        <w:rPr>
          <w:rFonts w:hint="eastAsia" w:ascii="仿宋_GB2312" w:hAnsi="仿宋_GB2312" w:eastAsia="仿宋_GB2312" w:cs="仿宋_GB2312"/>
          <w:kern w:val="0"/>
          <w:sz w:val="32"/>
          <w:szCs w:val="32"/>
          <w:lang w:val="en-US" w:eastAsia="zh-CN"/>
        </w:rPr>
        <w:t>397.48</w:t>
      </w:r>
      <w:r>
        <w:rPr>
          <w:rFonts w:hint="eastAsia" w:ascii="仿宋_GB2312" w:hAnsi="仿宋_GB2312" w:eastAsia="仿宋_GB2312" w:cs="仿宋_GB2312"/>
          <w:kern w:val="0"/>
          <w:sz w:val="32"/>
          <w:szCs w:val="32"/>
        </w:rPr>
        <w:t>万元。其中</w:t>
      </w:r>
      <w:r>
        <w:rPr>
          <w:rFonts w:hint="eastAsia" w:ascii="仿宋_GB2312" w:hAnsi="仿宋_GB2312" w:eastAsia="仿宋_GB2312" w:cs="仿宋_GB2312"/>
          <w:kern w:val="0"/>
          <w:sz w:val="32"/>
          <w:szCs w:val="32"/>
          <w:lang w:val="en-US" w:eastAsia="zh-CN"/>
        </w:rPr>
        <w:t>人员经费358.09万元，公用经费39.39万元</w:t>
      </w:r>
      <w:r>
        <w:rPr>
          <w:rFonts w:hint="eastAsia" w:ascii="仿宋_GB2312" w:hAnsi="仿宋_GB2312" w:eastAsia="仿宋_GB2312" w:cs="仿宋_GB2312"/>
          <w:kern w:val="0"/>
          <w:sz w:val="32"/>
          <w:szCs w:val="32"/>
          <w:lang w:eastAsia="zh-CN"/>
        </w:rPr>
        <w:t>。</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（二）“三公经费”支出</w:t>
      </w:r>
      <w:r>
        <w:rPr>
          <w:rFonts w:hint="eastAsia" w:ascii="仿宋_GB2312" w:hAnsi="仿宋_GB2312" w:eastAsia="仿宋_GB2312" w:cs="仿宋_GB2312"/>
          <w:kern w:val="0"/>
          <w:sz w:val="32"/>
          <w:szCs w:val="32"/>
          <w:lang w:val="en-US" w:eastAsia="zh-CN"/>
        </w:rPr>
        <w:t>5.49</w:t>
      </w:r>
      <w:r>
        <w:rPr>
          <w:rFonts w:hint="eastAsia" w:ascii="仿宋_GB2312" w:hAnsi="仿宋_GB2312" w:eastAsia="仿宋_GB2312" w:cs="仿宋_GB2312"/>
          <w:kern w:val="0"/>
          <w:sz w:val="32"/>
          <w:szCs w:val="32"/>
          <w:shd w:val="clear" w:color="auto" w:fill="FFFFFF"/>
        </w:rPr>
        <w:t>万元，其中：因公出国（境）费支出决算为0万元（因公出国组团0次，因公出国0人次）；公务用车购置及运行维护费支出0万元；公务接待费支出为</w:t>
      </w:r>
      <w:r>
        <w:rPr>
          <w:rFonts w:hint="eastAsia" w:ascii="仿宋_GB2312" w:hAnsi="仿宋_GB2312" w:eastAsia="仿宋_GB2312" w:cs="仿宋_GB2312"/>
          <w:kern w:val="0"/>
          <w:sz w:val="32"/>
          <w:szCs w:val="32"/>
          <w:shd w:val="clear" w:color="auto" w:fill="FFFFFF"/>
          <w:lang w:val="en-US" w:eastAsia="zh-CN"/>
        </w:rPr>
        <w:t>5.49</w:t>
      </w:r>
      <w:r>
        <w:rPr>
          <w:rFonts w:hint="eastAsia" w:ascii="仿宋_GB2312" w:hAnsi="仿宋_GB2312" w:eastAsia="仿宋_GB2312" w:cs="仿宋_GB2312"/>
          <w:kern w:val="0"/>
          <w:sz w:val="32"/>
          <w:szCs w:val="32"/>
          <w:shd w:val="clear" w:color="auto" w:fill="FFFFFF"/>
        </w:rPr>
        <w:t>万元。</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55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Cs/>
          <w:kern w:val="0"/>
          <w:sz w:val="32"/>
          <w:szCs w:val="32"/>
        </w:rPr>
        <w:t>（三）项目支出</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548"/>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年我局项目支出</w:t>
      </w:r>
      <w:r>
        <w:rPr>
          <w:rFonts w:hint="eastAsia" w:ascii="仿宋_GB2312" w:hAnsi="仿宋_GB2312" w:eastAsia="仿宋_GB2312" w:cs="仿宋_GB2312"/>
          <w:kern w:val="0"/>
          <w:sz w:val="32"/>
          <w:szCs w:val="32"/>
          <w:lang w:val="en-US" w:eastAsia="zh-CN"/>
        </w:rPr>
        <w:t>4023.20</w:t>
      </w:r>
      <w:r>
        <w:rPr>
          <w:rFonts w:hint="eastAsia" w:ascii="仿宋_GB2312" w:hAnsi="仿宋_GB2312" w:eastAsia="仿宋_GB2312" w:cs="仿宋_GB2312"/>
          <w:kern w:val="0"/>
          <w:sz w:val="32"/>
          <w:szCs w:val="32"/>
        </w:rPr>
        <w:t>万元，其中：伤残抚恤</w:t>
      </w:r>
      <w:r>
        <w:rPr>
          <w:rFonts w:hint="eastAsia" w:ascii="仿宋_GB2312" w:hAnsi="仿宋_GB2312" w:eastAsia="仿宋_GB2312" w:cs="仿宋_GB2312"/>
          <w:kern w:val="0"/>
          <w:sz w:val="32"/>
          <w:szCs w:val="32"/>
          <w:lang w:val="en-US" w:eastAsia="zh-CN"/>
        </w:rPr>
        <w:t>750.89</w:t>
      </w:r>
      <w:r>
        <w:rPr>
          <w:rFonts w:hint="eastAsia" w:ascii="仿宋_GB2312" w:hAnsi="仿宋_GB2312" w:eastAsia="仿宋_GB2312" w:cs="仿宋_GB2312"/>
          <w:kern w:val="0"/>
          <w:sz w:val="32"/>
          <w:szCs w:val="32"/>
        </w:rPr>
        <w:t>万元，在乡复员、退伍军人生活补助</w:t>
      </w:r>
      <w:r>
        <w:rPr>
          <w:rFonts w:hint="eastAsia" w:ascii="仿宋_GB2312" w:hAnsi="仿宋_GB2312" w:eastAsia="仿宋_GB2312" w:cs="仿宋_GB2312"/>
          <w:kern w:val="0"/>
          <w:sz w:val="32"/>
          <w:szCs w:val="32"/>
          <w:lang w:val="en-US" w:eastAsia="zh-CN"/>
        </w:rPr>
        <w:t>133.16</w:t>
      </w:r>
      <w:r>
        <w:rPr>
          <w:rFonts w:hint="eastAsia" w:ascii="仿宋_GB2312" w:hAnsi="仿宋_GB2312" w:eastAsia="仿宋_GB2312" w:cs="仿宋_GB2312"/>
          <w:kern w:val="0"/>
          <w:sz w:val="32"/>
          <w:szCs w:val="32"/>
        </w:rPr>
        <w:t>万元、义务兵优待金</w:t>
      </w:r>
      <w:r>
        <w:rPr>
          <w:rFonts w:hint="eastAsia" w:ascii="仿宋_GB2312" w:hAnsi="仿宋_GB2312" w:eastAsia="仿宋_GB2312" w:cs="仿宋_GB2312"/>
          <w:kern w:val="0"/>
          <w:sz w:val="32"/>
          <w:szCs w:val="32"/>
          <w:lang w:val="en-US" w:eastAsia="zh-CN"/>
        </w:rPr>
        <w:t>354.90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农村籍退役士兵老年生活补助</w:t>
      </w:r>
      <w:r>
        <w:rPr>
          <w:rFonts w:hint="eastAsia" w:ascii="仿宋_GB2312" w:hAnsi="仿宋_GB2312" w:eastAsia="仿宋_GB2312" w:cs="仿宋_GB2312"/>
          <w:kern w:val="0"/>
          <w:sz w:val="32"/>
          <w:szCs w:val="32"/>
          <w:lang w:val="en-US" w:eastAsia="zh-CN"/>
        </w:rPr>
        <w:t>723.40</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退役士兵安置</w:t>
      </w:r>
      <w:r>
        <w:rPr>
          <w:rFonts w:hint="eastAsia" w:ascii="仿宋_GB2312" w:hAnsi="仿宋_GB2312" w:eastAsia="仿宋_GB2312" w:cs="仿宋_GB2312"/>
          <w:kern w:val="0"/>
          <w:sz w:val="32"/>
          <w:szCs w:val="32"/>
          <w:lang w:val="en-US" w:eastAsia="zh-CN"/>
        </w:rPr>
        <w:t>185.83</w:t>
      </w:r>
      <w:r>
        <w:rPr>
          <w:rFonts w:hint="eastAsia" w:ascii="仿宋_GB2312" w:hAnsi="仿宋_GB2312" w:eastAsia="仿宋_GB2312" w:cs="仿宋_GB2312"/>
          <w:kern w:val="0"/>
          <w:sz w:val="32"/>
          <w:szCs w:val="32"/>
        </w:rPr>
        <w:t>万元，军队移交政府的离退</w:t>
      </w:r>
      <w:r>
        <w:rPr>
          <w:rFonts w:hint="eastAsia" w:ascii="仿宋_GB2312" w:hAnsi="仿宋_GB2312" w:eastAsia="仿宋_GB2312" w:cs="仿宋_GB2312"/>
          <w:kern w:val="0"/>
          <w:sz w:val="32"/>
          <w:szCs w:val="32"/>
          <w:lang w:eastAsia="zh-CN"/>
        </w:rPr>
        <w:t>休费</w:t>
      </w:r>
      <w:r>
        <w:rPr>
          <w:rFonts w:hint="eastAsia" w:ascii="仿宋_GB2312" w:hAnsi="仿宋_GB2312" w:eastAsia="仿宋_GB2312" w:cs="仿宋_GB2312"/>
          <w:kern w:val="0"/>
          <w:sz w:val="32"/>
          <w:szCs w:val="32"/>
          <w:lang w:val="en-US" w:eastAsia="zh-CN"/>
        </w:rPr>
        <w:t>56.35</w:t>
      </w:r>
      <w:r>
        <w:rPr>
          <w:rFonts w:hint="eastAsia" w:ascii="仿宋_GB2312" w:hAnsi="仿宋_GB2312" w:eastAsia="仿宋_GB2312" w:cs="仿宋_GB2312"/>
          <w:kern w:val="0"/>
          <w:sz w:val="32"/>
          <w:szCs w:val="32"/>
        </w:rPr>
        <w:t>万元，退役士兵管理教育资金</w:t>
      </w:r>
      <w:r>
        <w:rPr>
          <w:rFonts w:hint="eastAsia" w:ascii="仿宋_GB2312" w:hAnsi="仿宋_GB2312" w:eastAsia="仿宋_GB2312" w:cs="仿宋_GB2312"/>
          <w:kern w:val="0"/>
          <w:sz w:val="32"/>
          <w:szCs w:val="32"/>
          <w:lang w:val="en-US" w:eastAsia="zh-CN"/>
        </w:rPr>
        <w:t>9.14</w:t>
      </w:r>
      <w:r>
        <w:rPr>
          <w:rFonts w:hint="eastAsia" w:ascii="仿宋_GB2312" w:hAnsi="仿宋_GB2312" w:eastAsia="仿宋_GB2312" w:cs="仿宋_GB2312"/>
          <w:kern w:val="0"/>
          <w:sz w:val="32"/>
          <w:szCs w:val="32"/>
        </w:rPr>
        <w:t>万元，优抚对象医疗补助</w:t>
      </w:r>
      <w:r>
        <w:rPr>
          <w:rFonts w:hint="eastAsia" w:ascii="仿宋_GB2312" w:hAnsi="仿宋_GB2312" w:eastAsia="仿宋_GB2312" w:cs="仿宋_GB2312"/>
          <w:kern w:val="0"/>
          <w:sz w:val="32"/>
          <w:szCs w:val="32"/>
          <w:lang w:val="en-US" w:eastAsia="zh-CN"/>
        </w:rPr>
        <w:t>342.04</w:t>
      </w:r>
      <w:r>
        <w:rPr>
          <w:rFonts w:hint="eastAsia" w:ascii="仿宋_GB2312" w:hAnsi="仿宋_GB2312" w:eastAsia="仿宋_GB2312" w:cs="仿宋_GB2312"/>
          <w:kern w:val="0"/>
          <w:sz w:val="32"/>
          <w:szCs w:val="32"/>
        </w:rPr>
        <w:t>万元，其他优抚支出</w:t>
      </w:r>
      <w:r>
        <w:rPr>
          <w:rFonts w:hint="eastAsia" w:ascii="仿宋_GB2312" w:hAnsi="仿宋_GB2312" w:eastAsia="仿宋_GB2312" w:cs="仿宋_GB2312"/>
          <w:kern w:val="0"/>
          <w:sz w:val="32"/>
          <w:szCs w:val="32"/>
          <w:lang w:val="en-US" w:eastAsia="zh-CN"/>
        </w:rPr>
        <w:t>1174.90</w:t>
      </w:r>
      <w:r>
        <w:rPr>
          <w:rFonts w:hint="eastAsia" w:ascii="仿宋_GB2312" w:hAnsi="仿宋_GB2312" w:eastAsia="仿宋_GB2312" w:cs="仿宋_GB2312"/>
          <w:kern w:val="0"/>
          <w:sz w:val="32"/>
          <w:szCs w:val="32"/>
        </w:rPr>
        <w:t>万元。</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48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（四）项目支出管理和使用情</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556"/>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了加强对专项资金的管理，做到依法、依规、合理地安排和使用专项资金，根据上级主管部门和相关部门对专项资金的规定，我局从建立健全专项资金管理制度、资金安排、资金监督和管理、资金使用的绩效评价等方面入手，全面加强对专项资金的管理，制订资金管理制度，从资金申请、安排、拨付、审批、监管等多方面进行管理，以确保专项资金在健全、有序的管理制度下运行。</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548"/>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了加强对专项资金的管理，有效控制专项资金的投向和使用，最大限度地发挥专项资金使用效益，我局对专项资金进行全程跟踪管理，严格按照相关的资金管理制度和财务审批程序拨付和使用资金，确保了资金安全。在账务管理上，按项目单独设立专账，做到了专款专用；在资金拨付时，全部项目资金实行财政国库集中支付，全部采用转账方式进行支付，确保了资金的安全使用；在专项款拨付上，严格按照省、市有关文件规定和国家有关财纪法律、法规的规定的内容开支各项费用，随时掌握资金动态和使用范围，严格按照预算合理控制开支额度，使项目专项资金得到充分、合理、有效地使用。</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42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三、</w:t>
      </w:r>
      <w:r>
        <w:rPr>
          <w:rFonts w:hint="eastAsia" w:ascii="仿宋_GB2312" w:hAnsi="仿宋_GB2312" w:eastAsia="仿宋_GB2312" w:cs="仿宋_GB2312"/>
          <w:b/>
          <w:bCs/>
          <w:kern w:val="0"/>
          <w:sz w:val="32"/>
          <w:szCs w:val="32"/>
          <w:shd w:val="clear" w:color="auto" w:fill="FFFFFF"/>
        </w:rPr>
        <w:t>绩效评价工作组织实施情况</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548"/>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根据财政部《财政支出绩效评价管理暂行办法》（财预〔2011〕285号）和《蓝山县人民政府关于全面推进预算绩效管理的意见》（蓝政发[2013]6号）文件精神，</w:t>
      </w:r>
      <w:r>
        <w:rPr>
          <w:rFonts w:hint="eastAsia" w:ascii="仿宋_GB2312" w:hAnsi="仿宋_GB2312" w:eastAsia="仿宋_GB2312" w:cs="仿宋_GB2312"/>
          <w:kern w:val="0"/>
          <w:sz w:val="32"/>
          <w:szCs w:val="32"/>
          <w:shd w:val="clear" w:color="auto" w:fill="FFFFFF"/>
        </w:rPr>
        <w:t>我局召开了专题会议，制定了工作计划，检查基本支出、项目支出有关账目，收集整理支出相关资料进行分析，形成评价结论。</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b/>
          <w:kern w:val="0"/>
          <w:sz w:val="32"/>
          <w:szCs w:val="32"/>
          <w:lang w:val="en"/>
        </w:rPr>
      </w:pPr>
      <w:r>
        <w:rPr>
          <w:rFonts w:hint="eastAsia" w:ascii="仿宋_GB2312" w:hAnsi="仿宋_GB2312" w:eastAsia="仿宋_GB2312" w:cs="仿宋_GB2312"/>
          <w:b/>
          <w:kern w:val="0"/>
          <w:sz w:val="32"/>
          <w:szCs w:val="32"/>
          <w:shd w:val="clear" w:color="auto" w:fill="FFFFFF"/>
          <w:lang w:val="en"/>
        </w:rPr>
        <w:t>四、整体支出绩效情况</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kern w:val="0"/>
          <w:sz w:val="32"/>
          <w:szCs w:val="32"/>
          <w:lang w:val="en"/>
        </w:rPr>
      </w:pPr>
      <w:r>
        <w:rPr>
          <w:rFonts w:hint="eastAsia" w:ascii="仿宋_GB2312" w:hAnsi="仿宋_GB2312" w:eastAsia="仿宋_GB2312" w:cs="仿宋_GB2312"/>
          <w:kern w:val="0"/>
          <w:sz w:val="32"/>
          <w:szCs w:val="32"/>
          <w:shd w:val="clear" w:color="auto" w:fill="FFFFFF"/>
          <w:lang w:val="en"/>
        </w:rPr>
        <w:t>（一）经济性分析。</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kern w:val="0"/>
          <w:sz w:val="32"/>
          <w:szCs w:val="32"/>
          <w:lang w:val="en"/>
        </w:rPr>
      </w:pPr>
      <w:r>
        <w:rPr>
          <w:rFonts w:hint="eastAsia" w:ascii="仿宋_GB2312" w:hAnsi="仿宋_GB2312" w:eastAsia="仿宋_GB2312" w:cs="仿宋_GB2312"/>
          <w:kern w:val="0"/>
          <w:sz w:val="32"/>
          <w:szCs w:val="32"/>
          <w:shd w:val="clear" w:color="auto" w:fill="FFFFFF"/>
          <w:lang w:val="en"/>
        </w:rPr>
        <w:t>1. 资金使用方面。支出总额控制在预算总额以内，退役军人事务局专项资金中对个人的补助金、抚恤金及救助救济金等发放全部实行银行一卡通发放，“三公”经费总体控制较好。</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kern w:val="0"/>
          <w:sz w:val="32"/>
          <w:szCs w:val="32"/>
          <w:lang w:val="en"/>
        </w:rPr>
      </w:pPr>
      <w:r>
        <w:rPr>
          <w:rFonts w:hint="eastAsia" w:ascii="仿宋_GB2312" w:hAnsi="仿宋_GB2312" w:eastAsia="仿宋_GB2312" w:cs="仿宋_GB2312"/>
          <w:kern w:val="0"/>
          <w:sz w:val="32"/>
          <w:szCs w:val="32"/>
          <w:shd w:val="clear" w:color="auto" w:fill="FFFFFF"/>
          <w:lang w:val="en"/>
        </w:rPr>
        <w:t>2.资产管理方面，建立了资产管理制度，定期进行了盘点和资产清理，总体执行较好。</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kern w:val="0"/>
          <w:sz w:val="32"/>
          <w:szCs w:val="32"/>
          <w:lang w:val="en"/>
        </w:rPr>
      </w:pPr>
      <w:r>
        <w:rPr>
          <w:rFonts w:hint="eastAsia" w:ascii="仿宋_GB2312" w:hAnsi="仿宋_GB2312" w:eastAsia="仿宋_GB2312" w:cs="仿宋_GB2312"/>
          <w:kern w:val="0"/>
          <w:sz w:val="32"/>
          <w:szCs w:val="32"/>
          <w:shd w:val="clear" w:color="auto" w:fill="FFFFFF"/>
          <w:lang w:val="en"/>
        </w:rPr>
        <w:t>（二）效率性和有效性分析。</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kern w:val="0"/>
          <w:sz w:val="32"/>
          <w:szCs w:val="32"/>
          <w:shd w:val="clear" w:color="auto" w:fill="FFFFFF"/>
          <w:lang w:val="en"/>
        </w:rPr>
      </w:pPr>
      <w:r>
        <w:rPr>
          <w:rFonts w:hint="eastAsia" w:ascii="仿宋_GB2312" w:hAnsi="仿宋_GB2312" w:eastAsia="仿宋_GB2312" w:cs="仿宋_GB2312"/>
          <w:kern w:val="0"/>
          <w:sz w:val="32"/>
          <w:szCs w:val="32"/>
          <w:shd w:val="clear" w:color="auto" w:fill="FFFFFF"/>
          <w:lang w:val="en"/>
        </w:rPr>
        <w:t>我局预算安排的基本支出保障了我局正常的工作运转，体现了县委县政府对退役军人事务局工作的关心和重视，预算安排的项目支出是非常必要的，我局在执行上是严格遵守各项财经纪律的，在专项资金的管理和使用上，严守法律底线、纪律底线、道德底线。</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kern w:val="0"/>
          <w:sz w:val="32"/>
          <w:szCs w:val="32"/>
          <w:lang w:val="en"/>
        </w:rPr>
      </w:pPr>
      <w:r>
        <w:rPr>
          <w:rFonts w:hint="eastAsia" w:ascii="仿宋_GB2312" w:hAnsi="仿宋_GB2312" w:eastAsia="仿宋_GB2312" w:cs="仿宋_GB2312"/>
          <w:kern w:val="0"/>
          <w:sz w:val="32"/>
          <w:szCs w:val="32"/>
          <w:shd w:val="clear" w:color="auto" w:fill="FFFFFF"/>
          <w:lang w:val="en"/>
        </w:rPr>
        <w:t>（三）可持续性分析</w:t>
      </w:r>
    </w:p>
    <w:p>
      <w:pPr>
        <w:keepNext w:val="0"/>
        <w:keepLines w:val="0"/>
        <w:pageBreakBefore w:val="0"/>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整体支出既严格遵循了上级相关文件要求，又结合了我县退役军人事务局工作实际，在资金安排使用上还是比较科学合理的，具有可续性。</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（四）社会和公众满意度</w:t>
      </w:r>
    </w:p>
    <w:p>
      <w:pPr>
        <w:keepNext w:val="0"/>
        <w:keepLines w:val="0"/>
        <w:pageBreakBefore w:val="0"/>
        <w:widowControl/>
        <w:shd w:val="clear" w:color="auto" w:fill="FFFFFF"/>
        <w:kinsoku/>
        <w:wordWrap w:val="0"/>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根据相关政策要求，各项专项资金及时发放到位，社会公众和服务对象满意度100%。</w:t>
      </w:r>
    </w:p>
    <w:p>
      <w:pPr>
        <w:keepNext w:val="0"/>
        <w:keepLines w:val="0"/>
        <w:pageBreakBefore w:val="0"/>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五、存在的主要问题</w:t>
      </w:r>
    </w:p>
    <w:p>
      <w:pPr>
        <w:keepNext w:val="0"/>
        <w:keepLines w:val="0"/>
        <w:pageBreakBefore w:val="0"/>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因部门整体支出的预算资金安排和使用上仍有不可预见性， 还需加强预算管理，科学编制预算。随着群众生活水平的提高，各项专项资金也都迫切要求加大投入。 </w:t>
      </w:r>
    </w:p>
    <w:p>
      <w:pPr>
        <w:keepNext w:val="0"/>
        <w:keepLines w:val="0"/>
        <w:pageBreakBefore w:val="0"/>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六、改进措施和有关建议</w:t>
      </w:r>
    </w:p>
    <w:p>
      <w:pPr>
        <w:keepNext w:val="0"/>
        <w:keepLines w:val="0"/>
        <w:pageBreakBefore w:val="0"/>
        <w:kinsoku/>
        <w:wordWrap w:val="0"/>
        <w:overflowPunct/>
        <w:topLinePunct w:val="0"/>
        <w:autoSpaceDE/>
        <w:autoSpaceDN/>
        <w:bidi w:val="0"/>
        <w:adjustRightIn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后续工作中我局将继续按照各项政策，提高退役军人的待遇问题，保证他们的生活质量，做好退役军人的服务工作。</w:t>
      </w:r>
    </w:p>
    <w:p>
      <w:pPr>
        <w:keepNext w:val="0"/>
        <w:keepLines w:val="0"/>
        <w:pageBreakBefore w:val="0"/>
        <w:kinsoku/>
        <w:wordWrap w:val="0"/>
        <w:overflowPunct/>
        <w:topLinePunct w:val="0"/>
        <w:autoSpaceDE/>
        <w:autoSpaceDN/>
        <w:bidi w:val="0"/>
        <w:adjustRightInd/>
        <w:spacing w:line="600" w:lineRule="exact"/>
        <w:ind w:firstLine="640" w:firstLineChars="200"/>
        <w:jc w:val="left"/>
        <w:textAlignment w:val="auto"/>
        <w:rPr>
          <w:rFonts w:hint="eastAsia"/>
          <w:spacing w:val="0"/>
          <w:sz w:val="21"/>
          <w:szCs w:val="24"/>
        </w:rPr>
      </w:pPr>
      <w:r>
        <w:rPr>
          <w:rFonts w:hint="eastAsia" w:ascii="仿宋_GB2312" w:hAnsi="仿宋_GB2312" w:eastAsia="仿宋_GB2312" w:cs="仿宋_GB2312"/>
          <w:sz w:val="32"/>
          <w:szCs w:val="32"/>
        </w:rPr>
        <w:t>建议：1、进一步加强资金管理和使用，发挥最佳效率；2、上级部门增加投入，加大退役士兵和其他优抚对象的保障力度。</w:t>
      </w:r>
    </w:p>
    <w:p>
      <w:pPr>
        <w:pStyle w:val="15"/>
        <w:ind w:firstLine="1280" w:firstLineChars="400"/>
        <w:rPr>
          <w:rFonts w:ascii="Times New Roman" w:hAnsi="Times New Roman" w:eastAsia="仿宋_GB2312" w:cs="Times New Roman"/>
          <w:sz w:val="32"/>
          <w:szCs w:val="32"/>
        </w:rPr>
      </w:pPr>
    </w:p>
    <w:p>
      <w:pPr>
        <w:pStyle w:val="15"/>
        <w:spacing w:line="600" w:lineRule="exact"/>
        <w:ind w:firstLine="640" w:firstLineChars="200"/>
        <w:rPr>
          <w:rFonts w:ascii="Times New Roman" w:hAnsi="Times New Roman" w:eastAsia="仿宋_GB2312" w:cs="Times New Roman"/>
          <w:sz w:val="32"/>
          <w:szCs w:val="32"/>
        </w:rPr>
      </w:pPr>
    </w:p>
    <w:p>
      <w:pPr>
        <w:pStyle w:val="15"/>
        <w:jc w:val="center"/>
        <w:rPr>
          <w:rFonts w:ascii="Times New Roman" w:hAnsi="Times New Roman" w:cs="Times New Roman"/>
          <w:sz w:val="72"/>
          <w:szCs w:val="72"/>
        </w:rPr>
      </w:pPr>
    </w:p>
    <w:p>
      <w:pPr>
        <w:pStyle w:val="15"/>
        <w:jc w:val="center"/>
        <w:rPr>
          <w:rFonts w:ascii="Times New Roman" w:hAnsi="Times New Roman" w:cs="Times New Roman"/>
          <w:sz w:val="72"/>
          <w:szCs w:val="72"/>
        </w:rPr>
      </w:pPr>
    </w:p>
    <w:p>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92EA1E-589B-4A98-B48A-FE6A81A71D7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9C256B86-AD11-46A6-B864-19C4BB05C248}"/>
  </w:font>
  <w:font w:name="仿宋_GB2312">
    <w:panose1 w:val="02010609030101010101"/>
    <w:charset w:val="86"/>
    <w:family w:val="modern"/>
    <w:pitch w:val="default"/>
    <w:sig w:usb0="00000001" w:usb1="080E0000" w:usb2="00000000" w:usb3="00000000" w:csb0="00040000" w:csb1="00000000"/>
    <w:embedRegular r:id="rId3" w:fontKey="{805F516D-A5D0-40B9-A21E-50F62922C16F}"/>
  </w:font>
  <w:font w:name="楷体_GB2312">
    <w:panose1 w:val="02010609030101010101"/>
    <w:charset w:val="86"/>
    <w:family w:val="modern"/>
    <w:pitch w:val="default"/>
    <w:sig w:usb0="00000001" w:usb1="080E0000" w:usb2="00000000" w:usb3="00000000" w:csb0="00040000" w:csb1="00000000"/>
    <w:embedRegular r:id="rId4" w:fontKey="{4AF41434-D30D-4038-98D3-1F8EA71E1646}"/>
  </w:font>
  <w:font w:name="华文中宋">
    <w:altName w:val="宋体"/>
    <w:panose1 w:val="02010600040101010101"/>
    <w:charset w:val="86"/>
    <w:family w:val="auto"/>
    <w:pitch w:val="default"/>
    <w:sig w:usb0="00000000" w:usb1="00000000" w:usb2="00000010" w:usb3="00000000" w:csb0="0004009F" w:csb1="00000000"/>
    <w:embedRegular r:id="rId5" w:fontKey="{2C5C88C5-3BE3-4C15-AA47-046371931439}"/>
  </w:font>
  <w:font w:name="仿宋">
    <w:panose1 w:val="02010609060101010101"/>
    <w:charset w:val="86"/>
    <w:family w:val="auto"/>
    <w:pitch w:val="default"/>
    <w:sig w:usb0="800002BF" w:usb1="38CF7CFA" w:usb2="00000016" w:usb3="00000000" w:csb0="00040001" w:csb1="00000000"/>
    <w:embedRegular r:id="rId6" w:fontKey="{2BC29C13-9AF9-425D-822D-B46921F4E11C}"/>
  </w:font>
  <w:font w:name="楷体">
    <w:panose1 w:val="02010609060101010101"/>
    <w:charset w:val="86"/>
    <w:family w:val="modern"/>
    <w:pitch w:val="default"/>
    <w:sig w:usb0="800002BF" w:usb1="38CF7CFA" w:usb2="00000016" w:usb3="00000000" w:csb0="00040001" w:csb1="00000000"/>
    <w:embedRegular r:id="rId7" w:fontKey="{A1F4E33D-0475-4687-B552-BC3D9CDED4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B10D2"/>
    <w:multiLevelType w:val="multilevel"/>
    <w:tmpl w:val="665B10D2"/>
    <w:lvl w:ilvl="0" w:tentative="0">
      <w:start w:val="1"/>
      <w:numFmt w:val="japaneseCounting"/>
      <w:lvlText w:val="%1、"/>
      <w:lvlJc w:val="left"/>
      <w:pPr>
        <w:ind w:left="1322" w:hanging="720"/>
      </w:pPr>
      <w:rPr>
        <w:rFonts w:hint="default"/>
      </w:rPr>
    </w:lvl>
    <w:lvl w:ilvl="1" w:tentative="0">
      <w:start w:val="1"/>
      <w:numFmt w:val="lowerLetter"/>
      <w:lvlText w:val="%2)"/>
      <w:lvlJc w:val="left"/>
      <w:pPr>
        <w:ind w:left="1442" w:hanging="420"/>
      </w:pPr>
    </w:lvl>
    <w:lvl w:ilvl="2" w:tentative="0">
      <w:start w:val="1"/>
      <w:numFmt w:val="lowerRoman"/>
      <w:lvlText w:val="%3."/>
      <w:lvlJc w:val="right"/>
      <w:pPr>
        <w:ind w:left="1862" w:hanging="420"/>
      </w:pPr>
    </w:lvl>
    <w:lvl w:ilvl="3" w:tentative="0">
      <w:start w:val="1"/>
      <w:numFmt w:val="decimal"/>
      <w:lvlText w:val="%4."/>
      <w:lvlJc w:val="left"/>
      <w:pPr>
        <w:ind w:left="2282" w:hanging="420"/>
      </w:pPr>
    </w:lvl>
    <w:lvl w:ilvl="4" w:tentative="0">
      <w:start w:val="1"/>
      <w:numFmt w:val="lowerLetter"/>
      <w:lvlText w:val="%5)"/>
      <w:lvlJc w:val="left"/>
      <w:pPr>
        <w:ind w:left="2702" w:hanging="420"/>
      </w:pPr>
    </w:lvl>
    <w:lvl w:ilvl="5" w:tentative="0">
      <w:start w:val="1"/>
      <w:numFmt w:val="lowerRoman"/>
      <w:lvlText w:val="%6."/>
      <w:lvlJc w:val="right"/>
      <w:pPr>
        <w:ind w:left="3122" w:hanging="420"/>
      </w:pPr>
    </w:lvl>
    <w:lvl w:ilvl="6" w:tentative="0">
      <w:start w:val="1"/>
      <w:numFmt w:val="decimal"/>
      <w:lvlText w:val="%7."/>
      <w:lvlJc w:val="left"/>
      <w:pPr>
        <w:ind w:left="3542" w:hanging="420"/>
      </w:pPr>
    </w:lvl>
    <w:lvl w:ilvl="7" w:tentative="0">
      <w:start w:val="1"/>
      <w:numFmt w:val="lowerLetter"/>
      <w:lvlText w:val="%8)"/>
      <w:lvlJc w:val="left"/>
      <w:pPr>
        <w:ind w:left="3962" w:hanging="420"/>
      </w:pPr>
    </w:lvl>
    <w:lvl w:ilvl="8" w:tentative="0">
      <w:start w:val="1"/>
      <w:numFmt w:val="lowerRoman"/>
      <w:lvlText w:val="%9."/>
      <w:lvlJc w:val="right"/>
      <w:pPr>
        <w:ind w:left="438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44EF2"/>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6897"/>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494E"/>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2769A9"/>
    <w:rsid w:val="017716F4"/>
    <w:rsid w:val="01814440"/>
    <w:rsid w:val="01875DDB"/>
    <w:rsid w:val="021D229B"/>
    <w:rsid w:val="02CF7B17"/>
    <w:rsid w:val="03265AB7"/>
    <w:rsid w:val="033E696D"/>
    <w:rsid w:val="03FD05D6"/>
    <w:rsid w:val="04055FB5"/>
    <w:rsid w:val="050E0EFF"/>
    <w:rsid w:val="05595CE0"/>
    <w:rsid w:val="05C51A9B"/>
    <w:rsid w:val="05EC2443"/>
    <w:rsid w:val="063374C1"/>
    <w:rsid w:val="06624964"/>
    <w:rsid w:val="07170EDA"/>
    <w:rsid w:val="078965F0"/>
    <w:rsid w:val="07E01DA1"/>
    <w:rsid w:val="082F0F7A"/>
    <w:rsid w:val="085422C2"/>
    <w:rsid w:val="085947A1"/>
    <w:rsid w:val="08942A16"/>
    <w:rsid w:val="08A27BFF"/>
    <w:rsid w:val="08B1656C"/>
    <w:rsid w:val="08F93F2B"/>
    <w:rsid w:val="08FE27C4"/>
    <w:rsid w:val="092B34F0"/>
    <w:rsid w:val="09E85885"/>
    <w:rsid w:val="0A832CCF"/>
    <w:rsid w:val="0B5C4622"/>
    <w:rsid w:val="0BC03727"/>
    <w:rsid w:val="0C4503A0"/>
    <w:rsid w:val="0C815580"/>
    <w:rsid w:val="0C955B0B"/>
    <w:rsid w:val="0D765D42"/>
    <w:rsid w:val="0D9773A6"/>
    <w:rsid w:val="0DFB2A6D"/>
    <w:rsid w:val="0E1B6683"/>
    <w:rsid w:val="0E7D3C17"/>
    <w:rsid w:val="0F144D7D"/>
    <w:rsid w:val="0F633CE6"/>
    <w:rsid w:val="0F6D14CD"/>
    <w:rsid w:val="0F704352"/>
    <w:rsid w:val="0F977B31"/>
    <w:rsid w:val="102A195A"/>
    <w:rsid w:val="111A3B04"/>
    <w:rsid w:val="111D1460"/>
    <w:rsid w:val="11260656"/>
    <w:rsid w:val="112F070B"/>
    <w:rsid w:val="116F4DA2"/>
    <w:rsid w:val="117C67C8"/>
    <w:rsid w:val="11A402E3"/>
    <w:rsid w:val="12704892"/>
    <w:rsid w:val="12A232DC"/>
    <w:rsid w:val="130629CD"/>
    <w:rsid w:val="13545D39"/>
    <w:rsid w:val="13B3526E"/>
    <w:rsid w:val="14463CEB"/>
    <w:rsid w:val="147F0B94"/>
    <w:rsid w:val="14D464B1"/>
    <w:rsid w:val="16704C38"/>
    <w:rsid w:val="16927D80"/>
    <w:rsid w:val="17620A24"/>
    <w:rsid w:val="17DC5469"/>
    <w:rsid w:val="18AC5CCF"/>
    <w:rsid w:val="18E55B66"/>
    <w:rsid w:val="18F029FA"/>
    <w:rsid w:val="19540DE7"/>
    <w:rsid w:val="19DD4263"/>
    <w:rsid w:val="19ED6DE3"/>
    <w:rsid w:val="1A491A28"/>
    <w:rsid w:val="1A714F11"/>
    <w:rsid w:val="1A840CB2"/>
    <w:rsid w:val="1B0F05DC"/>
    <w:rsid w:val="1B9447AA"/>
    <w:rsid w:val="1BA86FFE"/>
    <w:rsid w:val="1BE55780"/>
    <w:rsid w:val="1C051352"/>
    <w:rsid w:val="1D665CDA"/>
    <w:rsid w:val="1D836906"/>
    <w:rsid w:val="1D97DEFF"/>
    <w:rsid w:val="1DF4759E"/>
    <w:rsid w:val="1DF919B7"/>
    <w:rsid w:val="1DFE1F85"/>
    <w:rsid w:val="1DFF72E5"/>
    <w:rsid w:val="1EFC6F07"/>
    <w:rsid w:val="1F61475A"/>
    <w:rsid w:val="1FE461E7"/>
    <w:rsid w:val="20BE4FFB"/>
    <w:rsid w:val="20D52267"/>
    <w:rsid w:val="22170C00"/>
    <w:rsid w:val="224361D8"/>
    <w:rsid w:val="22665141"/>
    <w:rsid w:val="22C00893"/>
    <w:rsid w:val="22D0329C"/>
    <w:rsid w:val="22E57C73"/>
    <w:rsid w:val="23E46C65"/>
    <w:rsid w:val="24156E1F"/>
    <w:rsid w:val="24663B56"/>
    <w:rsid w:val="247C102C"/>
    <w:rsid w:val="2483022C"/>
    <w:rsid w:val="249B029E"/>
    <w:rsid w:val="250A5B16"/>
    <w:rsid w:val="254A0A3E"/>
    <w:rsid w:val="25875AFA"/>
    <w:rsid w:val="26661BB3"/>
    <w:rsid w:val="267B2C29"/>
    <w:rsid w:val="27AB2187"/>
    <w:rsid w:val="27AF30E6"/>
    <w:rsid w:val="286F4FF3"/>
    <w:rsid w:val="295220ED"/>
    <w:rsid w:val="2A83359C"/>
    <w:rsid w:val="2ABB5F61"/>
    <w:rsid w:val="2BCB1E44"/>
    <w:rsid w:val="2C163734"/>
    <w:rsid w:val="2C4656A4"/>
    <w:rsid w:val="2C672E2F"/>
    <w:rsid w:val="2C705946"/>
    <w:rsid w:val="2CFB0A9F"/>
    <w:rsid w:val="2D034C1E"/>
    <w:rsid w:val="2D6A42FB"/>
    <w:rsid w:val="2D9C2CE2"/>
    <w:rsid w:val="2F1E5CCA"/>
    <w:rsid w:val="2F6B088B"/>
    <w:rsid w:val="2FDF85B8"/>
    <w:rsid w:val="2FFFEE04"/>
    <w:rsid w:val="31BA6399"/>
    <w:rsid w:val="31E87920"/>
    <w:rsid w:val="31F2634A"/>
    <w:rsid w:val="330B3FBF"/>
    <w:rsid w:val="33836C49"/>
    <w:rsid w:val="33B97782"/>
    <w:rsid w:val="34667CAF"/>
    <w:rsid w:val="348C0A37"/>
    <w:rsid w:val="34DF85B0"/>
    <w:rsid w:val="352E31B9"/>
    <w:rsid w:val="35773495"/>
    <w:rsid w:val="357D7484"/>
    <w:rsid w:val="35B84990"/>
    <w:rsid w:val="35D70FA6"/>
    <w:rsid w:val="36004041"/>
    <w:rsid w:val="36346AC6"/>
    <w:rsid w:val="36AA0BFF"/>
    <w:rsid w:val="36AC716F"/>
    <w:rsid w:val="36C73902"/>
    <w:rsid w:val="36D42267"/>
    <w:rsid w:val="375E0287"/>
    <w:rsid w:val="37BB3BA0"/>
    <w:rsid w:val="384D2BD3"/>
    <w:rsid w:val="384F6B3E"/>
    <w:rsid w:val="38730FE1"/>
    <w:rsid w:val="390233A4"/>
    <w:rsid w:val="39680165"/>
    <w:rsid w:val="398C0CCD"/>
    <w:rsid w:val="3A797CAF"/>
    <w:rsid w:val="3B0615E9"/>
    <w:rsid w:val="3B8F36BC"/>
    <w:rsid w:val="3BED0775"/>
    <w:rsid w:val="3C147E2D"/>
    <w:rsid w:val="3C287975"/>
    <w:rsid w:val="3C361480"/>
    <w:rsid w:val="3CAA23A2"/>
    <w:rsid w:val="3CEC7DD1"/>
    <w:rsid w:val="3CF84615"/>
    <w:rsid w:val="3D15482F"/>
    <w:rsid w:val="3D4956C6"/>
    <w:rsid w:val="3D516CC2"/>
    <w:rsid w:val="3E2F7FB1"/>
    <w:rsid w:val="3E416D36"/>
    <w:rsid w:val="3E497999"/>
    <w:rsid w:val="3F320C68"/>
    <w:rsid w:val="3F5600D8"/>
    <w:rsid w:val="3F5E1598"/>
    <w:rsid w:val="40183AC7"/>
    <w:rsid w:val="41875409"/>
    <w:rsid w:val="4194717D"/>
    <w:rsid w:val="420147B7"/>
    <w:rsid w:val="424E17B7"/>
    <w:rsid w:val="426D00FA"/>
    <w:rsid w:val="42A20038"/>
    <w:rsid w:val="42ED461C"/>
    <w:rsid w:val="43002187"/>
    <w:rsid w:val="443A225E"/>
    <w:rsid w:val="446B214A"/>
    <w:rsid w:val="453C50B2"/>
    <w:rsid w:val="458A5EDC"/>
    <w:rsid w:val="45F44E5E"/>
    <w:rsid w:val="472965B9"/>
    <w:rsid w:val="477535AD"/>
    <w:rsid w:val="47ED6FAB"/>
    <w:rsid w:val="48641832"/>
    <w:rsid w:val="48CA5266"/>
    <w:rsid w:val="48CF77AC"/>
    <w:rsid w:val="491FF225"/>
    <w:rsid w:val="49301E81"/>
    <w:rsid w:val="4A5B4CDC"/>
    <w:rsid w:val="4A732ADF"/>
    <w:rsid w:val="4AAC6CA9"/>
    <w:rsid w:val="4B0709C0"/>
    <w:rsid w:val="4B856AE5"/>
    <w:rsid w:val="4BA24E78"/>
    <w:rsid w:val="4BB8348C"/>
    <w:rsid w:val="4C12586E"/>
    <w:rsid w:val="4C593FD2"/>
    <w:rsid w:val="4C5D3817"/>
    <w:rsid w:val="4C7C12E4"/>
    <w:rsid w:val="4CBE1180"/>
    <w:rsid w:val="4CD6192E"/>
    <w:rsid w:val="4D051FD5"/>
    <w:rsid w:val="4DA94D90"/>
    <w:rsid w:val="4DB2393F"/>
    <w:rsid w:val="4DC13FFB"/>
    <w:rsid w:val="4DDC3365"/>
    <w:rsid w:val="4E437F61"/>
    <w:rsid w:val="4EE21CEF"/>
    <w:rsid w:val="4F292144"/>
    <w:rsid w:val="4FAA574F"/>
    <w:rsid w:val="4FE17A31"/>
    <w:rsid w:val="4FFD214C"/>
    <w:rsid w:val="50582F72"/>
    <w:rsid w:val="515C3675"/>
    <w:rsid w:val="516A006C"/>
    <w:rsid w:val="51783058"/>
    <w:rsid w:val="51B650E8"/>
    <w:rsid w:val="51E076C4"/>
    <w:rsid w:val="520173C4"/>
    <w:rsid w:val="52304CA0"/>
    <w:rsid w:val="52581897"/>
    <w:rsid w:val="52762A77"/>
    <w:rsid w:val="52C77BB4"/>
    <w:rsid w:val="52E37F64"/>
    <w:rsid w:val="536A2433"/>
    <w:rsid w:val="53A53DA5"/>
    <w:rsid w:val="53D040CD"/>
    <w:rsid w:val="54414F42"/>
    <w:rsid w:val="54446ACD"/>
    <w:rsid w:val="546133F0"/>
    <w:rsid w:val="54754BEC"/>
    <w:rsid w:val="54BB4B5C"/>
    <w:rsid w:val="556C4241"/>
    <w:rsid w:val="559D59E4"/>
    <w:rsid w:val="56535401"/>
    <w:rsid w:val="567A17DA"/>
    <w:rsid w:val="56B51C18"/>
    <w:rsid w:val="571E1C8F"/>
    <w:rsid w:val="57521214"/>
    <w:rsid w:val="5777D4F5"/>
    <w:rsid w:val="577C44E3"/>
    <w:rsid w:val="57BB325E"/>
    <w:rsid w:val="57D442B7"/>
    <w:rsid w:val="57E76A7D"/>
    <w:rsid w:val="58616EE6"/>
    <w:rsid w:val="58B04A80"/>
    <w:rsid w:val="59A044B9"/>
    <w:rsid w:val="59DD8326"/>
    <w:rsid w:val="5A0E009E"/>
    <w:rsid w:val="5A201A9E"/>
    <w:rsid w:val="5A260902"/>
    <w:rsid w:val="5A355549"/>
    <w:rsid w:val="5A9E729C"/>
    <w:rsid w:val="5B046CCA"/>
    <w:rsid w:val="5B262039"/>
    <w:rsid w:val="5BCB77E7"/>
    <w:rsid w:val="5C0F1DCA"/>
    <w:rsid w:val="5C380688"/>
    <w:rsid w:val="5C693B04"/>
    <w:rsid w:val="5CBB5A43"/>
    <w:rsid w:val="5CD52621"/>
    <w:rsid w:val="5D213B63"/>
    <w:rsid w:val="5DD02326"/>
    <w:rsid w:val="5DEF592A"/>
    <w:rsid w:val="5E1274D2"/>
    <w:rsid w:val="5F64242D"/>
    <w:rsid w:val="5F6465C8"/>
    <w:rsid w:val="5FB1317D"/>
    <w:rsid w:val="5FC55685"/>
    <w:rsid w:val="5FC6BB1E"/>
    <w:rsid w:val="5FF720F1"/>
    <w:rsid w:val="603B13E0"/>
    <w:rsid w:val="60600E46"/>
    <w:rsid w:val="60AC41FD"/>
    <w:rsid w:val="60B92304"/>
    <w:rsid w:val="60E77BF0"/>
    <w:rsid w:val="61AF1334"/>
    <w:rsid w:val="6260512D"/>
    <w:rsid w:val="627D0A05"/>
    <w:rsid w:val="62EA41DC"/>
    <w:rsid w:val="63062F5C"/>
    <w:rsid w:val="63B079EF"/>
    <w:rsid w:val="63ED0C43"/>
    <w:rsid w:val="63F7386F"/>
    <w:rsid w:val="641471CB"/>
    <w:rsid w:val="65B0017A"/>
    <w:rsid w:val="65B732B6"/>
    <w:rsid w:val="664C2EAD"/>
    <w:rsid w:val="66F44128"/>
    <w:rsid w:val="679D07B4"/>
    <w:rsid w:val="67A110FC"/>
    <w:rsid w:val="67FF5C0B"/>
    <w:rsid w:val="68336E40"/>
    <w:rsid w:val="684A10C6"/>
    <w:rsid w:val="68765661"/>
    <w:rsid w:val="68896A60"/>
    <w:rsid w:val="693E330A"/>
    <w:rsid w:val="6950261D"/>
    <w:rsid w:val="6A4100EA"/>
    <w:rsid w:val="6B00125C"/>
    <w:rsid w:val="6B3D24B0"/>
    <w:rsid w:val="6B7E03D2"/>
    <w:rsid w:val="6B974A18"/>
    <w:rsid w:val="6C24522A"/>
    <w:rsid w:val="6C5465C2"/>
    <w:rsid w:val="6C613F7C"/>
    <w:rsid w:val="6C702411"/>
    <w:rsid w:val="6C876CDA"/>
    <w:rsid w:val="6CAD0F6F"/>
    <w:rsid w:val="6D8F3CC6"/>
    <w:rsid w:val="6E166FE8"/>
    <w:rsid w:val="6E265D0E"/>
    <w:rsid w:val="6EFC0924"/>
    <w:rsid w:val="6F5D769E"/>
    <w:rsid w:val="6FB74722"/>
    <w:rsid w:val="6FBF0CBE"/>
    <w:rsid w:val="6FEF8B7E"/>
    <w:rsid w:val="70090F11"/>
    <w:rsid w:val="702568DE"/>
    <w:rsid w:val="702D46D3"/>
    <w:rsid w:val="7036571F"/>
    <w:rsid w:val="71193077"/>
    <w:rsid w:val="711F3B69"/>
    <w:rsid w:val="715B07D1"/>
    <w:rsid w:val="717B788E"/>
    <w:rsid w:val="71A6591B"/>
    <w:rsid w:val="72223E96"/>
    <w:rsid w:val="72231CD3"/>
    <w:rsid w:val="72256550"/>
    <w:rsid w:val="72582F4C"/>
    <w:rsid w:val="726E73F3"/>
    <w:rsid w:val="72A20E4A"/>
    <w:rsid w:val="72B33057"/>
    <w:rsid w:val="72DC15AB"/>
    <w:rsid w:val="737D59BA"/>
    <w:rsid w:val="73904D76"/>
    <w:rsid w:val="73E95E10"/>
    <w:rsid w:val="73ED2599"/>
    <w:rsid w:val="74E47585"/>
    <w:rsid w:val="75B24727"/>
    <w:rsid w:val="75F17E32"/>
    <w:rsid w:val="762A3062"/>
    <w:rsid w:val="766F63BD"/>
    <w:rsid w:val="76A00681"/>
    <w:rsid w:val="76D36F36"/>
    <w:rsid w:val="77C37683"/>
    <w:rsid w:val="77D11459"/>
    <w:rsid w:val="78340796"/>
    <w:rsid w:val="78476C16"/>
    <w:rsid w:val="798B075D"/>
    <w:rsid w:val="79D19834"/>
    <w:rsid w:val="79FF515B"/>
    <w:rsid w:val="7A085123"/>
    <w:rsid w:val="7A2D4208"/>
    <w:rsid w:val="7A9C6BEE"/>
    <w:rsid w:val="7AC84DEB"/>
    <w:rsid w:val="7B7018CD"/>
    <w:rsid w:val="7D200CA3"/>
    <w:rsid w:val="7DD10836"/>
    <w:rsid w:val="7E077DCE"/>
    <w:rsid w:val="7E6C1CCD"/>
    <w:rsid w:val="7E7F341E"/>
    <w:rsid w:val="7E9E1962"/>
    <w:rsid w:val="7E9F11B4"/>
    <w:rsid w:val="7F37EC1E"/>
    <w:rsid w:val="7F7973D7"/>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99"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character" w:styleId="11">
    <w:name w:val="page number"/>
    <w:basedOn w:val="10"/>
    <w:qFormat/>
    <w:uiPriority w:val="0"/>
  </w:style>
  <w:style w:type="character" w:customStyle="1" w:styleId="13">
    <w:name w:val="页眉 Char"/>
    <w:basedOn w:val="10"/>
    <w:link w:val="8"/>
    <w:qFormat/>
    <w:uiPriority w:val="99"/>
    <w:rPr>
      <w:sz w:val="18"/>
      <w:szCs w:val="18"/>
    </w:rPr>
  </w:style>
  <w:style w:type="character" w:customStyle="1" w:styleId="14">
    <w:name w:val="页脚 Char"/>
    <w:basedOn w:val="10"/>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0"/>
    <w:link w:val="6"/>
    <w:semiHidden/>
    <w:qFormat/>
    <w:uiPriority w:val="99"/>
    <w:rPr>
      <w:sz w:val="18"/>
      <w:szCs w:val="18"/>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2206</Words>
  <Characters>2592</Characters>
  <Lines>69</Lines>
  <Paragraphs>19</Paragraphs>
  <TotalTime>0</TotalTime>
  <ScaleCrop>false</ScaleCrop>
  <LinksUpToDate>false</LinksUpToDate>
  <CharactersWithSpaces>2845</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2024-08-08T18:20:00Z</cp:lastPrinted>
  <dcterms:modified xsi:type="dcterms:W3CDTF">2025-09-18T02:42:51Z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BB7B6AA21D207914D6FDA268992A22D6</vt:lpwstr>
  </property>
  <property fmtid="{D5CDD505-2E9C-101B-9397-08002B2CF9AE}" pid="4" name="KSOTemplateDocerSaveRecord">
    <vt:lpwstr>eyJoZGlkIjoiMDVhZjMxMmIzYTI3ZTI2NjY2ZDljMmM0MjZkMDkwOTcifQ==</vt:lpwstr>
  </property>
</Properties>
</file>