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蓝山县土市镇人民政府</w:t>
      </w:r>
      <w:r>
        <w:rPr>
          <w:rFonts w:ascii="Times New Roman" w:hAnsi="Times New Roman" w:eastAsia="方正小标宋简体" w:cs="Times New Roman"/>
          <w:sz w:val="72"/>
          <w:szCs w:val="72"/>
        </w:rPr>
        <w:t>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蓝山县土市镇人民政府</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蓝山县土市镇人民政府</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spacing w:line="600" w:lineRule="exact"/>
        <w:ind w:firstLine="0" w:firstLineChars="0"/>
        <w:jc w:val="left"/>
        <w:rPr>
          <w:rFonts w:hint="default" w:ascii="Times New Roman" w:hAnsi="Times New Roman" w:eastAsia="Times New Roman"/>
          <w:sz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1、执行国家行政机关的决定、命令和国家制定的法令、法规，执行本级人民代表大会的各项决议，并报告执行决议、决定和命令的情况。</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2、制定并落实本行政区域的经济计划和措施，全面提高人民群众的生活水平和生活质量。</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3、承担国有资产、集体资产管理、监督及增值保值责任。</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4、开展社会主义民主和法制的宣传教育，保障公民的权利，打击违法犯罪，维护社会稳定。</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5、制定社会各项事业发展计划，发展教育、卫生、科技、民政、文化、体育事业；加强卫生健康工作；推进社会保障、社会福利事业和养老保险等工作。</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6、加强乡级财政的监督和管理。</w:t>
      </w:r>
    </w:p>
    <w:p>
      <w:pPr>
        <w:spacing w:beforeLines="0" w:afterLines="0" w:line="520" w:lineRule="exact"/>
        <w:ind w:firstLine="640" w:firstLineChars="200"/>
        <w:rPr>
          <w:rFonts w:hint="eastAsia" w:ascii="仿宋" w:hAnsi="仿宋" w:eastAsia="仿宋"/>
          <w:sz w:val="32"/>
          <w:szCs w:val="22"/>
          <w:lang w:val="en-US"/>
        </w:rPr>
      </w:pPr>
      <w:r>
        <w:rPr>
          <w:rFonts w:hint="eastAsia" w:ascii="仿宋" w:hAnsi="仿宋" w:eastAsia="仿宋"/>
          <w:sz w:val="32"/>
          <w:szCs w:val="22"/>
          <w:lang w:val="en-US" w:eastAsia="zh-CN"/>
        </w:rPr>
        <w:t>7、指导村（居）民委员会的组织制度建设和业务建设，促进村（居）民委员会民主自治。</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8、制定和组织实施乡村建设规划，保护和改善生活环境和生态环境。</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9、协助和支持设置在本行政区域内不隶属于乡镇的国家机关和企事业单位工作。</w:t>
      </w:r>
    </w:p>
    <w:p>
      <w:pPr>
        <w:spacing w:beforeLines="0" w:afterLines="0" w:line="520" w:lineRule="exact"/>
        <w:ind w:firstLine="640"/>
        <w:rPr>
          <w:rFonts w:hint="eastAsia" w:ascii="仿宋" w:hAnsi="仿宋" w:eastAsia="仿宋"/>
          <w:sz w:val="32"/>
          <w:szCs w:val="22"/>
          <w:lang w:val="en-US"/>
        </w:rPr>
      </w:pPr>
      <w:r>
        <w:rPr>
          <w:rFonts w:hint="eastAsia" w:ascii="仿宋" w:hAnsi="仿宋" w:eastAsia="仿宋"/>
          <w:sz w:val="32"/>
          <w:szCs w:val="22"/>
          <w:lang w:val="en-US" w:eastAsia="zh-CN"/>
        </w:rPr>
        <w:t>10、承办本级党委、人大和上级交办的其它事项。</w:t>
      </w:r>
    </w:p>
    <w:p>
      <w:pPr>
        <w:spacing w:line="600" w:lineRule="exact"/>
        <w:ind w:firstLine="640" w:firstLineChars="200"/>
        <w:jc w:val="left"/>
        <w:rPr>
          <w:rFonts w:ascii="Times New Roman" w:hAnsi="Times New Roman" w:eastAsia="仿宋_GB2312" w:cs="Times New Roman"/>
          <w:sz w:val="32"/>
          <w:szCs w:val="32"/>
        </w:rPr>
      </w:pPr>
      <w:r>
        <w:rPr>
          <w:rFonts w:hint="eastAsia" w:ascii="仿宋" w:hAnsi="仿宋" w:eastAsia="仿宋"/>
          <w:sz w:val="32"/>
          <w:szCs w:val="22"/>
          <w:lang w:val="en-US" w:eastAsia="zh-CN"/>
        </w:rPr>
        <w:t>乡镇</w:t>
      </w:r>
      <w:r>
        <w:rPr>
          <w:rFonts w:hint="default" w:ascii="仿宋" w:hAnsi="仿宋" w:eastAsia="仿宋"/>
          <w:sz w:val="32"/>
          <w:szCs w:val="22"/>
          <w:lang w:val="en-US" w:eastAsia="zh-CN"/>
        </w:rPr>
        <w:t>政府在国家和社会生活中所承担的职责和功能</w:t>
      </w:r>
      <w:r>
        <w:rPr>
          <w:rFonts w:hint="eastAsia" w:ascii="仿宋" w:hAnsi="仿宋" w:eastAsia="仿宋"/>
          <w:sz w:val="32"/>
          <w:szCs w:val="22"/>
          <w:lang w:val="en-US" w:eastAsia="zh-CN"/>
        </w:rPr>
        <w:t>具体地说,就是指政府作为国家行政机关,依法在国家的政治、经济以及其它社会事务的管理和服务中所应履行的职责及其所应发挥的作用。</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（一）内设机构设置。</w:t>
      </w:r>
      <w:r>
        <w:rPr>
          <w:rFonts w:hint="eastAsia" w:eastAsia="仿宋_GB2312"/>
          <w:sz w:val="32"/>
          <w:szCs w:val="32"/>
          <w:lang w:val="en-US" w:eastAsia="zh-CN"/>
        </w:rPr>
        <w:t>土市镇人民政府</w:t>
      </w:r>
      <w:r>
        <w:rPr>
          <w:rFonts w:eastAsia="仿宋_GB2312"/>
          <w:bCs/>
          <w:kern w:val="0"/>
          <w:sz w:val="32"/>
          <w:szCs w:val="32"/>
        </w:rPr>
        <w:t>单位内设机构包括：</w:t>
      </w:r>
      <w:r>
        <w:rPr>
          <w:rFonts w:hint="eastAsia" w:eastAsia="仿宋_GB2312"/>
          <w:bCs/>
          <w:kern w:val="0"/>
          <w:sz w:val="32"/>
          <w:szCs w:val="32"/>
          <w:lang w:val="en-US" w:eastAsia="zh-CN"/>
        </w:rPr>
        <w:t>一个行政机构、五个事业机构：</w:t>
      </w:r>
      <w:r>
        <w:rPr>
          <w:rFonts w:hint="eastAsia" w:ascii="仿宋_GB2312" w:hAnsi="仿宋_GB2312" w:eastAsia="仿宋_GB2312" w:cs="仿宋_GB2312"/>
          <w:color w:val="000000"/>
          <w:sz w:val="32"/>
          <w:szCs w:val="32"/>
          <w:shd w:val="clear" w:color="auto" w:fill="FFFFFF"/>
          <w:lang w:val="en-US" w:eastAsia="zh-CN"/>
        </w:rPr>
        <w:t>蓝山县土市镇社会事业综合服务中心、蓝山县土市镇农业综合技术推广服务中心、蓝山县土市镇政务（便民）服务中心、蓝山县土市镇综合行政执法大队、退役军人服务站</w:t>
      </w:r>
      <w:r>
        <w:rPr>
          <w:rFonts w:hint="eastAsia" w:eastAsia="仿宋_GB2312"/>
          <w:bCs/>
          <w:kern w:val="0"/>
          <w:sz w:val="32"/>
          <w:szCs w:val="32"/>
          <w:lang w:val="en-US" w:eastAsia="zh-CN"/>
        </w:rPr>
        <w:t>。</w:t>
      </w:r>
    </w:p>
    <w:p>
      <w:pPr>
        <w:widowControl/>
        <w:spacing w:line="600" w:lineRule="exact"/>
        <w:ind w:firstLine="640" w:firstLineChars="200"/>
        <w:rPr>
          <w:rFonts w:hint="default" w:eastAsia="仿宋_GB2312"/>
          <w:bCs/>
          <w:kern w:val="0"/>
          <w:sz w:val="32"/>
          <w:szCs w:val="32"/>
          <w:lang w:val="en-US" w:eastAsia="zh-CN"/>
        </w:rPr>
      </w:pPr>
      <w:r>
        <w:rPr>
          <w:rFonts w:hint="default" w:eastAsia="仿宋_GB2312"/>
          <w:bCs/>
          <w:kern w:val="0"/>
          <w:sz w:val="32"/>
          <w:szCs w:val="32"/>
          <w:lang w:val="en-US" w:eastAsia="zh-CN"/>
        </w:rPr>
        <w:t>202</w:t>
      </w:r>
      <w:r>
        <w:rPr>
          <w:rFonts w:hint="eastAsia" w:eastAsia="仿宋_GB2312"/>
          <w:bCs/>
          <w:kern w:val="0"/>
          <w:sz w:val="32"/>
          <w:szCs w:val="32"/>
          <w:lang w:val="en-US" w:eastAsia="zh-CN"/>
        </w:rPr>
        <w:t>4</w:t>
      </w:r>
      <w:r>
        <w:rPr>
          <w:rFonts w:hint="default" w:eastAsia="仿宋_GB2312"/>
          <w:bCs/>
          <w:kern w:val="0"/>
          <w:sz w:val="32"/>
          <w:szCs w:val="32"/>
          <w:lang w:val="en-US" w:eastAsia="zh-CN"/>
        </w:rPr>
        <w:t>年本单位年未实有人数</w:t>
      </w:r>
      <w:r>
        <w:rPr>
          <w:rFonts w:hint="eastAsia" w:eastAsia="仿宋_GB2312"/>
          <w:bCs/>
          <w:kern w:val="0"/>
          <w:sz w:val="32"/>
          <w:szCs w:val="32"/>
          <w:lang w:val="en-US" w:eastAsia="zh-CN"/>
        </w:rPr>
        <w:t>65</w:t>
      </w:r>
      <w:r>
        <w:rPr>
          <w:rFonts w:hint="default" w:eastAsia="仿宋_GB2312"/>
          <w:bCs/>
          <w:kern w:val="0"/>
          <w:sz w:val="32"/>
          <w:szCs w:val="32"/>
          <w:lang w:val="en-US" w:eastAsia="zh-CN"/>
        </w:rPr>
        <w:t>人，比上年</w:t>
      </w:r>
      <w:r>
        <w:rPr>
          <w:rFonts w:hint="eastAsia" w:eastAsia="仿宋_GB2312"/>
          <w:bCs/>
          <w:kern w:val="0"/>
          <w:sz w:val="32"/>
          <w:szCs w:val="32"/>
          <w:lang w:val="en-US" w:eastAsia="zh-CN"/>
        </w:rPr>
        <w:t>63人</w:t>
      </w:r>
      <w:r>
        <w:rPr>
          <w:rFonts w:hint="default" w:eastAsia="仿宋_GB2312"/>
          <w:bCs/>
          <w:kern w:val="0"/>
          <w:sz w:val="32"/>
          <w:szCs w:val="32"/>
          <w:lang w:val="en-US" w:eastAsia="zh-CN"/>
        </w:rPr>
        <w:t>增加了</w:t>
      </w:r>
      <w:r>
        <w:rPr>
          <w:rFonts w:hint="eastAsia" w:eastAsia="仿宋_GB2312"/>
          <w:bCs/>
          <w:kern w:val="0"/>
          <w:sz w:val="32"/>
          <w:szCs w:val="32"/>
          <w:lang w:val="en-US" w:eastAsia="zh-CN"/>
        </w:rPr>
        <w:t>2</w:t>
      </w:r>
      <w:r>
        <w:rPr>
          <w:rFonts w:hint="default" w:eastAsia="仿宋_GB2312"/>
          <w:bCs/>
          <w:kern w:val="0"/>
          <w:sz w:val="32"/>
          <w:szCs w:val="32"/>
          <w:lang w:val="en-US" w:eastAsia="zh-CN"/>
        </w:rPr>
        <w:t>人</w:t>
      </w:r>
      <w:r>
        <w:rPr>
          <w:rFonts w:hint="eastAsia" w:eastAsia="仿宋_GB2312"/>
          <w:bCs/>
          <w:kern w:val="0"/>
          <w:sz w:val="32"/>
          <w:szCs w:val="32"/>
          <w:lang w:val="en-US" w:eastAsia="zh-CN"/>
        </w:rPr>
        <w:t>，</w:t>
      </w:r>
      <w:r>
        <w:rPr>
          <w:rFonts w:hint="eastAsia" w:ascii="仿宋_GB2312" w:hAnsi="仿宋" w:eastAsia="仿宋_GB2312" w:cs="仿宋"/>
          <w:color w:val="000000"/>
          <w:sz w:val="32"/>
          <w:szCs w:val="32"/>
          <w:lang w:val="en-US" w:eastAsia="zh-CN"/>
        </w:rPr>
        <w:t>增加比例为3.17%</w:t>
      </w:r>
      <w:r>
        <w:rPr>
          <w:rFonts w:hint="default" w:eastAsia="仿宋_GB2312"/>
          <w:bCs/>
          <w:kern w:val="0"/>
          <w:sz w:val="32"/>
          <w:szCs w:val="32"/>
          <w:lang w:val="en-US" w:eastAsia="zh-CN"/>
        </w:rPr>
        <w:t>。</w:t>
      </w:r>
    </w:p>
    <w:p>
      <w:pPr>
        <w:jc w:val="left"/>
        <w:rPr>
          <w:rFonts w:ascii="Times New Roman" w:hAnsi="Times New Roman" w:eastAsia="仿宋_GB2312" w:cs="Times New Roman"/>
          <w:sz w:val="28"/>
          <w:szCs w:val="32"/>
        </w:rPr>
      </w:pPr>
      <w:r>
        <w:rPr>
          <w:rFonts w:hint="eastAsia" w:ascii="楷体_GB2312" w:hAnsi="宋体" w:eastAsia="楷体_GB2312"/>
          <w:b/>
          <w:bCs/>
          <w:kern w:val="0"/>
          <w:sz w:val="32"/>
          <w:szCs w:val="32"/>
        </w:rPr>
        <w:t>（二）决算单位构成。</w:t>
      </w:r>
      <w:r>
        <w:rPr>
          <w:rFonts w:hint="eastAsia" w:eastAsia="仿宋_GB2312"/>
          <w:sz w:val="32"/>
          <w:szCs w:val="32"/>
          <w:lang w:val="en-US" w:eastAsia="zh-CN"/>
        </w:rPr>
        <w:t>土市镇人民政府</w:t>
      </w:r>
      <w:r>
        <w:rPr>
          <w:rFonts w:eastAsia="仿宋_GB2312"/>
          <w:bCs/>
          <w:kern w:val="0"/>
          <w:sz w:val="32"/>
          <w:szCs w:val="32"/>
        </w:rPr>
        <w:t>单位20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土市镇人民政府</w:t>
      </w:r>
      <w:r>
        <w:rPr>
          <w:rFonts w:eastAsia="仿宋_GB2312"/>
          <w:bCs/>
          <w:kern w:val="0"/>
          <w:sz w:val="32"/>
          <w:szCs w:val="32"/>
        </w:rPr>
        <w:t>单位本级</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1926.68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1,895.53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9.52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Times New Roman" w:hAnsi="Times New Roman" w:eastAsia="仿宋_GB2312" w:cs="Times New Roman"/>
                <w:color w:val="000000"/>
                <w:kern w:val="0"/>
                <w:sz w:val="22"/>
                <w:lang w:eastAsia="zh-CN"/>
              </w:rPr>
            </w:pPr>
            <w:r>
              <w:rPr>
                <w:rFonts w:hint="eastAsia" w:ascii="Times New Roman" w:hAnsi="Times New Roman" w:eastAsia="仿宋_GB2312" w:cs="Times New Roman"/>
                <w:color w:val="000000"/>
                <w:kern w:val="0"/>
                <w:sz w:val="22"/>
                <w:lang w:eastAsia="zh-CN"/>
              </w:rPr>
              <w:t>五、文化旅游体育与传媒支出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1.09</w:t>
            </w:r>
          </w:p>
        </w:tc>
      </w:tr>
      <w:tr>
        <w:tblPrEx>
          <w:tblLayout w:type="fixed"/>
          <w:tblCellMar>
            <w:top w:w="0" w:type="dxa"/>
            <w:left w:w="108" w:type="dxa"/>
            <w:bottom w:w="0" w:type="dxa"/>
            <w:right w:w="108" w:type="dxa"/>
          </w:tblCellMar>
        </w:tblPrEx>
        <w:trPr>
          <w:trHeight w:val="275"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六、社会保障和就业支出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0.16</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七、卫生健康支出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18.47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八、城乡社区支出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0.11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九、其他支出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1.80</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1926.68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1926.68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r>
      <w:tr>
        <w:tblPrEx>
          <w:tblLayout w:type="fixed"/>
          <w:tblCellMar>
            <w:top w:w="0" w:type="dxa"/>
            <w:left w:w="108" w:type="dxa"/>
            <w:bottom w:w="0" w:type="dxa"/>
            <w:right w:w="108" w:type="dxa"/>
          </w:tblCellMar>
        </w:tblPrEx>
        <w:trPr>
          <w:trHeight w:val="26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1926.68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1926.68</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1886"/>
        <w:gridCol w:w="2252"/>
        <w:gridCol w:w="1185"/>
        <w:gridCol w:w="1143"/>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413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5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252"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413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8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14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413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1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1926.68</w:t>
            </w:r>
          </w:p>
        </w:tc>
        <w:tc>
          <w:tcPr>
            <w:tcW w:w="11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1926.68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25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1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1452.71</w:t>
            </w:r>
          </w:p>
        </w:tc>
        <w:tc>
          <w:tcPr>
            <w:tcW w:w="11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1452.71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2010799</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其他税收事务支出</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420.15</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420.15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38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22.67</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22.67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2040605</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普法宣传</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9.52</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9.52</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2070108</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文化活动</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0.09</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0.09</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行政单位离退休</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0.16</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18.47</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18.47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2120201</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0.11</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2299999</w:t>
            </w:r>
          </w:p>
        </w:tc>
        <w:tc>
          <w:tcPr>
            <w:tcW w:w="225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w:t>
            </w:r>
          </w:p>
        </w:tc>
        <w:tc>
          <w:tcPr>
            <w:tcW w:w="11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09" w:type="dxa"/>
        <w:jc w:val="center"/>
        <w:tblInd w:w="0" w:type="dxa"/>
        <w:tblLayout w:type="fixed"/>
        <w:tblCellMar>
          <w:top w:w="0" w:type="dxa"/>
          <w:left w:w="108" w:type="dxa"/>
          <w:bottom w:w="0" w:type="dxa"/>
          <w:right w:w="108" w:type="dxa"/>
        </w:tblCellMar>
      </w:tblPr>
      <w:tblGrid>
        <w:gridCol w:w="1988"/>
        <w:gridCol w:w="3891"/>
        <w:gridCol w:w="1721"/>
        <w:gridCol w:w="1123"/>
        <w:gridCol w:w="893"/>
        <w:gridCol w:w="1436"/>
        <w:gridCol w:w="893"/>
        <w:gridCol w:w="2264"/>
      </w:tblGrid>
      <w:tr>
        <w:tblPrEx>
          <w:tblLayout w:type="fixed"/>
          <w:tblCellMar>
            <w:top w:w="0" w:type="dxa"/>
            <w:left w:w="108" w:type="dxa"/>
            <w:bottom w:w="0" w:type="dxa"/>
            <w:right w:w="108" w:type="dxa"/>
          </w:tblCellMar>
        </w:tblPrEx>
        <w:trPr>
          <w:trHeight w:val="595" w:hRule="atLeast"/>
          <w:jc w:val="center"/>
        </w:trPr>
        <w:tc>
          <w:tcPr>
            <w:tcW w:w="587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2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1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8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8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2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9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89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2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9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2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587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12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89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9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26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587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1,926.68</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1,678.30</w:t>
            </w:r>
          </w:p>
        </w:tc>
        <w:tc>
          <w:tcPr>
            <w:tcW w:w="8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248.38</w:t>
            </w:r>
          </w:p>
        </w:tc>
        <w:tc>
          <w:tcPr>
            <w:tcW w:w="143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89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7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1,452.71</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1,204.32</w:t>
            </w:r>
          </w:p>
        </w:tc>
        <w:tc>
          <w:tcPr>
            <w:tcW w:w="8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248.38</w:t>
            </w:r>
          </w:p>
        </w:tc>
        <w:tc>
          <w:tcPr>
            <w:tcW w:w="143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2010799</w:t>
            </w:r>
          </w:p>
        </w:tc>
        <w:tc>
          <w:tcPr>
            <w:tcW w:w="389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其他税收事务支出</w:t>
            </w:r>
          </w:p>
        </w:tc>
        <w:tc>
          <w:tcPr>
            <w:tcW w:w="17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420.15</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420.15</w:t>
            </w:r>
          </w:p>
        </w:tc>
        <w:tc>
          <w:tcPr>
            <w:tcW w:w="8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389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22.67</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22.67</w:t>
            </w:r>
          </w:p>
        </w:tc>
        <w:tc>
          <w:tcPr>
            <w:tcW w:w="8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2040605</w:t>
            </w:r>
          </w:p>
        </w:tc>
        <w:tc>
          <w:tcPr>
            <w:tcW w:w="389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普法宣传</w:t>
            </w:r>
          </w:p>
        </w:tc>
        <w:tc>
          <w:tcPr>
            <w:tcW w:w="17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9.52</w:t>
            </w:r>
          </w:p>
        </w:tc>
        <w:tc>
          <w:tcPr>
            <w:tcW w:w="11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9.52</w:t>
            </w:r>
          </w:p>
        </w:tc>
        <w:tc>
          <w:tcPr>
            <w:tcW w:w="893"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2070108</w:t>
            </w:r>
          </w:p>
        </w:tc>
        <w:tc>
          <w:tcPr>
            <w:tcW w:w="3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文化活动</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0.09</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0.09</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0.16</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18.47</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18.47</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3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98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38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1096"/>
        <w:gridCol w:w="2636"/>
        <w:gridCol w:w="616"/>
        <w:gridCol w:w="986"/>
        <w:gridCol w:w="1684"/>
        <w:gridCol w:w="1484"/>
        <w:gridCol w:w="1586"/>
      </w:tblGrid>
      <w:tr>
        <w:tblPrEx>
          <w:tblLayout w:type="fixed"/>
          <w:tblCellMar>
            <w:top w:w="0" w:type="dxa"/>
            <w:left w:w="108" w:type="dxa"/>
            <w:bottom w:w="0" w:type="dxa"/>
            <w:right w:w="108" w:type="dxa"/>
          </w:tblCellMar>
        </w:tblPrEx>
        <w:trPr>
          <w:trHeight w:val="402" w:hRule="atLeast"/>
          <w:jc w:val="center"/>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992"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1,926.68</w:t>
            </w: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1,895.53</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1,895.53</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7</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96"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18</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9</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9.52</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9.52</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eastAsia="zh-CN"/>
              </w:rPr>
              <w:t>五、文化旅游体育与传媒支出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1.09</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1.09</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六、社会保障和就业支出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1</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0.16</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0.16</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rPr>
              <w:t>七、卫生健康支出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2</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18.47</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18.47</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八、城乡社区支出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0.11</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0.11</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rPr>
              <w:t>九、其他支出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98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1.80</w:t>
            </w:r>
          </w:p>
        </w:tc>
        <w:tc>
          <w:tcPr>
            <w:tcW w:w="168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lang w:val="en-US" w:eastAsia="zh-CN"/>
              </w:rPr>
              <w:t>1.80</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1926.68</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4</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1926.68</w:t>
            </w: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1926.68</w:t>
            </w: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1</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2</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3</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4</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1926.68</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98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1926.68</w:t>
            </w:r>
          </w:p>
        </w:tc>
        <w:tc>
          <w:tcPr>
            <w:tcW w:w="168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1926.68</w:t>
            </w:r>
          </w:p>
        </w:tc>
        <w:tc>
          <w:tcPr>
            <w:tcW w:w="148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8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1,926.68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1,678.30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248.38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1,452.71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1,204.32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248.38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其他税收事务支出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420.15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2040605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普法宣传</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1,452.71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1,204.32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920.11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365.54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265.89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172.06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89.70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42.76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209.43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237.11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14.52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161.79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237.11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71.86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8.72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38.45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8.75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19.33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47.98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24.57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155.55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28.97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39.54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46.49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12.92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24.84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9.15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26.84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15.72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25.11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1075.65</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602.64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2599" w:leftChars="190" w:hanging="12200" w:hangingChars="6100"/>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蓝山县土市镇人民政府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15.66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6.51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2024</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1387.29万</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539.39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38.88</w:t>
      </w:r>
      <w:r>
        <w:rPr>
          <w:rFonts w:ascii="Times New Roman" w:hAnsi="Times New Roman" w:eastAsia="仿宋_GB2312" w:cs="Times New Roman"/>
          <w:color w:val="auto"/>
          <w:sz w:val="32"/>
          <w:szCs w:val="32"/>
          <w:u w:val="none"/>
        </w:rPr>
        <w:t xml:space="preserve"> %，主要是因为</w:t>
      </w:r>
      <w:r>
        <w:rPr>
          <w:rFonts w:hint="eastAsia" w:ascii="Times New Roman" w:hAnsi="Times New Roman" w:eastAsia="仿宋_GB2312" w:cs="Times New Roman"/>
          <w:color w:val="auto"/>
          <w:sz w:val="32"/>
          <w:szCs w:val="32"/>
          <w:u w:val="none"/>
          <w:lang w:eastAsia="zh-CN"/>
        </w:rPr>
        <w:t>土市红色美丽村庄拨付进度款和镇</w:t>
      </w:r>
      <w:r>
        <w:rPr>
          <w:rFonts w:hint="eastAsia" w:ascii="Times New Roman" w:hAnsi="Times New Roman" w:eastAsia="仿宋_GB2312" w:cs="Times New Roman"/>
          <w:color w:val="auto"/>
          <w:sz w:val="32"/>
          <w:szCs w:val="32"/>
          <w:u w:val="none"/>
          <w:lang w:val="en-US" w:eastAsia="zh-CN"/>
        </w:rPr>
        <w:t>污水处理设施，以及土市镇政府大门及附属工程。</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1678.30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87.11</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248.38</w:t>
      </w:r>
      <w:r>
        <w:rPr>
          <w:rFonts w:ascii="Times New Roman" w:hAnsi="Times New Roman" w:eastAsia="仿宋_GB2312" w:cs="Times New Roman"/>
          <w:color w:val="auto"/>
          <w:sz w:val="32"/>
          <w:szCs w:val="32"/>
          <w:u w:val="none"/>
        </w:rPr>
        <w:t xml:space="preserve">万元，占 </w:t>
      </w:r>
      <w:r>
        <w:rPr>
          <w:rFonts w:hint="eastAsia" w:ascii="Times New Roman" w:hAnsi="Times New Roman" w:eastAsia="仿宋_GB2312" w:cs="Times New Roman"/>
          <w:color w:val="auto"/>
          <w:sz w:val="32"/>
          <w:szCs w:val="32"/>
          <w:u w:val="none"/>
          <w:lang w:val="en-US" w:eastAsia="zh-CN"/>
        </w:rPr>
        <w:t>12.89</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bCs/>
          <w:color w:val="auto"/>
          <w:sz w:val="32"/>
          <w:szCs w:val="32"/>
          <w:u w:val="none"/>
          <w:lang w:val="en-US" w:eastAsia="zh-CN"/>
        </w:rPr>
        <w:t>2024</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1387.29万</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539.39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38.88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增加了</w:t>
      </w:r>
      <w:r>
        <w:rPr>
          <w:rFonts w:hint="eastAsia" w:ascii="Times New Roman" w:hAnsi="Times New Roman" w:eastAsia="仿宋_GB2312" w:cs="Times New Roman"/>
          <w:color w:val="auto"/>
          <w:sz w:val="32"/>
          <w:szCs w:val="32"/>
          <w:u w:val="none"/>
          <w:lang w:val="en-US" w:eastAsia="zh-CN"/>
        </w:rPr>
        <w:t>2个公职人员的工资及社保缴费，污水处理设施、红色美丽村账建设拨付进度款、土市镇政府大门及附属工程等</w:t>
      </w:r>
      <w:r>
        <w:rPr>
          <w:rFonts w:hint="eastAsia" w:ascii="Times New Roman" w:hAnsi="Times New Roman" w:eastAsia="仿宋_GB2312" w:cs="Times New Roman"/>
          <w:color w:val="auto"/>
          <w:sz w:val="32"/>
          <w:szCs w:val="32"/>
          <w:u w:val="none"/>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color w:val="auto"/>
          <w:sz w:val="32"/>
          <w:szCs w:val="32"/>
          <w:u w:val="none"/>
          <w:lang w:val="en-US" w:eastAsia="zh-CN"/>
        </w:rPr>
        <w:t>2024</w:t>
      </w:r>
      <w:r>
        <w:rPr>
          <w:rFonts w:hint="eastAsia" w:ascii="Times New Roman" w:hAnsi="Times New Roman" w:eastAsia="仿宋_GB2312" w:cs="Times New Roman"/>
          <w:bCs/>
          <w:color w:val="auto"/>
          <w:sz w:val="32"/>
          <w:szCs w:val="32"/>
          <w:u w:val="none"/>
        </w:rPr>
        <w:t>年度</w:t>
      </w:r>
      <w:r>
        <w:rPr>
          <w:rFonts w:hint="eastAsia" w:ascii="Times New Roman" w:hAnsi="Times New Roman" w:eastAsia="仿宋_GB2312" w:cs="Times New Roman"/>
          <w:color w:val="auto"/>
          <w:sz w:val="32"/>
          <w:szCs w:val="32"/>
          <w:u w:val="none"/>
          <w:lang w:eastAsia="zh-CN"/>
        </w:rPr>
        <w:t>支出</w:t>
      </w:r>
      <w:r>
        <w:rPr>
          <w:rFonts w:ascii="Times New Roman" w:hAnsi="Times New Roman" w:eastAsia="仿宋_GB2312" w:cs="Times New Roman"/>
          <w:color w:val="auto"/>
          <w:sz w:val="32"/>
          <w:szCs w:val="32"/>
          <w:u w:val="none"/>
        </w:rPr>
        <w:t>总计</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1387.29万</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539.39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38.88</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污水处理设施、土市红色美丽村账建设拨付进度款等</w:t>
      </w:r>
      <w:r>
        <w:rPr>
          <w:rFonts w:hint="eastAsia" w:ascii="Times New Roman" w:hAnsi="Times New Roman" w:eastAsia="仿宋_GB2312" w:cs="Times New Roman"/>
          <w:color w:val="auto"/>
          <w:sz w:val="32"/>
          <w:szCs w:val="32"/>
          <w:u w:val="none"/>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spacing w:line="600" w:lineRule="exact"/>
        <w:ind w:firstLine="640" w:firstLineChars="200"/>
        <w:rPr>
          <w:rFonts w:hint="default" w:ascii="Times New Roman" w:hAnsi="Times New Roman" w:eastAsia="仿宋_GB2312" w:cs="Times New Roman"/>
          <w:color w:val="auto"/>
          <w:sz w:val="32"/>
          <w:szCs w:val="32"/>
          <w:u w:val="none"/>
          <w:lang w:val="en-US"/>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1895.53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98.42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农林水</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12.52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0.65%，社会保障和就业0.16万元，</w:t>
      </w:r>
      <w:r>
        <w:rPr>
          <w:rFonts w:ascii="Times New Roman" w:hAnsi="Times New Roman" w:eastAsia="仿宋_GB2312" w:cs="Times New Roman"/>
          <w:color w:val="auto"/>
          <w:sz w:val="32"/>
          <w:szCs w:val="32"/>
          <w:u w:val="none"/>
        </w:rPr>
        <w:t>占</w:t>
      </w:r>
      <w:r>
        <w:rPr>
          <w:rFonts w:hint="eastAsia" w:ascii="Times New Roman" w:hAnsi="Times New Roman" w:eastAsia="仿宋_GB2312" w:cs="Times New Roman"/>
          <w:color w:val="auto"/>
          <w:sz w:val="32"/>
          <w:szCs w:val="32"/>
          <w:u w:val="none"/>
          <w:lang w:val="en-US" w:eastAsia="zh-CN"/>
        </w:rPr>
        <w:t>0.01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卫生健康</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18.47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0.95%。</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1054.91</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182.63</w:t>
      </w:r>
      <w:r>
        <w:rPr>
          <w:rFonts w:ascii="Times New Roman" w:hAnsi="Times New Roman" w:eastAsia="仿宋_GB2312" w:cs="Times New Roman"/>
          <w:color w:val="auto"/>
          <w:sz w:val="32"/>
          <w:szCs w:val="32"/>
          <w:u w:val="none"/>
        </w:rPr>
        <w:t>%，其中：</w:t>
      </w:r>
    </w:p>
    <w:p>
      <w:pPr>
        <w:pStyle w:val="13"/>
        <w:numPr>
          <w:ilvl w:val="0"/>
          <w:numId w:val="1"/>
        </w:numPr>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一般公共服务（类）</w:t>
      </w:r>
      <w:r>
        <w:rPr>
          <w:rFonts w:hint="eastAsia" w:ascii="Times New Roman" w:hAnsi="Times New Roman" w:eastAsia="仿宋_GB2312" w:cs="Times New Roman"/>
          <w:color w:val="auto"/>
          <w:sz w:val="32"/>
          <w:szCs w:val="32"/>
          <w:u w:val="none"/>
          <w:lang w:val="en-US" w:eastAsia="zh-CN"/>
        </w:rPr>
        <w:t>政府办公厅（室）及相关机构事务</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行政运行</w:t>
      </w:r>
      <w:r>
        <w:rPr>
          <w:rFonts w:ascii="Times New Roman" w:hAnsi="Times New Roman" w:eastAsia="仿宋_GB2312" w:cs="Times New Roman"/>
          <w:color w:val="auto"/>
          <w:sz w:val="32"/>
          <w:szCs w:val="32"/>
          <w:u w:val="none"/>
        </w:rPr>
        <w:t>（项）。年初预算为</w:t>
      </w:r>
      <w:r>
        <w:rPr>
          <w:rFonts w:hint="eastAsia" w:ascii="Times New Roman" w:hAnsi="Times New Roman" w:eastAsia="仿宋_GB2312" w:cs="Times New Roman"/>
          <w:color w:val="auto"/>
          <w:sz w:val="32"/>
          <w:szCs w:val="32"/>
          <w:u w:val="none"/>
          <w:lang w:val="en-US" w:eastAsia="zh-CN"/>
        </w:rPr>
        <w:t>927.48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1895.53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204.37</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大于</w:t>
      </w:r>
      <w:r>
        <w:rPr>
          <w:rFonts w:ascii="Times New Roman" w:hAnsi="Times New Roman" w:eastAsia="仿宋_GB2312" w:cs="Times New Roman"/>
          <w:color w:val="auto"/>
          <w:sz w:val="32"/>
          <w:szCs w:val="32"/>
          <w:u w:val="none"/>
        </w:rPr>
        <w:t>年初预算数的主要原因</w:t>
      </w:r>
      <w:r>
        <w:rPr>
          <w:rFonts w:hint="eastAsia" w:ascii="Times New Roman" w:hAnsi="Times New Roman" w:eastAsia="仿宋_GB2312" w:cs="Times New Roman"/>
          <w:color w:val="auto"/>
          <w:sz w:val="32"/>
          <w:szCs w:val="32"/>
          <w:u w:val="none"/>
          <w:lang w:val="en-US" w:eastAsia="zh-CN"/>
        </w:rPr>
        <w:t>是本年度二上的预算仅为101.4万的公用经费+人员工资福利支出预算。</w:t>
      </w:r>
    </w:p>
    <w:p>
      <w:pPr>
        <w:pStyle w:val="13"/>
        <w:numPr>
          <w:ilvl w:val="0"/>
          <w:numId w:val="0"/>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2、农林水</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农业农村</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行政运行</w:t>
      </w:r>
      <w:r>
        <w:rPr>
          <w:rFonts w:ascii="Times New Roman" w:hAnsi="Times New Roman" w:eastAsia="仿宋_GB2312" w:cs="Times New Roman"/>
          <w:color w:val="auto"/>
          <w:sz w:val="32"/>
          <w:szCs w:val="32"/>
          <w:u w:val="none"/>
        </w:rPr>
        <w:t>（项）</w:t>
      </w:r>
      <w:r>
        <w:rPr>
          <w:rFonts w:hint="eastAsia" w:ascii="Times New Roman" w:hAnsi="Times New Roman" w:eastAsia="仿宋_GB2312" w:cs="Times New Roman"/>
          <w:color w:val="auto"/>
          <w:sz w:val="32"/>
          <w:szCs w:val="32"/>
          <w:u w:val="none"/>
          <w:lang w:eastAsia="zh-CN"/>
        </w:rPr>
        <w:t>及其他项目类</w:t>
      </w: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12.52</w:t>
      </w:r>
      <w:r>
        <w:rPr>
          <w:rFonts w:ascii="Times New Roman" w:hAnsi="Times New Roman" w:eastAsia="仿宋_GB2312" w:cs="Times New Roman"/>
          <w:color w:val="auto"/>
          <w:sz w:val="32"/>
          <w:szCs w:val="32"/>
          <w:u w:val="none"/>
        </w:rPr>
        <w:t xml:space="preserve">万元，完成年初预算的 </w:t>
      </w:r>
      <w:r>
        <w:rPr>
          <w:rFonts w:hint="eastAsia" w:ascii="Times New Roman" w:hAnsi="Times New Roman" w:eastAsia="仿宋_GB2312" w:cs="Times New Roman"/>
          <w:color w:val="auto"/>
          <w:sz w:val="32"/>
          <w:szCs w:val="32"/>
          <w:u w:val="none"/>
          <w:lang w:val="en-US" w:eastAsia="zh-CN"/>
        </w:rPr>
        <w:t>83.460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小于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eastAsia="zh-CN"/>
        </w:rPr>
        <w:t>部分特定类建设工程项目推迟实施。</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1926.68</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1075.65</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55.82</w:t>
      </w:r>
      <w:r>
        <w:rPr>
          <w:rFonts w:ascii="Times New Roman" w:hAnsi="Times New Roman" w:eastAsia="仿宋_GB2312" w:cs="Times New Roman"/>
          <w:color w:val="auto"/>
          <w:sz w:val="32"/>
          <w:szCs w:val="32"/>
          <w:u w:val="none"/>
        </w:rPr>
        <w:t>%,主要包括主要包括基本工资、津贴补贴、奖金、伙食补助费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绩效工资、机关事业单位基本养老保险、职业年金缴费、职工基本医疗保险缴费、其他社会保障缴费、其他工资福利支出、抚恤金、生活补助、救济费、奖励金、个人农业生产补贴、对其他个人和家庭的补助支出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602.64</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31.27</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电</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差旅费、维护费、租赁费、会议费、培训费、公务接待费、公车运行维护费、其他交通费用、其他商品和服务支出、其他资本性支出</w:t>
      </w:r>
      <w:r>
        <w:rPr>
          <w:rFonts w:ascii="Times New Roman" w:hAnsi="Times New Roman" w:eastAsia="仿宋_GB2312" w:cs="Times New Roman"/>
          <w:color w:val="auto"/>
          <w:sz w:val="32"/>
          <w:szCs w:val="32"/>
          <w:u w:val="none"/>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40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15.66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39.15</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本单位无</w:t>
      </w:r>
      <w:r>
        <w:rPr>
          <w:rFonts w:ascii="Times New Roman" w:hAnsi="Times New Roman" w:eastAsia="仿宋_GB2312" w:cs="Times New Roman"/>
          <w:color w:val="auto"/>
          <w:sz w:val="32"/>
          <w:szCs w:val="32"/>
          <w:u w:val="none"/>
        </w:rPr>
        <w:t>因公出国（境）费</w:t>
      </w:r>
      <w:r>
        <w:rPr>
          <w:rFonts w:hint="eastAsia" w:ascii="Times New Roman" w:hAnsi="Times New Roman" w:eastAsia="仿宋_GB2312" w:cs="Times New Roman"/>
          <w:color w:val="auto"/>
          <w:sz w:val="32"/>
          <w:szCs w:val="32"/>
          <w:u w:val="none"/>
          <w:lang w:val="en-US" w:eastAsia="zh-CN"/>
        </w:rPr>
        <w:t>支出</w:t>
      </w:r>
      <w:r>
        <w:rPr>
          <w:rFonts w:ascii="Times New Roman" w:hAnsi="Times New Roman" w:eastAsia="仿宋_GB2312" w:cs="Times New Roman"/>
          <w:color w:val="auto"/>
          <w:sz w:val="32"/>
          <w:szCs w:val="32"/>
          <w:u w:val="none"/>
        </w:rPr>
        <w:t>。</w:t>
      </w:r>
    </w:p>
    <w:p>
      <w:pPr>
        <w:pStyle w:val="13"/>
        <w:spacing w:line="60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25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6.51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32.64</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val="en-US" w:eastAsia="zh-CN"/>
        </w:rPr>
        <w:t>2023年公务接待决算数8.16万</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1.6</w:t>
      </w:r>
      <w:bookmarkStart w:id="3" w:name="_GoBack"/>
      <w:r>
        <w:rPr>
          <w:rFonts w:hint="eastAsia" w:ascii="Times New Roman" w:hAnsi="Times New Roman" w:eastAsia="仿宋_GB2312" w:cs="Times New Roman"/>
          <w:color w:val="auto"/>
          <w:sz w:val="32"/>
          <w:szCs w:val="32"/>
          <w:highlight w:val="none"/>
          <w:u w:val="none"/>
          <w:lang w:val="en-US" w:eastAsia="zh-CN"/>
        </w:rPr>
        <w:t>5</w:t>
      </w:r>
      <w:r>
        <w:rPr>
          <w:rFonts w:ascii="Times New Roman" w:hAnsi="Times New Roman" w:eastAsia="仿宋_GB2312" w:cs="Times New Roman"/>
          <w:color w:val="auto"/>
          <w:sz w:val="32"/>
          <w:szCs w:val="32"/>
          <w:highlight w:val="none"/>
          <w:u w:val="none"/>
        </w:rPr>
        <w:t>万元，减少</w:t>
      </w:r>
      <w:r>
        <w:rPr>
          <w:rFonts w:hint="eastAsia" w:ascii="Times New Roman" w:hAnsi="Times New Roman" w:eastAsia="仿宋_GB2312" w:cs="Times New Roman"/>
          <w:color w:val="auto"/>
          <w:sz w:val="32"/>
          <w:szCs w:val="32"/>
          <w:highlight w:val="none"/>
          <w:u w:val="none"/>
          <w:lang w:eastAsia="zh-CN"/>
        </w:rPr>
        <w:t>比例</w:t>
      </w:r>
      <w:r>
        <w:rPr>
          <w:rFonts w:hint="eastAsia" w:ascii="Times New Roman" w:hAnsi="Times New Roman" w:eastAsia="仿宋_GB2312" w:cs="Times New Roman"/>
          <w:color w:val="auto"/>
          <w:sz w:val="32"/>
          <w:szCs w:val="32"/>
          <w:highlight w:val="none"/>
          <w:u w:val="none"/>
          <w:lang w:val="en-US" w:eastAsia="zh-CN"/>
        </w:rPr>
        <w:t>20.22%，本单位今年厉行节俭缩减开支及仍有部分开支未报账</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公务用车购置费及运行维护费支出预算为</w:t>
      </w:r>
      <w:r>
        <w:rPr>
          <w:rFonts w:hint="eastAsia" w:ascii="Times New Roman" w:hAnsi="Times New Roman" w:eastAsia="仿宋_GB2312" w:cs="Times New Roman"/>
          <w:color w:val="auto"/>
          <w:sz w:val="32"/>
          <w:szCs w:val="32"/>
          <w:highlight w:val="none"/>
          <w:u w:val="none"/>
          <w:lang w:val="en-US" w:eastAsia="zh-CN"/>
        </w:rPr>
        <w:t>15</w:t>
      </w:r>
      <w:r>
        <w:rPr>
          <w:rFonts w:ascii="Times New Roman" w:hAnsi="Times New Roman" w:eastAsia="仿宋_GB2312" w:cs="Times New Roman"/>
          <w:color w:val="auto"/>
          <w:sz w:val="32"/>
          <w:szCs w:val="32"/>
          <w:highlight w:val="none"/>
          <w:u w:val="none"/>
        </w:rPr>
        <w:t>万元，支出决算为</w:t>
      </w:r>
      <w:r>
        <w:rPr>
          <w:rFonts w:hint="eastAsia" w:ascii="Times New Roman" w:hAnsi="Times New Roman" w:eastAsia="仿宋_GB2312" w:cs="Times New Roman"/>
          <w:color w:val="auto"/>
          <w:sz w:val="32"/>
          <w:szCs w:val="32"/>
          <w:highlight w:val="none"/>
          <w:u w:val="none"/>
          <w:lang w:val="en-US" w:eastAsia="zh-CN"/>
        </w:rPr>
        <w:t>9.15</w:t>
      </w:r>
      <w:r>
        <w:rPr>
          <w:rFonts w:ascii="Times New Roman" w:hAnsi="Times New Roman" w:eastAsia="仿宋_GB2312" w:cs="Times New Roman"/>
          <w:color w:val="auto"/>
          <w:sz w:val="32"/>
          <w:szCs w:val="32"/>
          <w:highlight w:val="none"/>
          <w:u w:val="none"/>
        </w:rPr>
        <w:t>万元，完成预算的</w:t>
      </w:r>
      <w:r>
        <w:rPr>
          <w:rFonts w:hint="eastAsia" w:ascii="Times New Roman" w:hAnsi="Times New Roman" w:eastAsia="仿宋_GB2312" w:cs="Times New Roman"/>
          <w:color w:val="auto"/>
          <w:sz w:val="32"/>
          <w:szCs w:val="32"/>
          <w:highlight w:val="none"/>
          <w:u w:val="none"/>
          <w:lang w:val="en-US" w:eastAsia="zh-CN"/>
        </w:rPr>
        <w:t>61</w:t>
      </w:r>
      <w:r>
        <w:rPr>
          <w:rFonts w:ascii="Times New Roman" w:hAnsi="Times New Roman" w:eastAsia="仿宋_GB2312" w:cs="Times New Roman"/>
          <w:color w:val="auto"/>
          <w:sz w:val="32"/>
          <w:szCs w:val="32"/>
          <w:highlight w:val="none"/>
          <w:u w:val="none"/>
        </w:rPr>
        <w:t>%，决算数小于年初预算数的主要原因</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土市镇2024年公车运行仅为当年采购的新皮卡车，维修费用少，另外一台猎豹越野车已申请报废</w:t>
      </w:r>
      <w:r>
        <w:rPr>
          <w:rFonts w:ascii="Times New Roman" w:hAnsi="Times New Roman" w:eastAsia="仿宋_GB2312" w:cs="Times New Roman"/>
          <w:color w:val="auto"/>
          <w:sz w:val="32"/>
          <w:szCs w:val="32"/>
          <w:highlight w:val="none"/>
          <w:u w:val="none"/>
        </w:rPr>
        <w:t>。</w:t>
      </w:r>
    </w:p>
    <w:bookmarkEnd w:id="3"/>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6.51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41.57</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9.15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58.42</w:t>
      </w:r>
      <w:r>
        <w:rPr>
          <w:rFonts w:ascii="Times New Roman" w:hAnsi="Times New Roman" w:eastAsia="仿宋_GB2312" w:cs="Times New Roman"/>
          <w:color w:val="auto"/>
          <w:sz w:val="32"/>
          <w:szCs w:val="32"/>
          <w:u w:val="none"/>
        </w:rPr>
        <w:t>%。其中：</w:t>
      </w:r>
    </w:p>
    <w:p>
      <w:pPr>
        <w:pStyle w:val="13"/>
        <w:spacing w:line="600" w:lineRule="exact"/>
        <w:ind w:firstLine="640" w:firstLineChars="200"/>
        <w:rPr>
          <w:rFonts w:ascii="Times New Roman" w:hAnsi="Times New Roman" w:eastAsia="仿宋_GB2312" w:cs="Times New Roman"/>
          <w:b/>
          <w:color w:val="auto"/>
          <w:sz w:val="32"/>
          <w:szCs w:val="32"/>
          <w:u w:val="none"/>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人次,开支内容包括：</w:t>
      </w:r>
    </w:p>
    <w:p>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6.51</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275</w:t>
      </w:r>
      <w:r>
        <w:rPr>
          <w:rFonts w:ascii="Times New Roman" w:hAnsi="Times New Roman" w:eastAsia="仿宋_GB2312" w:cs="Times New Roman"/>
          <w:color w:val="auto"/>
          <w:sz w:val="32"/>
          <w:szCs w:val="32"/>
          <w:u w:val="none"/>
        </w:rPr>
        <w:t xml:space="preserve"> 个、来宾</w:t>
      </w:r>
      <w:r>
        <w:rPr>
          <w:rFonts w:hint="eastAsia" w:ascii="Times New Roman" w:hAnsi="Times New Roman" w:eastAsia="仿宋_GB2312" w:cs="Times New Roman"/>
          <w:color w:val="auto"/>
          <w:sz w:val="32"/>
          <w:szCs w:val="32"/>
          <w:u w:val="none"/>
          <w:lang w:val="en-US" w:eastAsia="zh-CN"/>
        </w:rPr>
        <w:t>1650</w:t>
      </w:r>
      <w:r>
        <w:rPr>
          <w:rFonts w:ascii="Times New Roman" w:hAnsi="Times New Roman" w:eastAsia="仿宋_GB2312" w:cs="Times New Roman"/>
          <w:color w:val="auto"/>
          <w:sz w:val="32"/>
          <w:szCs w:val="32"/>
          <w:u w:val="none"/>
        </w:rPr>
        <w:t>人次，主要是主要是</w:t>
      </w:r>
      <w:r>
        <w:rPr>
          <w:rFonts w:hint="eastAsia" w:ascii="Times New Roman" w:hAnsi="Times New Roman" w:eastAsia="仿宋_GB2312" w:cs="Times New Roman"/>
          <w:color w:val="auto"/>
          <w:sz w:val="32"/>
          <w:szCs w:val="32"/>
          <w:u w:val="none"/>
          <w:lang w:val="en-US" w:eastAsia="zh-CN"/>
        </w:rPr>
        <w:t>干部考察、督察工作、上级调研等</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9.15</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9.15</w:t>
      </w:r>
      <w:r>
        <w:rPr>
          <w:rFonts w:eastAsia="仿宋_GB2312"/>
          <w:sz w:val="32"/>
          <w:szCs w:val="32"/>
          <w:u w:val="none"/>
        </w:rPr>
        <w:t>万元，主要是</w:t>
      </w:r>
      <w:r>
        <w:rPr>
          <w:rFonts w:hint="eastAsia" w:eastAsia="仿宋_GB2312"/>
          <w:sz w:val="32"/>
          <w:szCs w:val="32"/>
          <w:u w:val="none"/>
          <w:lang w:val="en-US" w:eastAsia="zh-CN"/>
        </w:rPr>
        <w:t>维修维护、保险、油费</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w:t>
      </w:r>
      <w:r>
        <w:rPr>
          <w:rFonts w:hint="eastAsia" w:eastAsia="仿宋_GB2312"/>
          <w:sz w:val="32"/>
          <w:szCs w:val="32"/>
          <w:u w:val="none"/>
          <w:lang w:val="en-US" w:eastAsia="zh-CN"/>
        </w:rPr>
        <w:t>年</w:t>
      </w:r>
      <w:r>
        <w:rPr>
          <w:rFonts w:eastAsia="仿宋_GB2312"/>
          <w:sz w:val="32"/>
          <w:szCs w:val="32"/>
          <w:u w:val="none"/>
        </w:rPr>
        <w:t>31日，我单位开支财政拨款的公务用车保有量为</w:t>
      </w:r>
      <w:r>
        <w:rPr>
          <w:rFonts w:hint="eastAsia" w:eastAsia="仿宋_GB2312"/>
          <w:sz w:val="32"/>
          <w:szCs w:val="32"/>
          <w:u w:val="none"/>
          <w:lang w:val="en-US" w:eastAsia="zh-CN"/>
        </w:rPr>
        <w:t>2</w:t>
      </w:r>
      <w:r>
        <w:rPr>
          <w:rFonts w:eastAsia="仿宋_GB2312"/>
          <w:sz w:val="32"/>
          <w:szCs w:val="32"/>
          <w:u w:val="none"/>
        </w:rPr>
        <w:t>辆。</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3"/>
        <w:overflowPunct w:val="0"/>
        <w:autoSpaceDE/>
        <w:autoSpaceDN/>
        <w:spacing w:line="600" w:lineRule="exact"/>
        <w:ind w:firstLine="640" w:firstLineChars="200"/>
        <w:jc w:val="both"/>
        <w:rPr>
          <w:rFonts w:hint="eastAsia" w:eastAsia="仿宋_GB2312"/>
          <w:kern w:val="0"/>
          <w:sz w:val="32"/>
          <w:szCs w:val="32"/>
          <w:highlight w:val="yellow"/>
          <w:u w:val="none"/>
          <w:lang w:val="en-US" w:eastAsia="zh-CN"/>
        </w:rPr>
      </w:pPr>
      <w:r>
        <w:rPr>
          <w:rFonts w:eastAsia="仿宋_GB2312"/>
          <w:kern w:val="0"/>
          <w:sz w:val="32"/>
          <w:szCs w:val="32"/>
          <w:highlight w:val="none"/>
        </w:rPr>
        <w:t>本部门</w:t>
      </w:r>
      <w:r>
        <w:rPr>
          <w:rFonts w:hint="eastAsia" w:eastAsia="仿宋_GB2312"/>
          <w:kern w:val="0"/>
          <w:sz w:val="32"/>
          <w:szCs w:val="32"/>
          <w:highlight w:val="none"/>
          <w:lang w:val="en-US" w:eastAsia="zh-CN"/>
        </w:rPr>
        <w:t>2024</w:t>
      </w:r>
      <w:r>
        <w:rPr>
          <w:rFonts w:eastAsia="仿宋_GB2312"/>
          <w:kern w:val="0"/>
          <w:sz w:val="32"/>
          <w:szCs w:val="32"/>
          <w:highlight w:val="none"/>
        </w:rPr>
        <w:t>年度机关运行经费支出</w:t>
      </w:r>
      <w:r>
        <w:rPr>
          <w:rFonts w:hint="eastAsia" w:eastAsia="仿宋_GB2312"/>
          <w:sz w:val="32"/>
          <w:szCs w:val="32"/>
          <w:highlight w:val="none"/>
          <w:u w:val="single"/>
          <w:lang w:val="en-US" w:eastAsia="zh-CN"/>
        </w:rPr>
        <w:t>602.64</w:t>
      </w:r>
      <w:r>
        <w:rPr>
          <w:rFonts w:eastAsia="仿宋_GB2312"/>
          <w:kern w:val="0"/>
          <w:sz w:val="32"/>
          <w:szCs w:val="32"/>
          <w:highlight w:val="none"/>
        </w:rPr>
        <w:t>万元（与部门决算中行政单位和参照公务员法管理事业单位一般公共预算财政拨款基本支出中公用经费之和保持衔接），比年初预算数</w:t>
      </w:r>
      <w:r>
        <w:rPr>
          <w:rFonts w:hint="eastAsia" w:eastAsia="仿宋_GB2312"/>
          <w:kern w:val="0"/>
          <w:sz w:val="32"/>
          <w:szCs w:val="32"/>
          <w:highlight w:val="none"/>
          <w:lang w:val="en-US" w:eastAsia="zh-CN"/>
        </w:rPr>
        <w:t>431.40万，</w:t>
      </w:r>
      <w:r>
        <w:rPr>
          <w:rFonts w:eastAsia="仿宋_GB2312"/>
          <w:kern w:val="0"/>
          <w:sz w:val="32"/>
          <w:szCs w:val="32"/>
          <w:highlight w:val="none"/>
        </w:rPr>
        <w:t>增加</w:t>
      </w:r>
      <w:r>
        <w:rPr>
          <w:rFonts w:hint="eastAsia" w:eastAsia="仿宋_GB2312"/>
          <w:sz w:val="32"/>
          <w:szCs w:val="32"/>
          <w:highlight w:val="none"/>
          <w:u w:val="single"/>
          <w:lang w:val="en-US" w:eastAsia="zh-CN"/>
        </w:rPr>
        <w:t>171.24</w:t>
      </w:r>
      <w:r>
        <w:rPr>
          <w:rFonts w:eastAsia="仿宋_GB2312"/>
          <w:kern w:val="0"/>
          <w:sz w:val="32"/>
          <w:szCs w:val="32"/>
          <w:highlight w:val="none"/>
        </w:rPr>
        <w:t>万元。主要原因是：</w:t>
      </w:r>
      <w:r>
        <w:rPr>
          <w:rFonts w:hint="eastAsia" w:eastAsia="仿宋_GB2312"/>
          <w:kern w:val="0"/>
          <w:sz w:val="32"/>
          <w:szCs w:val="32"/>
          <w:highlight w:val="none"/>
          <w:lang w:val="en-US" w:eastAsia="zh-CN"/>
        </w:rPr>
        <w:t>2024年</w:t>
      </w:r>
      <w:r>
        <w:rPr>
          <w:rFonts w:hint="eastAsia" w:eastAsia="仿宋_GB2312"/>
          <w:kern w:val="0"/>
          <w:sz w:val="32"/>
          <w:szCs w:val="32"/>
          <w:highlight w:val="none"/>
          <w:u w:val="none"/>
          <w:lang w:val="en-US" w:eastAsia="zh-CN"/>
        </w:rPr>
        <w:t>烤烟分成累计拨付355.89万，超预算部分经费从烤烟分成指标开支。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w:t>
      </w:r>
      <w:r>
        <w:rPr>
          <w:rFonts w:eastAsia="仿宋_GB2312"/>
          <w:kern w:val="0"/>
          <w:sz w:val="32"/>
          <w:szCs w:val="32"/>
          <w:u w:val="none"/>
        </w:rPr>
        <w:t>年本</w:t>
      </w:r>
      <w:r>
        <w:rPr>
          <w:rFonts w:hint="eastAsia" w:eastAsia="仿宋_GB2312"/>
          <w:kern w:val="0"/>
          <w:sz w:val="32"/>
          <w:szCs w:val="32"/>
          <w:u w:val="none"/>
          <w:lang w:eastAsia="zh-CN"/>
        </w:rPr>
        <w:t>单位</w:t>
      </w:r>
      <w:r>
        <w:rPr>
          <w:rFonts w:eastAsia="仿宋_GB2312"/>
          <w:kern w:val="0"/>
          <w:sz w:val="32"/>
          <w:szCs w:val="32"/>
          <w:u w:val="none"/>
        </w:rPr>
        <w:t>开支会议费</w:t>
      </w:r>
      <w:r>
        <w:rPr>
          <w:rFonts w:hint="eastAsia" w:eastAsia="仿宋_GB2312"/>
          <w:kern w:val="0"/>
          <w:sz w:val="32"/>
          <w:szCs w:val="32"/>
          <w:u w:val="none"/>
          <w:lang w:val="en-US" w:eastAsia="zh-CN"/>
        </w:rPr>
        <w:t>7.51</w:t>
      </w:r>
      <w:r>
        <w:rPr>
          <w:rFonts w:eastAsia="仿宋_GB2312"/>
          <w:kern w:val="0"/>
          <w:sz w:val="32"/>
          <w:szCs w:val="32"/>
          <w:u w:val="none"/>
        </w:rPr>
        <w:t>万元，用于召开用于召开</w:t>
      </w:r>
      <w:r>
        <w:rPr>
          <w:rFonts w:hint="eastAsia" w:eastAsia="仿宋_GB2312"/>
          <w:kern w:val="0"/>
          <w:sz w:val="32"/>
          <w:szCs w:val="32"/>
          <w:u w:val="none"/>
          <w:lang w:val="en-US" w:eastAsia="zh-CN"/>
        </w:rPr>
        <w:t>人大代表选举、党员代表选举、村支部委员选举、村民委员会委员选举、人民代表大会、党员代表大会等</w:t>
      </w:r>
      <w:r>
        <w:rPr>
          <w:rFonts w:eastAsia="仿宋_GB2312"/>
          <w:kern w:val="0"/>
          <w:sz w:val="32"/>
          <w:szCs w:val="32"/>
          <w:u w:val="none"/>
        </w:rPr>
        <w:t>会议，人数</w:t>
      </w:r>
      <w:r>
        <w:rPr>
          <w:rFonts w:hint="eastAsia" w:eastAsia="仿宋_GB2312"/>
          <w:sz w:val="32"/>
          <w:szCs w:val="32"/>
          <w:u w:val="none"/>
          <w:lang w:val="en-US" w:eastAsia="zh-CN"/>
        </w:rPr>
        <w:t>490</w:t>
      </w:r>
      <w:r>
        <w:rPr>
          <w:rFonts w:eastAsia="仿宋_GB2312"/>
          <w:kern w:val="0"/>
          <w:sz w:val="32"/>
          <w:szCs w:val="32"/>
          <w:u w:val="none"/>
        </w:rPr>
        <w:t>人，内容为内容为</w:t>
      </w:r>
      <w:r>
        <w:rPr>
          <w:rFonts w:hint="eastAsia" w:eastAsia="仿宋_GB2312"/>
          <w:kern w:val="0"/>
          <w:sz w:val="32"/>
          <w:szCs w:val="32"/>
          <w:u w:val="none"/>
          <w:lang w:val="en-US" w:eastAsia="zh-CN"/>
        </w:rPr>
        <w:t>人大代表选举、党员代表选举、村支部委员选举、村民委员会委员选举、人民代表大会、党员代表大会</w:t>
      </w:r>
      <w:r>
        <w:rPr>
          <w:rFonts w:eastAsia="仿宋_GB2312"/>
          <w:kern w:val="0"/>
          <w:sz w:val="32"/>
          <w:szCs w:val="32"/>
          <w:u w:val="none"/>
        </w:rPr>
        <w:t>；开支培训费</w:t>
      </w:r>
      <w:r>
        <w:rPr>
          <w:rFonts w:hint="eastAsia" w:eastAsia="仿宋_GB2312"/>
          <w:sz w:val="32"/>
          <w:szCs w:val="32"/>
          <w:u w:val="none"/>
          <w:lang w:val="en-US" w:eastAsia="zh-CN"/>
        </w:rPr>
        <w:t>0.89</w:t>
      </w:r>
      <w:r>
        <w:rPr>
          <w:rFonts w:eastAsia="仿宋_GB2312"/>
          <w:kern w:val="0"/>
          <w:sz w:val="32"/>
          <w:szCs w:val="32"/>
          <w:u w:val="none"/>
        </w:rPr>
        <w:t>万元，用于</w:t>
      </w:r>
      <w:r>
        <w:rPr>
          <w:rFonts w:hint="eastAsia" w:eastAsia="仿宋_GB2312"/>
          <w:kern w:val="0"/>
          <w:sz w:val="32"/>
          <w:szCs w:val="32"/>
          <w:u w:val="none"/>
          <w:lang w:val="en-US" w:eastAsia="zh-CN"/>
        </w:rPr>
        <w:t>开展事业单位工作人员网课</w:t>
      </w:r>
      <w:r>
        <w:rPr>
          <w:rFonts w:eastAsia="仿宋_GB2312"/>
          <w:kern w:val="0"/>
          <w:sz w:val="32"/>
          <w:szCs w:val="32"/>
          <w:u w:val="none"/>
        </w:rPr>
        <w:t>培训，人数</w:t>
      </w:r>
      <w:r>
        <w:rPr>
          <w:rFonts w:hint="eastAsia" w:eastAsia="仿宋_GB2312"/>
          <w:sz w:val="32"/>
          <w:szCs w:val="32"/>
          <w:u w:val="none"/>
          <w:lang w:val="en-US" w:eastAsia="zh-CN"/>
        </w:rPr>
        <w:t>63</w:t>
      </w:r>
      <w:r>
        <w:rPr>
          <w:rFonts w:eastAsia="仿宋_GB2312"/>
          <w:sz w:val="32"/>
          <w:szCs w:val="32"/>
          <w:u w:val="none"/>
        </w:rPr>
        <w:t xml:space="preserve"> </w:t>
      </w:r>
      <w:r>
        <w:rPr>
          <w:rFonts w:eastAsia="仿宋_GB2312"/>
          <w:kern w:val="0"/>
          <w:sz w:val="32"/>
          <w:szCs w:val="32"/>
          <w:u w:val="none"/>
        </w:rPr>
        <w:t>人，内容为内容为</w:t>
      </w:r>
      <w:r>
        <w:rPr>
          <w:rFonts w:hint="eastAsia" w:eastAsia="仿宋_GB2312"/>
          <w:kern w:val="0"/>
          <w:sz w:val="32"/>
          <w:szCs w:val="32"/>
          <w:u w:val="none"/>
          <w:lang w:val="en-US" w:eastAsia="zh-CN"/>
        </w:rPr>
        <w:t>专业科目、习近平中国特色社会主义思想等</w:t>
      </w:r>
      <w:r>
        <w:rPr>
          <w:rFonts w:eastAsia="仿宋_GB2312"/>
          <w:kern w:val="0"/>
          <w:sz w:val="32"/>
          <w:szCs w:val="32"/>
          <w:u w:val="none"/>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年度政府采购支出总额</w:t>
      </w:r>
      <w:r>
        <w:rPr>
          <w:rFonts w:hint="eastAsia" w:eastAsia="仿宋_GB2312"/>
          <w:kern w:val="0"/>
          <w:sz w:val="32"/>
          <w:szCs w:val="32"/>
          <w:u w:val="none"/>
          <w:lang w:val="en-US" w:eastAsia="zh-CN"/>
        </w:rPr>
        <w:t>161.34</w:t>
      </w:r>
      <w:r>
        <w:rPr>
          <w:rFonts w:eastAsia="仿宋_GB2312"/>
          <w:kern w:val="0"/>
          <w:sz w:val="32"/>
          <w:szCs w:val="32"/>
          <w:u w:val="none"/>
        </w:rPr>
        <w:t>万元，其中：政府采购货物支出</w:t>
      </w:r>
      <w:r>
        <w:rPr>
          <w:rFonts w:hint="eastAsia" w:eastAsia="仿宋_GB2312"/>
          <w:kern w:val="0"/>
          <w:sz w:val="32"/>
          <w:szCs w:val="32"/>
          <w:u w:val="none"/>
          <w:lang w:val="en-US" w:eastAsia="zh-CN"/>
        </w:rPr>
        <w:t>146.34</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15</w:t>
      </w:r>
      <w:r>
        <w:rPr>
          <w:rFonts w:eastAsia="仿宋_GB2312"/>
          <w:kern w:val="0"/>
          <w:sz w:val="32"/>
          <w:szCs w:val="32"/>
          <w:u w:val="none"/>
        </w:rPr>
        <w:t>万元。授予中小企业合同金额</w:t>
      </w:r>
      <w:r>
        <w:rPr>
          <w:rFonts w:hint="eastAsia" w:eastAsia="仿宋_GB2312"/>
          <w:sz w:val="32"/>
          <w:szCs w:val="32"/>
          <w:u w:val="none"/>
          <w:lang w:val="en-US" w:eastAsia="zh-CN"/>
        </w:rPr>
        <w:t>129</w:t>
      </w:r>
      <w:r>
        <w:rPr>
          <w:rFonts w:eastAsia="仿宋_GB2312"/>
          <w:kern w:val="0"/>
          <w:sz w:val="32"/>
          <w:szCs w:val="32"/>
          <w:u w:val="none"/>
        </w:rPr>
        <w:t>万元，占政府采购支出总额的</w:t>
      </w:r>
      <w:r>
        <w:rPr>
          <w:rFonts w:hint="eastAsia" w:eastAsia="仿宋_GB2312"/>
          <w:sz w:val="32"/>
          <w:szCs w:val="32"/>
          <w:u w:val="none"/>
          <w:lang w:val="en-US" w:eastAsia="zh-CN"/>
        </w:rPr>
        <w:t>79.95</w:t>
      </w:r>
      <w:r>
        <w:rPr>
          <w:rFonts w:eastAsia="仿宋_GB2312"/>
          <w:kern w:val="0"/>
          <w:sz w:val="32"/>
          <w:szCs w:val="32"/>
          <w:u w:val="none"/>
        </w:rPr>
        <w:t>%，其中：授予小微企业合同金额</w:t>
      </w:r>
      <w:r>
        <w:rPr>
          <w:rFonts w:hint="eastAsia" w:eastAsia="仿宋_GB2312"/>
          <w:kern w:val="0"/>
          <w:sz w:val="32"/>
          <w:szCs w:val="32"/>
          <w:u w:val="none"/>
          <w:lang w:val="en-US" w:eastAsia="zh-CN"/>
        </w:rPr>
        <w:t>129</w:t>
      </w:r>
      <w:r>
        <w:rPr>
          <w:rFonts w:eastAsia="仿宋_GB2312"/>
          <w:kern w:val="0"/>
          <w:sz w:val="32"/>
          <w:szCs w:val="32"/>
          <w:u w:val="none"/>
        </w:rPr>
        <w:t>万元，占政府采购支出总额的</w:t>
      </w:r>
      <w:r>
        <w:rPr>
          <w:rFonts w:hint="eastAsia" w:eastAsia="仿宋_GB2312"/>
          <w:sz w:val="32"/>
          <w:szCs w:val="32"/>
          <w:u w:val="none"/>
          <w:lang w:val="en-US" w:eastAsia="zh-CN"/>
        </w:rPr>
        <w:t>100</w:t>
      </w:r>
      <w:r>
        <w:rPr>
          <w:rFonts w:eastAsia="仿宋_GB2312"/>
          <w:kern w:val="0"/>
          <w:sz w:val="32"/>
          <w:szCs w:val="32"/>
          <w:u w:val="none"/>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2</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1</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1</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88.39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88.39</w:t>
      </w:r>
      <w:r>
        <w:rPr>
          <w:rFonts w:ascii="Times New Roman" w:hAnsi="Times New Roman" w:eastAsia="仿宋_GB2312" w:cs="Times New Roman"/>
          <w:kern w:val="0"/>
          <w:sz w:val="32"/>
          <w:szCs w:val="32"/>
        </w:rPr>
        <w:t xml:space="preserve"> 万元，占一般公共预算支出总额</w:t>
      </w:r>
      <w:r>
        <w:rPr>
          <w:rFonts w:hint="eastAsia" w:ascii="Times New Roman" w:hAnsi="Times New Roman" w:eastAsia="仿宋_GB2312" w:cs="Times New Roman"/>
          <w:kern w:val="0"/>
          <w:sz w:val="32"/>
          <w:szCs w:val="32"/>
          <w:lang w:val="en-US" w:eastAsia="zh-CN"/>
        </w:rPr>
        <w:t>1895.53万</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lang w:val="en-US" w:eastAsia="zh-CN"/>
        </w:rPr>
        <w:t>4.66</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宋体" w:hAnsi="宋体" w:eastAsia="宋体" w:cs="宋体"/>
          <w:sz w:val="28"/>
          <w:szCs w:val="28"/>
        </w:rPr>
        <w:t>重点投入污水处理厂建设（58.59万元）</w:t>
      </w:r>
      <w:r>
        <w:rPr>
          <w:rFonts w:hint="eastAsia" w:ascii="宋体" w:hAnsi="宋体" w:eastAsia="宋体" w:cs="宋体"/>
          <w:sz w:val="28"/>
          <w:szCs w:val="28"/>
          <w:lang w:eastAsia="zh-CN"/>
        </w:rPr>
        <w:t>、</w:t>
      </w:r>
      <w:r>
        <w:rPr>
          <w:rFonts w:hint="eastAsia" w:ascii="宋体" w:hAnsi="宋体" w:eastAsia="宋体" w:cs="宋体"/>
          <w:sz w:val="28"/>
          <w:szCs w:val="28"/>
        </w:rPr>
        <w:t>消防洒水车购置（29.8万元）</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88.36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1台计划新购公务用车比亚迪唐油电混动的越野车</w:t>
      </w:r>
      <w:r>
        <w:rPr>
          <w:rFonts w:ascii="Times New Roman" w:hAnsi="Times New Roman" w:eastAsia="仿宋_GB2312" w:cs="Times New Roman"/>
          <w:kern w:val="0"/>
          <w:sz w:val="32"/>
          <w:szCs w:val="32"/>
        </w:rPr>
        <w:t>开展事前绩效评估，共涉及资金</w:t>
      </w:r>
      <w:r>
        <w:rPr>
          <w:rFonts w:hint="eastAsia" w:ascii="Times New Roman" w:hAnsi="Times New Roman" w:eastAsia="仿宋_GB2312" w:cs="Times New Roman"/>
          <w:kern w:val="0"/>
          <w:sz w:val="32"/>
          <w:szCs w:val="32"/>
          <w:lang w:val="en-US" w:eastAsia="zh-CN"/>
        </w:rPr>
        <w:t>17.98</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color w:val="auto"/>
          <w:sz w:val="32"/>
          <w:szCs w:val="32"/>
          <w:u w:val="none"/>
          <w:lang w:val="en-US" w:eastAsia="zh-CN"/>
        </w:rPr>
        <w:t>1054.91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1926.68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54.75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本镇污水有效处理率</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是洒水降尘、扑灭初期山火率达</w:t>
      </w:r>
      <w:r>
        <w:rPr>
          <w:rFonts w:hint="eastAsia" w:ascii="Times New Roman" w:hAnsi="Times New Roman" w:eastAsia="仿宋_GB2312" w:cs="Times New Roman"/>
          <w:sz w:val="32"/>
          <w:szCs w:val="32"/>
          <w:lang w:val="en-US" w:eastAsia="zh-CN"/>
        </w:rPr>
        <w:t>98%以上</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部分时段出水指标波动</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洒水车水箱容量不足导致中途折返补水</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扩大日常巡检范围，缩短维修时间</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对高频作业车辆扩容改造，或者合理设置中途补水点</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w:t>
      </w:r>
      <w:r>
        <w:rPr>
          <w:rFonts w:hint="eastAsia" w:ascii="Times New Roman" w:hAnsi="Times New Roman" w:eastAsia="仿宋_GB2312" w:cs="Times New Roman"/>
          <w:color w:val="auto"/>
          <w:sz w:val="32"/>
          <w:szCs w:val="32"/>
          <w:lang w:eastAsia="zh-CN"/>
        </w:rPr>
        <w:t>提供数据支撑</w:t>
      </w:r>
      <w:r>
        <w:rPr>
          <w:rFonts w:ascii="Times New Roman" w:hAnsi="Times New Roman" w:eastAsia="仿宋_GB2312" w:cs="Times New Roman"/>
          <w:color w:val="auto"/>
          <w:sz w:val="32"/>
          <w:szCs w:val="32"/>
        </w:rPr>
        <w:t>。</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3"/>
        <w:spacing w:line="600" w:lineRule="exact"/>
        <w:ind w:firstLine="640" w:firstLineChars="200"/>
        <w:rPr>
          <w:rFonts w:ascii="Times New Roman" w:hAnsi="Times New Roman" w:eastAsia="楷体_GB2312" w:cs="Times New Roman"/>
          <w:b/>
          <w:bCs/>
          <w:i/>
          <w:color w:val="auto"/>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ind w:firstLine="640" w:firstLineChars="200"/>
        <w:jc w:val="center"/>
        <w:rPr>
          <w:rFonts w:hint="eastAsia" w:ascii="黑体" w:hAnsi="黑体" w:eastAsia="黑体" w:cs="黑体"/>
          <w:color w:val="000000"/>
          <w:kern w:val="0"/>
          <w:sz w:val="32"/>
          <w:szCs w:val="32"/>
        </w:rPr>
      </w:pPr>
      <w:r>
        <w:rPr>
          <w:rFonts w:hint="eastAsia" w:ascii="黑体" w:hAnsi="黑体" w:eastAsia="黑体" w:cs="Times New Roman"/>
          <w:kern w:val="0"/>
          <w:sz w:val="32"/>
          <w:szCs w:val="32"/>
          <w:lang w:val="en-US" w:eastAsia="zh-CN"/>
        </w:rPr>
        <w:t>蓝山县土市镇人民政府</w:t>
      </w:r>
      <w:r>
        <w:rPr>
          <w:rFonts w:hint="eastAsia" w:ascii="黑体" w:hAnsi="黑体" w:eastAsia="黑体"/>
          <w:kern w:val="0"/>
          <w:sz w:val="32"/>
          <w:szCs w:val="32"/>
          <w:lang w:val="en-US" w:eastAsia="zh-CN"/>
        </w:rPr>
        <w:t>2024</w:t>
      </w:r>
      <w:r>
        <w:rPr>
          <w:rFonts w:hint="eastAsia" w:ascii="黑体" w:hAnsi="黑体" w:eastAsia="黑体" w:cs="黑体"/>
          <w:color w:val="000000"/>
          <w:kern w:val="0"/>
          <w:sz w:val="32"/>
          <w:szCs w:val="32"/>
        </w:rPr>
        <w:t>年度部门整体支出</w:t>
      </w:r>
    </w:p>
    <w:p>
      <w:pPr>
        <w:ind w:firstLine="640" w:firstLineChars="200"/>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绩效评价报告</w:t>
      </w:r>
    </w:p>
    <w:p>
      <w:pPr>
        <w:spacing w:line="600" w:lineRule="exact"/>
        <w:rPr>
          <w:rFonts w:hint="eastAsia" w:ascii="宋体" w:hAnsi="宋体" w:cs="黑体"/>
          <w:b/>
          <w:bCs/>
          <w:color w:val="000000"/>
          <w:kern w:val="0"/>
          <w:sz w:val="32"/>
          <w:szCs w:val="32"/>
        </w:rPr>
      </w:pPr>
      <w:r>
        <w:rPr>
          <w:rFonts w:hint="eastAsia" w:ascii="宋体" w:hAnsi="宋体" w:cs="黑体"/>
          <w:b/>
          <w:bCs/>
          <w:color w:val="000000"/>
          <w:kern w:val="0"/>
          <w:sz w:val="32"/>
          <w:szCs w:val="32"/>
        </w:rPr>
        <w:t>一、项目概况</w:t>
      </w:r>
    </w:p>
    <w:p>
      <w:pPr>
        <w:spacing w:line="600" w:lineRule="exact"/>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rPr>
        <w:t>（一）</w:t>
      </w:r>
      <w:r>
        <w:rPr>
          <w:rFonts w:hint="eastAsia" w:eastAsia="仿宋_GB2312"/>
          <w:sz w:val="32"/>
          <w:szCs w:val="32"/>
        </w:rPr>
        <w:t>部门职能：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w:t>
      </w:r>
      <w:r>
        <w:rPr>
          <w:rFonts w:hint="eastAsia" w:ascii="宋体" w:hAnsi="宋体" w:cs="黑体"/>
          <w:color w:val="000000"/>
          <w:kern w:val="0"/>
          <w:sz w:val="32"/>
          <w:szCs w:val="32"/>
        </w:rPr>
        <w:t>，</w:t>
      </w:r>
      <w:r>
        <w:rPr>
          <w:rFonts w:hint="eastAsia" w:eastAsia="仿宋_GB2312"/>
          <w:sz w:val="32"/>
          <w:szCs w:val="32"/>
        </w:rPr>
        <w:t>维护社会秩序，保障公民的人身权利、民主权利和其他权利；保护各种经济组织的合法权益；办理上级人民政府交办的其他事项。</w:t>
      </w:r>
    </w:p>
    <w:p>
      <w:pPr>
        <w:spacing w:line="600" w:lineRule="exact"/>
        <w:ind w:firstLine="640" w:firstLineChars="200"/>
        <w:rPr>
          <w:rFonts w:hint="eastAsia" w:eastAsia="仿宋_GB2312"/>
          <w:sz w:val="32"/>
          <w:szCs w:val="32"/>
        </w:rPr>
      </w:pPr>
      <w:r>
        <w:rPr>
          <w:rFonts w:hint="eastAsia" w:ascii="宋体" w:hAnsi="宋体" w:cs="黑体"/>
          <w:color w:val="000000"/>
          <w:kern w:val="0"/>
          <w:sz w:val="32"/>
          <w:szCs w:val="32"/>
        </w:rPr>
        <w:t>（二）</w:t>
      </w:r>
      <w:r>
        <w:rPr>
          <w:rFonts w:hint="eastAsia" w:eastAsia="仿宋_GB2312"/>
          <w:sz w:val="32"/>
          <w:szCs w:val="32"/>
        </w:rPr>
        <w:t>部门绩效自评遵循的基本原则：科学规范原则、公正公开原则、绩效相关原则</w:t>
      </w:r>
    </w:p>
    <w:p>
      <w:pPr>
        <w:spacing w:line="600" w:lineRule="exact"/>
        <w:rPr>
          <w:rFonts w:hint="eastAsia" w:ascii="宋体" w:hAnsi="宋体" w:cs="黑体"/>
          <w:b/>
          <w:bCs/>
          <w:color w:val="000000"/>
          <w:kern w:val="0"/>
          <w:sz w:val="32"/>
          <w:szCs w:val="32"/>
        </w:rPr>
      </w:pPr>
      <w:r>
        <w:rPr>
          <w:rFonts w:hint="eastAsia" w:ascii="宋体" w:hAnsi="宋体" w:cs="黑体"/>
          <w:b/>
          <w:bCs/>
          <w:color w:val="000000"/>
          <w:kern w:val="0"/>
          <w:sz w:val="32"/>
          <w:szCs w:val="32"/>
        </w:rPr>
        <w:t>二、资金使用及管理情况</w:t>
      </w:r>
    </w:p>
    <w:p>
      <w:pPr>
        <w:widowControl/>
        <w:spacing w:line="600" w:lineRule="exact"/>
        <w:ind w:firstLine="660"/>
        <w:rPr>
          <w:rFonts w:hint="eastAsia" w:eastAsia="仿宋_GB2312"/>
          <w:sz w:val="32"/>
          <w:szCs w:val="32"/>
        </w:rPr>
      </w:pPr>
      <w:r>
        <w:rPr>
          <w:rFonts w:hint="eastAsia" w:eastAsia="仿宋_GB2312"/>
          <w:sz w:val="32"/>
          <w:szCs w:val="32"/>
          <w:lang w:val="en-US" w:eastAsia="zh-CN"/>
        </w:rPr>
        <w:t>2024</w:t>
      </w:r>
      <w:r>
        <w:rPr>
          <w:rFonts w:hint="eastAsia" w:eastAsia="仿宋_GB2312"/>
          <w:sz w:val="32"/>
          <w:szCs w:val="32"/>
        </w:rPr>
        <w:t>年度财政拨款支出年初预算数为</w:t>
      </w:r>
      <w:r>
        <w:rPr>
          <w:rFonts w:hint="eastAsia" w:eastAsia="仿宋_GB2312"/>
          <w:sz w:val="32"/>
          <w:szCs w:val="32"/>
          <w:lang w:val="en-US" w:eastAsia="zh-CN"/>
        </w:rPr>
        <w:t>1054.910</w:t>
      </w:r>
      <w:r>
        <w:rPr>
          <w:rFonts w:hint="eastAsia" w:eastAsia="仿宋_GB2312"/>
          <w:sz w:val="32"/>
          <w:szCs w:val="32"/>
        </w:rPr>
        <w:t>万元，支出决算数为</w:t>
      </w:r>
      <w:r>
        <w:rPr>
          <w:rFonts w:hint="eastAsia" w:eastAsia="仿宋_GB2312"/>
          <w:sz w:val="32"/>
          <w:szCs w:val="32"/>
          <w:lang w:val="en-US" w:eastAsia="zh-CN"/>
        </w:rPr>
        <w:t>1926.68</w:t>
      </w:r>
      <w:r>
        <w:rPr>
          <w:rFonts w:hint="eastAsia" w:eastAsia="仿宋_GB2312"/>
          <w:sz w:val="32"/>
          <w:szCs w:val="32"/>
        </w:rPr>
        <w:t>万元，完成年初预算的</w:t>
      </w:r>
      <w:r>
        <w:rPr>
          <w:rFonts w:hint="eastAsia" w:eastAsia="仿宋_GB2312"/>
          <w:sz w:val="32"/>
          <w:szCs w:val="32"/>
          <w:lang w:val="en-US" w:eastAsia="zh-CN"/>
        </w:rPr>
        <w:t>54.75</w:t>
      </w:r>
      <w:r>
        <w:rPr>
          <w:rFonts w:hint="eastAsia" w:eastAsia="仿宋_GB2312"/>
          <w:sz w:val="32"/>
          <w:szCs w:val="32"/>
        </w:rPr>
        <w:t>%。</w:t>
      </w:r>
      <w:r>
        <w:rPr>
          <w:rFonts w:hint="eastAsia" w:eastAsia="仿宋_GB2312"/>
          <w:sz w:val="32"/>
          <w:szCs w:val="32"/>
          <w:lang w:eastAsia="zh-CN"/>
        </w:rPr>
        <w:t>2024</w:t>
      </w:r>
      <w:r>
        <w:rPr>
          <w:rFonts w:hint="eastAsia" w:eastAsia="仿宋_GB2312"/>
          <w:sz w:val="32"/>
          <w:szCs w:val="32"/>
        </w:rPr>
        <w:t>年度财政拨款支出</w:t>
      </w:r>
      <w:r>
        <w:rPr>
          <w:rFonts w:hint="eastAsia" w:eastAsia="仿宋_GB2312"/>
          <w:sz w:val="32"/>
          <w:szCs w:val="32"/>
          <w:lang w:val="en-US" w:eastAsia="zh-CN"/>
        </w:rPr>
        <w:t>1926.68</w:t>
      </w:r>
      <w:r>
        <w:rPr>
          <w:rFonts w:hint="eastAsia" w:eastAsia="仿宋_GB2312"/>
          <w:sz w:val="32"/>
          <w:szCs w:val="32"/>
        </w:rPr>
        <w:t>万元，主要用于以下方面：一般公共服务（类）支出</w:t>
      </w:r>
      <w:r>
        <w:rPr>
          <w:rFonts w:hint="eastAsia" w:eastAsia="仿宋_GB2312"/>
          <w:sz w:val="32"/>
          <w:szCs w:val="32"/>
          <w:lang w:val="en-US" w:eastAsia="zh-CN"/>
        </w:rPr>
        <w:t>1895.53</w:t>
      </w:r>
      <w:r>
        <w:rPr>
          <w:rFonts w:hint="eastAsia" w:eastAsia="仿宋_GB2312"/>
          <w:sz w:val="32"/>
          <w:szCs w:val="32"/>
        </w:rPr>
        <w:t>万元，占</w:t>
      </w:r>
      <w:r>
        <w:rPr>
          <w:rFonts w:hint="eastAsia" w:eastAsia="仿宋_GB2312"/>
          <w:sz w:val="32"/>
          <w:szCs w:val="32"/>
          <w:lang w:val="en-US" w:eastAsia="zh-CN"/>
        </w:rPr>
        <w:t>98.38</w:t>
      </w:r>
      <w:r>
        <w:rPr>
          <w:rFonts w:hint="eastAsia" w:eastAsia="仿宋_GB2312"/>
          <w:sz w:val="32"/>
          <w:szCs w:val="32"/>
        </w:rPr>
        <w:t>%；</w:t>
      </w:r>
      <w:r>
        <w:rPr>
          <w:rFonts w:hint="eastAsia" w:eastAsia="仿宋_GB2312"/>
          <w:sz w:val="32"/>
          <w:szCs w:val="32"/>
          <w:lang w:val="en-US" w:eastAsia="zh-CN"/>
        </w:rPr>
        <w:t>农林水</w:t>
      </w:r>
      <w:r>
        <w:rPr>
          <w:rFonts w:hint="eastAsia" w:eastAsia="仿宋_GB2312"/>
          <w:sz w:val="32"/>
          <w:szCs w:val="32"/>
        </w:rPr>
        <w:t>（类）支出</w:t>
      </w:r>
      <w:r>
        <w:rPr>
          <w:rFonts w:hint="eastAsia" w:eastAsia="仿宋_GB2312"/>
          <w:sz w:val="32"/>
          <w:szCs w:val="32"/>
          <w:lang w:eastAsia="zh-CN"/>
        </w:rPr>
        <w:t>等</w:t>
      </w:r>
      <w:r>
        <w:rPr>
          <w:rFonts w:hint="eastAsia" w:eastAsia="仿宋_GB2312"/>
          <w:sz w:val="32"/>
          <w:szCs w:val="32"/>
          <w:lang w:val="en-US" w:eastAsia="zh-CN"/>
        </w:rPr>
        <w:t>12.52</w:t>
      </w:r>
      <w:r>
        <w:rPr>
          <w:rFonts w:hint="eastAsia" w:eastAsia="仿宋_GB2312"/>
          <w:sz w:val="32"/>
          <w:szCs w:val="32"/>
        </w:rPr>
        <w:t>万元，占</w:t>
      </w:r>
      <w:r>
        <w:rPr>
          <w:rFonts w:hint="eastAsia" w:eastAsia="仿宋_GB2312"/>
          <w:sz w:val="32"/>
          <w:szCs w:val="32"/>
          <w:lang w:val="en-US" w:eastAsia="zh-CN"/>
        </w:rPr>
        <w:t>0.65</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rPr>
        <w:t>项目预期目标已经实现，</w:t>
      </w:r>
      <w:r>
        <w:rPr>
          <w:rFonts w:hint="eastAsia" w:eastAsia="仿宋_GB2312"/>
          <w:sz w:val="32"/>
          <w:szCs w:val="32"/>
          <w:lang w:eastAsia="zh-CN"/>
        </w:rPr>
        <w:t>2024</w:t>
      </w:r>
      <w:r>
        <w:rPr>
          <w:rFonts w:hint="eastAsia" w:eastAsia="仿宋_GB2312"/>
          <w:sz w:val="32"/>
          <w:szCs w:val="32"/>
        </w:rPr>
        <w:t>年度财政收支未发生重大问题，项目的各个阶段严格按照财政标准执行。</w:t>
      </w:r>
    </w:p>
    <w:p>
      <w:pPr>
        <w:spacing w:line="600" w:lineRule="exact"/>
        <w:rPr>
          <w:rFonts w:hint="eastAsia" w:ascii="宋体" w:hAnsi="宋体" w:cs="黑体"/>
          <w:b/>
          <w:bCs/>
          <w:color w:val="000000"/>
          <w:kern w:val="0"/>
          <w:sz w:val="32"/>
          <w:szCs w:val="32"/>
        </w:rPr>
      </w:pPr>
      <w:r>
        <w:rPr>
          <w:rFonts w:hint="eastAsia" w:ascii="宋体" w:hAnsi="宋体" w:cs="黑体"/>
          <w:b/>
          <w:bCs/>
          <w:color w:val="000000"/>
          <w:kern w:val="0"/>
          <w:sz w:val="32"/>
          <w:szCs w:val="32"/>
        </w:rPr>
        <w:t>三、项目组织实施情况</w:t>
      </w:r>
    </w:p>
    <w:p>
      <w:pPr>
        <w:widowControl/>
        <w:spacing w:line="600" w:lineRule="exact"/>
        <w:ind w:firstLine="660"/>
        <w:rPr>
          <w:rFonts w:hint="eastAsia" w:eastAsia="仿宋_GB2312"/>
          <w:sz w:val="32"/>
          <w:szCs w:val="32"/>
        </w:rPr>
      </w:pPr>
      <w:r>
        <w:rPr>
          <w:rFonts w:hint="eastAsia" w:eastAsia="仿宋_GB2312"/>
          <w:sz w:val="32"/>
          <w:szCs w:val="32"/>
        </w:rPr>
        <w:t>项目组织实施按全年工作任务进行分类管理、专人负责、集体分工协作。通过制定专项工作计划方案，确定工作目标，明确组织实施措施和策略，更有效地指导工作的正常有序开展。</w:t>
      </w:r>
    </w:p>
    <w:p>
      <w:pPr>
        <w:widowControl/>
        <w:spacing w:line="600" w:lineRule="exact"/>
        <w:ind w:firstLine="660"/>
        <w:rPr>
          <w:rFonts w:hint="eastAsia" w:ascii="宋体" w:hAnsi="宋体" w:cs="黑体"/>
          <w:color w:val="000000"/>
          <w:kern w:val="0"/>
          <w:sz w:val="32"/>
          <w:szCs w:val="32"/>
        </w:rPr>
      </w:pPr>
      <w:r>
        <w:rPr>
          <w:rFonts w:hint="eastAsia" w:eastAsia="仿宋_GB2312"/>
          <w:sz w:val="32"/>
          <w:szCs w:val="32"/>
        </w:rPr>
        <w:t>项目预算编制比较规范和细化，资金及时到位。严格执行国家及省财政厅有关财务开支范围及开支标准，项目经费使用支出实行领导审批制度，项目经费开支必须有证明人、经手人、负责领导审批，确保项目资金的使用</w:t>
      </w:r>
      <w:r>
        <w:rPr>
          <w:rFonts w:hint="eastAsia" w:ascii="宋体" w:hAnsi="宋体" w:cs="黑体"/>
          <w:color w:val="000000"/>
          <w:kern w:val="0"/>
          <w:sz w:val="32"/>
          <w:szCs w:val="32"/>
        </w:rPr>
        <w:t>。</w:t>
      </w:r>
    </w:p>
    <w:p>
      <w:pPr>
        <w:spacing w:line="600" w:lineRule="exact"/>
        <w:rPr>
          <w:rFonts w:hint="eastAsia" w:ascii="宋体" w:hAnsi="宋体" w:cs="黑体"/>
          <w:b/>
          <w:bCs/>
          <w:color w:val="000000"/>
          <w:kern w:val="0"/>
          <w:sz w:val="32"/>
          <w:szCs w:val="32"/>
        </w:rPr>
      </w:pPr>
      <w:r>
        <w:rPr>
          <w:rFonts w:hint="eastAsia" w:ascii="宋体" w:hAnsi="宋体" w:cs="黑体"/>
          <w:b/>
          <w:bCs/>
          <w:color w:val="000000"/>
          <w:kern w:val="0"/>
          <w:sz w:val="32"/>
          <w:szCs w:val="32"/>
        </w:rPr>
        <w:t>四、项目绩效情况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宋体" w:hAnsi="宋体" w:cs="黑体"/>
          <w:color w:val="000000"/>
          <w:kern w:val="0"/>
          <w:sz w:val="32"/>
          <w:szCs w:val="32"/>
        </w:rPr>
      </w:pPr>
      <w:r>
        <w:rPr>
          <w:rFonts w:hint="eastAsia" w:eastAsia="仿宋_GB2312"/>
          <w:sz w:val="32"/>
          <w:szCs w:val="32"/>
          <w:lang w:eastAsia="zh-CN"/>
        </w:rPr>
        <w:t>2024</w:t>
      </w:r>
      <w:r>
        <w:rPr>
          <w:rFonts w:hint="eastAsia" w:eastAsia="仿宋_GB2312"/>
          <w:sz w:val="32"/>
          <w:szCs w:val="32"/>
        </w:rPr>
        <w:t>年较好地完成了项目预期目标，为我镇完成</w:t>
      </w:r>
      <w:r>
        <w:rPr>
          <w:rFonts w:hint="eastAsia" w:eastAsia="仿宋_GB2312"/>
          <w:sz w:val="32"/>
          <w:szCs w:val="32"/>
          <w:lang w:eastAsia="zh-CN"/>
        </w:rPr>
        <w:t>2024</w:t>
      </w:r>
      <w:r>
        <w:rPr>
          <w:rFonts w:hint="eastAsia" w:eastAsia="仿宋_GB2312"/>
          <w:sz w:val="32"/>
          <w:szCs w:val="32"/>
        </w:rPr>
        <w:t>年全年工作整体目标奠定了坚实的基础</w:t>
      </w:r>
      <w:r>
        <w:rPr>
          <w:rFonts w:hint="eastAsia" w:ascii="宋体" w:hAnsi="宋体" w:cs="黑体"/>
          <w:color w:val="000000"/>
          <w:kern w:val="0"/>
          <w:sz w:val="32"/>
          <w:szCs w:val="32"/>
        </w:rPr>
        <w:t>。</w:t>
      </w:r>
    </w:p>
    <w:p>
      <w:pPr>
        <w:spacing w:line="600" w:lineRule="exact"/>
        <w:rPr>
          <w:rFonts w:hint="eastAsia" w:ascii="宋体" w:hAnsi="宋体" w:cs="黑体"/>
          <w:b/>
          <w:bCs/>
          <w:color w:val="000000"/>
          <w:kern w:val="0"/>
          <w:sz w:val="32"/>
          <w:szCs w:val="32"/>
        </w:rPr>
      </w:pPr>
      <w:r>
        <w:rPr>
          <w:rFonts w:hint="eastAsia" w:ascii="宋体" w:hAnsi="宋体" w:cs="黑体"/>
          <w:b/>
          <w:bCs/>
          <w:color w:val="000000"/>
          <w:kern w:val="0"/>
          <w:sz w:val="32"/>
          <w:szCs w:val="32"/>
        </w:rPr>
        <w:t>五、需要说明的问题</w:t>
      </w:r>
    </w:p>
    <w:p>
      <w:pPr>
        <w:spacing w:line="600" w:lineRule="exact"/>
        <w:rPr>
          <w:rFonts w:hint="eastAsia" w:ascii="宋体" w:hAnsi="宋体" w:cs="黑体"/>
          <w:color w:val="000000"/>
          <w:kern w:val="0"/>
          <w:sz w:val="32"/>
          <w:szCs w:val="32"/>
        </w:rPr>
      </w:pPr>
      <w:r>
        <w:rPr>
          <w:rFonts w:hint="eastAsia" w:ascii="宋体" w:hAnsi="宋体" w:cs="黑体"/>
          <w:color w:val="000000"/>
          <w:kern w:val="0"/>
          <w:sz w:val="32"/>
          <w:szCs w:val="32"/>
        </w:rPr>
        <w:t>（一）存在问题</w:t>
      </w:r>
    </w:p>
    <w:p>
      <w:pPr>
        <w:widowControl/>
        <w:spacing w:line="600" w:lineRule="exact"/>
        <w:ind w:firstLine="660"/>
        <w:rPr>
          <w:rFonts w:hint="eastAsia" w:eastAsia="仿宋_GB2312"/>
          <w:sz w:val="32"/>
          <w:szCs w:val="32"/>
        </w:rPr>
      </w:pPr>
      <w:r>
        <w:rPr>
          <w:rFonts w:hint="eastAsia" w:ascii="宋体" w:hAnsi="宋体" w:cs="黑体"/>
          <w:color w:val="000000"/>
          <w:kern w:val="0"/>
          <w:sz w:val="32"/>
          <w:szCs w:val="32"/>
        </w:rPr>
        <w:t>1.</w:t>
      </w:r>
      <w:r>
        <w:rPr>
          <w:rFonts w:hint="eastAsia" w:eastAsia="仿宋_GB2312"/>
          <w:sz w:val="32"/>
          <w:szCs w:val="32"/>
        </w:rPr>
        <w:t>项目年度绩效指标填报不够完整，指标内容和指标值不够具体明确，不利于项目支出绩效评价。</w:t>
      </w:r>
    </w:p>
    <w:p>
      <w:pPr>
        <w:widowControl/>
        <w:spacing w:line="600" w:lineRule="exact"/>
        <w:ind w:firstLine="660"/>
        <w:rPr>
          <w:rFonts w:hint="eastAsia" w:eastAsia="仿宋_GB2312"/>
          <w:sz w:val="32"/>
          <w:szCs w:val="32"/>
        </w:rPr>
      </w:pPr>
      <w:r>
        <w:rPr>
          <w:rFonts w:hint="eastAsia" w:eastAsia="仿宋_GB2312"/>
          <w:sz w:val="32"/>
          <w:szCs w:val="32"/>
        </w:rPr>
        <w:t>2.财政支出绩效自评工作经验不足，绩效目标制定不够全面、规范。</w:t>
      </w:r>
    </w:p>
    <w:p>
      <w:pPr>
        <w:spacing w:line="600" w:lineRule="exact"/>
        <w:rPr>
          <w:rFonts w:hint="eastAsia" w:ascii="宋体" w:hAnsi="宋体" w:cs="黑体"/>
          <w:color w:val="000000"/>
          <w:kern w:val="0"/>
          <w:sz w:val="32"/>
          <w:szCs w:val="32"/>
        </w:rPr>
      </w:pPr>
      <w:r>
        <w:rPr>
          <w:rFonts w:hint="eastAsia" w:ascii="宋体" w:hAnsi="宋体" w:cs="黑体"/>
          <w:color w:val="000000"/>
          <w:kern w:val="0"/>
          <w:sz w:val="32"/>
          <w:szCs w:val="32"/>
        </w:rPr>
        <w:t>（二）整改措施</w:t>
      </w:r>
    </w:p>
    <w:p>
      <w:pPr>
        <w:widowControl/>
        <w:spacing w:line="600" w:lineRule="exact"/>
        <w:ind w:firstLine="660"/>
        <w:rPr>
          <w:rFonts w:hint="eastAsia" w:eastAsia="仿宋_GB2312"/>
          <w:sz w:val="32"/>
          <w:szCs w:val="32"/>
        </w:rPr>
      </w:pPr>
      <w:r>
        <w:rPr>
          <w:rFonts w:hint="eastAsia" w:ascii="宋体" w:hAnsi="宋体" w:cs="黑体"/>
          <w:color w:val="000000"/>
          <w:kern w:val="0"/>
          <w:sz w:val="32"/>
          <w:szCs w:val="32"/>
        </w:rPr>
        <w:t>1.</w:t>
      </w:r>
      <w:r>
        <w:rPr>
          <w:rFonts w:hint="eastAsia" w:eastAsia="仿宋_GB2312"/>
          <w:sz w:val="32"/>
          <w:szCs w:val="32"/>
        </w:rPr>
        <w:t>项目资金绩效目标申报表必须按照要求填报完整。</w:t>
      </w:r>
    </w:p>
    <w:p>
      <w:pPr>
        <w:widowControl/>
        <w:spacing w:line="600" w:lineRule="exact"/>
        <w:ind w:firstLine="660"/>
        <w:rPr>
          <w:rFonts w:hint="eastAsia" w:eastAsia="仿宋_GB2312"/>
          <w:sz w:val="32"/>
          <w:szCs w:val="32"/>
        </w:rPr>
      </w:pPr>
      <w:r>
        <w:rPr>
          <w:rFonts w:hint="eastAsia" w:eastAsia="仿宋_GB2312"/>
          <w:sz w:val="32"/>
          <w:szCs w:val="32"/>
        </w:rPr>
        <w:t>2.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w:t>
      </w:r>
    </w:p>
    <w:p>
      <w:pPr>
        <w:widowControl/>
        <w:spacing w:line="600" w:lineRule="exact"/>
        <w:ind w:firstLine="660"/>
        <w:rPr>
          <w:rFonts w:hint="eastAsia" w:eastAsia="仿宋_GB2312"/>
          <w:sz w:val="32"/>
          <w:szCs w:val="32"/>
        </w:rPr>
      </w:pPr>
      <w:r>
        <w:rPr>
          <w:rFonts w:hint="eastAsia" w:eastAsia="仿宋_GB2312"/>
          <w:sz w:val="32"/>
          <w:szCs w:val="32"/>
        </w:rPr>
        <w:t>3.加强财务监督和绩效评价，把绩效管理的理念和方法引入教育经费的管理，逐步建立起以强化资金使用效益为核心的绩效评价体系。进一步完善财务监督制度，强化重大项目经费的全过程审计。</w:t>
      </w:r>
    </w:p>
    <w:p>
      <w:pPr>
        <w:pStyle w:val="13"/>
        <w:ind w:firstLine="1280" w:firstLineChars="400"/>
        <w:rPr>
          <w:rFonts w:ascii="Times New Roman" w:hAnsi="Times New Roman" w:eastAsia="仿宋_GB2312" w:cs="Times New Roman"/>
          <w:sz w:val="32"/>
          <w:szCs w:val="32"/>
        </w:rPr>
      </w:pPr>
    </w:p>
    <w:p>
      <w:pPr>
        <w:pStyle w:val="13"/>
        <w:spacing w:line="600" w:lineRule="exact"/>
        <w:ind w:firstLine="640" w:firstLineChars="200"/>
        <w:rPr>
          <w:rFonts w:ascii="Times New Roman" w:hAnsi="Times New Roman" w:eastAsia="仿宋_GB2312" w:cs="Times New Roman"/>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3360EB-C8E0-4277-925B-E7005BC358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5A6B1D36-3F39-4DA6-9CDE-1AFF451F9C03}"/>
  </w:font>
  <w:font w:name="仿宋_GB2312">
    <w:panose1 w:val="02010609030101010101"/>
    <w:charset w:val="86"/>
    <w:family w:val="auto"/>
    <w:pitch w:val="default"/>
    <w:sig w:usb0="00000001" w:usb1="080E0000" w:usb2="00000000" w:usb3="00000000" w:csb0="00040000" w:csb1="00000000"/>
    <w:embedRegular r:id="rId3" w:fontKey="{49C6DD45-40AE-4D6B-B94D-A3B8D0E71D15}"/>
  </w:font>
  <w:font w:name="仿宋">
    <w:panose1 w:val="02010609060101010101"/>
    <w:charset w:val="86"/>
    <w:family w:val="auto"/>
    <w:pitch w:val="default"/>
    <w:sig w:usb0="800002BF" w:usb1="38CF7CFA" w:usb2="00000016" w:usb3="00000000" w:csb0="00040001" w:csb1="00000000"/>
    <w:embedRegular r:id="rId4" w:fontKey="{FFF98DFE-0E34-44CD-953C-5AF6877E30AD}"/>
  </w:font>
  <w:font w:name="楷体_GB2312">
    <w:panose1 w:val="02010609030101010101"/>
    <w:charset w:val="86"/>
    <w:family w:val="auto"/>
    <w:pitch w:val="default"/>
    <w:sig w:usb0="00000001" w:usb1="080E0000" w:usb2="00000000" w:usb3="00000000" w:csb0="00040000" w:csb1="00000000"/>
    <w:embedRegular r:id="rId5" w:fontKey="{5CB05E76-3807-4796-B47B-6E7088DC6FC8}"/>
  </w:font>
  <w:font w:name="华文中宋">
    <w:altName w:val="宋体"/>
    <w:panose1 w:val="02010600040101010101"/>
    <w:charset w:val="86"/>
    <w:family w:val="auto"/>
    <w:pitch w:val="default"/>
    <w:sig w:usb0="00000000" w:usb1="00000000" w:usb2="00000010" w:usb3="00000000" w:csb0="0004009F" w:csb1="00000000"/>
    <w:embedRegular r:id="rId6" w:fontKey="{818980E5-20C2-413E-82D7-484AF44BF39A}"/>
  </w:font>
  <w:font w:name="楷体">
    <w:panose1 w:val="02010609060101010101"/>
    <w:charset w:val="86"/>
    <w:family w:val="auto"/>
    <w:pitch w:val="default"/>
    <w:sig w:usb0="800002BF" w:usb1="38CF7CFA" w:usb2="00000016" w:usb3="00000000" w:csb0="00040001" w:csb1="00000000"/>
    <w:embedRegular r:id="rId7" w:fontKey="{3F70E91D-44C0-41A1-ABB9-DB69BEDD6F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HyQl6X9AQAA5wMAAA4AAAAAAAAAAQAgAAAAHwEAAGRycy9lMm9Eb2MueG1s&#10;UEsFBgAAAAAGAAYAWQEAAI4FAAAAAA==&#10;">
              <v:fill on="f" focussize="0,0"/>
              <v:stroke on="f"/>
              <v:imagedata o:title=""/>
              <o:lock v:ext="edit" aspectratio="t"/>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0CF8"/>
    <w:multiLevelType w:val="singleLevel"/>
    <w:tmpl w:val="55340C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YTZkNTk5ODEzYzcwOTMzNjY0MTk5NmQwOWRkZWEifQ=="/>
  </w:docVars>
  <w:rsids>
    <w:rsidRoot w:val="00000000"/>
    <w:rsid w:val="00216FD2"/>
    <w:rsid w:val="00580219"/>
    <w:rsid w:val="010F3B4F"/>
    <w:rsid w:val="01EA66CF"/>
    <w:rsid w:val="04AF6BD5"/>
    <w:rsid w:val="05190A24"/>
    <w:rsid w:val="0BBE048D"/>
    <w:rsid w:val="0C3B3FD4"/>
    <w:rsid w:val="11E33808"/>
    <w:rsid w:val="13BF31B2"/>
    <w:rsid w:val="14770573"/>
    <w:rsid w:val="243C43AB"/>
    <w:rsid w:val="24D97E4C"/>
    <w:rsid w:val="26E01966"/>
    <w:rsid w:val="28B65047"/>
    <w:rsid w:val="2D917516"/>
    <w:rsid w:val="317C04DD"/>
    <w:rsid w:val="34FA1E45"/>
    <w:rsid w:val="357B6ECE"/>
    <w:rsid w:val="37FE29FC"/>
    <w:rsid w:val="3CB17327"/>
    <w:rsid w:val="3DBC41D8"/>
    <w:rsid w:val="437F21F8"/>
    <w:rsid w:val="44571EBF"/>
    <w:rsid w:val="48141018"/>
    <w:rsid w:val="488B1F70"/>
    <w:rsid w:val="48E22EC4"/>
    <w:rsid w:val="497C50C6"/>
    <w:rsid w:val="4A8E69C9"/>
    <w:rsid w:val="4ABF170F"/>
    <w:rsid w:val="4B640A46"/>
    <w:rsid w:val="4FD71F46"/>
    <w:rsid w:val="505B3C87"/>
    <w:rsid w:val="50EA6DB9"/>
    <w:rsid w:val="518965D2"/>
    <w:rsid w:val="519D1AD7"/>
    <w:rsid w:val="53B57F7C"/>
    <w:rsid w:val="57106E4E"/>
    <w:rsid w:val="5A18656B"/>
    <w:rsid w:val="5C8400C2"/>
    <w:rsid w:val="5E261F00"/>
    <w:rsid w:val="60C66314"/>
    <w:rsid w:val="64411C66"/>
    <w:rsid w:val="65482517"/>
    <w:rsid w:val="674E7C4A"/>
    <w:rsid w:val="6A721EA2"/>
    <w:rsid w:val="6BDF5315"/>
    <w:rsid w:val="6C4A4A01"/>
    <w:rsid w:val="706978A3"/>
    <w:rsid w:val="726556C9"/>
    <w:rsid w:val="735640C3"/>
    <w:rsid w:val="73D03717"/>
    <w:rsid w:val="74E9518F"/>
    <w:rsid w:val="7B095F0A"/>
    <w:rsid w:val="7B3259B6"/>
    <w:rsid w:val="7DF01FAF"/>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8"/>
    <w:link w:val="4"/>
    <w:semiHidden/>
    <w:qFormat/>
    <w:uiPriority w:val="99"/>
    <w:rPr>
      <w:sz w:val="18"/>
      <w:szCs w:val="18"/>
    </w:rPr>
  </w:style>
  <w:style w:type="character" w:customStyle="1" w:styleId="16">
    <w:name w:val="font01"/>
    <w:basedOn w:val="8"/>
    <w:qFormat/>
    <w:uiPriority w:val="0"/>
    <w:rPr>
      <w:rFonts w:hint="eastAsia" w:ascii="宋体" w:hAnsi="宋体" w:eastAsia="宋体" w:cs="宋体"/>
      <w:color w:val="000000"/>
      <w:sz w:val="22"/>
      <w:szCs w:val="22"/>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 w:type="character" w:customStyle="1" w:styleId="18">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51ea37-08e6-4e44-bc2a-2581e07fe2b8}">
  <ds:schemaRefs/>
</ds:datastoreItem>
</file>

<file path=customXml/itemProps3.xml><?xml version="1.0" encoding="utf-8"?>
<ds:datastoreItem xmlns:ds="http://schemas.openxmlformats.org/officeDocument/2006/customXml" ds:itemID="{4307f17c-a357-4b98-b43a-5cfdc0a5727b}">
  <ds:schemaRefs/>
</ds:datastoreItem>
</file>

<file path=customXml/itemProps4.xml><?xml version="1.0" encoding="utf-8"?>
<ds:datastoreItem xmlns:ds="http://schemas.openxmlformats.org/officeDocument/2006/customXml" ds:itemID="{f8a3d218-629b-4882-900d-d3a3244910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1463</Words>
  <Characters>8342</Characters>
  <Lines>69</Lines>
  <Paragraphs>19</Paragraphs>
  <TotalTime>13</TotalTime>
  <ScaleCrop>false</ScaleCrop>
  <LinksUpToDate>false</LinksUpToDate>
  <CharactersWithSpaces>9786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2025-09-17T08:52:29Z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ies>
</file>