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80CF0">
      <w:pPr>
        <w:pStyle w:val="12"/>
        <w:jc w:val="both"/>
        <w:rPr>
          <w:rFonts w:hAnsi="黑体"/>
          <w:color w:val="auto"/>
          <w:sz w:val="36"/>
          <w:szCs w:val="36"/>
        </w:rPr>
      </w:pPr>
      <w:r>
        <w:rPr>
          <w:rFonts w:hint="eastAsia" w:hAnsi="黑体"/>
          <w:color w:val="auto"/>
          <w:sz w:val="36"/>
          <w:szCs w:val="36"/>
        </w:rPr>
        <w:t>附件1</w:t>
      </w:r>
    </w:p>
    <w:p w14:paraId="1E559FEF">
      <w:pPr>
        <w:pStyle w:val="12"/>
        <w:jc w:val="center"/>
        <w:rPr>
          <w:rFonts w:ascii="Times New Roman" w:hAnsi="Times New Roman" w:cs="Times New Roman"/>
          <w:color w:val="auto"/>
          <w:sz w:val="56"/>
          <w:szCs w:val="56"/>
        </w:rPr>
      </w:pPr>
    </w:p>
    <w:p w14:paraId="27663491">
      <w:pPr>
        <w:pStyle w:val="12"/>
        <w:jc w:val="center"/>
        <w:rPr>
          <w:rFonts w:ascii="Times New Roman" w:hAnsi="Times New Roman" w:cs="Times New Roman"/>
          <w:color w:val="auto"/>
          <w:sz w:val="84"/>
          <w:szCs w:val="84"/>
        </w:rPr>
      </w:pPr>
    </w:p>
    <w:p w14:paraId="6B5C22C4">
      <w:pPr>
        <w:pStyle w:val="12"/>
        <w:jc w:val="center"/>
        <w:rPr>
          <w:rFonts w:ascii="Times New Roman" w:hAnsi="Times New Roman" w:cs="Times New Roman"/>
          <w:color w:val="auto"/>
          <w:sz w:val="84"/>
          <w:szCs w:val="84"/>
        </w:rPr>
      </w:pPr>
    </w:p>
    <w:p w14:paraId="0765C89E">
      <w:pPr>
        <w:pStyle w:val="12"/>
        <w:jc w:val="center"/>
        <w:rPr>
          <w:rFonts w:ascii="Times New Roman" w:hAnsi="Times New Roman" w:eastAsia="方正小标宋简体" w:cs="Times New Roman"/>
          <w:color w:val="auto"/>
          <w:sz w:val="72"/>
          <w:szCs w:val="72"/>
        </w:rPr>
      </w:pPr>
      <w:r>
        <w:rPr>
          <w:rFonts w:ascii="Times New Roman" w:hAnsi="Times New Roman" w:eastAsia="方正小标宋简体" w:cs="Times New Roman"/>
          <w:color w:val="auto"/>
          <w:sz w:val="72"/>
          <w:szCs w:val="72"/>
        </w:rPr>
        <w:t>2024年度</w:t>
      </w:r>
    </w:p>
    <w:p w14:paraId="48A0AFE3">
      <w:pPr>
        <w:pStyle w:val="12"/>
        <w:jc w:val="center"/>
        <w:rPr>
          <w:rFonts w:hint="eastAsia" w:ascii="Times New Roman" w:hAnsi="Times New Roman" w:eastAsia="方正小标宋简体" w:cs="Times New Roman"/>
          <w:color w:val="auto"/>
          <w:sz w:val="72"/>
          <w:szCs w:val="72"/>
          <w:lang w:eastAsia="zh-CN"/>
        </w:rPr>
      </w:pPr>
      <w:r>
        <w:rPr>
          <w:rFonts w:hint="eastAsia" w:ascii="Times New Roman" w:hAnsi="Times New Roman" w:eastAsia="方正小标宋简体" w:cs="Times New Roman"/>
          <w:color w:val="auto"/>
          <w:sz w:val="72"/>
          <w:szCs w:val="72"/>
          <w:lang w:eastAsia="zh-CN"/>
        </w:rPr>
        <w:t>蓝山县塔峰镇中心卫生院</w:t>
      </w:r>
    </w:p>
    <w:p w14:paraId="4734AC7B">
      <w:pPr>
        <w:pStyle w:val="12"/>
        <w:jc w:val="center"/>
        <w:rPr>
          <w:rFonts w:ascii="Times New Roman" w:hAnsi="Times New Roman" w:eastAsia="方正小标宋简体" w:cs="Times New Roman"/>
          <w:color w:val="auto"/>
          <w:sz w:val="72"/>
          <w:szCs w:val="72"/>
        </w:rPr>
      </w:pPr>
      <w:r>
        <w:rPr>
          <w:rFonts w:ascii="Times New Roman" w:hAnsi="Times New Roman" w:eastAsia="方正小标宋简体" w:cs="Times New Roman"/>
          <w:color w:val="auto"/>
          <w:sz w:val="72"/>
          <w:szCs w:val="72"/>
        </w:rPr>
        <w:t>部门决算</w:t>
      </w:r>
    </w:p>
    <w:p w14:paraId="32352CF9">
      <w:pPr>
        <w:pStyle w:val="12"/>
        <w:jc w:val="center"/>
        <w:rPr>
          <w:rFonts w:ascii="Times New Roman" w:hAnsi="Times New Roman" w:eastAsia="方正小标宋_GBK" w:cs="Times New Roman"/>
          <w:color w:val="auto"/>
          <w:sz w:val="56"/>
          <w:szCs w:val="56"/>
        </w:rPr>
      </w:pPr>
    </w:p>
    <w:p w14:paraId="367A3B98">
      <w:pPr>
        <w:pStyle w:val="12"/>
        <w:jc w:val="center"/>
        <w:rPr>
          <w:rFonts w:ascii="Times New Roman" w:hAnsi="Times New Roman" w:cs="Times New Roman"/>
          <w:color w:val="auto"/>
          <w:sz w:val="56"/>
          <w:szCs w:val="56"/>
        </w:rPr>
      </w:pPr>
    </w:p>
    <w:p w14:paraId="27FC7E0C">
      <w:pPr>
        <w:pStyle w:val="12"/>
        <w:rPr>
          <w:rFonts w:ascii="Times New Roman" w:hAnsi="Times New Roman" w:cs="Times New Roman"/>
          <w:color w:val="auto"/>
          <w:sz w:val="56"/>
          <w:szCs w:val="56"/>
        </w:rPr>
      </w:pPr>
    </w:p>
    <w:p w14:paraId="33B7AEBE">
      <w:pPr>
        <w:pStyle w:val="12"/>
        <w:jc w:val="center"/>
        <w:rPr>
          <w:rFonts w:ascii="Times New Roman" w:hAnsi="Times New Roman" w:cs="Times New Roman"/>
          <w:color w:val="auto"/>
          <w:sz w:val="32"/>
          <w:szCs w:val="32"/>
        </w:rPr>
      </w:pPr>
    </w:p>
    <w:p w14:paraId="6277B99C">
      <w:pPr>
        <w:pStyle w:val="12"/>
        <w:jc w:val="center"/>
        <w:rPr>
          <w:rFonts w:ascii="Times New Roman" w:hAnsi="Times New Roman" w:cs="Times New Roman"/>
          <w:color w:val="auto"/>
          <w:sz w:val="32"/>
          <w:szCs w:val="32"/>
        </w:rPr>
      </w:pPr>
    </w:p>
    <w:p w14:paraId="0C6DD574">
      <w:pPr>
        <w:pStyle w:val="12"/>
        <w:jc w:val="center"/>
        <w:rPr>
          <w:rFonts w:ascii="Times New Roman" w:hAnsi="Times New Roman" w:cs="Times New Roman"/>
          <w:color w:val="auto"/>
          <w:sz w:val="32"/>
          <w:szCs w:val="32"/>
        </w:rPr>
      </w:pPr>
    </w:p>
    <w:p w14:paraId="36806A7E">
      <w:pPr>
        <w:pStyle w:val="12"/>
        <w:jc w:val="center"/>
        <w:rPr>
          <w:rFonts w:ascii="Times New Roman" w:hAnsi="Times New Roman" w:cs="Times New Roman"/>
          <w:color w:val="auto"/>
          <w:sz w:val="32"/>
          <w:szCs w:val="32"/>
        </w:rPr>
      </w:pPr>
    </w:p>
    <w:p w14:paraId="3785A2B2">
      <w:pPr>
        <w:pStyle w:val="12"/>
        <w:jc w:val="center"/>
        <w:rPr>
          <w:rFonts w:ascii="Times New Roman" w:hAnsi="Times New Roman" w:cs="Times New Roman"/>
          <w:color w:val="auto"/>
          <w:sz w:val="32"/>
          <w:szCs w:val="32"/>
        </w:rPr>
      </w:pPr>
    </w:p>
    <w:p w14:paraId="01432FD1">
      <w:pPr>
        <w:pStyle w:val="12"/>
        <w:spacing w:line="600" w:lineRule="exact"/>
        <w:jc w:val="both"/>
        <w:rPr>
          <w:rFonts w:ascii="Times New Roman" w:hAnsi="Times New Roman" w:cs="Times New Roman"/>
          <w:b/>
          <w:color w:val="auto"/>
          <w:sz w:val="36"/>
          <w:szCs w:val="28"/>
        </w:rPr>
      </w:pPr>
    </w:p>
    <w:p w14:paraId="4A2C8DCB">
      <w:pPr>
        <w:pStyle w:val="12"/>
        <w:spacing w:line="600" w:lineRule="exact"/>
        <w:jc w:val="center"/>
        <w:rPr>
          <w:rFonts w:ascii="Times New Roman" w:hAnsi="Times New Roman" w:cs="Times New Roman"/>
          <w:bCs/>
          <w:color w:val="auto"/>
          <w:sz w:val="36"/>
          <w:szCs w:val="28"/>
        </w:rPr>
      </w:pPr>
      <w:r>
        <w:rPr>
          <w:rFonts w:ascii="Times New Roman" w:hAnsi="Times New Roman" w:cs="Times New Roman"/>
          <w:bCs/>
          <w:color w:val="auto"/>
          <w:sz w:val="36"/>
          <w:szCs w:val="28"/>
        </w:rPr>
        <w:t>目  录</w:t>
      </w:r>
    </w:p>
    <w:p w14:paraId="3FBEBA78">
      <w:pPr>
        <w:pStyle w:val="12"/>
        <w:spacing w:line="600" w:lineRule="exact"/>
        <w:jc w:val="center"/>
        <w:rPr>
          <w:rFonts w:ascii="Times New Roman" w:hAnsi="Times New Roman" w:cs="Times New Roman"/>
          <w:b/>
          <w:color w:val="auto"/>
          <w:sz w:val="36"/>
          <w:szCs w:val="28"/>
        </w:rPr>
      </w:pPr>
    </w:p>
    <w:p w14:paraId="6AB8978A">
      <w:pPr>
        <w:pStyle w:val="12"/>
        <w:spacing w:after="156" w:afterLines="50" w:line="600" w:lineRule="exact"/>
        <w:rPr>
          <w:rFonts w:ascii="Times New Roman" w:hAnsi="Times New Roman" w:cs="Times New Roman"/>
          <w:bCs/>
          <w:color w:val="auto"/>
          <w:sz w:val="32"/>
          <w:szCs w:val="32"/>
        </w:rPr>
      </w:pPr>
      <w:r>
        <w:rPr>
          <w:rFonts w:ascii="Times New Roman" w:hAnsi="Times New Roman" w:cs="Times New Roman"/>
          <w:bCs/>
          <w:color w:val="auto"/>
          <w:sz w:val="32"/>
          <w:szCs w:val="32"/>
        </w:rPr>
        <w:t xml:space="preserve">第一部分 </w:t>
      </w:r>
      <w:r>
        <w:rPr>
          <w:rFonts w:hint="eastAsia" w:ascii="Times New Roman" w:hAnsi="Times New Roman" w:cs="Times New Roman"/>
          <w:bCs/>
          <w:color w:val="auto"/>
          <w:sz w:val="32"/>
          <w:szCs w:val="32"/>
        </w:rPr>
        <w:t>蓝山县塔峰镇中心卫生院</w:t>
      </w:r>
      <w:r>
        <w:rPr>
          <w:rFonts w:ascii="Times New Roman" w:hAnsi="Times New Roman" w:cs="Times New Roman"/>
          <w:bCs/>
          <w:color w:val="auto"/>
          <w:sz w:val="32"/>
          <w:szCs w:val="32"/>
        </w:rPr>
        <w:t>概况</w:t>
      </w:r>
    </w:p>
    <w:p w14:paraId="44BB90F2">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一、部门职责</w:t>
      </w:r>
    </w:p>
    <w:p w14:paraId="43DA8A71">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二、机构设置及决算单位构成</w:t>
      </w:r>
    </w:p>
    <w:p w14:paraId="7F01F330">
      <w:pPr>
        <w:pStyle w:val="12"/>
        <w:spacing w:before="156" w:beforeLines="50" w:after="156" w:afterLines="50" w:line="600" w:lineRule="exact"/>
        <w:rPr>
          <w:rFonts w:ascii="Times New Roman" w:hAnsi="Times New Roman" w:cs="Times New Roman"/>
          <w:bCs/>
          <w:color w:val="auto"/>
          <w:sz w:val="32"/>
          <w:szCs w:val="32"/>
        </w:rPr>
      </w:pPr>
      <w:r>
        <w:rPr>
          <w:rFonts w:ascii="Times New Roman" w:hAnsi="Times New Roman" w:cs="Times New Roman"/>
          <w:bCs/>
          <w:color w:val="auto"/>
          <w:sz w:val="32"/>
          <w:szCs w:val="32"/>
        </w:rPr>
        <w:t>第二部分 部门决算表</w:t>
      </w:r>
    </w:p>
    <w:p w14:paraId="72B6A0A4">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一、收入支出决算总表</w:t>
      </w:r>
    </w:p>
    <w:p w14:paraId="2EAACAD8">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二、收入决算表</w:t>
      </w:r>
    </w:p>
    <w:p w14:paraId="4F75F187">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三、支出决算表</w:t>
      </w:r>
    </w:p>
    <w:p w14:paraId="2F96947F">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四、财政拨款收入支出决算总表</w:t>
      </w:r>
    </w:p>
    <w:p w14:paraId="77B07FB8">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五、一般公共预算财政拨款支出决算表</w:t>
      </w:r>
    </w:p>
    <w:p w14:paraId="6C971F7B">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六、一般公共预算财政拨款基本支出决算明细表</w:t>
      </w:r>
    </w:p>
    <w:p w14:paraId="32CFCAD6">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七、政府性基金预算财政拨款收入支出决算表</w:t>
      </w:r>
    </w:p>
    <w:p w14:paraId="6093745B">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八、国有资本经营预算财政拨款支出决算表</w:t>
      </w:r>
    </w:p>
    <w:p w14:paraId="685697C8">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九、财政拨款“三公”经费支出决算表</w:t>
      </w:r>
    </w:p>
    <w:p w14:paraId="37BC569B">
      <w:pPr>
        <w:pStyle w:val="12"/>
        <w:spacing w:before="156" w:beforeLines="50" w:after="156" w:afterLines="50" w:line="600" w:lineRule="exact"/>
        <w:rPr>
          <w:rFonts w:ascii="Times New Roman" w:hAnsi="Times New Roman" w:cs="Times New Roman"/>
          <w:bCs/>
          <w:color w:val="auto"/>
          <w:sz w:val="32"/>
          <w:szCs w:val="32"/>
        </w:rPr>
      </w:pPr>
      <w:r>
        <w:rPr>
          <w:rFonts w:ascii="Times New Roman" w:hAnsi="Times New Roman" w:cs="Times New Roman"/>
          <w:bCs/>
          <w:color w:val="auto"/>
          <w:sz w:val="32"/>
          <w:szCs w:val="32"/>
        </w:rPr>
        <w:t>第三部分 部门决算情况说明</w:t>
      </w:r>
    </w:p>
    <w:p w14:paraId="1B527FDD">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一、收入支出决算总体情况说明</w:t>
      </w:r>
    </w:p>
    <w:p w14:paraId="78889210">
      <w:pPr>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二、收入决算情况说明</w:t>
      </w:r>
    </w:p>
    <w:p w14:paraId="3AF39F43">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三、支出决算情况说明</w:t>
      </w:r>
    </w:p>
    <w:p w14:paraId="4631CD7C">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四、财政拨款收入支出决算总体情况说明</w:t>
      </w:r>
    </w:p>
    <w:p w14:paraId="41F79566">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五、一般公共预算财政拨款支出决算情况说明</w:t>
      </w:r>
    </w:p>
    <w:p w14:paraId="540FECD5">
      <w:pPr>
        <w:autoSpaceDE w:val="0"/>
        <w:autoSpaceDN w:val="0"/>
        <w:adjustRightInd w:val="0"/>
        <w:spacing w:line="600" w:lineRule="exact"/>
        <w:jc w:val="left"/>
        <w:rPr>
          <w:rFonts w:ascii="Times New Roman" w:hAnsi="Times New Roman" w:eastAsia="仿宋_GB2312" w:cs="Times New Roman"/>
          <w:color w:val="auto"/>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452391FB">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六、一般公共预算财政拨款基本支出决算情况说明</w:t>
      </w:r>
    </w:p>
    <w:p w14:paraId="10D264DF">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七、财政拨款“三公”经费支出决算情况说明</w:t>
      </w:r>
    </w:p>
    <w:p w14:paraId="3792095A">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八、政府性基金预算收入支出决算情况</w:t>
      </w:r>
    </w:p>
    <w:p w14:paraId="6CC6F516">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九、关于机关运行经费支出说明</w:t>
      </w:r>
    </w:p>
    <w:p w14:paraId="77B24E65">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十、一般性支出情况说明</w:t>
      </w:r>
    </w:p>
    <w:p w14:paraId="32C6C351">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十一、关于政府采购支出说明</w:t>
      </w:r>
    </w:p>
    <w:p w14:paraId="7557C68E">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十二、关于国有资产占用情况说明</w:t>
      </w:r>
    </w:p>
    <w:p w14:paraId="024589AF">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十三、关于2024年度预算绩效管理情况的说明</w:t>
      </w:r>
    </w:p>
    <w:p w14:paraId="1F6BBAC2">
      <w:pPr>
        <w:pStyle w:val="12"/>
        <w:spacing w:before="156" w:beforeLines="50" w:after="156" w:afterLines="50" w:line="600" w:lineRule="exact"/>
        <w:rPr>
          <w:rFonts w:ascii="Times New Roman" w:hAnsi="Times New Roman" w:cs="Times New Roman"/>
          <w:bCs/>
          <w:color w:val="auto"/>
          <w:sz w:val="32"/>
          <w:szCs w:val="32"/>
        </w:rPr>
      </w:pPr>
      <w:r>
        <w:rPr>
          <w:rFonts w:ascii="Times New Roman" w:hAnsi="Times New Roman" w:cs="Times New Roman"/>
          <w:bCs/>
          <w:color w:val="auto"/>
          <w:sz w:val="32"/>
          <w:szCs w:val="32"/>
        </w:rPr>
        <w:t>第四部分 名词解释</w:t>
      </w:r>
    </w:p>
    <w:p w14:paraId="55ACE1AF">
      <w:pPr>
        <w:pStyle w:val="12"/>
        <w:spacing w:before="156" w:beforeLines="50" w:after="156" w:afterLines="50" w:line="600" w:lineRule="exact"/>
        <w:rPr>
          <w:rFonts w:ascii="Times New Roman" w:hAnsi="Times New Roman" w:cs="Times New Roman"/>
          <w:bCs/>
          <w:color w:val="auto"/>
          <w:sz w:val="32"/>
          <w:szCs w:val="32"/>
        </w:rPr>
      </w:pPr>
      <w:r>
        <w:rPr>
          <w:rFonts w:ascii="Times New Roman" w:hAnsi="Times New Roman" w:cs="Times New Roman"/>
          <w:bCs/>
          <w:color w:val="auto"/>
          <w:sz w:val="32"/>
          <w:szCs w:val="32"/>
        </w:rPr>
        <w:t>第五部分 附件</w:t>
      </w:r>
    </w:p>
    <w:p w14:paraId="1B63561C">
      <w:pPr>
        <w:pStyle w:val="12"/>
        <w:spacing w:line="600" w:lineRule="exact"/>
        <w:rPr>
          <w:rFonts w:ascii="Times New Roman" w:hAnsi="Times New Roman" w:cs="Times New Roman"/>
          <w:bCs/>
          <w:color w:val="auto"/>
          <w:sz w:val="28"/>
          <w:szCs w:val="28"/>
        </w:rPr>
      </w:pPr>
    </w:p>
    <w:p w14:paraId="5D97E126">
      <w:pPr>
        <w:jc w:val="center"/>
        <w:rPr>
          <w:rFonts w:ascii="Times New Roman" w:hAnsi="Times New Roman" w:cs="Times New Roman"/>
          <w:color w:val="auto"/>
          <w:sz w:val="72"/>
          <w:szCs w:val="72"/>
        </w:rPr>
      </w:pPr>
    </w:p>
    <w:p w14:paraId="33C9C619">
      <w:pPr>
        <w:jc w:val="center"/>
        <w:rPr>
          <w:rFonts w:ascii="Times New Roman" w:hAnsi="Times New Roman" w:cs="Times New Roman"/>
          <w:color w:val="auto"/>
          <w:sz w:val="72"/>
          <w:szCs w:val="72"/>
        </w:rPr>
      </w:pPr>
    </w:p>
    <w:p w14:paraId="2259A59A">
      <w:pPr>
        <w:jc w:val="center"/>
        <w:rPr>
          <w:rFonts w:ascii="Times New Roman" w:hAnsi="Times New Roman" w:cs="Times New Roman"/>
          <w:color w:val="auto"/>
          <w:sz w:val="72"/>
          <w:szCs w:val="72"/>
        </w:rPr>
      </w:pPr>
    </w:p>
    <w:p w14:paraId="6D409BBA">
      <w:pPr>
        <w:pStyle w:val="6"/>
        <w:rPr>
          <w:rFonts w:ascii="Times New Roman" w:hAnsi="Times New Roman" w:cs="Times New Roman"/>
          <w:color w:val="auto"/>
        </w:rPr>
        <w:sectPr>
          <w:footerReference r:id="rId4" w:type="default"/>
          <w:pgSz w:w="11906" w:h="16838"/>
          <w:pgMar w:top="1417" w:right="1588" w:bottom="1417" w:left="1588" w:header="851" w:footer="992" w:gutter="0"/>
          <w:pgNumType w:start="1"/>
          <w:cols w:space="425" w:num="1"/>
          <w:docGrid w:type="lines" w:linePitch="312" w:charSpace="0"/>
        </w:sectPr>
      </w:pPr>
    </w:p>
    <w:p w14:paraId="0B4A89FC">
      <w:pPr>
        <w:rPr>
          <w:rFonts w:ascii="Times New Roman" w:hAnsi="Times New Roman" w:eastAsia="方正小标宋_GBK" w:cs="Times New Roman"/>
          <w:color w:val="auto"/>
          <w:sz w:val="72"/>
          <w:szCs w:val="72"/>
        </w:rPr>
      </w:pPr>
    </w:p>
    <w:p w14:paraId="244027B6">
      <w:pPr>
        <w:pStyle w:val="12"/>
        <w:spacing w:line="360" w:lineRule="auto"/>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第一部分</w:t>
      </w:r>
    </w:p>
    <w:p w14:paraId="7A9B8FE1">
      <w:pPr>
        <w:pStyle w:val="12"/>
        <w:spacing w:line="360" w:lineRule="auto"/>
        <w:jc w:val="center"/>
        <w:rPr>
          <w:rFonts w:ascii="Times New Roman" w:hAnsi="Times New Roman" w:eastAsia="方正小标宋_GBK" w:cs="Times New Roman"/>
          <w:color w:val="auto"/>
          <w:sz w:val="52"/>
          <w:szCs w:val="52"/>
        </w:rPr>
      </w:pPr>
      <w:r>
        <w:rPr>
          <w:rFonts w:hint="eastAsia" w:ascii="Times New Roman" w:hAnsi="Times New Roman" w:eastAsia="方正小标宋_GBK" w:cs="Times New Roman"/>
          <w:color w:val="auto"/>
          <w:sz w:val="52"/>
          <w:szCs w:val="52"/>
        </w:rPr>
        <w:t>蓝山县塔峰镇中心卫生院</w:t>
      </w:r>
      <w:r>
        <w:rPr>
          <w:rFonts w:ascii="Times New Roman" w:hAnsi="Times New Roman" w:eastAsia="方正小标宋_GBK" w:cs="Times New Roman"/>
          <w:color w:val="auto"/>
          <w:sz w:val="52"/>
          <w:szCs w:val="52"/>
        </w:rPr>
        <w:t>概况</w:t>
      </w:r>
    </w:p>
    <w:p w14:paraId="1F389F92">
      <w:pPr>
        <w:pStyle w:val="7"/>
        <w:ind w:left="0" w:leftChars="0" w:firstLine="0" w:firstLineChars="0"/>
        <w:rPr>
          <w:rFonts w:ascii="Times New Roman" w:hAnsi="Times New Roman" w:cs="Times New Roman"/>
          <w:color w:val="auto"/>
        </w:rPr>
      </w:pPr>
    </w:p>
    <w:p w14:paraId="42629331">
      <w:pPr>
        <w:pStyle w:val="13"/>
        <w:spacing w:line="600" w:lineRule="exact"/>
        <w:ind w:firstLine="0" w:firstLineChars="0"/>
        <w:jc w:val="left"/>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一、</w:t>
      </w:r>
      <w:r>
        <w:rPr>
          <w:rFonts w:ascii="Times New Roman" w:hAnsi="Times New Roman" w:eastAsia="黑体" w:cs="Times New Roman"/>
          <w:color w:val="auto"/>
          <w:sz w:val="32"/>
          <w:szCs w:val="32"/>
        </w:rPr>
        <w:t>部门职责</w:t>
      </w:r>
    </w:p>
    <w:p w14:paraId="1A20B090">
      <w:pPr>
        <w:widowControl/>
        <w:spacing w:line="600" w:lineRule="exact"/>
        <w:ind w:firstLine="627" w:firstLineChars="196"/>
        <w:jc w:val="left"/>
        <w:rPr>
          <w:rFonts w:eastAsia="仿宋_GB2312"/>
          <w:color w:val="auto"/>
          <w:sz w:val="32"/>
          <w:szCs w:val="32"/>
          <w:highlight w:val="none"/>
        </w:rPr>
      </w:pPr>
      <w:r>
        <w:rPr>
          <w:rFonts w:hint="eastAsia" w:eastAsia="仿宋_GB2312"/>
          <w:color w:val="auto"/>
          <w:sz w:val="32"/>
          <w:szCs w:val="32"/>
          <w:highlight w:val="none"/>
        </w:rPr>
        <w:t>为人民身体健康提供医疗与预防保健服务。常见病多发病诊治与护理、院前急救、巡回医疗、恢复期病人康复治疗与护理、预防保健、卫生技术人员培训、初级卫生保健规划实施、合作医疗组织与管理、卫生监督与卫生信息管理。</w:t>
      </w:r>
    </w:p>
    <w:p w14:paraId="3FB4DF56">
      <w:pPr>
        <w:widowControl/>
        <w:spacing w:line="600" w:lineRule="exact"/>
        <w:rPr>
          <w:rFonts w:ascii="Times New Roman" w:hAnsi="Times New Roman" w:eastAsia="黑体" w:cs="Times New Roman"/>
          <w:bCs/>
          <w:color w:val="auto"/>
          <w:kern w:val="0"/>
          <w:sz w:val="32"/>
          <w:szCs w:val="32"/>
        </w:rPr>
      </w:pPr>
      <w:r>
        <w:rPr>
          <w:rFonts w:ascii="Times New Roman" w:hAnsi="Times New Roman" w:eastAsia="黑体" w:cs="Times New Roman"/>
          <w:bCs/>
          <w:color w:val="auto"/>
          <w:kern w:val="0"/>
          <w:sz w:val="32"/>
          <w:szCs w:val="32"/>
        </w:rPr>
        <w:t>二、机构设置及决算单位构成</w:t>
      </w:r>
    </w:p>
    <w:p w14:paraId="6DE9D30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bCs/>
          <w:color w:val="auto"/>
          <w:kern w:val="0"/>
          <w:sz w:val="32"/>
          <w:szCs w:val="32"/>
        </w:rPr>
      </w:pPr>
      <w:r>
        <w:rPr>
          <w:rFonts w:ascii="Times New Roman" w:hAnsi="Times New Roman" w:eastAsia="仿宋_GB2312" w:cs="Times New Roman"/>
          <w:bCs/>
          <w:color w:val="auto"/>
          <w:kern w:val="0"/>
          <w:sz w:val="32"/>
          <w:szCs w:val="32"/>
        </w:rPr>
        <w:t>（一）内设机构设置。</w:t>
      </w:r>
      <w:r>
        <w:rPr>
          <w:rFonts w:hint="eastAsia" w:eastAsia="仿宋_GB2312"/>
          <w:color w:val="auto"/>
          <w:sz w:val="32"/>
          <w:szCs w:val="32"/>
          <w:highlight w:val="none"/>
        </w:rPr>
        <w:t>我院开设内儿科、外科、急诊科、妇产科、中医科、血透科、医技科、预防接种科、药房、高血压门诊等临床科室及公共卫生办公室，各种功能科室齐全。中医科、妇产科是我院特色科室，在县内享有一定声誉。我院编制人数113人，实有人数122人，其中在编人员68人，临聘人员40人人，医共体内部借调14人</w:t>
      </w:r>
      <w:r>
        <w:rPr>
          <w:rFonts w:hint="eastAsia" w:eastAsia="仿宋_GB2312"/>
          <w:color w:val="auto"/>
          <w:sz w:val="32"/>
          <w:szCs w:val="32"/>
          <w:highlight w:val="none"/>
          <w:lang w:eastAsia="zh-CN"/>
        </w:rPr>
        <w:t>。</w:t>
      </w:r>
    </w:p>
    <w:p w14:paraId="43D4517C">
      <w:pPr>
        <w:widowControl/>
        <w:spacing w:line="600" w:lineRule="exact"/>
        <w:ind w:firstLine="640" w:firstLineChars="200"/>
        <w:rPr>
          <w:rFonts w:hint="eastAsia" w:eastAsia="仿宋_GB2312"/>
          <w:bCs/>
          <w:color w:val="auto"/>
          <w:kern w:val="0"/>
          <w:sz w:val="32"/>
          <w:szCs w:val="32"/>
          <w:lang w:val="en-US" w:eastAsia="zh-CN"/>
        </w:rPr>
      </w:pPr>
      <w:r>
        <w:rPr>
          <w:rFonts w:ascii="Times New Roman" w:hAnsi="Times New Roman" w:eastAsia="仿宋_GB2312" w:cs="Times New Roman"/>
          <w:bCs/>
          <w:color w:val="auto"/>
          <w:kern w:val="0"/>
          <w:sz w:val="32"/>
          <w:szCs w:val="32"/>
        </w:rPr>
        <w:t>（二）决算单位构成。</w:t>
      </w:r>
      <w:r>
        <w:rPr>
          <w:rFonts w:hint="eastAsia" w:eastAsia="仿宋_GB2312"/>
          <w:color w:val="auto"/>
          <w:sz w:val="32"/>
          <w:szCs w:val="32"/>
        </w:rPr>
        <w:t>蓝山县</w:t>
      </w:r>
      <w:r>
        <w:rPr>
          <w:rFonts w:hint="eastAsia" w:eastAsia="仿宋_GB2312"/>
          <w:color w:val="auto"/>
          <w:sz w:val="32"/>
          <w:szCs w:val="32"/>
          <w:lang w:eastAsia="zh-CN"/>
        </w:rPr>
        <w:t>塔峰镇中心卫生院</w:t>
      </w:r>
      <w:r>
        <w:rPr>
          <w:rFonts w:eastAsia="仿宋_GB2312"/>
          <w:bCs/>
          <w:color w:val="auto"/>
          <w:kern w:val="0"/>
          <w:sz w:val="32"/>
          <w:szCs w:val="32"/>
        </w:rPr>
        <w:t>20</w:t>
      </w:r>
      <w:r>
        <w:rPr>
          <w:rFonts w:hint="eastAsia" w:eastAsia="仿宋_GB2312"/>
          <w:bCs/>
          <w:color w:val="auto"/>
          <w:kern w:val="0"/>
          <w:sz w:val="32"/>
          <w:szCs w:val="32"/>
          <w:lang w:val="en-US" w:eastAsia="zh-CN"/>
        </w:rPr>
        <w:t>24</w:t>
      </w:r>
      <w:r>
        <w:rPr>
          <w:rFonts w:eastAsia="仿宋_GB2312"/>
          <w:bCs/>
          <w:color w:val="auto"/>
          <w:kern w:val="0"/>
          <w:sz w:val="32"/>
          <w:szCs w:val="32"/>
        </w:rPr>
        <w:t>年部门决算汇总公开单位构成包括：</w:t>
      </w:r>
      <w:r>
        <w:rPr>
          <w:rFonts w:hint="eastAsia" w:eastAsia="仿宋_GB2312"/>
          <w:color w:val="auto"/>
          <w:sz w:val="32"/>
          <w:szCs w:val="32"/>
        </w:rPr>
        <w:t>蓝山县</w:t>
      </w:r>
      <w:r>
        <w:rPr>
          <w:rFonts w:hint="eastAsia" w:eastAsia="仿宋_GB2312"/>
          <w:color w:val="auto"/>
          <w:sz w:val="32"/>
          <w:szCs w:val="32"/>
          <w:lang w:eastAsia="zh-CN"/>
        </w:rPr>
        <w:t>塔峰镇中心卫生院</w:t>
      </w:r>
      <w:r>
        <w:rPr>
          <w:rFonts w:eastAsia="仿宋_GB2312"/>
          <w:bCs/>
          <w:color w:val="auto"/>
          <w:kern w:val="0"/>
          <w:sz w:val="32"/>
          <w:szCs w:val="32"/>
        </w:rPr>
        <w:t>本级</w:t>
      </w:r>
      <w:r>
        <w:rPr>
          <w:rFonts w:hint="eastAsia" w:eastAsia="仿宋_GB2312"/>
          <w:bCs/>
          <w:color w:val="auto"/>
          <w:kern w:val="0"/>
          <w:sz w:val="32"/>
          <w:szCs w:val="32"/>
          <w:lang w:eastAsia="zh-CN"/>
        </w:rPr>
        <w:t>。</w:t>
      </w:r>
    </w:p>
    <w:p w14:paraId="5A3BFB8B">
      <w:pPr>
        <w:jc w:val="left"/>
        <w:rPr>
          <w:rFonts w:ascii="Times New Roman" w:hAnsi="Times New Roman" w:eastAsia="仿宋_GB2312" w:cs="Times New Roman"/>
          <w:color w:val="auto"/>
          <w:sz w:val="28"/>
          <w:szCs w:val="32"/>
        </w:rPr>
      </w:pPr>
    </w:p>
    <w:p w14:paraId="6824CAA4">
      <w:pPr>
        <w:jc w:val="center"/>
        <w:rPr>
          <w:rFonts w:ascii="Times New Roman" w:hAnsi="Times New Roman" w:eastAsia="黑体" w:cs="Times New Roman"/>
          <w:color w:val="auto"/>
          <w:sz w:val="28"/>
          <w:szCs w:val="28"/>
        </w:rPr>
      </w:pPr>
    </w:p>
    <w:p w14:paraId="3C9EFE42">
      <w:pPr>
        <w:jc w:val="center"/>
        <w:rPr>
          <w:rFonts w:ascii="Times New Roman" w:hAnsi="Times New Roman" w:eastAsia="黑体" w:cs="Times New Roman"/>
          <w:color w:val="auto"/>
          <w:sz w:val="28"/>
          <w:szCs w:val="28"/>
        </w:rPr>
      </w:pPr>
    </w:p>
    <w:p w14:paraId="2A104DFA">
      <w:pPr>
        <w:jc w:val="center"/>
        <w:rPr>
          <w:rFonts w:ascii="Times New Roman" w:hAnsi="Times New Roman" w:eastAsia="黑体" w:cs="Times New Roman"/>
          <w:color w:val="auto"/>
          <w:sz w:val="28"/>
          <w:szCs w:val="28"/>
        </w:rPr>
      </w:pPr>
    </w:p>
    <w:p w14:paraId="12EE5999">
      <w:pPr>
        <w:pStyle w:val="6"/>
        <w:rPr>
          <w:rFonts w:ascii="Times New Roman" w:hAnsi="Times New Roman" w:cs="Times New Roman"/>
          <w:color w:val="auto"/>
        </w:rPr>
        <w:sectPr>
          <w:footerReference r:id="rId5" w:type="default"/>
          <w:pgSz w:w="11906" w:h="16838"/>
          <w:pgMar w:top="1417" w:right="1588" w:bottom="1417" w:left="1588" w:header="851" w:footer="992" w:gutter="0"/>
          <w:pgNumType w:start="1"/>
          <w:cols w:space="425" w:num="1"/>
          <w:docGrid w:type="lines" w:linePitch="312" w:charSpace="0"/>
        </w:sectPr>
      </w:pPr>
    </w:p>
    <w:p w14:paraId="28C13FC1">
      <w:pPr>
        <w:pStyle w:val="12"/>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第二部分    部门决算表</w:t>
      </w:r>
    </w:p>
    <w:p w14:paraId="29DE450D">
      <w:pPr>
        <w:widowControl/>
        <w:spacing w:after="156" w:afterLines="50"/>
        <w:jc w:val="center"/>
        <w:textAlignment w:val="center"/>
        <w:rPr>
          <w:rFonts w:ascii="Times New Roman" w:hAnsi="Times New Roman" w:eastAsia="黑体" w:cs="Times New Roman"/>
          <w:color w:val="auto"/>
          <w:sz w:val="36"/>
          <w:szCs w:val="36"/>
        </w:rPr>
      </w:pPr>
      <w:r>
        <w:rPr>
          <w:rFonts w:ascii="Times New Roman" w:hAnsi="Times New Roman" w:eastAsia="黑体" w:cs="Times New Roman"/>
          <w:color w:val="auto"/>
          <w:kern w:val="0"/>
          <w:sz w:val="36"/>
          <w:szCs w:val="36"/>
          <w:lang w:bidi="ar"/>
        </w:rPr>
        <w:t>收入支出决算总表</w:t>
      </w:r>
    </w:p>
    <w:p w14:paraId="2FAB5E55">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kern w:val="0"/>
          <w:sz w:val="20"/>
          <w:szCs w:val="20"/>
          <w:lang w:bidi="ar"/>
        </w:rPr>
        <w:t>公开01表</w:t>
      </w:r>
    </w:p>
    <w:p w14:paraId="14E1ACA3">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部门：</w:t>
      </w:r>
      <w:r>
        <w:rPr>
          <w:rFonts w:hint="eastAsia" w:ascii="Times New Roman" w:hAnsi="Times New Roman" w:eastAsia="楷体_GB2312" w:cs="Times New Roman"/>
          <w:color w:val="auto"/>
          <w:kern w:val="0"/>
          <w:sz w:val="20"/>
          <w:szCs w:val="20"/>
          <w:lang w:eastAsia="zh-CN" w:bidi="ar"/>
        </w:rPr>
        <w:t>蓝山县塔峰镇中心卫生院</w:t>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kern w:val="0"/>
          <w:sz w:val="20"/>
          <w:szCs w:val="20"/>
          <w:lang w:bidi="ar"/>
        </w:rPr>
        <w:t>单位：万元</w:t>
      </w:r>
    </w:p>
    <w:tbl>
      <w:tblPr>
        <w:tblStyle w:val="8"/>
        <w:tblW w:w="14896" w:type="dxa"/>
        <w:jc w:val="center"/>
        <w:tblLayout w:type="autofit"/>
        <w:tblCellMar>
          <w:top w:w="0" w:type="dxa"/>
          <w:left w:w="108" w:type="dxa"/>
          <w:bottom w:w="0" w:type="dxa"/>
          <w:right w:w="108" w:type="dxa"/>
        </w:tblCellMar>
      </w:tblPr>
      <w:tblGrid>
        <w:gridCol w:w="5762"/>
        <w:gridCol w:w="850"/>
        <w:gridCol w:w="1292"/>
        <w:gridCol w:w="4850"/>
        <w:gridCol w:w="850"/>
        <w:gridCol w:w="1292"/>
      </w:tblGrid>
      <w:tr w14:paraId="339F27E7">
        <w:tblPrEx>
          <w:tblCellMar>
            <w:top w:w="0" w:type="dxa"/>
            <w:left w:w="108" w:type="dxa"/>
            <w:bottom w:w="0" w:type="dxa"/>
            <w:right w:w="108" w:type="dxa"/>
          </w:tblCellMar>
        </w:tblPrEx>
        <w:trPr>
          <w:trHeight w:val="340" w:hRule="exact"/>
          <w:jc w:val="center"/>
        </w:trPr>
        <w:tc>
          <w:tcPr>
            <w:tcW w:w="790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A37E2">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收入</w:t>
            </w:r>
          </w:p>
        </w:tc>
        <w:tc>
          <w:tcPr>
            <w:tcW w:w="699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0FCBA">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支出</w:t>
            </w:r>
          </w:p>
        </w:tc>
      </w:tr>
      <w:tr w14:paraId="4523D767">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10F00">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DA921">
            <w:pPr>
              <w:widowControl/>
              <w:jc w:val="center"/>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行次</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E3A5E">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决算数</w:t>
            </w: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ECDF1">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3CC8A">
            <w:pPr>
              <w:widowControl/>
              <w:jc w:val="center"/>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行次</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206DE">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决算数</w:t>
            </w:r>
          </w:p>
        </w:tc>
      </w:tr>
      <w:tr w14:paraId="21138DA9">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DF2F9">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C099A">
            <w:pPr>
              <w:jc w:val="center"/>
              <w:rPr>
                <w:rFonts w:ascii="Times New Roman" w:hAnsi="Times New Roman" w:eastAsia="仿宋_GB2312" w:cs="Times New Roman"/>
                <w:color w:val="auto"/>
                <w:sz w:val="24"/>
                <w:szCs w:val="24"/>
              </w:rPr>
            </w:pP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8335E">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w:t>
            </w: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67F17">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93579">
            <w:pPr>
              <w:jc w:val="center"/>
              <w:rPr>
                <w:rFonts w:ascii="Times New Roman" w:hAnsi="Times New Roman" w:eastAsia="仿宋_GB2312" w:cs="Times New Roman"/>
                <w:color w:val="auto"/>
                <w:sz w:val="24"/>
                <w:szCs w:val="24"/>
              </w:rPr>
            </w:pP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F5BA6">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w:t>
            </w:r>
          </w:p>
        </w:tc>
      </w:tr>
      <w:tr w14:paraId="4F4D4EAB">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DD803">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一、一般公共预算财政拨款收入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54D2A">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786F9">
            <w:pPr>
              <w:jc w:val="right"/>
              <w:rPr>
                <w:rFonts w:hint="default" w:ascii="Times New Roman" w:hAnsi="Times New Roman" w:eastAsia="仿宋_GB2312" w:cs="Times New Roman"/>
                <w:color w:val="auto"/>
                <w:sz w:val="22"/>
                <w:lang w:val="en-US" w:eastAsia="zh-CN"/>
              </w:rPr>
            </w:pPr>
            <w:r>
              <w:rPr>
                <w:rFonts w:hint="eastAsia" w:ascii="Times New Roman" w:hAnsi="Times New Roman" w:eastAsia="仿宋_GB2312" w:cs="Times New Roman"/>
                <w:color w:val="auto"/>
                <w:sz w:val="22"/>
                <w:lang w:val="en-US" w:eastAsia="zh-CN"/>
              </w:rPr>
              <w:t>1383.34</w:t>
            </w: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29F78">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一、一般公共服务支出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16BDC">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8CAA2">
            <w:pPr>
              <w:jc w:val="right"/>
              <w:rPr>
                <w:rFonts w:ascii="Times New Roman" w:hAnsi="Times New Roman" w:eastAsia="仿宋_GB2312" w:cs="Times New Roman"/>
                <w:b w:val="0"/>
                <w:bCs w:val="0"/>
                <w:color w:val="auto"/>
                <w:sz w:val="22"/>
              </w:rPr>
            </w:pPr>
          </w:p>
        </w:tc>
      </w:tr>
      <w:tr w14:paraId="4BFECC93">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2B956">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二、政府性基金预算财政拨款收入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D5158">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665C">
            <w:pPr>
              <w:jc w:val="right"/>
              <w:rPr>
                <w:rFonts w:ascii="Times New Roman" w:hAnsi="Times New Roman" w:eastAsia="仿宋_GB2312" w:cs="Times New Roman"/>
                <w:color w:val="auto"/>
                <w:sz w:val="22"/>
              </w:rPr>
            </w:pP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D525F">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二、外交支出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B8FB8">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C6531">
            <w:pPr>
              <w:jc w:val="right"/>
              <w:rPr>
                <w:rFonts w:ascii="Times New Roman" w:hAnsi="Times New Roman" w:eastAsia="仿宋_GB2312" w:cs="Times New Roman"/>
                <w:b w:val="0"/>
                <w:bCs w:val="0"/>
                <w:color w:val="auto"/>
                <w:sz w:val="22"/>
              </w:rPr>
            </w:pPr>
          </w:p>
        </w:tc>
      </w:tr>
      <w:tr w14:paraId="2C2EEB42">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632EF">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三、国有资本经营预算财政拨款收入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36ED6">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77285">
            <w:pPr>
              <w:jc w:val="right"/>
              <w:rPr>
                <w:rFonts w:ascii="Times New Roman" w:hAnsi="Times New Roman" w:eastAsia="仿宋_GB2312" w:cs="Times New Roman"/>
                <w:color w:val="auto"/>
                <w:sz w:val="22"/>
              </w:rPr>
            </w:pP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12494">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三、国防支出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F4C99">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B29EB">
            <w:pPr>
              <w:jc w:val="right"/>
              <w:rPr>
                <w:rFonts w:ascii="Times New Roman" w:hAnsi="Times New Roman" w:eastAsia="仿宋_GB2312" w:cs="Times New Roman"/>
                <w:b w:val="0"/>
                <w:bCs w:val="0"/>
                <w:color w:val="auto"/>
                <w:sz w:val="22"/>
              </w:rPr>
            </w:pPr>
          </w:p>
        </w:tc>
      </w:tr>
      <w:tr w14:paraId="403EBF27">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ACA8A">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四、上级补助收入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66372">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7989">
            <w:pPr>
              <w:jc w:val="right"/>
              <w:rPr>
                <w:rFonts w:ascii="Times New Roman" w:hAnsi="Times New Roman" w:eastAsia="仿宋_GB2312" w:cs="Times New Roman"/>
                <w:color w:val="auto"/>
                <w:sz w:val="22"/>
              </w:rPr>
            </w:pP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E14C7">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四、公共安全支出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59B75">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5CD5D">
            <w:pPr>
              <w:jc w:val="right"/>
              <w:rPr>
                <w:rFonts w:ascii="Times New Roman" w:hAnsi="Times New Roman" w:eastAsia="仿宋_GB2312" w:cs="Times New Roman"/>
                <w:b w:val="0"/>
                <w:bCs w:val="0"/>
                <w:color w:val="auto"/>
                <w:sz w:val="22"/>
              </w:rPr>
            </w:pPr>
          </w:p>
        </w:tc>
      </w:tr>
      <w:tr w14:paraId="3FDF4BA2">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F7822">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五、事业收入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27BC1">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1045D">
            <w:pPr>
              <w:jc w:val="right"/>
              <w:rPr>
                <w:rFonts w:ascii="Times New Roman" w:hAnsi="Times New Roman" w:eastAsia="仿宋_GB2312" w:cs="Times New Roman"/>
                <w:color w:val="auto"/>
                <w:sz w:val="22"/>
              </w:rPr>
            </w:pP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004A7">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五、教育支出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6D62D">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65EAB">
            <w:pPr>
              <w:jc w:val="right"/>
              <w:rPr>
                <w:rFonts w:ascii="Times New Roman" w:hAnsi="Times New Roman" w:eastAsia="仿宋_GB2312" w:cs="Times New Roman"/>
                <w:b w:val="0"/>
                <w:bCs w:val="0"/>
                <w:color w:val="auto"/>
                <w:sz w:val="22"/>
              </w:rPr>
            </w:pPr>
          </w:p>
        </w:tc>
      </w:tr>
      <w:tr w14:paraId="4AF12E88">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847A2">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六、经营收入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2622A">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4B9E1">
            <w:pPr>
              <w:jc w:val="right"/>
              <w:rPr>
                <w:rFonts w:ascii="Times New Roman" w:hAnsi="Times New Roman" w:eastAsia="仿宋_GB2312" w:cs="Times New Roman"/>
                <w:color w:val="auto"/>
                <w:sz w:val="22"/>
              </w:rPr>
            </w:pP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6BBE4">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六、科学技术支出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5DD22">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19</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CCFFA">
            <w:pPr>
              <w:jc w:val="right"/>
              <w:rPr>
                <w:rFonts w:ascii="Times New Roman" w:hAnsi="Times New Roman" w:eastAsia="仿宋_GB2312" w:cs="Times New Roman"/>
                <w:b w:val="0"/>
                <w:bCs w:val="0"/>
                <w:color w:val="auto"/>
                <w:sz w:val="22"/>
              </w:rPr>
            </w:pPr>
          </w:p>
        </w:tc>
      </w:tr>
      <w:tr w14:paraId="6AF16A34">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22446">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七、附属单位上缴收入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E3DF4">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B73D">
            <w:pPr>
              <w:jc w:val="right"/>
              <w:rPr>
                <w:rFonts w:ascii="Times New Roman" w:hAnsi="Times New Roman" w:eastAsia="仿宋_GB2312" w:cs="Times New Roman"/>
                <w:color w:val="auto"/>
                <w:sz w:val="22"/>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FE7F1">
            <w:pPr>
              <w:widowControl/>
              <w:jc w:val="left"/>
              <w:textAlignment w:val="cente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kern w:val="0"/>
                <w:sz w:val="24"/>
                <w:szCs w:val="24"/>
                <w:lang w:eastAsia="zh-CN"/>
              </w:rPr>
              <w:t>七、文化旅游体育与传媒支出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6C2A8">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4341D">
            <w:pPr>
              <w:jc w:val="right"/>
              <w:rPr>
                <w:rFonts w:ascii="Times New Roman" w:hAnsi="Times New Roman" w:eastAsia="仿宋_GB2312" w:cs="Times New Roman"/>
                <w:b w:val="0"/>
                <w:bCs w:val="0"/>
                <w:color w:val="auto"/>
                <w:sz w:val="22"/>
              </w:rPr>
            </w:pPr>
          </w:p>
        </w:tc>
      </w:tr>
      <w:tr w14:paraId="7327329D">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398AC">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八、其他收入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E130B">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34454">
            <w:pPr>
              <w:jc w:val="left"/>
              <w:rPr>
                <w:rFonts w:ascii="Times New Roman" w:hAnsi="Times New Roman" w:eastAsia="仿宋_GB2312" w:cs="Times New Roman"/>
                <w:color w:val="auto"/>
                <w:sz w:val="22"/>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44967">
            <w:pPr>
              <w:jc w:val="left"/>
              <w:rPr>
                <w:rFonts w:ascii="Times New Roman" w:hAnsi="Times New Roman" w:eastAsia="仿宋_GB2312" w:cs="Times New Roman"/>
                <w:color w:val="auto"/>
                <w:sz w:val="22"/>
              </w:rPr>
            </w:pPr>
            <w:r>
              <w:rPr>
                <w:rFonts w:hint="eastAsia" w:ascii="Times New Roman" w:hAnsi="Times New Roman" w:eastAsia="仿宋_GB2312" w:cs="Times New Roman"/>
                <w:color w:val="auto"/>
                <w:kern w:val="0"/>
                <w:sz w:val="22"/>
                <w:lang w:eastAsia="zh-CN"/>
              </w:rPr>
              <w:t>八、社会保障和就业支出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B11D1">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8F4BE">
            <w:pPr>
              <w:jc w:val="right"/>
              <w:rPr>
                <w:rFonts w:hint="default" w:ascii="Times New Roman" w:hAnsi="Times New Roman" w:eastAsia="仿宋_GB2312" w:cs="Times New Roman"/>
                <w:b w:val="0"/>
                <w:bCs w:val="0"/>
                <w:color w:val="auto"/>
                <w:sz w:val="22"/>
                <w:lang w:val="en-US" w:eastAsia="zh-CN"/>
              </w:rPr>
            </w:pPr>
            <w:r>
              <w:rPr>
                <w:rFonts w:hint="eastAsia" w:ascii="Times New Roman" w:hAnsi="Times New Roman" w:eastAsia="仿宋_GB2312" w:cs="Times New Roman"/>
                <w:b w:val="0"/>
                <w:bCs w:val="0"/>
                <w:color w:val="auto"/>
                <w:sz w:val="22"/>
                <w:lang w:val="en-US" w:eastAsia="zh-CN"/>
              </w:rPr>
              <w:t>108.53</w:t>
            </w:r>
          </w:p>
        </w:tc>
      </w:tr>
      <w:tr w14:paraId="3CA49154">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AD7DB">
            <w:pPr>
              <w:jc w:val="right"/>
              <w:rPr>
                <w:rFonts w:ascii="Times New Roman" w:hAnsi="Times New Roman" w:eastAsia="仿宋_GB2312" w:cs="Times New Roman"/>
                <w:color w:val="auto"/>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AE1F4">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9</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92805">
            <w:pPr>
              <w:jc w:val="right"/>
              <w:rPr>
                <w:rFonts w:ascii="Times New Roman" w:hAnsi="Times New Roman" w:eastAsia="仿宋_GB2312" w:cs="Times New Roman"/>
                <w:color w:val="auto"/>
                <w:sz w:val="22"/>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A29BD">
            <w:pPr>
              <w:jc w:val="both"/>
              <w:rPr>
                <w:rFonts w:ascii="Times New Roman" w:hAnsi="Times New Roman" w:eastAsia="仿宋_GB2312" w:cs="Times New Roman"/>
                <w:color w:val="auto"/>
                <w:sz w:val="20"/>
                <w:szCs w:val="20"/>
              </w:rPr>
            </w:pPr>
            <w:r>
              <w:rPr>
                <w:rFonts w:hint="eastAsia" w:ascii="Times New Roman" w:hAnsi="Times New Roman" w:eastAsia="仿宋_GB2312" w:cs="Times New Roman"/>
                <w:b w:val="0"/>
                <w:bCs w:val="0"/>
                <w:color w:val="auto"/>
                <w:kern w:val="0"/>
                <w:sz w:val="22"/>
                <w:lang w:eastAsia="zh-CN"/>
              </w:rPr>
              <w:t>九、卫生健康支出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FA645">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8DE76">
            <w:pPr>
              <w:jc w:val="right"/>
              <w:rPr>
                <w:rFonts w:hint="default" w:ascii="Times New Roman" w:hAnsi="Times New Roman" w:eastAsia="仿宋_GB2312" w:cs="Times New Roman"/>
                <w:b w:val="0"/>
                <w:bCs w:val="0"/>
                <w:color w:val="auto"/>
                <w:sz w:val="22"/>
                <w:lang w:val="en-US" w:eastAsia="zh-CN"/>
              </w:rPr>
            </w:pPr>
            <w:r>
              <w:rPr>
                <w:rFonts w:hint="eastAsia" w:ascii="Times New Roman" w:hAnsi="Times New Roman" w:eastAsia="仿宋_GB2312" w:cs="Times New Roman"/>
                <w:b w:val="0"/>
                <w:bCs w:val="0"/>
                <w:color w:val="auto"/>
                <w:sz w:val="22"/>
                <w:lang w:val="en-US" w:eastAsia="zh-CN"/>
              </w:rPr>
              <w:t>3018.17</w:t>
            </w:r>
          </w:p>
        </w:tc>
      </w:tr>
      <w:tr w14:paraId="3EDCA40D">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D0C86">
            <w:pPr>
              <w:widowControl/>
              <w:jc w:val="center"/>
              <w:textAlignment w:val="center"/>
              <w:rPr>
                <w:rFonts w:ascii="Times New Roman" w:hAnsi="Times New Roman" w:eastAsia="仿宋_GB2312" w:cs="Times New Roman"/>
                <w:b/>
                <w:color w:val="auto"/>
                <w:sz w:val="22"/>
              </w:rPr>
            </w:pPr>
            <w:r>
              <w:rPr>
                <w:rFonts w:ascii="Times New Roman" w:hAnsi="Times New Roman" w:eastAsia="仿宋_GB2312" w:cs="Times New Roman"/>
                <w:b/>
                <w:color w:val="auto"/>
                <w:kern w:val="0"/>
                <w:sz w:val="22"/>
                <w:lang w:bidi="ar"/>
              </w:rPr>
              <w:t>本年收入合计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EB660">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A4362">
            <w:pPr>
              <w:jc w:val="right"/>
              <w:rPr>
                <w:rFonts w:hint="default" w:ascii="Times New Roman" w:hAnsi="Times New Roman" w:eastAsia="仿宋_GB2312" w:cs="Times New Roman"/>
                <w:color w:val="auto"/>
                <w:sz w:val="22"/>
                <w:lang w:val="en-US" w:eastAsia="zh-CN"/>
              </w:rPr>
            </w:pPr>
            <w:r>
              <w:rPr>
                <w:rFonts w:hint="eastAsia" w:ascii="Times New Roman" w:hAnsi="Times New Roman" w:eastAsia="仿宋_GB2312" w:cs="Times New Roman"/>
                <w:color w:val="auto"/>
                <w:sz w:val="22"/>
                <w:lang w:val="en-US" w:eastAsia="zh-CN"/>
              </w:rPr>
              <w:t>3126.69</w:t>
            </w:r>
          </w:p>
        </w:tc>
        <w:tc>
          <w:tcPr>
            <w:tcW w:w="4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16F17">
            <w:pPr>
              <w:widowControl/>
              <w:jc w:val="center"/>
              <w:textAlignment w:val="center"/>
              <w:rPr>
                <w:rFonts w:ascii="Times New Roman" w:hAnsi="Times New Roman" w:eastAsia="仿宋_GB2312" w:cs="Times New Roman"/>
                <w:b/>
                <w:color w:val="auto"/>
                <w:sz w:val="22"/>
              </w:rPr>
            </w:pPr>
            <w:r>
              <w:rPr>
                <w:rFonts w:ascii="Times New Roman" w:hAnsi="Times New Roman" w:eastAsia="仿宋_GB2312" w:cs="Times New Roman"/>
                <w:b/>
                <w:color w:val="auto"/>
                <w:kern w:val="0"/>
                <w:sz w:val="22"/>
                <w:lang w:bidi="ar"/>
              </w:rPr>
              <w:t>本年支出合计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7AF75">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3CC1">
            <w:pPr>
              <w:jc w:val="right"/>
              <w:rPr>
                <w:rFonts w:hint="default" w:ascii="Times New Roman" w:hAnsi="Times New Roman" w:eastAsia="仿宋_GB2312" w:cs="Times New Roman"/>
                <w:b w:val="0"/>
                <w:bCs w:val="0"/>
                <w:color w:val="auto"/>
                <w:sz w:val="22"/>
                <w:lang w:val="en-US" w:eastAsia="zh-CN"/>
              </w:rPr>
            </w:pPr>
            <w:r>
              <w:rPr>
                <w:rFonts w:hint="eastAsia" w:ascii="Times New Roman" w:hAnsi="Times New Roman" w:eastAsia="仿宋_GB2312" w:cs="Times New Roman"/>
                <w:b w:val="0"/>
                <w:bCs w:val="0"/>
                <w:color w:val="auto"/>
                <w:sz w:val="22"/>
                <w:lang w:val="en-US" w:eastAsia="zh-CN"/>
              </w:rPr>
              <w:t>3126.69</w:t>
            </w:r>
          </w:p>
        </w:tc>
      </w:tr>
      <w:tr w14:paraId="72ABEC92">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FD6C6">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 xml:space="preserve">    使用非财政拨款结余（含专用结余）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FB1B3">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77AC6">
            <w:pPr>
              <w:jc w:val="right"/>
              <w:rPr>
                <w:rFonts w:ascii="Times New Roman" w:hAnsi="Times New Roman" w:eastAsia="仿宋_GB2312" w:cs="Times New Roman"/>
                <w:color w:val="auto"/>
                <w:sz w:val="22"/>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706EE">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 xml:space="preserve">                结余分配</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64B1E">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879FB">
            <w:pPr>
              <w:jc w:val="right"/>
              <w:rPr>
                <w:rFonts w:ascii="Times New Roman" w:hAnsi="Times New Roman" w:eastAsia="仿宋_GB2312" w:cs="Times New Roman"/>
                <w:b w:val="0"/>
                <w:bCs w:val="0"/>
                <w:color w:val="auto"/>
                <w:sz w:val="22"/>
              </w:rPr>
            </w:pPr>
          </w:p>
        </w:tc>
      </w:tr>
      <w:tr w14:paraId="55E183B4">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D64E8">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 xml:space="preserve">         年初结转和结余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61D08">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149C">
            <w:pPr>
              <w:jc w:val="right"/>
              <w:rPr>
                <w:rFonts w:ascii="Times New Roman" w:hAnsi="Times New Roman" w:eastAsia="仿宋_GB2312" w:cs="Times New Roman"/>
                <w:color w:val="auto"/>
                <w:sz w:val="22"/>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3D725">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 xml:space="preserve">                年末结转和结余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2B522">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3D1B1">
            <w:pPr>
              <w:jc w:val="right"/>
              <w:rPr>
                <w:rFonts w:ascii="Times New Roman" w:hAnsi="Times New Roman" w:eastAsia="仿宋_GB2312" w:cs="Times New Roman"/>
                <w:b w:val="0"/>
                <w:bCs w:val="0"/>
                <w:color w:val="auto"/>
                <w:sz w:val="22"/>
              </w:rPr>
            </w:pPr>
          </w:p>
        </w:tc>
      </w:tr>
      <w:tr w14:paraId="4A64D97B">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70C5D">
            <w:pPr>
              <w:widowControl/>
              <w:jc w:val="center"/>
              <w:textAlignment w:val="center"/>
              <w:rPr>
                <w:rFonts w:ascii="Times New Roman" w:hAnsi="Times New Roman" w:eastAsia="仿宋_GB2312" w:cs="Times New Roman"/>
                <w:b/>
                <w:color w:val="auto"/>
                <w:sz w:val="22"/>
              </w:rPr>
            </w:pPr>
            <w:r>
              <w:rPr>
                <w:rFonts w:ascii="Times New Roman" w:hAnsi="Times New Roman" w:eastAsia="仿宋_GB2312" w:cs="Times New Roman"/>
                <w:b/>
                <w:color w:val="auto"/>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8BC76">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3A7E">
            <w:pPr>
              <w:jc w:val="right"/>
              <w:rPr>
                <w:rFonts w:hint="default" w:ascii="Times New Roman" w:hAnsi="Times New Roman" w:eastAsia="仿宋_GB2312" w:cs="Times New Roman"/>
                <w:color w:val="auto"/>
                <w:sz w:val="22"/>
                <w:lang w:val="en-US" w:eastAsia="zh-CN"/>
              </w:rPr>
            </w:pPr>
            <w:r>
              <w:rPr>
                <w:rFonts w:hint="eastAsia" w:ascii="Times New Roman" w:hAnsi="Times New Roman" w:eastAsia="仿宋_GB2312" w:cs="Times New Roman"/>
                <w:color w:val="auto"/>
                <w:sz w:val="22"/>
                <w:lang w:val="en-US" w:eastAsia="zh-CN"/>
              </w:rPr>
              <w:t>3126.69</w:t>
            </w: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809CC">
            <w:pPr>
              <w:widowControl/>
              <w:jc w:val="center"/>
              <w:textAlignment w:val="center"/>
              <w:rPr>
                <w:rFonts w:ascii="Times New Roman" w:hAnsi="Times New Roman" w:eastAsia="仿宋_GB2312" w:cs="Times New Roman"/>
                <w:b/>
                <w:color w:val="auto"/>
                <w:sz w:val="22"/>
              </w:rPr>
            </w:pPr>
            <w:r>
              <w:rPr>
                <w:rFonts w:ascii="Times New Roman" w:hAnsi="Times New Roman" w:eastAsia="仿宋_GB2312" w:cs="Times New Roman"/>
                <w:b/>
                <w:color w:val="auto"/>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71969">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F493E">
            <w:pPr>
              <w:jc w:val="right"/>
              <w:rPr>
                <w:rFonts w:hint="default" w:ascii="Times New Roman" w:hAnsi="Times New Roman" w:eastAsia="仿宋_GB2312" w:cs="Times New Roman"/>
                <w:b w:val="0"/>
                <w:bCs w:val="0"/>
                <w:color w:val="auto"/>
                <w:sz w:val="22"/>
                <w:lang w:val="en-US" w:eastAsia="zh-CN"/>
              </w:rPr>
            </w:pPr>
            <w:r>
              <w:rPr>
                <w:rFonts w:hint="eastAsia" w:ascii="Times New Roman" w:hAnsi="Times New Roman" w:eastAsia="仿宋_GB2312" w:cs="Times New Roman"/>
                <w:b w:val="0"/>
                <w:bCs w:val="0"/>
                <w:color w:val="auto"/>
                <w:sz w:val="22"/>
                <w:lang w:val="en-US" w:eastAsia="zh-CN"/>
              </w:rPr>
              <w:t>3126.69</w:t>
            </w:r>
          </w:p>
        </w:tc>
      </w:tr>
    </w:tbl>
    <w:p w14:paraId="1BB2409A">
      <w:pPr>
        <w:widowControl/>
        <w:jc w:val="left"/>
        <w:textAlignment w:val="center"/>
        <w:rPr>
          <w:rFonts w:ascii="Times New Roman" w:hAnsi="Times New Roman" w:eastAsia="宋体" w:cs="Times New Roman"/>
          <w:color w:val="auto"/>
          <w:kern w:val="0"/>
          <w:sz w:val="24"/>
          <w:szCs w:val="24"/>
          <w:lang w:bidi="ar"/>
        </w:rPr>
      </w:pPr>
    </w:p>
    <w:p w14:paraId="74649935">
      <w:pPr>
        <w:widowControl/>
        <w:jc w:val="left"/>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注：1.本表反映部门本年度的总收支和年末结转结余情况。</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 xml:space="preserve">    2.本套报表金额单位转换时可能存在尾数误差。</w:t>
      </w:r>
    </w:p>
    <w:p w14:paraId="33336264">
      <w:pPr>
        <w:rPr>
          <w:rFonts w:ascii="Times New Roman" w:hAnsi="Times New Roman" w:eastAsia="华文中宋" w:cs="Times New Roman"/>
          <w:color w:val="auto"/>
          <w:sz w:val="32"/>
          <w:szCs w:val="32"/>
        </w:rPr>
      </w:pPr>
      <w:r>
        <w:rPr>
          <w:rFonts w:ascii="Times New Roman" w:hAnsi="Times New Roman" w:eastAsia="华文中宋" w:cs="Times New Roman"/>
          <w:color w:val="auto"/>
          <w:sz w:val="32"/>
          <w:szCs w:val="32"/>
        </w:rPr>
        <w:br w:type="page"/>
      </w:r>
    </w:p>
    <w:p w14:paraId="2DF5AC85">
      <w:pPr>
        <w:widowControl/>
        <w:spacing w:line="400" w:lineRule="exact"/>
        <w:jc w:val="center"/>
        <w:textAlignment w:val="center"/>
        <w:rPr>
          <w:rFonts w:ascii="Times New Roman" w:hAnsi="Times New Roman" w:eastAsia="黑体" w:cs="Times New Roman"/>
          <w:color w:val="auto"/>
          <w:kern w:val="0"/>
          <w:sz w:val="32"/>
          <w:szCs w:val="32"/>
          <w:lang w:bidi="ar"/>
        </w:rPr>
      </w:pPr>
    </w:p>
    <w:p w14:paraId="2025BA45">
      <w:pPr>
        <w:widowControl/>
        <w:spacing w:after="156" w:afterLines="50"/>
        <w:jc w:val="center"/>
        <w:textAlignment w:val="center"/>
        <w:rPr>
          <w:rFonts w:ascii="Times New Roman" w:hAnsi="Times New Roman" w:eastAsia="黑体" w:cs="Times New Roman"/>
          <w:color w:val="auto"/>
          <w:kern w:val="0"/>
          <w:sz w:val="36"/>
          <w:szCs w:val="36"/>
          <w:lang w:bidi="ar"/>
        </w:rPr>
      </w:pPr>
      <w:r>
        <w:rPr>
          <w:rFonts w:ascii="Times New Roman" w:hAnsi="Times New Roman" w:eastAsia="黑体" w:cs="Times New Roman"/>
          <w:color w:val="auto"/>
          <w:kern w:val="0"/>
          <w:sz w:val="36"/>
          <w:szCs w:val="36"/>
          <w:lang w:bidi="ar"/>
        </w:rPr>
        <w:t>收入决算表</w:t>
      </w:r>
    </w:p>
    <w:p w14:paraId="4E55E1E7">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auto"/>
          <w:sz w:val="20"/>
          <w:szCs w:val="20"/>
        </w:rPr>
      </w:pP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0"/>
          <w:szCs w:val="20"/>
        </w:rPr>
        <w:t>公开02表</w:t>
      </w:r>
    </w:p>
    <w:p w14:paraId="62A14567">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部门：</w:t>
      </w:r>
      <w:r>
        <w:rPr>
          <w:rFonts w:hint="eastAsia" w:ascii="Times New Roman" w:hAnsi="Times New Roman" w:eastAsia="楷体_GB2312" w:cs="Times New Roman"/>
          <w:color w:val="auto"/>
          <w:kern w:val="0"/>
          <w:sz w:val="20"/>
          <w:szCs w:val="20"/>
          <w:lang w:eastAsia="zh-CN" w:bidi="ar"/>
        </w:rPr>
        <w:t>蓝山县塔峰镇中心卫生院</w:t>
      </w:r>
      <w:r>
        <w:rPr>
          <w:rFonts w:ascii="Times New Roman" w:hAnsi="Times New Roman" w:eastAsia="仿宋_GB2312" w:cs="Times New Roman"/>
          <w:color w:val="auto"/>
          <w:sz w:val="20"/>
          <w:szCs w:val="20"/>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0"/>
          <w:szCs w:val="20"/>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0"/>
          <w:szCs w:val="20"/>
        </w:rPr>
        <w:t>单位：万元</w:t>
      </w:r>
    </w:p>
    <w:tbl>
      <w:tblPr>
        <w:tblStyle w:val="8"/>
        <w:tblW w:w="14666" w:type="dxa"/>
        <w:jc w:val="center"/>
        <w:tblLayout w:type="fixed"/>
        <w:tblCellMar>
          <w:top w:w="0" w:type="dxa"/>
          <w:left w:w="0" w:type="dxa"/>
          <w:bottom w:w="0" w:type="dxa"/>
          <w:right w:w="0" w:type="dxa"/>
        </w:tblCellMar>
      </w:tblPr>
      <w:tblGrid>
        <w:gridCol w:w="1886"/>
        <w:gridCol w:w="2065"/>
        <w:gridCol w:w="1680"/>
        <w:gridCol w:w="1650"/>
        <w:gridCol w:w="1455"/>
        <w:gridCol w:w="1650"/>
        <w:gridCol w:w="1815"/>
        <w:gridCol w:w="1082"/>
        <w:gridCol w:w="1383"/>
      </w:tblGrid>
      <w:tr w14:paraId="78CC2C5B">
        <w:tblPrEx>
          <w:tblCellMar>
            <w:top w:w="0" w:type="dxa"/>
            <w:left w:w="0" w:type="dxa"/>
            <w:bottom w:w="0" w:type="dxa"/>
            <w:right w:w="0" w:type="dxa"/>
          </w:tblCellMar>
        </w:tblPrEx>
        <w:trPr>
          <w:trHeight w:val="450" w:hRule="atLeast"/>
          <w:jc w:val="center"/>
        </w:trPr>
        <w:tc>
          <w:tcPr>
            <w:tcW w:w="3951"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8B64E89">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项    目</w:t>
            </w:r>
          </w:p>
        </w:tc>
        <w:tc>
          <w:tcPr>
            <w:tcW w:w="168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B8A36DF">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本年收入合计</w:t>
            </w:r>
          </w:p>
        </w:tc>
        <w:tc>
          <w:tcPr>
            <w:tcW w:w="165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6342EFA">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财政拨款收入</w:t>
            </w:r>
          </w:p>
        </w:tc>
        <w:tc>
          <w:tcPr>
            <w:tcW w:w="145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C6FA712">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上级补助收入</w:t>
            </w:r>
          </w:p>
        </w:tc>
        <w:tc>
          <w:tcPr>
            <w:tcW w:w="16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D6523BF">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事业收入</w:t>
            </w:r>
          </w:p>
        </w:tc>
        <w:tc>
          <w:tcPr>
            <w:tcW w:w="181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640B655">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经营收入</w:t>
            </w:r>
          </w:p>
        </w:tc>
        <w:tc>
          <w:tcPr>
            <w:tcW w:w="108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6C9E501">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A71CE2E">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其他收入</w:t>
            </w:r>
          </w:p>
        </w:tc>
      </w:tr>
      <w:tr w14:paraId="1E87B480">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15DCAB7">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功能分类科目编码</w:t>
            </w:r>
          </w:p>
        </w:tc>
        <w:tc>
          <w:tcPr>
            <w:tcW w:w="206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D42D945">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科目名称</w:t>
            </w:r>
          </w:p>
        </w:tc>
        <w:tc>
          <w:tcPr>
            <w:tcW w:w="1680" w:type="dxa"/>
            <w:vMerge w:val="continue"/>
            <w:tcBorders>
              <w:top w:val="single" w:color="auto" w:sz="4" w:space="0"/>
              <w:left w:val="single" w:color="auto" w:sz="4" w:space="0"/>
              <w:bottom w:val="single" w:color="auto" w:sz="4" w:space="0"/>
              <w:right w:val="single" w:color="auto" w:sz="4" w:space="0"/>
            </w:tcBorders>
            <w:vAlign w:val="center"/>
          </w:tcPr>
          <w:p w14:paraId="209E87BC">
            <w:pPr>
              <w:rPr>
                <w:rFonts w:ascii="Times New Roman" w:hAnsi="Times New Roman" w:eastAsia="仿宋_GB2312" w:cs="Times New Roman"/>
                <w:color w:val="auto"/>
                <w:sz w:val="24"/>
                <w:szCs w:val="24"/>
              </w:rPr>
            </w:pPr>
          </w:p>
        </w:tc>
        <w:tc>
          <w:tcPr>
            <w:tcW w:w="1650" w:type="dxa"/>
            <w:vMerge w:val="continue"/>
            <w:tcBorders>
              <w:top w:val="single" w:color="auto" w:sz="4" w:space="0"/>
              <w:left w:val="single" w:color="auto" w:sz="4" w:space="0"/>
              <w:bottom w:val="single" w:color="auto" w:sz="4" w:space="0"/>
              <w:right w:val="single" w:color="auto" w:sz="4" w:space="0"/>
            </w:tcBorders>
            <w:vAlign w:val="center"/>
          </w:tcPr>
          <w:p w14:paraId="6D0D8C2C">
            <w:pPr>
              <w:rPr>
                <w:rFonts w:ascii="Times New Roman" w:hAnsi="Times New Roman" w:eastAsia="仿宋_GB2312" w:cs="Times New Roman"/>
                <w:color w:val="auto"/>
                <w:sz w:val="24"/>
                <w:szCs w:val="24"/>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3AA21722">
            <w:pPr>
              <w:rPr>
                <w:rFonts w:ascii="Times New Roman" w:hAnsi="Times New Roman" w:eastAsia="仿宋_GB2312" w:cs="Times New Roman"/>
                <w:color w:val="auto"/>
                <w:sz w:val="24"/>
                <w:szCs w:val="24"/>
              </w:rPr>
            </w:pPr>
          </w:p>
        </w:tc>
        <w:tc>
          <w:tcPr>
            <w:tcW w:w="1650" w:type="dxa"/>
            <w:vMerge w:val="continue"/>
            <w:tcBorders>
              <w:top w:val="single" w:color="auto" w:sz="4" w:space="0"/>
              <w:left w:val="single" w:color="auto" w:sz="4" w:space="0"/>
              <w:bottom w:val="single" w:color="auto" w:sz="4" w:space="0"/>
              <w:right w:val="single" w:color="auto" w:sz="4" w:space="0"/>
            </w:tcBorders>
            <w:vAlign w:val="center"/>
          </w:tcPr>
          <w:p w14:paraId="67701ECB">
            <w:pPr>
              <w:rPr>
                <w:rFonts w:ascii="Times New Roman" w:hAnsi="Times New Roman" w:eastAsia="仿宋_GB2312" w:cs="Times New Roman"/>
                <w:color w:val="auto"/>
                <w:sz w:val="24"/>
                <w:szCs w:val="24"/>
              </w:rPr>
            </w:pPr>
          </w:p>
        </w:tc>
        <w:tc>
          <w:tcPr>
            <w:tcW w:w="1815" w:type="dxa"/>
            <w:vMerge w:val="continue"/>
            <w:tcBorders>
              <w:top w:val="single" w:color="auto" w:sz="4" w:space="0"/>
              <w:left w:val="single" w:color="auto" w:sz="4" w:space="0"/>
              <w:bottom w:val="single" w:color="auto" w:sz="4" w:space="0"/>
              <w:right w:val="single" w:color="auto" w:sz="4" w:space="0"/>
            </w:tcBorders>
            <w:vAlign w:val="center"/>
          </w:tcPr>
          <w:p w14:paraId="3C9F818A">
            <w:pPr>
              <w:rPr>
                <w:rFonts w:ascii="Times New Roman" w:hAnsi="Times New Roman" w:eastAsia="仿宋_GB2312" w:cs="Times New Roman"/>
                <w:color w:val="auto"/>
                <w:sz w:val="24"/>
                <w:szCs w:val="24"/>
              </w:rPr>
            </w:pPr>
          </w:p>
        </w:tc>
        <w:tc>
          <w:tcPr>
            <w:tcW w:w="1082" w:type="dxa"/>
            <w:vMerge w:val="continue"/>
            <w:tcBorders>
              <w:top w:val="single" w:color="auto" w:sz="4" w:space="0"/>
              <w:left w:val="single" w:color="auto" w:sz="4" w:space="0"/>
              <w:bottom w:val="single" w:color="auto" w:sz="4" w:space="0"/>
              <w:right w:val="single" w:color="auto" w:sz="4" w:space="0"/>
            </w:tcBorders>
            <w:vAlign w:val="center"/>
          </w:tcPr>
          <w:p w14:paraId="1BF04DBB">
            <w:pPr>
              <w:rPr>
                <w:rFonts w:ascii="Times New Roman" w:hAnsi="Times New Roman" w:eastAsia="仿宋_GB2312" w:cs="Times New Roman"/>
                <w:color w:val="auto"/>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05D3B99E">
            <w:pPr>
              <w:rPr>
                <w:rFonts w:ascii="Times New Roman" w:hAnsi="Times New Roman" w:eastAsia="仿宋_GB2312" w:cs="Times New Roman"/>
                <w:color w:val="auto"/>
                <w:sz w:val="24"/>
                <w:szCs w:val="24"/>
              </w:rPr>
            </w:pPr>
          </w:p>
        </w:tc>
      </w:tr>
      <w:tr w14:paraId="54CA8A4D">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3E429E75">
            <w:pPr>
              <w:rPr>
                <w:rFonts w:ascii="Times New Roman" w:hAnsi="Times New Roman" w:eastAsia="仿宋_GB2312" w:cs="Times New Roman"/>
                <w:color w:val="auto"/>
                <w:sz w:val="24"/>
                <w:szCs w:val="24"/>
              </w:rPr>
            </w:pPr>
          </w:p>
        </w:tc>
        <w:tc>
          <w:tcPr>
            <w:tcW w:w="2065" w:type="dxa"/>
            <w:vMerge w:val="continue"/>
            <w:tcBorders>
              <w:top w:val="nil"/>
              <w:left w:val="single" w:color="auto" w:sz="4" w:space="0"/>
              <w:bottom w:val="single" w:color="auto" w:sz="4" w:space="0"/>
              <w:right w:val="single" w:color="auto" w:sz="4" w:space="0"/>
            </w:tcBorders>
            <w:vAlign w:val="center"/>
          </w:tcPr>
          <w:p w14:paraId="5A8C8277">
            <w:pPr>
              <w:rPr>
                <w:rFonts w:ascii="Times New Roman" w:hAnsi="Times New Roman" w:eastAsia="仿宋_GB2312" w:cs="Times New Roman"/>
                <w:color w:val="auto"/>
                <w:sz w:val="24"/>
                <w:szCs w:val="24"/>
              </w:rPr>
            </w:pPr>
          </w:p>
        </w:tc>
        <w:tc>
          <w:tcPr>
            <w:tcW w:w="1680" w:type="dxa"/>
            <w:vMerge w:val="continue"/>
            <w:tcBorders>
              <w:top w:val="single" w:color="auto" w:sz="4" w:space="0"/>
              <w:left w:val="single" w:color="auto" w:sz="4" w:space="0"/>
              <w:bottom w:val="single" w:color="auto" w:sz="4" w:space="0"/>
              <w:right w:val="single" w:color="auto" w:sz="4" w:space="0"/>
            </w:tcBorders>
            <w:vAlign w:val="center"/>
          </w:tcPr>
          <w:p w14:paraId="17CFD26A">
            <w:pPr>
              <w:rPr>
                <w:rFonts w:ascii="Times New Roman" w:hAnsi="Times New Roman" w:eastAsia="仿宋_GB2312" w:cs="Times New Roman"/>
                <w:color w:val="auto"/>
                <w:sz w:val="24"/>
                <w:szCs w:val="24"/>
              </w:rPr>
            </w:pPr>
          </w:p>
        </w:tc>
        <w:tc>
          <w:tcPr>
            <w:tcW w:w="1650" w:type="dxa"/>
            <w:vMerge w:val="continue"/>
            <w:tcBorders>
              <w:top w:val="single" w:color="auto" w:sz="4" w:space="0"/>
              <w:left w:val="single" w:color="auto" w:sz="4" w:space="0"/>
              <w:bottom w:val="single" w:color="auto" w:sz="4" w:space="0"/>
              <w:right w:val="single" w:color="auto" w:sz="4" w:space="0"/>
            </w:tcBorders>
            <w:vAlign w:val="center"/>
          </w:tcPr>
          <w:p w14:paraId="40744929">
            <w:pPr>
              <w:rPr>
                <w:rFonts w:ascii="Times New Roman" w:hAnsi="Times New Roman" w:eastAsia="仿宋_GB2312" w:cs="Times New Roman"/>
                <w:color w:val="auto"/>
                <w:sz w:val="24"/>
                <w:szCs w:val="24"/>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7D902DE1">
            <w:pPr>
              <w:rPr>
                <w:rFonts w:ascii="Times New Roman" w:hAnsi="Times New Roman" w:eastAsia="仿宋_GB2312" w:cs="Times New Roman"/>
                <w:color w:val="auto"/>
                <w:sz w:val="24"/>
                <w:szCs w:val="24"/>
              </w:rPr>
            </w:pPr>
          </w:p>
        </w:tc>
        <w:tc>
          <w:tcPr>
            <w:tcW w:w="1650" w:type="dxa"/>
            <w:vMerge w:val="continue"/>
            <w:tcBorders>
              <w:top w:val="single" w:color="auto" w:sz="4" w:space="0"/>
              <w:left w:val="single" w:color="auto" w:sz="4" w:space="0"/>
              <w:bottom w:val="single" w:color="auto" w:sz="4" w:space="0"/>
              <w:right w:val="single" w:color="auto" w:sz="4" w:space="0"/>
            </w:tcBorders>
            <w:vAlign w:val="center"/>
          </w:tcPr>
          <w:p w14:paraId="5EBC3CB9">
            <w:pPr>
              <w:rPr>
                <w:rFonts w:ascii="Times New Roman" w:hAnsi="Times New Roman" w:eastAsia="仿宋_GB2312" w:cs="Times New Roman"/>
                <w:color w:val="auto"/>
                <w:sz w:val="24"/>
                <w:szCs w:val="24"/>
              </w:rPr>
            </w:pPr>
          </w:p>
        </w:tc>
        <w:tc>
          <w:tcPr>
            <w:tcW w:w="1815" w:type="dxa"/>
            <w:vMerge w:val="continue"/>
            <w:tcBorders>
              <w:top w:val="single" w:color="auto" w:sz="4" w:space="0"/>
              <w:left w:val="single" w:color="auto" w:sz="4" w:space="0"/>
              <w:bottom w:val="single" w:color="auto" w:sz="4" w:space="0"/>
              <w:right w:val="single" w:color="auto" w:sz="4" w:space="0"/>
            </w:tcBorders>
            <w:vAlign w:val="center"/>
          </w:tcPr>
          <w:p w14:paraId="5FCD9BD3">
            <w:pPr>
              <w:rPr>
                <w:rFonts w:ascii="Times New Roman" w:hAnsi="Times New Roman" w:eastAsia="仿宋_GB2312" w:cs="Times New Roman"/>
                <w:color w:val="auto"/>
                <w:sz w:val="24"/>
                <w:szCs w:val="24"/>
              </w:rPr>
            </w:pPr>
          </w:p>
        </w:tc>
        <w:tc>
          <w:tcPr>
            <w:tcW w:w="1082" w:type="dxa"/>
            <w:vMerge w:val="continue"/>
            <w:tcBorders>
              <w:top w:val="single" w:color="auto" w:sz="4" w:space="0"/>
              <w:left w:val="single" w:color="auto" w:sz="4" w:space="0"/>
              <w:bottom w:val="single" w:color="auto" w:sz="4" w:space="0"/>
              <w:right w:val="single" w:color="auto" w:sz="4" w:space="0"/>
            </w:tcBorders>
            <w:vAlign w:val="center"/>
          </w:tcPr>
          <w:p w14:paraId="0725D822">
            <w:pPr>
              <w:rPr>
                <w:rFonts w:ascii="Times New Roman" w:hAnsi="Times New Roman" w:eastAsia="仿宋_GB2312" w:cs="Times New Roman"/>
                <w:color w:val="auto"/>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4C9F87D1">
            <w:pPr>
              <w:rPr>
                <w:rFonts w:ascii="Times New Roman" w:hAnsi="Times New Roman" w:eastAsia="仿宋_GB2312" w:cs="Times New Roman"/>
                <w:color w:val="auto"/>
                <w:sz w:val="24"/>
                <w:szCs w:val="24"/>
              </w:rPr>
            </w:pPr>
          </w:p>
        </w:tc>
      </w:tr>
      <w:tr w14:paraId="1933CF9D">
        <w:tblPrEx>
          <w:tblCellMar>
            <w:top w:w="0" w:type="dxa"/>
            <w:left w:w="0" w:type="dxa"/>
            <w:bottom w:w="0" w:type="dxa"/>
            <w:right w:w="0" w:type="dxa"/>
          </w:tblCellMar>
        </w:tblPrEx>
        <w:trPr>
          <w:trHeight w:val="450" w:hRule="atLeast"/>
          <w:jc w:val="center"/>
        </w:trPr>
        <w:tc>
          <w:tcPr>
            <w:tcW w:w="395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F773B0">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栏次</w:t>
            </w:r>
          </w:p>
        </w:tc>
        <w:tc>
          <w:tcPr>
            <w:tcW w:w="16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7650C4">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1</w:t>
            </w:r>
          </w:p>
        </w:tc>
        <w:tc>
          <w:tcPr>
            <w:tcW w:w="16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3EA51D">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2</w:t>
            </w:r>
          </w:p>
        </w:tc>
        <w:tc>
          <w:tcPr>
            <w:tcW w:w="14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2E7D78">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3</w:t>
            </w:r>
          </w:p>
        </w:tc>
        <w:tc>
          <w:tcPr>
            <w:tcW w:w="16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461E05">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4</w:t>
            </w:r>
          </w:p>
        </w:tc>
        <w:tc>
          <w:tcPr>
            <w:tcW w:w="18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243410">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5</w:t>
            </w:r>
          </w:p>
        </w:tc>
        <w:tc>
          <w:tcPr>
            <w:tcW w:w="108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46F0E26">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A3D7BC">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7</w:t>
            </w:r>
          </w:p>
        </w:tc>
      </w:tr>
      <w:tr w14:paraId="054C28ED">
        <w:tblPrEx>
          <w:tblCellMar>
            <w:top w:w="0" w:type="dxa"/>
            <w:left w:w="0" w:type="dxa"/>
            <w:bottom w:w="0" w:type="dxa"/>
            <w:right w:w="0" w:type="dxa"/>
          </w:tblCellMar>
        </w:tblPrEx>
        <w:trPr>
          <w:trHeight w:val="450" w:hRule="atLeast"/>
          <w:jc w:val="center"/>
        </w:trPr>
        <w:tc>
          <w:tcPr>
            <w:tcW w:w="395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D6A311">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合计</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5537D4">
            <w:pPr>
              <w:jc w:val="right"/>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lang w:val="en-US" w:eastAsia="zh-CN"/>
              </w:rPr>
              <w:t>3126.69</w:t>
            </w:r>
            <w:r>
              <w:rPr>
                <w:rFonts w:ascii="Times New Roman" w:hAnsi="Times New Roman" w:eastAsia="仿宋_GB2312" w:cs="Times New Roman"/>
                <w:color w:val="auto"/>
              </w:rPr>
              <w:t>　</w:t>
            </w: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8CE928">
            <w:pPr>
              <w:jc w:val="right"/>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lang w:val="en-US" w:eastAsia="zh-CN"/>
              </w:rPr>
              <w:t>1383.34</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860636">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7B663B">
            <w:pPr>
              <w:jc w:val="right"/>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lang w:val="en-US" w:eastAsia="zh-CN"/>
              </w:rPr>
              <w:t>1743.35</w:t>
            </w:r>
            <w:r>
              <w:rPr>
                <w:rFonts w:ascii="Times New Roman" w:hAnsi="Times New Roman" w:eastAsia="仿宋_GB2312" w:cs="Times New Roman"/>
                <w:color w:val="auto"/>
              </w:rPr>
              <w:t>　</w:t>
            </w: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3F6A34">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0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992FC0">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5A8181">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r>
      <w:tr w14:paraId="34C8B0D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2C7F7B">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2080505</w:t>
            </w:r>
          </w:p>
        </w:tc>
        <w:tc>
          <w:tcPr>
            <w:tcW w:w="20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8BE700">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机关事业单位基本养老保险缴费支出</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8A87CD">
            <w:pPr>
              <w:jc w:val="right"/>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67.31</w:t>
            </w: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CA329A">
            <w:pPr>
              <w:jc w:val="right"/>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67.31</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2AD4EE">
            <w:pPr>
              <w:jc w:val="right"/>
              <w:rPr>
                <w:rFonts w:ascii="Times New Roman" w:hAnsi="Times New Roman" w:eastAsia="仿宋_GB2312" w:cs="Times New Roman"/>
                <w:color w:val="auto"/>
                <w:sz w:val="24"/>
                <w:szCs w:val="24"/>
              </w:rPr>
            </w:pP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C554DD">
            <w:pPr>
              <w:jc w:val="right"/>
              <w:rPr>
                <w:rFonts w:ascii="Times New Roman" w:hAnsi="Times New Roman" w:eastAsia="仿宋_GB2312" w:cs="Times New Roman"/>
                <w:color w:val="auto"/>
                <w:sz w:val="24"/>
                <w:szCs w:val="24"/>
              </w:rPr>
            </w:pP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9ADBE1">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0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9FF8CC">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E3AA8C">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r>
      <w:tr w14:paraId="30DCC07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12B10F">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2080599</w:t>
            </w:r>
          </w:p>
        </w:tc>
        <w:tc>
          <w:tcPr>
            <w:tcW w:w="20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128C33">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其他行政事业单位养老支出</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69264A">
            <w:pPr>
              <w:jc w:val="right"/>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16.55</w:t>
            </w: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5A8442">
            <w:pPr>
              <w:jc w:val="right"/>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16.55</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9735F4">
            <w:pPr>
              <w:jc w:val="right"/>
              <w:rPr>
                <w:rFonts w:ascii="Times New Roman" w:hAnsi="Times New Roman" w:eastAsia="仿宋_GB2312" w:cs="Times New Roman"/>
                <w:color w:val="auto"/>
                <w:sz w:val="24"/>
                <w:szCs w:val="24"/>
              </w:rPr>
            </w:pP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43E70C">
            <w:pPr>
              <w:jc w:val="right"/>
              <w:rPr>
                <w:rFonts w:ascii="Times New Roman" w:hAnsi="Times New Roman" w:eastAsia="仿宋_GB2312" w:cs="Times New Roman"/>
                <w:color w:val="auto"/>
                <w:sz w:val="24"/>
                <w:szCs w:val="24"/>
              </w:rPr>
            </w:pP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F6E152">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0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35A4F4">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5E3B15">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r>
      <w:tr w14:paraId="31036FB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26757F">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2080801</w:t>
            </w:r>
          </w:p>
        </w:tc>
        <w:tc>
          <w:tcPr>
            <w:tcW w:w="2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6F5440">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死亡抚恤</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DB9A9C">
            <w:pPr>
              <w:jc w:val="right"/>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24.67</w:t>
            </w: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748264">
            <w:pPr>
              <w:jc w:val="right"/>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24.67</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BD8F92">
            <w:pPr>
              <w:jc w:val="right"/>
              <w:rPr>
                <w:rFonts w:ascii="Times New Roman" w:hAnsi="Times New Roman" w:eastAsia="仿宋_GB2312" w:cs="Times New Roman"/>
                <w:color w:val="auto"/>
                <w:sz w:val="24"/>
                <w:szCs w:val="24"/>
              </w:rPr>
            </w:pP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C278D1">
            <w:pPr>
              <w:jc w:val="right"/>
              <w:rPr>
                <w:rFonts w:ascii="Times New Roman" w:hAnsi="Times New Roman" w:eastAsia="仿宋_GB2312" w:cs="Times New Roman"/>
                <w:color w:val="auto"/>
                <w:sz w:val="24"/>
                <w:szCs w:val="24"/>
              </w:rPr>
            </w:pP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6EE7C5">
            <w:pPr>
              <w:jc w:val="right"/>
              <w:rPr>
                <w:rFonts w:ascii="Times New Roman" w:hAnsi="Times New Roman" w:eastAsia="仿宋_GB2312" w:cs="Times New Roman"/>
                <w:color w:val="auto"/>
              </w:rPr>
            </w:pPr>
          </w:p>
        </w:tc>
        <w:tc>
          <w:tcPr>
            <w:tcW w:w="10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CAA2C7">
            <w:pPr>
              <w:jc w:val="right"/>
              <w:rPr>
                <w:rFonts w:ascii="Times New Roman" w:hAnsi="Times New Roman" w:eastAsia="仿宋_GB2312" w:cs="Times New Roman"/>
                <w:color w:val="auto"/>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016BBC">
            <w:pPr>
              <w:jc w:val="right"/>
              <w:rPr>
                <w:rFonts w:ascii="Times New Roman" w:hAnsi="Times New Roman" w:eastAsia="仿宋_GB2312" w:cs="Times New Roman"/>
                <w:color w:val="auto"/>
              </w:rPr>
            </w:pPr>
          </w:p>
        </w:tc>
      </w:tr>
      <w:tr w14:paraId="7931E26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C99B70">
            <w:pPr>
              <w:widowControl/>
              <w:jc w:val="left"/>
              <w:rPr>
                <w:rFonts w:hint="default" w:eastAsia="仿宋_GB2312" w:asciiTheme="minorHAnsi" w:hAnsiTheme="minorHAnsi" w:cstheme="minorBidi"/>
                <w:color w:val="auto"/>
                <w:kern w:val="0"/>
                <w:sz w:val="21"/>
                <w:szCs w:val="21"/>
                <w:lang w:val="en-US" w:eastAsia="zh-CN" w:bidi="ar-SA"/>
              </w:rPr>
            </w:pPr>
            <w:r>
              <w:rPr>
                <w:rFonts w:hint="eastAsia" w:ascii="Times New Roman" w:hAnsi="Times New Roman" w:eastAsia="仿宋_GB2312" w:cs="Times New Roman"/>
                <w:color w:val="auto"/>
                <w:kern w:val="0"/>
                <w:sz w:val="24"/>
                <w:szCs w:val="24"/>
                <w:lang w:val="en-US" w:eastAsia="zh-CN" w:bidi="ar-SA"/>
              </w:rPr>
              <w:t>2100302</w:t>
            </w:r>
          </w:p>
        </w:tc>
        <w:tc>
          <w:tcPr>
            <w:tcW w:w="2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6005A2">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乡镇卫生院</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F31F9F">
            <w:pPr>
              <w:jc w:val="right"/>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2222.07</w:t>
            </w: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39388A">
            <w:pPr>
              <w:jc w:val="right"/>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478.71</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AD5977">
            <w:pPr>
              <w:jc w:val="right"/>
              <w:rPr>
                <w:rFonts w:ascii="Times New Roman" w:hAnsi="Times New Roman" w:eastAsia="仿宋_GB2312" w:cs="Times New Roman"/>
                <w:color w:val="auto"/>
                <w:sz w:val="24"/>
                <w:szCs w:val="24"/>
              </w:rPr>
            </w:pP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9B8B13">
            <w:pPr>
              <w:jc w:val="right"/>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1743.35</w:t>
            </w: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766327">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0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421358">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99A718">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r>
      <w:tr w14:paraId="1FEE7D52">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B54B20">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2100399</w:t>
            </w:r>
          </w:p>
        </w:tc>
        <w:tc>
          <w:tcPr>
            <w:tcW w:w="2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0893D9">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其他基层医疗卫生机构支出</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0BF0D1">
            <w:pPr>
              <w:jc w:val="right"/>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103.53</w:t>
            </w: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9E38EC">
            <w:pPr>
              <w:jc w:val="right"/>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103.53</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400DA9">
            <w:pPr>
              <w:jc w:val="right"/>
              <w:rPr>
                <w:rFonts w:ascii="Times New Roman" w:hAnsi="Times New Roman" w:eastAsia="仿宋_GB2312" w:cs="Times New Roman"/>
                <w:color w:val="auto"/>
                <w:sz w:val="24"/>
                <w:szCs w:val="24"/>
              </w:rPr>
            </w:pP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F2F493">
            <w:pPr>
              <w:jc w:val="right"/>
              <w:rPr>
                <w:rFonts w:ascii="Times New Roman" w:hAnsi="Times New Roman" w:eastAsia="仿宋_GB2312" w:cs="Times New Roman"/>
                <w:color w:val="auto"/>
                <w:sz w:val="24"/>
                <w:szCs w:val="24"/>
              </w:rPr>
            </w:pP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900CE8">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0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C7C7A6">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93CA5B">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r>
      <w:tr w14:paraId="14C9AF1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99AD10B">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2100408</w:t>
            </w:r>
          </w:p>
        </w:tc>
        <w:tc>
          <w:tcPr>
            <w:tcW w:w="2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F3A352">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基本公共卫生服务</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C23A43">
            <w:pPr>
              <w:jc w:val="right"/>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667.56</w:t>
            </w: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CEDAEE">
            <w:pPr>
              <w:jc w:val="right"/>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667.56</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1FDE50">
            <w:pPr>
              <w:jc w:val="right"/>
              <w:rPr>
                <w:rFonts w:ascii="Times New Roman" w:hAnsi="Times New Roman" w:eastAsia="仿宋_GB2312" w:cs="Times New Roman"/>
                <w:color w:val="auto"/>
                <w:sz w:val="24"/>
                <w:szCs w:val="24"/>
              </w:rPr>
            </w:pP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077CE3">
            <w:pPr>
              <w:jc w:val="right"/>
              <w:rPr>
                <w:rFonts w:ascii="Times New Roman" w:hAnsi="Times New Roman" w:eastAsia="仿宋_GB2312" w:cs="Times New Roman"/>
                <w:color w:val="auto"/>
                <w:sz w:val="24"/>
                <w:szCs w:val="24"/>
              </w:rPr>
            </w:pP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B79B37">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0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66A698">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8D672A">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r>
      <w:tr w14:paraId="123BE70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76D069">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2101102</w:t>
            </w:r>
          </w:p>
        </w:tc>
        <w:tc>
          <w:tcPr>
            <w:tcW w:w="20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9FE905">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事业单位医疗</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5566ED">
            <w:pPr>
              <w:jc w:val="right"/>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25.01</w:t>
            </w: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4FC221">
            <w:pPr>
              <w:jc w:val="right"/>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25.01</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4ED3EC">
            <w:pPr>
              <w:jc w:val="right"/>
              <w:rPr>
                <w:rFonts w:ascii="Times New Roman" w:hAnsi="Times New Roman" w:eastAsia="仿宋_GB2312" w:cs="Times New Roman"/>
                <w:color w:val="auto"/>
                <w:sz w:val="24"/>
                <w:szCs w:val="24"/>
              </w:rPr>
            </w:pP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51AE94">
            <w:pPr>
              <w:jc w:val="right"/>
              <w:rPr>
                <w:rFonts w:ascii="Times New Roman" w:hAnsi="Times New Roman" w:eastAsia="仿宋_GB2312" w:cs="Times New Roman"/>
                <w:color w:val="auto"/>
                <w:sz w:val="24"/>
                <w:szCs w:val="24"/>
              </w:rPr>
            </w:pP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144CF7">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0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430E6F">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B999E7">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r>
    </w:tbl>
    <w:p w14:paraId="13EE60CC">
      <w:pPr>
        <w:spacing w:before="120"/>
        <w:rPr>
          <w:rFonts w:ascii="Times New Roman" w:hAnsi="Times New Roman" w:eastAsia="仿宋_GB2312" w:cs="Times New Roman"/>
          <w:color w:val="auto"/>
          <w:sz w:val="24"/>
          <w:szCs w:val="24"/>
        </w:rPr>
      </w:pPr>
      <w:r>
        <w:rPr>
          <w:rFonts w:ascii="Times New Roman" w:hAnsi="Times New Roman" w:eastAsia="仿宋_GB2312" w:cs="Times New Roman"/>
          <w:color w:val="auto"/>
        </w:rPr>
        <w:t>注：本表反映部门本年度取得的各项收入情况。</w:t>
      </w:r>
    </w:p>
    <w:p w14:paraId="6B4B261B">
      <w:pPr>
        <w:widowControl/>
        <w:jc w:val="left"/>
        <w:rPr>
          <w:rFonts w:ascii="Times New Roman" w:hAnsi="Times New Roman" w:eastAsia="黑体" w:cs="Times New Roman"/>
          <w:bCs/>
          <w:color w:val="auto"/>
          <w:kern w:val="0"/>
          <w:sz w:val="32"/>
          <w:szCs w:val="32"/>
        </w:rPr>
      </w:pPr>
      <w:r>
        <w:rPr>
          <w:rFonts w:ascii="Times New Roman" w:hAnsi="Times New Roman" w:eastAsia="黑体" w:cs="Times New Roman"/>
          <w:bCs/>
          <w:color w:val="auto"/>
          <w:kern w:val="0"/>
          <w:sz w:val="32"/>
          <w:szCs w:val="32"/>
        </w:rPr>
        <w:t xml:space="preserve"> </w:t>
      </w:r>
      <w:r>
        <w:rPr>
          <w:rFonts w:ascii="Times New Roman" w:hAnsi="Times New Roman" w:eastAsia="黑体" w:cs="Times New Roman"/>
          <w:bCs/>
          <w:color w:val="auto"/>
          <w:kern w:val="0"/>
          <w:sz w:val="32"/>
          <w:szCs w:val="32"/>
        </w:rPr>
        <w:br w:type="page"/>
      </w:r>
    </w:p>
    <w:p w14:paraId="77988033">
      <w:pPr>
        <w:widowControl/>
        <w:jc w:val="center"/>
        <w:textAlignment w:val="center"/>
        <w:rPr>
          <w:rFonts w:ascii="Times New Roman" w:hAnsi="Times New Roman" w:eastAsia="黑体" w:cs="Times New Roman"/>
          <w:color w:val="auto"/>
          <w:kern w:val="0"/>
          <w:sz w:val="32"/>
          <w:szCs w:val="32"/>
          <w:lang w:bidi="ar"/>
        </w:rPr>
      </w:pPr>
    </w:p>
    <w:p w14:paraId="7A6F0DF1">
      <w:pPr>
        <w:widowControl/>
        <w:spacing w:after="156" w:afterLines="50"/>
        <w:jc w:val="center"/>
        <w:textAlignment w:val="center"/>
        <w:rPr>
          <w:rFonts w:ascii="Times New Roman" w:hAnsi="Times New Roman" w:eastAsia="黑体" w:cs="Times New Roman"/>
          <w:color w:val="auto"/>
          <w:kern w:val="0"/>
          <w:sz w:val="36"/>
          <w:szCs w:val="36"/>
          <w:lang w:bidi="ar"/>
        </w:rPr>
      </w:pPr>
      <w:r>
        <w:rPr>
          <w:rFonts w:ascii="Times New Roman" w:hAnsi="Times New Roman" w:eastAsia="黑体" w:cs="Times New Roman"/>
          <w:color w:val="auto"/>
          <w:kern w:val="0"/>
          <w:sz w:val="36"/>
          <w:szCs w:val="36"/>
          <w:lang w:bidi="ar"/>
        </w:rPr>
        <w:t>支出决算表</w:t>
      </w:r>
    </w:p>
    <w:p w14:paraId="14324B9B">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0"/>
          <w:szCs w:val="20"/>
        </w:rPr>
        <w:t>公开03表</w:t>
      </w:r>
    </w:p>
    <w:p w14:paraId="71B1F1BE">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0"/>
          <w:szCs w:val="20"/>
        </w:rPr>
        <w:t>部门：</w:t>
      </w:r>
      <w:r>
        <w:rPr>
          <w:rFonts w:hint="eastAsia" w:ascii="Times New Roman" w:hAnsi="Times New Roman" w:eastAsia="楷体_GB2312" w:cs="Times New Roman"/>
          <w:color w:val="auto"/>
          <w:kern w:val="0"/>
          <w:sz w:val="20"/>
          <w:szCs w:val="20"/>
          <w:lang w:eastAsia="zh-CN" w:bidi="ar"/>
        </w:rPr>
        <w:t>蓝山县塔峰镇中心卫生院</w:t>
      </w:r>
      <w:r>
        <w:rPr>
          <w:rFonts w:ascii="Times New Roman" w:hAnsi="Times New Roman" w:eastAsia="仿宋_GB2312" w:cs="Times New Roman"/>
          <w:color w:val="auto"/>
          <w:kern w:val="0"/>
          <w:sz w:val="20"/>
          <w:szCs w:val="20"/>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0"/>
          <w:szCs w:val="20"/>
        </w:rPr>
        <w:t>单位：万元</w:t>
      </w:r>
    </w:p>
    <w:tbl>
      <w:tblPr>
        <w:tblStyle w:val="8"/>
        <w:tblW w:w="4997" w:type="pct"/>
        <w:jc w:val="center"/>
        <w:tblLayout w:type="autofit"/>
        <w:tblCellMar>
          <w:top w:w="0" w:type="dxa"/>
          <w:left w:w="108" w:type="dxa"/>
          <w:bottom w:w="0" w:type="dxa"/>
          <w:right w:w="108" w:type="dxa"/>
        </w:tblCellMar>
      </w:tblPr>
      <w:tblGrid>
        <w:gridCol w:w="1256"/>
        <w:gridCol w:w="2507"/>
        <w:gridCol w:w="1877"/>
        <w:gridCol w:w="1334"/>
        <w:gridCol w:w="1333"/>
        <w:gridCol w:w="1876"/>
        <w:gridCol w:w="1333"/>
        <w:gridCol w:w="2698"/>
      </w:tblGrid>
      <w:tr w14:paraId="230D59B3">
        <w:tblPrEx>
          <w:tblCellMar>
            <w:top w:w="0" w:type="dxa"/>
            <w:left w:w="108" w:type="dxa"/>
            <w:bottom w:w="0" w:type="dxa"/>
            <w:right w:w="108" w:type="dxa"/>
          </w:tblCellMar>
        </w:tblPrEx>
        <w:trPr>
          <w:trHeight w:val="595" w:hRule="atLeast"/>
          <w:jc w:val="center"/>
        </w:trPr>
        <w:tc>
          <w:tcPr>
            <w:tcW w:w="376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04A4D33">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项    目</w:t>
            </w:r>
          </w:p>
        </w:tc>
        <w:tc>
          <w:tcPr>
            <w:tcW w:w="187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86923DB">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本年支出合计</w:t>
            </w:r>
          </w:p>
        </w:tc>
        <w:tc>
          <w:tcPr>
            <w:tcW w:w="133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B8C4CD2">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基本支出</w:t>
            </w:r>
          </w:p>
        </w:tc>
        <w:tc>
          <w:tcPr>
            <w:tcW w:w="133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D5AF414">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项目支出</w:t>
            </w:r>
          </w:p>
        </w:tc>
        <w:tc>
          <w:tcPr>
            <w:tcW w:w="187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F2F9B16">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上缴上级支出</w:t>
            </w:r>
          </w:p>
        </w:tc>
        <w:tc>
          <w:tcPr>
            <w:tcW w:w="133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33C081D">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经营支出</w:t>
            </w:r>
          </w:p>
        </w:tc>
        <w:tc>
          <w:tcPr>
            <w:tcW w:w="269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CCE31F4">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对附属单位补助支出</w:t>
            </w:r>
          </w:p>
        </w:tc>
      </w:tr>
      <w:tr w14:paraId="77EBAFAE">
        <w:tblPrEx>
          <w:tblCellMar>
            <w:top w:w="0" w:type="dxa"/>
            <w:left w:w="108" w:type="dxa"/>
            <w:bottom w:w="0" w:type="dxa"/>
            <w:right w:w="108" w:type="dxa"/>
          </w:tblCellMar>
        </w:tblPrEx>
        <w:trPr>
          <w:trHeight w:val="312" w:hRule="exact"/>
          <w:jc w:val="center"/>
        </w:trPr>
        <w:tc>
          <w:tcPr>
            <w:tcW w:w="125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9327739">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功能分类科目编码</w:t>
            </w:r>
          </w:p>
        </w:tc>
        <w:tc>
          <w:tcPr>
            <w:tcW w:w="2507" w:type="dxa"/>
            <w:vMerge w:val="restart"/>
            <w:tcBorders>
              <w:top w:val="nil"/>
              <w:left w:val="single" w:color="auto" w:sz="4" w:space="0"/>
              <w:bottom w:val="single" w:color="auto" w:sz="4" w:space="0"/>
              <w:right w:val="single" w:color="auto" w:sz="4" w:space="0"/>
            </w:tcBorders>
            <w:shd w:val="clear" w:color="000000" w:fill="FFFFFF"/>
            <w:vAlign w:val="center"/>
          </w:tcPr>
          <w:p w14:paraId="5E67D44E">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科目名称</w:t>
            </w:r>
          </w:p>
        </w:tc>
        <w:tc>
          <w:tcPr>
            <w:tcW w:w="1877" w:type="dxa"/>
            <w:vMerge w:val="continue"/>
            <w:tcBorders>
              <w:top w:val="single" w:color="auto" w:sz="4" w:space="0"/>
              <w:left w:val="single" w:color="auto" w:sz="4" w:space="0"/>
              <w:bottom w:val="single" w:color="auto" w:sz="4" w:space="0"/>
              <w:right w:val="single" w:color="auto" w:sz="4" w:space="0"/>
            </w:tcBorders>
            <w:vAlign w:val="center"/>
          </w:tcPr>
          <w:p w14:paraId="7AB8DB63">
            <w:pPr>
              <w:widowControl/>
              <w:jc w:val="left"/>
              <w:rPr>
                <w:rFonts w:ascii="Times New Roman" w:hAnsi="Times New Roman" w:eastAsia="仿宋_GB2312" w:cs="Times New Roman"/>
                <w:b/>
                <w:bCs/>
                <w:color w:val="auto"/>
                <w:kern w:val="0"/>
                <w:sz w:val="24"/>
                <w:szCs w:val="24"/>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14:paraId="6D9EE727">
            <w:pPr>
              <w:widowControl/>
              <w:jc w:val="left"/>
              <w:rPr>
                <w:rFonts w:ascii="Times New Roman" w:hAnsi="Times New Roman" w:eastAsia="仿宋_GB2312" w:cs="Times New Roman"/>
                <w:b/>
                <w:bCs/>
                <w:color w:val="auto"/>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14:paraId="7D2E9E84">
            <w:pPr>
              <w:widowControl/>
              <w:jc w:val="left"/>
              <w:rPr>
                <w:rFonts w:ascii="Times New Roman" w:hAnsi="Times New Roman" w:eastAsia="仿宋_GB2312" w:cs="Times New Roman"/>
                <w:b/>
                <w:bCs/>
                <w:color w:val="auto"/>
                <w:kern w:val="0"/>
                <w:sz w:val="24"/>
                <w:szCs w:val="24"/>
              </w:rPr>
            </w:pPr>
          </w:p>
        </w:tc>
        <w:tc>
          <w:tcPr>
            <w:tcW w:w="1876" w:type="dxa"/>
            <w:vMerge w:val="continue"/>
            <w:tcBorders>
              <w:top w:val="single" w:color="auto" w:sz="4" w:space="0"/>
              <w:left w:val="single" w:color="auto" w:sz="4" w:space="0"/>
              <w:bottom w:val="single" w:color="auto" w:sz="4" w:space="0"/>
              <w:right w:val="single" w:color="auto" w:sz="4" w:space="0"/>
            </w:tcBorders>
            <w:vAlign w:val="center"/>
          </w:tcPr>
          <w:p w14:paraId="5631425E">
            <w:pPr>
              <w:widowControl/>
              <w:jc w:val="left"/>
              <w:rPr>
                <w:rFonts w:ascii="Times New Roman" w:hAnsi="Times New Roman" w:eastAsia="仿宋_GB2312" w:cs="Times New Roman"/>
                <w:b/>
                <w:bCs/>
                <w:color w:val="auto"/>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14:paraId="27969F74">
            <w:pPr>
              <w:widowControl/>
              <w:jc w:val="left"/>
              <w:rPr>
                <w:rFonts w:ascii="Times New Roman" w:hAnsi="Times New Roman" w:eastAsia="仿宋_GB2312" w:cs="Times New Roman"/>
                <w:b/>
                <w:bCs/>
                <w:color w:val="auto"/>
                <w:kern w:val="0"/>
                <w:sz w:val="24"/>
                <w:szCs w:val="24"/>
              </w:rPr>
            </w:pPr>
          </w:p>
        </w:tc>
        <w:tc>
          <w:tcPr>
            <w:tcW w:w="2698" w:type="dxa"/>
            <w:vMerge w:val="continue"/>
            <w:tcBorders>
              <w:top w:val="single" w:color="auto" w:sz="4" w:space="0"/>
              <w:left w:val="single" w:color="auto" w:sz="4" w:space="0"/>
              <w:bottom w:val="single" w:color="auto" w:sz="4" w:space="0"/>
              <w:right w:val="single" w:color="auto" w:sz="4" w:space="0"/>
            </w:tcBorders>
            <w:vAlign w:val="center"/>
          </w:tcPr>
          <w:p w14:paraId="19DDE933">
            <w:pPr>
              <w:widowControl/>
              <w:jc w:val="left"/>
              <w:rPr>
                <w:rFonts w:ascii="Times New Roman" w:hAnsi="Times New Roman" w:eastAsia="仿宋_GB2312" w:cs="Times New Roman"/>
                <w:b/>
                <w:bCs/>
                <w:color w:val="auto"/>
                <w:kern w:val="0"/>
                <w:sz w:val="24"/>
                <w:szCs w:val="24"/>
              </w:rPr>
            </w:pPr>
          </w:p>
        </w:tc>
      </w:tr>
      <w:tr w14:paraId="2EA83EC1">
        <w:tblPrEx>
          <w:tblCellMar>
            <w:top w:w="0" w:type="dxa"/>
            <w:left w:w="108" w:type="dxa"/>
            <w:bottom w:w="0" w:type="dxa"/>
            <w:right w:w="108" w:type="dxa"/>
          </w:tblCellMar>
        </w:tblPrEx>
        <w:trPr>
          <w:trHeight w:val="59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2464ADC">
            <w:pPr>
              <w:widowControl/>
              <w:jc w:val="left"/>
              <w:rPr>
                <w:rFonts w:ascii="Times New Roman" w:hAnsi="Times New Roman" w:eastAsia="仿宋_GB2312" w:cs="Times New Roman"/>
                <w:color w:val="auto"/>
                <w:kern w:val="0"/>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14:paraId="14E56570">
            <w:pPr>
              <w:widowControl/>
              <w:jc w:val="left"/>
              <w:rPr>
                <w:rFonts w:ascii="Times New Roman" w:hAnsi="Times New Roman" w:eastAsia="仿宋_GB2312" w:cs="Times New Roman"/>
                <w:color w:val="auto"/>
                <w:kern w:val="0"/>
                <w:sz w:val="24"/>
                <w:szCs w:val="24"/>
              </w:rPr>
            </w:pPr>
          </w:p>
        </w:tc>
        <w:tc>
          <w:tcPr>
            <w:tcW w:w="1877" w:type="dxa"/>
            <w:vMerge w:val="continue"/>
            <w:tcBorders>
              <w:top w:val="single" w:color="auto" w:sz="4" w:space="0"/>
              <w:left w:val="single" w:color="auto" w:sz="4" w:space="0"/>
              <w:bottom w:val="single" w:color="auto" w:sz="4" w:space="0"/>
              <w:right w:val="single" w:color="auto" w:sz="4" w:space="0"/>
            </w:tcBorders>
            <w:vAlign w:val="center"/>
          </w:tcPr>
          <w:p w14:paraId="0AC827F6">
            <w:pPr>
              <w:widowControl/>
              <w:jc w:val="left"/>
              <w:rPr>
                <w:rFonts w:ascii="Times New Roman" w:hAnsi="Times New Roman" w:eastAsia="仿宋_GB2312" w:cs="Times New Roman"/>
                <w:color w:val="auto"/>
                <w:kern w:val="0"/>
                <w:sz w:val="24"/>
                <w:szCs w:val="24"/>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14:paraId="48A1A40D">
            <w:pPr>
              <w:widowControl/>
              <w:jc w:val="left"/>
              <w:rPr>
                <w:rFonts w:ascii="Times New Roman" w:hAnsi="Times New Roman" w:eastAsia="仿宋_GB2312" w:cs="Times New Roman"/>
                <w:color w:val="auto"/>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14:paraId="6BBD9F15">
            <w:pPr>
              <w:widowControl/>
              <w:jc w:val="left"/>
              <w:rPr>
                <w:rFonts w:ascii="Times New Roman" w:hAnsi="Times New Roman" w:eastAsia="仿宋_GB2312" w:cs="Times New Roman"/>
                <w:color w:val="auto"/>
                <w:kern w:val="0"/>
                <w:sz w:val="24"/>
                <w:szCs w:val="24"/>
              </w:rPr>
            </w:pPr>
          </w:p>
        </w:tc>
        <w:tc>
          <w:tcPr>
            <w:tcW w:w="1876" w:type="dxa"/>
            <w:vMerge w:val="continue"/>
            <w:tcBorders>
              <w:top w:val="single" w:color="auto" w:sz="4" w:space="0"/>
              <w:left w:val="single" w:color="auto" w:sz="4" w:space="0"/>
              <w:bottom w:val="single" w:color="auto" w:sz="4" w:space="0"/>
              <w:right w:val="single" w:color="auto" w:sz="4" w:space="0"/>
            </w:tcBorders>
            <w:vAlign w:val="center"/>
          </w:tcPr>
          <w:p w14:paraId="11B92177">
            <w:pPr>
              <w:widowControl/>
              <w:jc w:val="left"/>
              <w:rPr>
                <w:rFonts w:ascii="Times New Roman" w:hAnsi="Times New Roman" w:eastAsia="仿宋_GB2312" w:cs="Times New Roman"/>
                <w:color w:val="auto"/>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14:paraId="55F0ED52">
            <w:pPr>
              <w:widowControl/>
              <w:jc w:val="left"/>
              <w:rPr>
                <w:rFonts w:ascii="Times New Roman" w:hAnsi="Times New Roman" w:eastAsia="仿宋_GB2312" w:cs="Times New Roman"/>
                <w:color w:val="auto"/>
                <w:kern w:val="0"/>
                <w:sz w:val="24"/>
                <w:szCs w:val="24"/>
              </w:rPr>
            </w:pPr>
          </w:p>
        </w:tc>
        <w:tc>
          <w:tcPr>
            <w:tcW w:w="2698" w:type="dxa"/>
            <w:vMerge w:val="continue"/>
            <w:tcBorders>
              <w:top w:val="single" w:color="auto" w:sz="4" w:space="0"/>
              <w:left w:val="single" w:color="auto" w:sz="4" w:space="0"/>
              <w:bottom w:val="single" w:color="auto" w:sz="4" w:space="0"/>
              <w:right w:val="single" w:color="auto" w:sz="4" w:space="0"/>
            </w:tcBorders>
            <w:vAlign w:val="center"/>
          </w:tcPr>
          <w:p w14:paraId="4887CF00">
            <w:pPr>
              <w:widowControl/>
              <w:jc w:val="left"/>
              <w:rPr>
                <w:rFonts w:ascii="Times New Roman" w:hAnsi="Times New Roman" w:eastAsia="仿宋_GB2312" w:cs="Times New Roman"/>
                <w:color w:val="auto"/>
                <w:kern w:val="0"/>
                <w:sz w:val="24"/>
                <w:szCs w:val="24"/>
              </w:rPr>
            </w:pPr>
          </w:p>
        </w:tc>
      </w:tr>
      <w:tr w14:paraId="4BCEE75D">
        <w:tblPrEx>
          <w:tblCellMar>
            <w:top w:w="0" w:type="dxa"/>
            <w:left w:w="108" w:type="dxa"/>
            <w:bottom w:w="0" w:type="dxa"/>
            <w:right w:w="108" w:type="dxa"/>
          </w:tblCellMar>
        </w:tblPrEx>
        <w:trPr>
          <w:trHeight w:val="595" w:hRule="atLeast"/>
          <w:jc w:val="center"/>
        </w:trPr>
        <w:tc>
          <w:tcPr>
            <w:tcW w:w="376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45A5A1A">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栏次</w:t>
            </w:r>
          </w:p>
        </w:tc>
        <w:tc>
          <w:tcPr>
            <w:tcW w:w="1877" w:type="dxa"/>
            <w:tcBorders>
              <w:top w:val="nil"/>
              <w:left w:val="nil"/>
              <w:bottom w:val="single" w:color="auto" w:sz="4" w:space="0"/>
              <w:right w:val="single" w:color="auto" w:sz="4" w:space="0"/>
            </w:tcBorders>
            <w:shd w:val="clear" w:color="000000" w:fill="FFFFFF"/>
            <w:noWrap/>
            <w:vAlign w:val="center"/>
          </w:tcPr>
          <w:p w14:paraId="5A46E487">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1</w:t>
            </w:r>
          </w:p>
        </w:tc>
        <w:tc>
          <w:tcPr>
            <w:tcW w:w="1334" w:type="dxa"/>
            <w:tcBorders>
              <w:top w:val="nil"/>
              <w:left w:val="nil"/>
              <w:bottom w:val="single" w:color="auto" w:sz="4" w:space="0"/>
              <w:right w:val="single" w:color="auto" w:sz="4" w:space="0"/>
            </w:tcBorders>
            <w:shd w:val="clear" w:color="000000" w:fill="FFFFFF"/>
            <w:noWrap/>
            <w:vAlign w:val="center"/>
          </w:tcPr>
          <w:p w14:paraId="7EE60CB6">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2</w:t>
            </w:r>
          </w:p>
        </w:tc>
        <w:tc>
          <w:tcPr>
            <w:tcW w:w="1333" w:type="dxa"/>
            <w:tcBorders>
              <w:top w:val="nil"/>
              <w:left w:val="nil"/>
              <w:bottom w:val="single" w:color="auto" w:sz="4" w:space="0"/>
              <w:right w:val="single" w:color="auto" w:sz="4" w:space="0"/>
            </w:tcBorders>
            <w:shd w:val="clear" w:color="000000" w:fill="FFFFFF"/>
            <w:noWrap/>
            <w:vAlign w:val="center"/>
          </w:tcPr>
          <w:p w14:paraId="532996A4">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3</w:t>
            </w:r>
          </w:p>
        </w:tc>
        <w:tc>
          <w:tcPr>
            <w:tcW w:w="1876" w:type="dxa"/>
            <w:tcBorders>
              <w:top w:val="nil"/>
              <w:left w:val="nil"/>
              <w:bottom w:val="single" w:color="auto" w:sz="4" w:space="0"/>
              <w:right w:val="single" w:color="auto" w:sz="4" w:space="0"/>
            </w:tcBorders>
            <w:shd w:val="clear" w:color="000000" w:fill="FFFFFF"/>
            <w:noWrap/>
            <w:vAlign w:val="center"/>
          </w:tcPr>
          <w:p w14:paraId="6762144F">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4</w:t>
            </w:r>
          </w:p>
        </w:tc>
        <w:tc>
          <w:tcPr>
            <w:tcW w:w="1333" w:type="dxa"/>
            <w:tcBorders>
              <w:top w:val="nil"/>
              <w:left w:val="nil"/>
              <w:bottom w:val="single" w:color="auto" w:sz="4" w:space="0"/>
              <w:right w:val="single" w:color="auto" w:sz="4" w:space="0"/>
            </w:tcBorders>
            <w:shd w:val="clear" w:color="000000" w:fill="FFFFFF"/>
            <w:noWrap/>
            <w:vAlign w:val="center"/>
          </w:tcPr>
          <w:p w14:paraId="27755DB2">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5</w:t>
            </w:r>
          </w:p>
        </w:tc>
        <w:tc>
          <w:tcPr>
            <w:tcW w:w="2698" w:type="dxa"/>
            <w:tcBorders>
              <w:top w:val="nil"/>
              <w:left w:val="nil"/>
              <w:bottom w:val="single" w:color="auto" w:sz="4" w:space="0"/>
              <w:right w:val="single" w:color="auto" w:sz="4" w:space="0"/>
            </w:tcBorders>
            <w:shd w:val="clear" w:color="000000" w:fill="FFFFFF"/>
            <w:noWrap/>
            <w:vAlign w:val="center"/>
          </w:tcPr>
          <w:p w14:paraId="1489218C">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6</w:t>
            </w:r>
          </w:p>
        </w:tc>
      </w:tr>
      <w:tr w14:paraId="3BD019DB">
        <w:tblPrEx>
          <w:tblCellMar>
            <w:top w:w="0" w:type="dxa"/>
            <w:left w:w="108" w:type="dxa"/>
            <w:bottom w:w="0" w:type="dxa"/>
            <w:right w:w="108" w:type="dxa"/>
          </w:tblCellMar>
        </w:tblPrEx>
        <w:trPr>
          <w:trHeight w:val="595" w:hRule="atLeast"/>
          <w:jc w:val="center"/>
        </w:trPr>
        <w:tc>
          <w:tcPr>
            <w:tcW w:w="376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E88F001">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合计</w:t>
            </w:r>
          </w:p>
        </w:tc>
        <w:tc>
          <w:tcPr>
            <w:tcW w:w="1877" w:type="dxa"/>
            <w:tcBorders>
              <w:top w:val="nil"/>
              <w:left w:val="nil"/>
              <w:bottom w:val="single" w:color="auto" w:sz="4" w:space="0"/>
              <w:right w:val="single" w:color="auto" w:sz="4" w:space="0"/>
            </w:tcBorders>
            <w:shd w:val="clear" w:color="auto" w:fill="auto"/>
            <w:noWrap/>
            <w:vAlign w:val="center"/>
          </w:tcPr>
          <w:p w14:paraId="49D2E18F">
            <w:pPr>
              <w:widowControl/>
              <w:jc w:val="right"/>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3126.69</w:t>
            </w:r>
          </w:p>
        </w:tc>
        <w:tc>
          <w:tcPr>
            <w:tcW w:w="1334" w:type="dxa"/>
            <w:tcBorders>
              <w:top w:val="nil"/>
              <w:left w:val="nil"/>
              <w:bottom w:val="single" w:color="auto" w:sz="4" w:space="0"/>
              <w:right w:val="single" w:color="auto" w:sz="4" w:space="0"/>
            </w:tcBorders>
            <w:shd w:val="clear" w:color="auto" w:fill="auto"/>
            <w:noWrap/>
            <w:vAlign w:val="center"/>
          </w:tcPr>
          <w:p w14:paraId="2C55F45D">
            <w:pPr>
              <w:widowControl/>
              <w:jc w:val="right"/>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2379.29</w:t>
            </w:r>
          </w:p>
        </w:tc>
        <w:tc>
          <w:tcPr>
            <w:tcW w:w="1333" w:type="dxa"/>
            <w:tcBorders>
              <w:top w:val="nil"/>
              <w:left w:val="nil"/>
              <w:bottom w:val="single" w:color="auto" w:sz="4" w:space="0"/>
              <w:right w:val="single" w:color="auto" w:sz="4" w:space="0"/>
            </w:tcBorders>
            <w:shd w:val="clear" w:color="auto" w:fill="auto"/>
            <w:noWrap/>
            <w:vAlign w:val="center"/>
          </w:tcPr>
          <w:p w14:paraId="1016BEAD">
            <w:pPr>
              <w:widowControl/>
              <w:jc w:val="right"/>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747.40</w:t>
            </w:r>
          </w:p>
        </w:tc>
        <w:tc>
          <w:tcPr>
            <w:tcW w:w="1876" w:type="dxa"/>
            <w:tcBorders>
              <w:top w:val="nil"/>
              <w:left w:val="nil"/>
              <w:bottom w:val="single" w:color="auto" w:sz="4" w:space="0"/>
              <w:right w:val="single" w:color="auto" w:sz="4" w:space="0"/>
            </w:tcBorders>
            <w:shd w:val="clear" w:color="auto" w:fill="auto"/>
            <w:noWrap/>
            <w:vAlign w:val="center"/>
          </w:tcPr>
          <w:p w14:paraId="1B3C5A40">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14:paraId="2DED6B1B">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2698" w:type="dxa"/>
            <w:tcBorders>
              <w:top w:val="nil"/>
              <w:left w:val="nil"/>
              <w:bottom w:val="single" w:color="auto" w:sz="4" w:space="0"/>
              <w:right w:val="single" w:color="auto" w:sz="4" w:space="0"/>
            </w:tcBorders>
            <w:shd w:val="clear" w:color="auto" w:fill="auto"/>
            <w:noWrap/>
            <w:vAlign w:val="center"/>
          </w:tcPr>
          <w:p w14:paraId="30DFA56C">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719ED6E0">
        <w:tblPrEx>
          <w:tblCellMar>
            <w:top w:w="0" w:type="dxa"/>
            <w:left w:w="108" w:type="dxa"/>
            <w:bottom w:w="0" w:type="dxa"/>
            <w:right w:w="108" w:type="dxa"/>
          </w:tblCellMar>
        </w:tblPrEx>
        <w:trPr>
          <w:trHeight w:val="595" w:hRule="atLeast"/>
          <w:jc w:val="center"/>
        </w:trPr>
        <w:tc>
          <w:tcPr>
            <w:tcW w:w="125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5ADCF21">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2080505</w:t>
            </w:r>
          </w:p>
        </w:tc>
        <w:tc>
          <w:tcPr>
            <w:tcW w:w="2507" w:type="dxa"/>
            <w:tcBorders>
              <w:top w:val="nil"/>
              <w:left w:val="nil"/>
              <w:bottom w:val="single" w:color="auto" w:sz="4" w:space="0"/>
              <w:right w:val="single" w:color="auto" w:sz="4" w:space="0"/>
            </w:tcBorders>
            <w:shd w:val="clear" w:color="000000" w:fill="FFFFFF"/>
            <w:noWrap/>
            <w:vAlign w:val="center"/>
          </w:tcPr>
          <w:p w14:paraId="554B3682">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机关事业单位基本养老保险缴费支出</w:t>
            </w:r>
          </w:p>
        </w:tc>
        <w:tc>
          <w:tcPr>
            <w:tcW w:w="1877" w:type="dxa"/>
            <w:tcBorders>
              <w:top w:val="nil"/>
              <w:left w:val="nil"/>
              <w:bottom w:val="single" w:color="auto" w:sz="4" w:space="0"/>
              <w:right w:val="single" w:color="auto" w:sz="4" w:space="0"/>
            </w:tcBorders>
            <w:shd w:val="clear" w:color="auto" w:fill="auto"/>
            <w:noWrap/>
            <w:vAlign w:val="center"/>
          </w:tcPr>
          <w:p w14:paraId="799CCFCB">
            <w:pPr>
              <w:widowControl/>
              <w:jc w:val="right"/>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67.31</w:t>
            </w:r>
          </w:p>
        </w:tc>
        <w:tc>
          <w:tcPr>
            <w:tcW w:w="1334" w:type="dxa"/>
            <w:tcBorders>
              <w:top w:val="nil"/>
              <w:left w:val="nil"/>
              <w:bottom w:val="single" w:color="auto" w:sz="4" w:space="0"/>
              <w:right w:val="single" w:color="auto" w:sz="4" w:space="0"/>
            </w:tcBorders>
            <w:shd w:val="clear" w:color="auto" w:fill="auto"/>
            <w:noWrap/>
            <w:vAlign w:val="center"/>
          </w:tcPr>
          <w:p w14:paraId="4A98A60B">
            <w:pPr>
              <w:widowControl/>
              <w:jc w:val="right"/>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67.31</w:t>
            </w:r>
          </w:p>
        </w:tc>
        <w:tc>
          <w:tcPr>
            <w:tcW w:w="1333" w:type="dxa"/>
            <w:tcBorders>
              <w:top w:val="nil"/>
              <w:left w:val="nil"/>
              <w:bottom w:val="single" w:color="auto" w:sz="4" w:space="0"/>
              <w:right w:val="single" w:color="auto" w:sz="4" w:space="0"/>
            </w:tcBorders>
            <w:shd w:val="clear" w:color="auto" w:fill="auto"/>
            <w:noWrap/>
            <w:vAlign w:val="center"/>
          </w:tcPr>
          <w:p w14:paraId="69E52F29">
            <w:pPr>
              <w:widowControl/>
              <w:jc w:val="right"/>
              <w:rPr>
                <w:rFonts w:ascii="Times New Roman" w:hAnsi="Times New Roman" w:eastAsia="仿宋_GB2312" w:cs="Times New Roman"/>
                <w:color w:val="auto"/>
                <w:kern w:val="0"/>
                <w:sz w:val="24"/>
                <w:szCs w:val="24"/>
              </w:rPr>
            </w:pPr>
          </w:p>
        </w:tc>
        <w:tc>
          <w:tcPr>
            <w:tcW w:w="1876" w:type="dxa"/>
            <w:tcBorders>
              <w:top w:val="nil"/>
              <w:left w:val="nil"/>
              <w:bottom w:val="single" w:color="auto" w:sz="4" w:space="0"/>
              <w:right w:val="single" w:color="auto" w:sz="4" w:space="0"/>
            </w:tcBorders>
            <w:shd w:val="clear" w:color="auto" w:fill="auto"/>
            <w:noWrap/>
            <w:vAlign w:val="center"/>
          </w:tcPr>
          <w:p w14:paraId="44E9CBCD">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14:paraId="030B6F9A">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2698" w:type="dxa"/>
            <w:tcBorders>
              <w:top w:val="nil"/>
              <w:left w:val="nil"/>
              <w:bottom w:val="single" w:color="auto" w:sz="4" w:space="0"/>
              <w:right w:val="single" w:color="auto" w:sz="4" w:space="0"/>
            </w:tcBorders>
            <w:shd w:val="clear" w:color="auto" w:fill="auto"/>
            <w:noWrap/>
            <w:vAlign w:val="center"/>
          </w:tcPr>
          <w:p w14:paraId="72BBDAE5">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53779A45">
        <w:tblPrEx>
          <w:tblCellMar>
            <w:top w:w="0" w:type="dxa"/>
            <w:left w:w="108" w:type="dxa"/>
            <w:bottom w:w="0" w:type="dxa"/>
            <w:right w:w="108" w:type="dxa"/>
          </w:tblCellMar>
        </w:tblPrEx>
        <w:trPr>
          <w:trHeight w:val="595" w:hRule="atLeast"/>
          <w:jc w:val="center"/>
        </w:trPr>
        <w:tc>
          <w:tcPr>
            <w:tcW w:w="125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1F818C2">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2080599</w:t>
            </w:r>
          </w:p>
        </w:tc>
        <w:tc>
          <w:tcPr>
            <w:tcW w:w="2507" w:type="dxa"/>
            <w:tcBorders>
              <w:top w:val="nil"/>
              <w:left w:val="nil"/>
              <w:bottom w:val="single" w:color="auto" w:sz="4" w:space="0"/>
              <w:right w:val="single" w:color="auto" w:sz="4" w:space="0"/>
            </w:tcBorders>
            <w:shd w:val="clear" w:color="000000" w:fill="FFFFFF"/>
            <w:noWrap/>
            <w:vAlign w:val="center"/>
          </w:tcPr>
          <w:p w14:paraId="1C26FF58">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其他行政事业单位养老支出</w:t>
            </w:r>
          </w:p>
        </w:tc>
        <w:tc>
          <w:tcPr>
            <w:tcW w:w="1877" w:type="dxa"/>
            <w:tcBorders>
              <w:top w:val="nil"/>
              <w:left w:val="nil"/>
              <w:bottom w:val="single" w:color="auto" w:sz="4" w:space="0"/>
              <w:right w:val="single" w:color="auto" w:sz="4" w:space="0"/>
            </w:tcBorders>
            <w:shd w:val="clear" w:color="auto" w:fill="auto"/>
            <w:noWrap/>
            <w:vAlign w:val="center"/>
          </w:tcPr>
          <w:p w14:paraId="3DC99AB1">
            <w:pPr>
              <w:widowControl/>
              <w:jc w:val="right"/>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16.55</w:t>
            </w:r>
          </w:p>
        </w:tc>
        <w:tc>
          <w:tcPr>
            <w:tcW w:w="1334" w:type="dxa"/>
            <w:tcBorders>
              <w:top w:val="nil"/>
              <w:left w:val="nil"/>
              <w:bottom w:val="single" w:color="auto" w:sz="4" w:space="0"/>
              <w:right w:val="single" w:color="auto" w:sz="4" w:space="0"/>
            </w:tcBorders>
            <w:shd w:val="clear" w:color="auto" w:fill="auto"/>
            <w:noWrap/>
            <w:vAlign w:val="center"/>
          </w:tcPr>
          <w:p w14:paraId="0435D195">
            <w:pPr>
              <w:widowControl/>
              <w:jc w:val="right"/>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16.55</w:t>
            </w:r>
          </w:p>
        </w:tc>
        <w:tc>
          <w:tcPr>
            <w:tcW w:w="1333" w:type="dxa"/>
            <w:tcBorders>
              <w:top w:val="nil"/>
              <w:left w:val="nil"/>
              <w:bottom w:val="single" w:color="auto" w:sz="4" w:space="0"/>
              <w:right w:val="single" w:color="auto" w:sz="4" w:space="0"/>
            </w:tcBorders>
            <w:shd w:val="clear" w:color="auto" w:fill="auto"/>
            <w:noWrap/>
            <w:vAlign w:val="center"/>
          </w:tcPr>
          <w:p w14:paraId="17A709FC">
            <w:pPr>
              <w:widowControl/>
              <w:jc w:val="right"/>
              <w:rPr>
                <w:rFonts w:hint="default" w:ascii="Times New Roman" w:hAnsi="Times New Roman" w:eastAsia="仿宋_GB2312" w:cs="Times New Roman"/>
                <w:color w:val="auto"/>
                <w:kern w:val="0"/>
                <w:sz w:val="24"/>
                <w:szCs w:val="24"/>
                <w:lang w:val="en-US" w:eastAsia="zh-CN"/>
              </w:rPr>
            </w:pPr>
          </w:p>
        </w:tc>
        <w:tc>
          <w:tcPr>
            <w:tcW w:w="1876" w:type="dxa"/>
            <w:tcBorders>
              <w:top w:val="nil"/>
              <w:left w:val="nil"/>
              <w:bottom w:val="single" w:color="auto" w:sz="4" w:space="0"/>
              <w:right w:val="single" w:color="auto" w:sz="4" w:space="0"/>
            </w:tcBorders>
            <w:shd w:val="clear" w:color="auto" w:fill="auto"/>
            <w:noWrap/>
            <w:vAlign w:val="center"/>
          </w:tcPr>
          <w:p w14:paraId="7F41FA68">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14:paraId="0A5DB815">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2698" w:type="dxa"/>
            <w:tcBorders>
              <w:top w:val="nil"/>
              <w:left w:val="nil"/>
              <w:bottom w:val="single" w:color="auto" w:sz="4" w:space="0"/>
              <w:right w:val="single" w:color="auto" w:sz="4" w:space="0"/>
            </w:tcBorders>
            <w:shd w:val="clear" w:color="auto" w:fill="auto"/>
            <w:noWrap/>
            <w:vAlign w:val="center"/>
          </w:tcPr>
          <w:p w14:paraId="021AA0E0">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3A79BACD">
        <w:tblPrEx>
          <w:tblCellMar>
            <w:top w:w="0" w:type="dxa"/>
            <w:left w:w="108" w:type="dxa"/>
            <w:bottom w:w="0" w:type="dxa"/>
            <w:right w:w="108" w:type="dxa"/>
          </w:tblCellMar>
        </w:tblPrEx>
        <w:trPr>
          <w:trHeight w:val="595"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34B1F1">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2080801</w:t>
            </w:r>
          </w:p>
        </w:tc>
        <w:tc>
          <w:tcPr>
            <w:tcW w:w="2507" w:type="dxa"/>
            <w:tcBorders>
              <w:top w:val="nil"/>
              <w:left w:val="nil"/>
              <w:bottom w:val="single" w:color="auto" w:sz="4" w:space="0"/>
              <w:right w:val="single" w:color="auto" w:sz="4" w:space="0"/>
            </w:tcBorders>
            <w:shd w:val="clear" w:color="auto" w:fill="auto"/>
            <w:noWrap/>
            <w:vAlign w:val="center"/>
          </w:tcPr>
          <w:p w14:paraId="358DB96C">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死亡抚恤</w:t>
            </w:r>
          </w:p>
        </w:tc>
        <w:tc>
          <w:tcPr>
            <w:tcW w:w="1877" w:type="dxa"/>
            <w:tcBorders>
              <w:top w:val="nil"/>
              <w:left w:val="nil"/>
              <w:bottom w:val="single" w:color="auto" w:sz="4" w:space="0"/>
              <w:right w:val="single" w:color="auto" w:sz="4" w:space="0"/>
            </w:tcBorders>
            <w:shd w:val="clear" w:color="auto" w:fill="auto"/>
            <w:noWrap/>
            <w:vAlign w:val="center"/>
          </w:tcPr>
          <w:p w14:paraId="13B982A0">
            <w:pPr>
              <w:widowControl/>
              <w:jc w:val="right"/>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24.67</w:t>
            </w:r>
          </w:p>
        </w:tc>
        <w:tc>
          <w:tcPr>
            <w:tcW w:w="1334" w:type="dxa"/>
            <w:tcBorders>
              <w:top w:val="nil"/>
              <w:left w:val="nil"/>
              <w:bottom w:val="single" w:color="auto" w:sz="4" w:space="0"/>
              <w:right w:val="single" w:color="auto" w:sz="4" w:space="0"/>
            </w:tcBorders>
            <w:shd w:val="clear" w:color="auto" w:fill="auto"/>
            <w:noWrap/>
            <w:vAlign w:val="center"/>
          </w:tcPr>
          <w:p w14:paraId="466E28F8">
            <w:pPr>
              <w:widowControl/>
              <w:jc w:val="right"/>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24.67</w:t>
            </w:r>
          </w:p>
        </w:tc>
        <w:tc>
          <w:tcPr>
            <w:tcW w:w="1333" w:type="dxa"/>
            <w:tcBorders>
              <w:top w:val="nil"/>
              <w:left w:val="nil"/>
              <w:bottom w:val="single" w:color="auto" w:sz="4" w:space="0"/>
              <w:right w:val="single" w:color="auto" w:sz="4" w:space="0"/>
            </w:tcBorders>
            <w:shd w:val="clear" w:color="auto" w:fill="auto"/>
            <w:noWrap/>
            <w:vAlign w:val="center"/>
          </w:tcPr>
          <w:p w14:paraId="0BF2D465">
            <w:pPr>
              <w:widowControl/>
              <w:jc w:val="right"/>
              <w:rPr>
                <w:rFonts w:ascii="Times New Roman" w:hAnsi="Times New Roman" w:eastAsia="仿宋_GB2312" w:cs="Times New Roman"/>
                <w:color w:val="auto"/>
                <w:kern w:val="0"/>
                <w:sz w:val="24"/>
                <w:szCs w:val="24"/>
              </w:rPr>
            </w:pPr>
          </w:p>
        </w:tc>
        <w:tc>
          <w:tcPr>
            <w:tcW w:w="1876" w:type="dxa"/>
            <w:tcBorders>
              <w:top w:val="nil"/>
              <w:left w:val="nil"/>
              <w:bottom w:val="single" w:color="auto" w:sz="4" w:space="0"/>
              <w:right w:val="single" w:color="auto" w:sz="4" w:space="0"/>
            </w:tcBorders>
            <w:shd w:val="clear" w:color="auto" w:fill="auto"/>
            <w:noWrap/>
            <w:vAlign w:val="center"/>
          </w:tcPr>
          <w:p w14:paraId="0E459ADC">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14:paraId="6A427743">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2698" w:type="dxa"/>
            <w:tcBorders>
              <w:top w:val="nil"/>
              <w:left w:val="nil"/>
              <w:bottom w:val="single" w:color="auto" w:sz="4" w:space="0"/>
              <w:right w:val="single" w:color="auto" w:sz="4" w:space="0"/>
            </w:tcBorders>
            <w:shd w:val="clear" w:color="auto" w:fill="auto"/>
            <w:noWrap/>
            <w:vAlign w:val="center"/>
          </w:tcPr>
          <w:p w14:paraId="43C4EF78">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2D2AD9E8">
        <w:tblPrEx>
          <w:tblCellMar>
            <w:top w:w="0" w:type="dxa"/>
            <w:left w:w="108" w:type="dxa"/>
            <w:bottom w:w="0" w:type="dxa"/>
            <w:right w:w="108" w:type="dxa"/>
          </w:tblCellMar>
        </w:tblPrEx>
        <w:trPr>
          <w:trHeight w:val="595"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D15F10">
            <w:pPr>
              <w:widowControl/>
              <w:jc w:val="left"/>
              <w:rPr>
                <w:rFonts w:hint="default" w:eastAsia="仿宋_GB2312" w:asciiTheme="minorHAnsi" w:hAnsiTheme="minorHAnsi" w:cstheme="minorBidi"/>
                <w:color w:val="auto"/>
                <w:kern w:val="0"/>
                <w:sz w:val="21"/>
                <w:szCs w:val="21"/>
                <w:lang w:val="en-US" w:eastAsia="zh-CN" w:bidi="ar-SA"/>
              </w:rPr>
            </w:pPr>
            <w:r>
              <w:rPr>
                <w:rFonts w:hint="eastAsia" w:ascii="Times New Roman" w:hAnsi="Times New Roman" w:eastAsia="仿宋_GB2312" w:cs="Times New Roman"/>
                <w:color w:val="auto"/>
                <w:kern w:val="0"/>
                <w:sz w:val="24"/>
                <w:szCs w:val="24"/>
                <w:lang w:val="en-US" w:eastAsia="zh-CN" w:bidi="ar-SA"/>
              </w:rPr>
              <w:t>2100302</w:t>
            </w:r>
          </w:p>
        </w:tc>
        <w:tc>
          <w:tcPr>
            <w:tcW w:w="2507" w:type="dxa"/>
            <w:tcBorders>
              <w:top w:val="nil"/>
              <w:left w:val="nil"/>
              <w:bottom w:val="single" w:color="auto" w:sz="4" w:space="0"/>
              <w:right w:val="single" w:color="auto" w:sz="4" w:space="0"/>
            </w:tcBorders>
            <w:shd w:val="clear" w:color="auto" w:fill="auto"/>
            <w:noWrap/>
            <w:vAlign w:val="center"/>
          </w:tcPr>
          <w:p w14:paraId="1BAFDBA4">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乡镇卫生院</w:t>
            </w:r>
          </w:p>
        </w:tc>
        <w:tc>
          <w:tcPr>
            <w:tcW w:w="1877" w:type="dxa"/>
            <w:tcBorders>
              <w:top w:val="nil"/>
              <w:left w:val="nil"/>
              <w:bottom w:val="single" w:color="auto" w:sz="4" w:space="0"/>
              <w:right w:val="single" w:color="auto" w:sz="4" w:space="0"/>
            </w:tcBorders>
            <w:shd w:val="clear" w:color="auto" w:fill="auto"/>
            <w:noWrap/>
            <w:vAlign w:val="center"/>
          </w:tcPr>
          <w:p w14:paraId="2D5E29ED">
            <w:pPr>
              <w:widowControl/>
              <w:jc w:val="right"/>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2222.07</w:t>
            </w:r>
          </w:p>
        </w:tc>
        <w:tc>
          <w:tcPr>
            <w:tcW w:w="1334" w:type="dxa"/>
            <w:tcBorders>
              <w:top w:val="nil"/>
              <w:left w:val="nil"/>
              <w:bottom w:val="single" w:color="auto" w:sz="4" w:space="0"/>
              <w:right w:val="single" w:color="auto" w:sz="4" w:space="0"/>
            </w:tcBorders>
            <w:shd w:val="clear" w:color="auto" w:fill="auto"/>
            <w:noWrap/>
            <w:vAlign w:val="center"/>
          </w:tcPr>
          <w:p w14:paraId="5E9D3513">
            <w:pPr>
              <w:widowControl/>
              <w:jc w:val="right"/>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2222.07</w:t>
            </w:r>
          </w:p>
        </w:tc>
        <w:tc>
          <w:tcPr>
            <w:tcW w:w="1333" w:type="dxa"/>
            <w:tcBorders>
              <w:top w:val="nil"/>
              <w:left w:val="nil"/>
              <w:bottom w:val="single" w:color="auto" w:sz="4" w:space="0"/>
              <w:right w:val="single" w:color="auto" w:sz="4" w:space="0"/>
            </w:tcBorders>
            <w:shd w:val="clear" w:color="auto" w:fill="auto"/>
            <w:noWrap/>
            <w:vAlign w:val="center"/>
          </w:tcPr>
          <w:p w14:paraId="4C84D79A">
            <w:pPr>
              <w:widowControl/>
              <w:jc w:val="right"/>
              <w:rPr>
                <w:rFonts w:ascii="Times New Roman" w:hAnsi="Times New Roman" w:eastAsia="仿宋_GB2312" w:cs="Times New Roman"/>
                <w:color w:val="auto"/>
                <w:kern w:val="0"/>
                <w:sz w:val="24"/>
                <w:szCs w:val="24"/>
              </w:rPr>
            </w:pPr>
          </w:p>
        </w:tc>
        <w:tc>
          <w:tcPr>
            <w:tcW w:w="1876" w:type="dxa"/>
            <w:tcBorders>
              <w:top w:val="nil"/>
              <w:left w:val="nil"/>
              <w:bottom w:val="single" w:color="auto" w:sz="4" w:space="0"/>
              <w:right w:val="single" w:color="auto" w:sz="4" w:space="0"/>
            </w:tcBorders>
            <w:shd w:val="clear" w:color="auto" w:fill="auto"/>
            <w:noWrap/>
            <w:vAlign w:val="center"/>
          </w:tcPr>
          <w:p w14:paraId="1ACA810E">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14:paraId="2B1DC897">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2698" w:type="dxa"/>
            <w:tcBorders>
              <w:top w:val="nil"/>
              <w:left w:val="nil"/>
              <w:bottom w:val="single" w:color="auto" w:sz="4" w:space="0"/>
              <w:right w:val="single" w:color="auto" w:sz="4" w:space="0"/>
            </w:tcBorders>
            <w:shd w:val="clear" w:color="auto" w:fill="auto"/>
            <w:noWrap/>
            <w:vAlign w:val="center"/>
          </w:tcPr>
          <w:p w14:paraId="0F645ED9">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18DD54C6">
        <w:tblPrEx>
          <w:tblCellMar>
            <w:top w:w="0" w:type="dxa"/>
            <w:left w:w="108" w:type="dxa"/>
            <w:bottom w:w="0" w:type="dxa"/>
            <w:right w:w="108" w:type="dxa"/>
          </w:tblCellMar>
        </w:tblPrEx>
        <w:trPr>
          <w:trHeight w:val="595"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C54C5C">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2100399</w:t>
            </w:r>
          </w:p>
        </w:tc>
        <w:tc>
          <w:tcPr>
            <w:tcW w:w="2507" w:type="dxa"/>
            <w:tcBorders>
              <w:top w:val="nil"/>
              <w:left w:val="nil"/>
              <w:bottom w:val="single" w:color="auto" w:sz="4" w:space="0"/>
              <w:right w:val="single" w:color="auto" w:sz="4" w:space="0"/>
            </w:tcBorders>
            <w:shd w:val="clear" w:color="auto" w:fill="auto"/>
            <w:noWrap/>
            <w:vAlign w:val="center"/>
          </w:tcPr>
          <w:p w14:paraId="47C9498A">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其他基层医疗卫生机构支出</w:t>
            </w:r>
          </w:p>
        </w:tc>
        <w:tc>
          <w:tcPr>
            <w:tcW w:w="1877" w:type="dxa"/>
            <w:tcBorders>
              <w:top w:val="nil"/>
              <w:left w:val="nil"/>
              <w:bottom w:val="single" w:color="auto" w:sz="4" w:space="0"/>
              <w:right w:val="single" w:color="auto" w:sz="4" w:space="0"/>
            </w:tcBorders>
            <w:shd w:val="clear" w:color="auto" w:fill="auto"/>
            <w:noWrap/>
            <w:vAlign w:val="center"/>
          </w:tcPr>
          <w:p w14:paraId="69BECF28">
            <w:pPr>
              <w:widowControl/>
              <w:jc w:val="right"/>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103.53</w:t>
            </w:r>
          </w:p>
        </w:tc>
        <w:tc>
          <w:tcPr>
            <w:tcW w:w="1334" w:type="dxa"/>
            <w:tcBorders>
              <w:top w:val="nil"/>
              <w:left w:val="nil"/>
              <w:bottom w:val="single" w:color="auto" w:sz="4" w:space="0"/>
              <w:right w:val="single" w:color="auto" w:sz="4" w:space="0"/>
            </w:tcBorders>
            <w:shd w:val="clear" w:color="auto" w:fill="auto"/>
            <w:noWrap/>
            <w:vAlign w:val="center"/>
          </w:tcPr>
          <w:p w14:paraId="4767D216">
            <w:pPr>
              <w:widowControl/>
              <w:jc w:val="right"/>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23.69</w:t>
            </w:r>
          </w:p>
        </w:tc>
        <w:tc>
          <w:tcPr>
            <w:tcW w:w="1333" w:type="dxa"/>
            <w:tcBorders>
              <w:top w:val="nil"/>
              <w:left w:val="nil"/>
              <w:bottom w:val="single" w:color="auto" w:sz="4" w:space="0"/>
              <w:right w:val="single" w:color="auto" w:sz="4" w:space="0"/>
            </w:tcBorders>
            <w:shd w:val="clear" w:color="auto" w:fill="auto"/>
            <w:noWrap/>
            <w:vAlign w:val="center"/>
          </w:tcPr>
          <w:p w14:paraId="5E15ED2A">
            <w:pPr>
              <w:widowControl/>
              <w:jc w:val="right"/>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79.84</w:t>
            </w:r>
          </w:p>
        </w:tc>
        <w:tc>
          <w:tcPr>
            <w:tcW w:w="1876" w:type="dxa"/>
            <w:tcBorders>
              <w:top w:val="nil"/>
              <w:left w:val="nil"/>
              <w:bottom w:val="single" w:color="auto" w:sz="4" w:space="0"/>
              <w:right w:val="single" w:color="auto" w:sz="4" w:space="0"/>
            </w:tcBorders>
            <w:shd w:val="clear" w:color="auto" w:fill="auto"/>
            <w:noWrap/>
            <w:vAlign w:val="center"/>
          </w:tcPr>
          <w:p w14:paraId="64551BC2">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14:paraId="37AE5D9C">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2698" w:type="dxa"/>
            <w:tcBorders>
              <w:top w:val="nil"/>
              <w:left w:val="nil"/>
              <w:bottom w:val="single" w:color="auto" w:sz="4" w:space="0"/>
              <w:right w:val="single" w:color="auto" w:sz="4" w:space="0"/>
            </w:tcBorders>
            <w:shd w:val="clear" w:color="auto" w:fill="auto"/>
            <w:noWrap/>
            <w:vAlign w:val="center"/>
          </w:tcPr>
          <w:p w14:paraId="3C46D80E">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3C9C723F">
        <w:tblPrEx>
          <w:tblCellMar>
            <w:top w:w="0" w:type="dxa"/>
            <w:left w:w="108" w:type="dxa"/>
            <w:bottom w:w="0" w:type="dxa"/>
            <w:right w:w="108" w:type="dxa"/>
          </w:tblCellMar>
        </w:tblPrEx>
        <w:trPr>
          <w:trHeight w:val="595"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7EF231">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2100408</w:t>
            </w:r>
          </w:p>
        </w:tc>
        <w:tc>
          <w:tcPr>
            <w:tcW w:w="2507" w:type="dxa"/>
            <w:tcBorders>
              <w:top w:val="nil"/>
              <w:left w:val="nil"/>
              <w:bottom w:val="single" w:color="auto" w:sz="4" w:space="0"/>
              <w:right w:val="single" w:color="auto" w:sz="4" w:space="0"/>
            </w:tcBorders>
            <w:shd w:val="clear" w:color="auto" w:fill="auto"/>
            <w:noWrap/>
            <w:vAlign w:val="center"/>
          </w:tcPr>
          <w:p w14:paraId="141DBF65">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基本公共卫生服务</w:t>
            </w:r>
          </w:p>
        </w:tc>
        <w:tc>
          <w:tcPr>
            <w:tcW w:w="1877" w:type="dxa"/>
            <w:tcBorders>
              <w:top w:val="nil"/>
              <w:left w:val="nil"/>
              <w:bottom w:val="single" w:color="auto" w:sz="4" w:space="0"/>
              <w:right w:val="single" w:color="auto" w:sz="4" w:space="0"/>
            </w:tcBorders>
            <w:shd w:val="clear" w:color="auto" w:fill="auto"/>
            <w:noWrap/>
            <w:vAlign w:val="center"/>
          </w:tcPr>
          <w:p w14:paraId="7E302A8D">
            <w:pPr>
              <w:widowControl/>
              <w:jc w:val="right"/>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667.56</w:t>
            </w:r>
          </w:p>
        </w:tc>
        <w:tc>
          <w:tcPr>
            <w:tcW w:w="1334" w:type="dxa"/>
            <w:tcBorders>
              <w:top w:val="nil"/>
              <w:left w:val="nil"/>
              <w:bottom w:val="single" w:color="auto" w:sz="4" w:space="0"/>
              <w:right w:val="single" w:color="auto" w:sz="4" w:space="0"/>
            </w:tcBorders>
            <w:shd w:val="clear" w:color="auto" w:fill="auto"/>
            <w:noWrap/>
            <w:vAlign w:val="center"/>
          </w:tcPr>
          <w:p w14:paraId="1343EAF4">
            <w:pPr>
              <w:widowControl/>
              <w:jc w:val="right"/>
              <w:rPr>
                <w:rFonts w:ascii="Times New Roman" w:hAnsi="Times New Roman" w:eastAsia="仿宋_GB2312" w:cs="Times New Roman"/>
                <w:color w:val="auto"/>
                <w:kern w:val="0"/>
                <w:sz w:val="24"/>
                <w:szCs w:val="24"/>
              </w:rPr>
            </w:pPr>
          </w:p>
        </w:tc>
        <w:tc>
          <w:tcPr>
            <w:tcW w:w="1333" w:type="dxa"/>
            <w:tcBorders>
              <w:top w:val="nil"/>
              <w:left w:val="nil"/>
              <w:bottom w:val="single" w:color="auto" w:sz="4" w:space="0"/>
              <w:right w:val="single" w:color="auto" w:sz="4" w:space="0"/>
            </w:tcBorders>
            <w:shd w:val="clear" w:color="auto" w:fill="auto"/>
            <w:noWrap/>
            <w:vAlign w:val="center"/>
          </w:tcPr>
          <w:p w14:paraId="322670B8">
            <w:pPr>
              <w:widowControl/>
              <w:jc w:val="right"/>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667.56</w:t>
            </w:r>
          </w:p>
        </w:tc>
        <w:tc>
          <w:tcPr>
            <w:tcW w:w="1876" w:type="dxa"/>
            <w:tcBorders>
              <w:top w:val="nil"/>
              <w:left w:val="nil"/>
              <w:bottom w:val="single" w:color="auto" w:sz="4" w:space="0"/>
              <w:right w:val="single" w:color="auto" w:sz="4" w:space="0"/>
            </w:tcBorders>
            <w:shd w:val="clear" w:color="auto" w:fill="auto"/>
            <w:noWrap/>
            <w:vAlign w:val="center"/>
          </w:tcPr>
          <w:p w14:paraId="2612D6BB">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14:paraId="058C36BB">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2698" w:type="dxa"/>
            <w:tcBorders>
              <w:top w:val="nil"/>
              <w:left w:val="nil"/>
              <w:bottom w:val="single" w:color="auto" w:sz="4" w:space="0"/>
              <w:right w:val="single" w:color="auto" w:sz="4" w:space="0"/>
            </w:tcBorders>
            <w:shd w:val="clear" w:color="auto" w:fill="auto"/>
            <w:noWrap/>
            <w:vAlign w:val="center"/>
          </w:tcPr>
          <w:p w14:paraId="7C5CA874">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2308D626">
        <w:tblPrEx>
          <w:tblCellMar>
            <w:top w:w="0" w:type="dxa"/>
            <w:left w:w="108" w:type="dxa"/>
            <w:bottom w:w="0" w:type="dxa"/>
            <w:right w:w="108" w:type="dxa"/>
          </w:tblCellMar>
        </w:tblPrEx>
        <w:trPr>
          <w:trHeight w:val="595"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61F747D">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2101102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C36DCD9">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事业单位医疗</w:t>
            </w:r>
          </w:p>
        </w:tc>
        <w:tc>
          <w:tcPr>
            <w:tcW w:w="0" w:type="auto"/>
            <w:tcBorders>
              <w:top w:val="single" w:color="auto" w:sz="4" w:space="0"/>
              <w:left w:val="single" w:color="auto" w:sz="4" w:space="0"/>
              <w:bottom w:val="single" w:color="auto" w:sz="4" w:space="0"/>
              <w:right w:val="single" w:color="auto" w:sz="4" w:space="0"/>
            </w:tcBorders>
            <w:vAlign w:val="center"/>
          </w:tcPr>
          <w:p w14:paraId="3B9AD55E">
            <w:pPr>
              <w:widowControl/>
              <w:jc w:val="right"/>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25.01</w:t>
            </w:r>
          </w:p>
        </w:tc>
        <w:tc>
          <w:tcPr>
            <w:tcW w:w="0" w:type="auto"/>
            <w:tcBorders>
              <w:top w:val="single" w:color="auto" w:sz="4" w:space="0"/>
              <w:left w:val="single" w:color="auto" w:sz="4" w:space="0"/>
              <w:bottom w:val="single" w:color="auto" w:sz="4" w:space="0"/>
              <w:right w:val="single" w:color="auto" w:sz="4" w:space="0"/>
            </w:tcBorders>
            <w:vAlign w:val="center"/>
          </w:tcPr>
          <w:p w14:paraId="1DB70297">
            <w:pPr>
              <w:widowControl/>
              <w:jc w:val="right"/>
              <w:rPr>
                <w:rFonts w:ascii="Times New Roman" w:hAnsi="Times New Roman" w:eastAsia="仿宋_GB2312" w:cs="Times New Roman"/>
                <w:color w:val="auto"/>
                <w:kern w:val="0"/>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4187D19">
            <w:pPr>
              <w:widowControl/>
              <w:jc w:val="right"/>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25.01</w:t>
            </w:r>
          </w:p>
        </w:tc>
        <w:tc>
          <w:tcPr>
            <w:tcW w:w="0" w:type="auto"/>
            <w:tcBorders>
              <w:top w:val="single" w:color="auto" w:sz="4" w:space="0"/>
              <w:left w:val="single" w:color="auto" w:sz="4" w:space="0"/>
              <w:bottom w:val="single" w:color="auto" w:sz="4" w:space="0"/>
              <w:right w:val="single" w:color="auto" w:sz="4" w:space="0"/>
            </w:tcBorders>
          </w:tcPr>
          <w:p w14:paraId="3EA1F7D9">
            <w:pPr>
              <w:widowControl/>
              <w:jc w:val="right"/>
              <w:rPr>
                <w:rFonts w:ascii="Times New Roman" w:hAnsi="Times New Roman" w:eastAsia="仿宋_GB2312" w:cs="Times New Roman"/>
                <w:color w:val="auto"/>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2979BF10">
            <w:pPr>
              <w:widowControl/>
              <w:jc w:val="right"/>
              <w:rPr>
                <w:rFonts w:ascii="Times New Roman" w:hAnsi="Times New Roman" w:eastAsia="仿宋_GB2312" w:cs="Times New Roman"/>
                <w:color w:val="auto"/>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3E29E023">
            <w:pPr>
              <w:widowControl/>
              <w:jc w:val="right"/>
              <w:rPr>
                <w:rFonts w:ascii="Times New Roman" w:hAnsi="Times New Roman" w:eastAsia="仿宋_GB2312" w:cs="Times New Roman"/>
                <w:color w:val="auto"/>
                <w:kern w:val="0"/>
                <w:sz w:val="24"/>
                <w:szCs w:val="24"/>
              </w:rPr>
            </w:pPr>
          </w:p>
        </w:tc>
      </w:tr>
    </w:tbl>
    <w:p w14:paraId="48114853">
      <w:pPr>
        <w:widowControl/>
        <w:spacing w:before="120"/>
        <w:jc w:val="left"/>
        <w:rPr>
          <w:rFonts w:ascii="Times New Roman" w:hAnsi="Times New Roman" w:eastAsia="黑体" w:cs="Times New Roman"/>
          <w:color w:val="auto"/>
          <w:kern w:val="0"/>
          <w:sz w:val="32"/>
          <w:szCs w:val="32"/>
          <w:lang w:bidi="ar"/>
        </w:rPr>
      </w:pPr>
      <w:r>
        <w:rPr>
          <w:rFonts w:ascii="Times New Roman" w:hAnsi="Times New Roman" w:eastAsia="仿宋_GB2312" w:cs="Times New Roman"/>
          <w:color w:val="auto"/>
          <w:kern w:val="0"/>
          <w:sz w:val="24"/>
          <w:szCs w:val="24"/>
        </w:rPr>
        <w:t>注：本表反映部门本年度各项支出情况。</w:t>
      </w:r>
      <w:bookmarkStart w:id="0" w:name="RANGE!A1:I22"/>
      <w:bookmarkEnd w:id="0"/>
      <w:bookmarkStart w:id="1" w:name="RANGE!A1:F16"/>
      <w:r>
        <w:rPr>
          <w:rFonts w:ascii="Times New Roman" w:hAnsi="Times New Roman" w:eastAsia="宋体" w:cs="Times New Roman"/>
          <w:color w:val="auto"/>
          <w:kern w:val="0"/>
          <w:sz w:val="24"/>
          <w:szCs w:val="24"/>
        </w:rPr>
        <w:tab/>
      </w:r>
      <w:r>
        <w:rPr>
          <w:rFonts w:ascii="Times New Roman" w:hAnsi="Times New Roman" w:eastAsia="宋体" w:cs="Times New Roman"/>
          <w:color w:val="auto"/>
          <w:kern w:val="0"/>
          <w:sz w:val="24"/>
          <w:szCs w:val="24"/>
        </w:rPr>
        <w:tab/>
      </w:r>
      <w:r>
        <w:rPr>
          <w:rFonts w:ascii="Times New Roman" w:hAnsi="Times New Roman" w:eastAsia="宋体" w:cs="Times New Roman"/>
          <w:color w:val="auto"/>
          <w:kern w:val="0"/>
          <w:sz w:val="24"/>
          <w:szCs w:val="24"/>
        </w:rPr>
        <w:tab/>
      </w:r>
      <w:r>
        <w:rPr>
          <w:rFonts w:ascii="Times New Roman" w:hAnsi="Times New Roman" w:eastAsia="宋体" w:cs="Times New Roman"/>
          <w:color w:val="auto"/>
          <w:kern w:val="0"/>
          <w:sz w:val="24"/>
          <w:szCs w:val="24"/>
        </w:rPr>
        <w:tab/>
      </w:r>
    </w:p>
    <w:p w14:paraId="4D1F0803">
      <w:pPr>
        <w:widowControl/>
        <w:spacing w:after="156" w:afterLines="50"/>
        <w:jc w:val="center"/>
        <w:textAlignment w:val="center"/>
        <w:rPr>
          <w:rFonts w:ascii="Times New Roman" w:hAnsi="Times New Roman" w:eastAsia="黑体" w:cs="Times New Roman"/>
          <w:color w:val="auto"/>
          <w:kern w:val="0"/>
          <w:sz w:val="36"/>
          <w:szCs w:val="36"/>
          <w:lang w:bidi="ar"/>
        </w:rPr>
      </w:pPr>
      <w:r>
        <w:rPr>
          <w:rFonts w:ascii="Times New Roman" w:hAnsi="Times New Roman" w:eastAsia="黑体" w:cs="Times New Roman"/>
          <w:color w:val="auto"/>
          <w:kern w:val="0"/>
          <w:sz w:val="36"/>
          <w:szCs w:val="36"/>
          <w:lang w:bidi="ar"/>
        </w:rPr>
        <w:t>财政拨款收入支出决算总表</w:t>
      </w:r>
    </w:p>
    <w:p w14:paraId="1B52C6C9">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0"/>
          <w:szCs w:val="20"/>
        </w:rPr>
        <w:t xml:space="preserve">                                                                                                                  公开04表</w:t>
      </w:r>
    </w:p>
    <w:p w14:paraId="231C8CE5">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0"/>
          <w:szCs w:val="20"/>
        </w:rPr>
        <w:t>部门：</w:t>
      </w:r>
      <w:r>
        <w:rPr>
          <w:rFonts w:hint="eastAsia" w:ascii="Times New Roman" w:hAnsi="Times New Roman" w:eastAsia="楷体_GB2312" w:cs="Times New Roman"/>
          <w:color w:val="auto"/>
          <w:kern w:val="0"/>
          <w:sz w:val="20"/>
          <w:szCs w:val="20"/>
          <w:lang w:eastAsia="zh-CN" w:bidi="ar"/>
        </w:rPr>
        <w:t>蓝山县塔峰镇中心卫生院</w:t>
      </w:r>
      <w:r>
        <w:rPr>
          <w:rFonts w:ascii="Times New Roman" w:hAnsi="Times New Roman" w:eastAsia="仿宋_GB2312" w:cs="Times New Roman"/>
          <w:color w:val="auto"/>
          <w:kern w:val="0"/>
          <w:sz w:val="20"/>
          <w:szCs w:val="20"/>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0"/>
          <w:szCs w:val="20"/>
        </w:rPr>
        <w:t>单位：万元</w:t>
      </w:r>
    </w:p>
    <w:tbl>
      <w:tblPr>
        <w:tblStyle w:val="8"/>
        <w:tblW w:w="0" w:type="auto"/>
        <w:jc w:val="center"/>
        <w:tblLayout w:type="autofit"/>
        <w:tblCellMar>
          <w:top w:w="0" w:type="dxa"/>
          <w:left w:w="108" w:type="dxa"/>
          <w:bottom w:w="0" w:type="dxa"/>
          <w:right w:w="108" w:type="dxa"/>
        </w:tblCellMar>
      </w:tblPr>
      <w:tblGrid>
        <w:gridCol w:w="3516"/>
        <w:gridCol w:w="616"/>
        <w:gridCol w:w="931"/>
        <w:gridCol w:w="3336"/>
        <w:gridCol w:w="616"/>
        <w:gridCol w:w="931"/>
        <w:gridCol w:w="1540"/>
        <w:gridCol w:w="1324"/>
        <w:gridCol w:w="1410"/>
      </w:tblGrid>
      <w:tr w14:paraId="0E5B5DB8">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634635E">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449BBDE1">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支出</w:t>
            </w:r>
          </w:p>
        </w:tc>
      </w:tr>
      <w:tr w14:paraId="7B607D98">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8E6B613">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0A85AE26">
            <w:pPr>
              <w:widowControl/>
              <w:jc w:val="center"/>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0D1029D7">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7BB7ABEE">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062B3503">
            <w:pPr>
              <w:widowControl/>
              <w:jc w:val="center"/>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4CAF6A11">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770EBC24">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17B367B2">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67A4DD54">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国有资本经营预算财政拨款</w:t>
            </w:r>
          </w:p>
        </w:tc>
      </w:tr>
      <w:tr w14:paraId="6D4C6F7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BAB0782">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49E2C22D">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1ED321A1">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25F3A81E">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7AEAAE93">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79A4B8E8">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334BB206">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4DF4CF97">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5D410ED0">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5</w:t>
            </w:r>
          </w:p>
        </w:tc>
      </w:tr>
      <w:tr w14:paraId="1B7360E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666114F">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5F6B9728">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027C3058">
            <w:pPr>
              <w:widowControl/>
              <w:jc w:val="right"/>
              <w:rPr>
                <w:rFonts w:hint="default" w:ascii="Times New Roman" w:hAnsi="Times New Roman" w:eastAsia="仿宋_GB2312" w:cs="Times New Roman"/>
                <w:color w:val="auto"/>
                <w:kern w:val="0"/>
                <w:sz w:val="22"/>
                <w:lang w:val="en-US" w:eastAsia="zh-CN"/>
              </w:rPr>
            </w:pPr>
            <w:r>
              <w:rPr>
                <w:rFonts w:hint="eastAsia" w:ascii="Times New Roman" w:hAnsi="Times New Roman" w:eastAsia="仿宋_GB2312" w:cs="Times New Roman"/>
                <w:color w:val="auto"/>
                <w:kern w:val="0"/>
                <w:sz w:val="22"/>
                <w:lang w:val="en-US" w:eastAsia="zh-CN"/>
              </w:rPr>
              <w:t>1383.34</w:t>
            </w:r>
          </w:p>
        </w:tc>
        <w:tc>
          <w:tcPr>
            <w:tcW w:w="0" w:type="auto"/>
            <w:tcBorders>
              <w:top w:val="nil"/>
              <w:left w:val="nil"/>
              <w:bottom w:val="single" w:color="auto" w:sz="4" w:space="0"/>
              <w:right w:val="single" w:color="auto" w:sz="4" w:space="0"/>
            </w:tcBorders>
            <w:shd w:val="clear" w:color="auto" w:fill="auto"/>
            <w:noWrap/>
            <w:vAlign w:val="center"/>
          </w:tcPr>
          <w:p w14:paraId="2EDE9051">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40A2B33D">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1B8E1362">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ADD37A8">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7E4CDA6">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AC34734">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29710F7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CB9959F">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1E8EC85F">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3E54F751">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91C113C">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10A8072D">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105D59B5">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512C4D2">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C2376E4">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00DF65E">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78974DA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4A17248">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5DAFD27F">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6AD7092A">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93B7218">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66DEDCC6">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4452E7AD">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A2925B9">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D2E2A7D">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F156CA5">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546125AB">
        <w:tblPrEx>
          <w:tblCellMar>
            <w:top w:w="0" w:type="dxa"/>
            <w:left w:w="108" w:type="dxa"/>
            <w:bottom w:w="0" w:type="dxa"/>
            <w:right w:w="108" w:type="dxa"/>
          </w:tblCellMar>
        </w:tblPrEx>
        <w:trPr>
          <w:trHeight w:val="34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0E0D705">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2C6A568">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7A23D8FE">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F862579">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41183368">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4C581978">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06C9EED">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52465EB">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D453A6F">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362A4268">
        <w:tblPrEx>
          <w:tblCellMar>
            <w:top w:w="0" w:type="dxa"/>
            <w:left w:w="108" w:type="dxa"/>
            <w:bottom w:w="0" w:type="dxa"/>
            <w:right w:w="108" w:type="dxa"/>
          </w:tblCellMar>
        </w:tblPrEx>
        <w:trPr>
          <w:trHeight w:val="31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9FD232E">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AEA96FE">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2BCEBD79">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B2A67CC">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10DA5D95">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4874F62D">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D637FCF">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DFBA64D">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175E708">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189018B4">
        <w:tblPrEx>
          <w:tblCellMar>
            <w:top w:w="0" w:type="dxa"/>
            <w:left w:w="108" w:type="dxa"/>
            <w:bottom w:w="0" w:type="dxa"/>
            <w:right w:w="108" w:type="dxa"/>
          </w:tblCellMar>
        </w:tblPrEx>
        <w:trPr>
          <w:trHeight w:val="31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E935CBB">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E13C208">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3B417BF1">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FC1906F">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34D5E915">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206F85F9">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5B2D810">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8BBEB3E">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6FFF16D">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7514629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06D9FD1">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5496EFE">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2D3AB18C">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D016D19">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eastAsia="zh-CN"/>
              </w:rPr>
              <w:t>七、文化旅游体育与传媒支出</w:t>
            </w:r>
          </w:p>
        </w:tc>
        <w:tc>
          <w:tcPr>
            <w:tcW w:w="0" w:type="auto"/>
            <w:tcBorders>
              <w:top w:val="nil"/>
              <w:left w:val="nil"/>
              <w:bottom w:val="single" w:color="auto" w:sz="4" w:space="0"/>
              <w:right w:val="single" w:color="auto" w:sz="4" w:space="0"/>
            </w:tcBorders>
            <w:shd w:val="clear" w:color="auto" w:fill="auto"/>
            <w:noWrap/>
            <w:vAlign w:val="center"/>
          </w:tcPr>
          <w:p w14:paraId="698BEDA1">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7991AE94">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2F2974A">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96E9BCE">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7097DD1">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5ADC2AC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65100FE">
            <w:pPr>
              <w:widowControl/>
              <w:jc w:val="lef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74A82AB">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3279CAA7">
            <w:pPr>
              <w:widowControl/>
              <w:jc w:val="lef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EA810F8">
            <w:pPr>
              <w:widowControl/>
              <w:jc w:val="left"/>
              <w:rPr>
                <w:rFonts w:hint="eastAsia" w:ascii="Times New Roman" w:hAnsi="Times New Roman" w:eastAsia="仿宋_GB2312" w:cs="Times New Roman"/>
                <w:color w:val="auto"/>
                <w:kern w:val="0"/>
                <w:sz w:val="22"/>
                <w:szCs w:val="22"/>
                <w:lang w:val="en-US" w:eastAsia="zh-CN" w:bidi="ar-SA"/>
              </w:rPr>
            </w:pPr>
            <w:r>
              <w:rPr>
                <w:rFonts w:hint="eastAsia" w:ascii="Times New Roman" w:hAnsi="Times New Roman" w:eastAsia="仿宋_GB2312" w:cs="Times New Roman"/>
                <w:color w:val="auto"/>
                <w:kern w:val="0"/>
                <w:sz w:val="22"/>
                <w:lang w:eastAsia="zh-CN"/>
              </w:rPr>
              <w:t>八、社会保障和就业支出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3A524F12">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00B00EF6">
            <w:pPr>
              <w:widowControl/>
              <w:jc w:val="center"/>
              <w:rPr>
                <w:rFonts w:hint="default" w:ascii="Times New Roman" w:hAnsi="Times New Roman" w:eastAsia="仿宋_GB2312" w:cs="Times New Roman"/>
                <w:color w:val="auto"/>
                <w:kern w:val="0"/>
                <w:sz w:val="22"/>
                <w:lang w:val="en-US" w:eastAsia="zh-CN"/>
              </w:rPr>
            </w:pPr>
            <w:r>
              <w:rPr>
                <w:rFonts w:hint="eastAsia" w:ascii="Times New Roman" w:hAnsi="Times New Roman" w:eastAsia="仿宋_GB2312" w:cs="Times New Roman"/>
                <w:color w:val="auto"/>
                <w:kern w:val="0"/>
                <w:sz w:val="22"/>
                <w:lang w:val="en-US" w:eastAsia="zh-CN"/>
              </w:rPr>
              <w:t>108.53</w:t>
            </w:r>
          </w:p>
        </w:tc>
        <w:tc>
          <w:tcPr>
            <w:tcW w:w="0" w:type="auto"/>
            <w:tcBorders>
              <w:top w:val="nil"/>
              <w:left w:val="nil"/>
              <w:bottom w:val="single" w:color="auto" w:sz="4" w:space="0"/>
              <w:right w:val="single" w:color="auto" w:sz="4" w:space="0"/>
            </w:tcBorders>
            <w:shd w:val="clear" w:color="auto" w:fill="auto"/>
            <w:noWrap/>
            <w:vAlign w:val="center"/>
          </w:tcPr>
          <w:p w14:paraId="17A3C0CE">
            <w:pPr>
              <w:widowControl/>
              <w:jc w:val="center"/>
              <w:rPr>
                <w:rFonts w:hint="default" w:ascii="Times New Roman" w:hAnsi="Times New Roman" w:eastAsia="仿宋_GB2312" w:cs="Times New Roman"/>
                <w:color w:val="auto"/>
                <w:kern w:val="0"/>
                <w:sz w:val="22"/>
                <w:szCs w:val="22"/>
                <w:lang w:val="en-US" w:eastAsia="zh-CN" w:bidi="ar-SA"/>
              </w:rPr>
            </w:pPr>
            <w:r>
              <w:rPr>
                <w:rFonts w:hint="eastAsia" w:ascii="Times New Roman" w:hAnsi="Times New Roman" w:eastAsia="仿宋_GB2312" w:cs="Times New Roman"/>
                <w:color w:val="auto"/>
                <w:kern w:val="0"/>
                <w:sz w:val="22"/>
                <w:szCs w:val="22"/>
                <w:lang w:val="en-US" w:eastAsia="zh-CN" w:bidi="ar-SA"/>
              </w:rPr>
              <w:t>108.53</w:t>
            </w:r>
          </w:p>
        </w:tc>
        <w:tc>
          <w:tcPr>
            <w:tcW w:w="0" w:type="auto"/>
            <w:tcBorders>
              <w:top w:val="nil"/>
              <w:left w:val="nil"/>
              <w:bottom w:val="single" w:color="auto" w:sz="4" w:space="0"/>
              <w:right w:val="single" w:color="auto" w:sz="4" w:space="0"/>
            </w:tcBorders>
            <w:shd w:val="clear" w:color="auto" w:fill="auto"/>
            <w:noWrap/>
            <w:vAlign w:val="center"/>
          </w:tcPr>
          <w:p w14:paraId="4B5E2EDC">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24197FB">
            <w:pPr>
              <w:widowControl/>
              <w:jc w:val="center"/>
              <w:rPr>
                <w:rFonts w:ascii="Times New Roman" w:hAnsi="Times New Roman" w:eastAsia="仿宋_GB2312" w:cs="Times New Roman"/>
                <w:color w:val="auto"/>
                <w:kern w:val="0"/>
                <w:sz w:val="22"/>
              </w:rPr>
            </w:pPr>
          </w:p>
        </w:tc>
      </w:tr>
      <w:tr w14:paraId="0739B17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BBE6C5B">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B9183B8">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6ACB563C">
            <w:pPr>
              <w:widowControl/>
              <w:jc w:val="lef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1314976">
            <w:pPr>
              <w:widowControl/>
              <w:jc w:val="left"/>
              <w:rPr>
                <w:rFonts w:hint="eastAsia" w:ascii="Times New Roman" w:hAnsi="Times New Roman" w:eastAsia="仿宋_GB2312" w:cs="Times New Roman"/>
                <w:b w:val="0"/>
                <w:bCs w:val="0"/>
                <w:color w:val="auto"/>
                <w:kern w:val="0"/>
                <w:sz w:val="22"/>
                <w:szCs w:val="22"/>
                <w:lang w:val="en-US" w:eastAsia="zh-CN" w:bidi="ar-SA"/>
              </w:rPr>
            </w:pPr>
            <w:r>
              <w:rPr>
                <w:rFonts w:hint="eastAsia" w:ascii="Times New Roman" w:hAnsi="Times New Roman" w:eastAsia="仿宋_GB2312" w:cs="Times New Roman"/>
                <w:b w:val="0"/>
                <w:bCs w:val="0"/>
                <w:color w:val="auto"/>
                <w:kern w:val="0"/>
                <w:sz w:val="22"/>
                <w:lang w:eastAsia="zh-CN"/>
              </w:rPr>
              <w:t>九、卫生健康支出</w:t>
            </w:r>
          </w:p>
        </w:tc>
        <w:tc>
          <w:tcPr>
            <w:tcW w:w="0" w:type="auto"/>
            <w:tcBorders>
              <w:top w:val="nil"/>
              <w:left w:val="nil"/>
              <w:bottom w:val="single" w:color="auto" w:sz="4" w:space="0"/>
              <w:right w:val="single" w:color="auto" w:sz="4" w:space="0"/>
            </w:tcBorders>
            <w:shd w:val="clear" w:color="auto" w:fill="auto"/>
            <w:noWrap/>
            <w:vAlign w:val="center"/>
          </w:tcPr>
          <w:p w14:paraId="514D5C1C">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4C8C4182">
            <w:pPr>
              <w:widowControl/>
              <w:jc w:val="center"/>
              <w:rPr>
                <w:rFonts w:hint="default" w:ascii="Times New Roman" w:hAnsi="Times New Roman" w:eastAsia="仿宋_GB2312" w:cs="Times New Roman"/>
                <w:color w:val="auto"/>
                <w:kern w:val="0"/>
                <w:sz w:val="22"/>
                <w:lang w:val="en-US" w:eastAsia="zh-CN"/>
              </w:rPr>
            </w:pPr>
            <w:r>
              <w:rPr>
                <w:rFonts w:hint="eastAsia" w:ascii="Times New Roman" w:hAnsi="Times New Roman" w:eastAsia="仿宋_GB2312" w:cs="Times New Roman"/>
                <w:color w:val="auto"/>
                <w:kern w:val="0"/>
                <w:sz w:val="22"/>
                <w:lang w:val="en-US" w:eastAsia="zh-CN"/>
              </w:rPr>
              <w:t>1274.82</w:t>
            </w:r>
          </w:p>
        </w:tc>
        <w:tc>
          <w:tcPr>
            <w:tcW w:w="0" w:type="auto"/>
            <w:tcBorders>
              <w:top w:val="nil"/>
              <w:left w:val="nil"/>
              <w:bottom w:val="single" w:color="auto" w:sz="4" w:space="0"/>
              <w:right w:val="single" w:color="auto" w:sz="4" w:space="0"/>
            </w:tcBorders>
            <w:shd w:val="clear" w:color="auto" w:fill="auto"/>
            <w:noWrap/>
            <w:vAlign w:val="center"/>
          </w:tcPr>
          <w:p w14:paraId="14DEADAC">
            <w:pPr>
              <w:widowControl/>
              <w:jc w:val="center"/>
              <w:rPr>
                <w:rFonts w:hint="default" w:ascii="Times New Roman" w:hAnsi="Times New Roman" w:eastAsia="仿宋_GB2312" w:cs="Times New Roman"/>
                <w:color w:val="auto"/>
                <w:kern w:val="0"/>
                <w:sz w:val="22"/>
                <w:szCs w:val="22"/>
                <w:lang w:val="en-US" w:eastAsia="zh-CN" w:bidi="ar-SA"/>
              </w:rPr>
            </w:pPr>
            <w:r>
              <w:rPr>
                <w:rFonts w:hint="eastAsia" w:ascii="Times New Roman" w:hAnsi="Times New Roman" w:eastAsia="仿宋_GB2312" w:cs="Times New Roman"/>
                <w:color w:val="auto"/>
                <w:kern w:val="0"/>
                <w:sz w:val="22"/>
                <w:szCs w:val="22"/>
                <w:lang w:val="en-US" w:eastAsia="zh-CN" w:bidi="ar-SA"/>
              </w:rPr>
              <w:t>1274.82</w:t>
            </w:r>
          </w:p>
        </w:tc>
        <w:tc>
          <w:tcPr>
            <w:tcW w:w="0" w:type="auto"/>
            <w:tcBorders>
              <w:top w:val="nil"/>
              <w:left w:val="nil"/>
              <w:bottom w:val="single" w:color="auto" w:sz="4" w:space="0"/>
              <w:right w:val="single" w:color="auto" w:sz="4" w:space="0"/>
            </w:tcBorders>
            <w:shd w:val="clear" w:color="auto" w:fill="auto"/>
            <w:noWrap/>
            <w:vAlign w:val="center"/>
          </w:tcPr>
          <w:p w14:paraId="58B08AC3">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93C2BB8">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2E7FDB4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A2FCADA">
            <w:pPr>
              <w:widowControl/>
              <w:jc w:val="center"/>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13572328">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268F5E4B">
            <w:pPr>
              <w:widowControl/>
              <w:jc w:val="right"/>
              <w:rPr>
                <w:rFonts w:hint="default" w:ascii="Times New Roman" w:hAnsi="Times New Roman" w:eastAsia="仿宋_GB2312" w:cs="Times New Roman"/>
                <w:color w:val="auto"/>
                <w:kern w:val="0"/>
                <w:sz w:val="22"/>
                <w:lang w:val="en-US" w:eastAsia="zh-CN"/>
              </w:rPr>
            </w:pPr>
            <w:r>
              <w:rPr>
                <w:rFonts w:hint="eastAsia" w:ascii="Times New Roman" w:hAnsi="Times New Roman" w:eastAsia="仿宋_GB2312" w:cs="Times New Roman"/>
                <w:color w:val="auto"/>
                <w:kern w:val="0"/>
                <w:sz w:val="22"/>
                <w:lang w:val="en-US" w:eastAsia="zh-CN"/>
              </w:rPr>
              <w:t>1383.34</w:t>
            </w:r>
          </w:p>
        </w:tc>
        <w:tc>
          <w:tcPr>
            <w:tcW w:w="0" w:type="auto"/>
            <w:tcBorders>
              <w:top w:val="nil"/>
              <w:left w:val="nil"/>
              <w:bottom w:val="single" w:color="auto" w:sz="4" w:space="0"/>
              <w:right w:val="single" w:color="auto" w:sz="4" w:space="0"/>
            </w:tcBorders>
            <w:shd w:val="clear" w:color="auto" w:fill="auto"/>
            <w:noWrap/>
            <w:vAlign w:val="center"/>
          </w:tcPr>
          <w:p w14:paraId="6D48D7D7">
            <w:pPr>
              <w:widowControl/>
              <w:jc w:val="center"/>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5727B5E4">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142F4390">
            <w:pPr>
              <w:widowControl/>
              <w:jc w:val="center"/>
              <w:rPr>
                <w:rFonts w:hint="default" w:ascii="Times New Roman" w:hAnsi="Times New Roman" w:eastAsia="仿宋_GB2312" w:cs="Times New Roman"/>
                <w:color w:val="auto"/>
                <w:kern w:val="0"/>
                <w:sz w:val="22"/>
                <w:lang w:val="en-US" w:eastAsia="zh-CN"/>
              </w:rPr>
            </w:pPr>
            <w:r>
              <w:rPr>
                <w:rFonts w:hint="eastAsia" w:ascii="Times New Roman" w:hAnsi="Times New Roman" w:eastAsia="仿宋_GB2312" w:cs="Times New Roman"/>
                <w:color w:val="auto"/>
                <w:kern w:val="0"/>
                <w:sz w:val="22"/>
                <w:lang w:val="en-US" w:eastAsia="zh-CN"/>
              </w:rPr>
              <w:t>1383.34</w:t>
            </w:r>
          </w:p>
        </w:tc>
        <w:tc>
          <w:tcPr>
            <w:tcW w:w="0" w:type="auto"/>
            <w:tcBorders>
              <w:top w:val="nil"/>
              <w:left w:val="nil"/>
              <w:bottom w:val="single" w:color="auto" w:sz="4" w:space="0"/>
              <w:right w:val="single" w:color="auto" w:sz="4" w:space="0"/>
            </w:tcBorders>
            <w:shd w:val="clear" w:color="auto" w:fill="auto"/>
            <w:noWrap/>
            <w:vAlign w:val="center"/>
          </w:tcPr>
          <w:p w14:paraId="565E1A59">
            <w:pPr>
              <w:widowControl/>
              <w:jc w:val="center"/>
              <w:rPr>
                <w:rFonts w:hint="default" w:ascii="Times New Roman" w:hAnsi="Times New Roman" w:eastAsia="仿宋_GB2312" w:cs="Times New Roman"/>
                <w:color w:val="auto"/>
                <w:kern w:val="0"/>
                <w:sz w:val="22"/>
                <w:szCs w:val="22"/>
                <w:lang w:val="en-US" w:eastAsia="zh-CN" w:bidi="ar-SA"/>
              </w:rPr>
            </w:pPr>
            <w:r>
              <w:rPr>
                <w:rFonts w:hint="eastAsia" w:ascii="Times New Roman" w:hAnsi="Times New Roman" w:eastAsia="仿宋_GB2312" w:cs="Times New Roman"/>
                <w:color w:val="auto"/>
                <w:kern w:val="0"/>
                <w:sz w:val="22"/>
                <w:szCs w:val="22"/>
                <w:lang w:val="en-US" w:eastAsia="zh-CN" w:bidi="ar-SA"/>
              </w:rPr>
              <w:t>1383.34</w:t>
            </w:r>
          </w:p>
        </w:tc>
        <w:tc>
          <w:tcPr>
            <w:tcW w:w="0" w:type="auto"/>
            <w:tcBorders>
              <w:top w:val="nil"/>
              <w:left w:val="nil"/>
              <w:bottom w:val="single" w:color="auto" w:sz="4" w:space="0"/>
              <w:right w:val="single" w:color="auto" w:sz="4" w:space="0"/>
            </w:tcBorders>
            <w:shd w:val="clear" w:color="auto" w:fill="auto"/>
            <w:noWrap/>
            <w:vAlign w:val="center"/>
          </w:tcPr>
          <w:p w14:paraId="0528B211">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5F56C1D">
            <w:pPr>
              <w:widowControl/>
              <w:jc w:val="left"/>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　</w:t>
            </w:r>
          </w:p>
        </w:tc>
      </w:tr>
      <w:tr w14:paraId="3FD362B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FCE4076">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564E05F5">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6F87B055">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94DE35D">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7357F6E2">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2CD7213A">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E5120C7">
            <w:pPr>
              <w:widowControl/>
              <w:jc w:val="center"/>
              <w:rPr>
                <w:rFonts w:ascii="Times New Roman" w:hAnsi="Times New Roman" w:eastAsia="仿宋_GB2312" w:cs="Times New Roman"/>
                <w:color w:val="auto"/>
                <w:kern w:val="0"/>
                <w:sz w:val="22"/>
                <w:szCs w:val="22"/>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2E3C1757">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876E224">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1763048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D1EFEF9">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518CB74C">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40244EC1">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51FB5C6">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8B9DF62">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2BB122B2">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874C96A">
            <w:pPr>
              <w:widowControl/>
              <w:jc w:val="center"/>
              <w:rPr>
                <w:rFonts w:ascii="Times New Roman" w:hAnsi="Times New Roman" w:eastAsia="仿宋_GB2312" w:cs="Times New Roman"/>
                <w:color w:val="auto"/>
                <w:kern w:val="0"/>
                <w:sz w:val="22"/>
                <w:szCs w:val="22"/>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1107D8D9">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5B0823D">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4863B7A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C84A278">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142B0027">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5DD58873">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54B0D59">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4CB72A6F">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28</w:t>
            </w:r>
          </w:p>
        </w:tc>
        <w:tc>
          <w:tcPr>
            <w:tcW w:w="0" w:type="auto"/>
            <w:tcBorders>
              <w:top w:val="nil"/>
              <w:left w:val="nil"/>
              <w:bottom w:val="single" w:color="auto" w:sz="4" w:space="0"/>
              <w:right w:val="single" w:color="auto" w:sz="4" w:space="0"/>
            </w:tcBorders>
            <w:shd w:val="clear" w:color="auto" w:fill="auto"/>
            <w:noWrap/>
            <w:vAlign w:val="center"/>
          </w:tcPr>
          <w:p w14:paraId="1612758F">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C8B988A">
            <w:pPr>
              <w:widowControl/>
              <w:jc w:val="center"/>
              <w:rPr>
                <w:rFonts w:ascii="Times New Roman" w:hAnsi="Times New Roman" w:eastAsia="仿宋_GB2312" w:cs="Times New Roman"/>
                <w:color w:val="auto"/>
                <w:kern w:val="0"/>
                <w:sz w:val="22"/>
                <w:szCs w:val="22"/>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2421BDDF">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849068D">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14C90F6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C8EEB83">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000000" w:fill="FFFFFF"/>
            <w:noWrap/>
            <w:vAlign w:val="center"/>
          </w:tcPr>
          <w:p w14:paraId="19A7D68F">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4662C55D">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4057102">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41D80B71">
            <w:pPr>
              <w:widowControl/>
              <w:jc w:val="center"/>
              <w:rPr>
                <w:rFonts w:hint="default" w:ascii="Times New Roman" w:hAnsi="Times New Roman" w:eastAsia="仿宋_GB2312" w:cs="Times New Roman"/>
                <w:color w:val="auto"/>
                <w:kern w:val="0"/>
                <w:sz w:val="22"/>
                <w:szCs w:val="22"/>
                <w:lang w:val="en-US" w:eastAsia="zh-CN" w:bidi="ar-SA"/>
              </w:rPr>
            </w:pPr>
            <w:r>
              <w:rPr>
                <w:rFonts w:hint="eastAsia" w:ascii="Times New Roman" w:hAnsi="Times New Roman" w:eastAsia="仿宋_GB2312" w:cs="Times New Roman"/>
                <w:color w:val="auto"/>
                <w:kern w:val="0"/>
                <w:sz w:val="22"/>
                <w:lang w:val="en-US" w:eastAsia="zh-CN"/>
              </w:rPr>
              <w:t>29</w:t>
            </w:r>
          </w:p>
        </w:tc>
        <w:tc>
          <w:tcPr>
            <w:tcW w:w="0" w:type="auto"/>
            <w:tcBorders>
              <w:top w:val="nil"/>
              <w:left w:val="nil"/>
              <w:bottom w:val="single" w:color="auto" w:sz="4" w:space="0"/>
              <w:right w:val="single" w:color="auto" w:sz="4" w:space="0"/>
            </w:tcBorders>
            <w:shd w:val="clear" w:color="auto" w:fill="auto"/>
            <w:noWrap/>
            <w:vAlign w:val="center"/>
          </w:tcPr>
          <w:p w14:paraId="1056287A">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B446FAA">
            <w:pPr>
              <w:widowControl/>
              <w:jc w:val="center"/>
              <w:rPr>
                <w:rFonts w:ascii="Times New Roman" w:hAnsi="Times New Roman" w:eastAsia="仿宋_GB2312" w:cs="Times New Roman"/>
                <w:color w:val="auto"/>
                <w:kern w:val="0"/>
                <w:sz w:val="22"/>
                <w:szCs w:val="22"/>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7D82EDA9">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418A815">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58B236F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479263D3">
            <w:pPr>
              <w:widowControl/>
              <w:jc w:val="center"/>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69B1AF3F">
            <w:pPr>
              <w:widowControl/>
              <w:jc w:val="center"/>
              <w:rPr>
                <w:rFonts w:hint="default" w:ascii="Times New Roman" w:hAnsi="Times New Roman" w:eastAsia="仿宋_GB2312" w:cs="Times New Roman"/>
                <w:color w:val="auto"/>
                <w:kern w:val="0"/>
                <w:sz w:val="22"/>
                <w:lang w:val="en-US" w:eastAsia="zh-CN"/>
              </w:rPr>
            </w:pPr>
            <w:r>
              <w:rPr>
                <w:rFonts w:hint="eastAsia" w:ascii="Times New Roman" w:hAnsi="Times New Roman" w:eastAsia="仿宋_GB2312" w:cs="Times New Roman"/>
                <w:color w:val="auto"/>
                <w:kern w:val="0"/>
                <w:sz w:val="22"/>
                <w:lang w:val="en-US" w:eastAsia="zh-CN"/>
              </w:rPr>
              <w:t>15</w:t>
            </w:r>
          </w:p>
        </w:tc>
        <w:tc>
          <w:tcPr>
            <w:tcW w:w="0" w:type="auto"/>
            <w:tcBorders>
              <w:top w:val="nil"/>
              <w:left w:val="nil"/>
              <w:bottom w:val="single" w:color="auto" w:sz="4" w:space="0"/>
              <w:right w:val="single" w:color="auto" w:sz="4" w:space="0"/>
            </w:tcBorders>
            <w:shd w:val="clear" w:color="auto" w:fill="auto"/>
            <w:noWrap/>
            <w:vAlign w:val="center"/>
          </w:tcPr>
          <w:p w14:paraId="790643D8">
            <w:pPr>
              <w:widowControl/>
              <w:jc w:val="right"/>
              <w:rPr>
                <w:rFonts w:ascii="Times New Roman" w:hAnsi="Times New Roman" w:eastAsia="仿宋_GB2312" w:cs="Times New Roman"/>
                <w:color w:val="auto"/>
                <w:kern w:val="0"/>
                <w:sz w:val="22"/>
              </w:rPr>
            </w:pPr>
            <w:r>
              <w:rPr>
                <w:rFonts w:hint="eastAsia" w:ascii="Times New Roman" w:hAnsi="Times New Roman" w:eastAsia="仿宋_GB2312" w:cs="Times New Roman"/>
                <w:color w:val="auto"/>
                <w:kern w:val="0"/>
                <w:sz w:val="22"/>
                <w:lang w:val="en-US" w:eastAsia="zh-CN"/>
              </w:rPr>
              <w:t>1383.34</w:t>
            </w:r>
          </w:p>
        </w:tc>
        <w:tc>
          <w:tcPr>
            <w:tcW w:w="0" w:type="auto"/>
            <w:tcBorders>
              <w:top w:val="nil"/>
              <w:left w:val="nil"/>
              <w:bottom w:val="single" w:color="auto" w:sz="4" w:space="0"/>
              <w:right w:val="single" w:color="auto" w:sz="4" w:space="0"/>
            </w:tcBorders>
            <w:shd w:val="clear" w:color="000000" w:fill="FFFFFF"/>
            <w:noWrap/>
            <w:vAlign w:val="center"/>
          </w:tcPr>
          <w:p w14:paraId="11142841">
            <w:pPr>
              <w:widowControl/>
              <w:jc w:val="center"/>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04DE0730">
            <w:pPr>
              <w:widowControl/>
              <w:jc w:val="center"/>
              <w:rPr>
                <w:rFonts w:hint="default" w:ascii="Times New Roman" w:hAnsi="Times New Roman" w:eastAsia="仿宋_GB2312" w:cs="Times New Roman"/>
                <w:color w:val="auto"/>
                <w:kern w:val="0"/>
                <w:sz w:val="22"/>
                <w:lang w:val="en-US" w:eastAsia="zh-CN"/>
              </w:rPr>
            </w:pPr>
            <w:r>
              <w:rPr>
                <w:rFonts w:hint="eastAsia" w:ascii="Times New Roman" w:hAnsi="Times New Roman" w:eastAsia="仿宋_GB2312" w:cs="Times New Roman"/>
                <w:color w:val="auto"/>
                <w:kern w:val="0"/>
                <w:sz w:val="22"/>
                <w:lang w:val="en-US" w:eastAsia="zh-CN"/>
              </w:rPr>
              <w:t>30</w:t>
            </w:r>
          </w:p>
        </w:tc>
        <w:tc>
          <w:tcPr>
            <w:tcW w:w="0" w:type="auto"/>
            <w:tcBorders>
              <w:top w:val="nil"/>
              <w:left w:val="nil"/>
              <w:bottom w:val="single" w:color="auto" w:sz="4" w:space="0"/>
              <w:right w:val="single" w:color="auto" w:sz="4" w:space="0"/>
            </w:tcBorders>
            <w:shd w:val="clear" w:color="000000" w:fill="FFFFFF"/>
            <w:noWrap/>
            <w:vAlign w:val="center"/>
          </w:tcPr>
          <w:p w14:paraId="42A27649">
            <w:pPr>
              <w:widowControl/>
              <w:jc w:val="center"/>
              <w:rPr>
                <w:rFonts w:hint="default" w:ascii="Times New Roman" w:hAnsi="Times New Roman" w:eastAsia="仿宋_GB2312" w:cs="Times New Roman"/>
                <w:color w:val="auto"/>
                <w:kern w:val="0"/>
                <w:sz w:val="22"/>
                <w:lang w:val="en-US" w:eastAsia="zh-CN"/>
              </w:rPr>
            </w:pPr>
            <w:r>
              <w:rPr>
                <w:rFonts w:hint="eastAsia" w:ascii="Times New Roman" w:hAnsi="Times New Roman" w:eastAsia="仿宋_GB2312" w:cs="Times New Roman"/>
                <w:color w:val="auto"/>
                <w:kern w:val="0"/>
                <w:sz w:val="22"/>
                <w:lang w:val="en-US" w:eastAsia="zh-CN"/>
              </w:rPr>
              <w:t>1383.34</w:t>
            </w:r>
          </w:p>
        </w:tc>
        <w:tc>
          <w:tcPr>
            <w:tcW w:w="0" w:type="auto"/>
            <w:tcBorders>
              <w:top w:val="nil"/>
              <w:left w:val="nil"/>
              <w:bottom w:val="single" w:color="auto" w:sz="4" w:space="0"/>
              <w:right w:val="single" w:color="auto" w:sz="4" w:space="0"/>
            </w:tcBorders>
            <w:shd w:val="clear" w:color="000000" w:fill="FFFFFF"/>
            <w:noWrap/>
            <w:vAlign w:val="center"/>
          </w:tcPr>
          <w:p w14:paraId="436833DF">
            <w:pPr>
              <w:widowControl/>
              <w:jc w:val="center"/>
              <w:rPr>
                <w:rFonts w:hint="default" w:ascii="Times New Roman" w:hAnsi="Times New Roman" w:eastAsia="仿宋_GB2312" w:cs="Times New Roman"/>
                <w:color w:val="auto"/>
                <w:kern w:val="0"/>
                <w:sz w:val="22"/>
                <w:szCs w:val="22"/>
                <w:lang w:val="en-US" w:eastAsia="zh-CN" w:bidi="ar-SA"/>
              </w:rPr>
            </w:pPr>
            <w:r>
              <w:rPr>
                <w:rFonts w:hint="eastAsia" w:ascii="Times New Roman" w:hAnsi="Times New Roman" w:eastAsia="仿宋_GB2312" w:cs="Times New Roman"/>
                <w:color w:val="auto"/>
                <w:kern w:val="0"/>
                <w:sz w:val="22"/>
                <w:lang w:val="en-US" w:eastAsia="zh-CN"/>
              </w:rPr>
              <w:t>1383.34</w:t>
            </w:r>
          </w:p>
        </w:tc>
        <w:tc>
          <w:tcPr>
            <w:tcW w:w="0" w:type="auto"/>
            <w:tcBorders>
              <w:top w:val="nil"/>
              <w:left w:val="nil"/>
              <w:bottom w:val="single" w:color="auto" w:sz="4" w:space="0"/>
              <w:right w:val="single" w:color="auto" w:sz="4" w:space="0"/>
            </w:tcBorders>
            <w:shd w:val="clear" w:color="auto" w:fill="auto"/>
            <w:noWrap/>
            <w:vAlign w:val="center"/>
          </w:tcPr>
          <w:p w14:paraId="0F31B440">
            <w:pPr>
              <w:widowControl/>
              <w:jc w:val="left"/>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D51BB0C">
            <w:pPr>
              <w:widowControl/>
              <w:jc w:val="left"/>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　</w:t>
            </w:r>
          </w:p>
        </w:tc>
      </w:tr>
    </w:tbl>
    <w:p w14:paraId="026CBF24">
      <w:pPr>
        <w:widowControl/>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注：</w:t>
      </w:r>
      <w:r>
        <w:rPr>
          <w:rFonts w:ascii="Times New Roman" w:hAnsi="Times New Roman" w:eastAsia="仿宋_GB2312" w:cs="Times New Roman"/>
          <w:color w:val="auto"/>
          <w:spacing w:val="-6"/>
          <w:kern w:val="0"/>
          <w:sz w:val="24"/>
          <w:szCs w:val="24"/>
        </w:rPr>
        <w:t>本表反映部门本年度一般公共预算财政拨款、政府性基金预算财政拨款和国有资本经营预算财政拨款的总收支和年末结转结余情况。</w:t>
      </w:r>
    </w:p>
    <w:p w14:paraId="047D2BA7">
      <w:pPr>
        <w:widowControl/>
        <w:jc w:val="center"/>
        <w:rPr>
          <w:rFonts w:ascii="Times New Roman" w:hAnsi="Times New Roman" w:eastAsia="方正小标宋_GBK" w:cs="Times New Roman"/>
          <w:color w:val="auto"/>
          <w:kern w:val="0"/>
          <w:sz w:val="36"/>
          <w:szCs w:val="36"/>
        </w:rPr>
      </w:pPr>
    </w:p>
    <w:p w14:paraId="66E91A16">
      <w:pPr>
        <w:widowControl/>
        <w:spacing w:after="156" w:afterLines="50"/>
        <w:jc w:val="center"/>
        <w:textAlignment w:val="center"/>
        <w:rPr>
          <w:rFonts w:ascii="Times New Roman" w:hAnsi="Times New Roman" w:eastAsia="黑体" w:cs="Times New Roman"/>
          <w:color w:val="auto"/>
          <w:kern w:val="0"/>
          <w:sz w:val="36"/>
          <w:szCs w:val="36"/>
          <w:lang w:bidi="ar"/>
        </w:rPr>
      </w:pPr>
      <w:r>
        <w:rPr>
          <w:rFonts w:ascii="Times New Roman" w:hAnsi="Times New Roman" w:eastAsia="黑体" w:cs="Times New Roman"/>
          <w:color w:val="auto"/>
          <w:kern w:val="0"/>
          <w:sz w:val="36"/>
          <w:szCs w:val="36"/>
          <w:lang w:bidi="ar"/>
        </w:rPr>
        <w:t>一般公共预算财政拨款支出决算表</w:t>
      </w:r>
      <w:bookmarkEnd w:id="1"/>
    </w:p>
    <w:p w14:paraId="0C0ABBC9">
      <w:pPr>
        <w:widowControl/>
        <w:spacing w:before="156" w:beforeLines="50"/>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xml:space="preserve">     部门：</w:t>
      </w:r>
      <w:r>
        <w:rPr>
          <w:rFonts w:hint="eastAsia" w:ascii="Times New Roman" w:hAnsi="Times New Roman" w:eastAsia="楷体_GB2312" w:cs="Times New Roman"/>
          <w:color w:val="auto"/>
          <w:kern w:val="0"/>
          <w:sz w:val="20"/>
          <w:szCs w:val="20"/>
          <w:lang w:eastAsia="zh-CN" w:bidi="ar"/>
        </w:rPr>
        <w:t>蓝山县塔峰镇中心卫生院</w:t>
      </w:r>
      <w:r>
        <w:rPr>
          <w:rFonts w:ascii="Times New Roman" w:hAnsi="Times New Roman" w:eastAsia="仿宋_GB2312" w:cs="Times New Roman"/>
          <w:color w:val="auto"/>
          <w:kern w:val="0"/>
          <w:szCs w:val="21"/>
        </w:rPr>
        <w:t xml:space="preserve">                                                                               公开05表</w:t>
      </w:r>
    </w:p>
    <w:p w14:paraId="0ED842CA">
      <w:pPr>
        <w:widowControl/>
        <w:jc w:val="left"/>
        <w:rPr>
          <w:rFonts w:ascii="Times New Roman" w:hAnsi="Times New Roman" w:eastAsia="宋体" w:cs="Times New Roman"/>
          <w:color w:val="auto"/>
          <w:kern w:val="0"/>
          <w:sz w:val="20"/>
          <w:szCs w:val="20"/>
        </w:rPr>
      </w:pPr>
      <w:r>
        <w:rPr>
          <w:rFonts w:ascii="Times New Roman" w:hAnsi="Times New Roman" w:eastAsia="仿宋_GB2312" w:cs="Times New Roman"/>
          <w:color w:val="auto"/>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803"/>
        <w:gridCol w:w="2724"/>
        <w:gridCol w:w="3492"/>
        <w:gridCol w:w="3000"/>
      </w:tblGrid>
      <w:tr w14:paraId="0FC4E41D">
        <w:tblPrEx>
          <w:tblCellMar>
            <w:top w:w="0" w:type="dxa"/>
            <w:left w:w="108" w:type="dxa"/>
            <w:bottom w:w="0" w:type="dxa"/>
            <w:right w:w="108" w:type="dxa"/>
          </w:tblCellMar>
        </w:tblPrEx>
        <w:trPr>
          <w:trHeight w:val="545" w:hRule="atLeast"/>
          <w:jc w:val="center"/>
        </w:trPr>
        <w:tc>
          <w:tcPr>
            <w:tcW w:w="5003"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AC24A7F">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项    目</w:t>
            </w:r>
          </w:p>
        </w:tc>
        <w:tc>
          <w:tcPr>
            <w:tcW w:w="9216" w:type="dxa"/>
            <w:gridSpan w:val="3"/>
            <w:tcBorders>
              <w:top w:val="single" w:color="auto" w:sz="8" w:space="0"/>
              <w:left w:val="nil"/>
              <w:bottom w:val="single" w:color="auto" w:sz="4" w:space="0"/>
              <w:right w:val="single" w:color="000000" w:sz="8" w:space="0"/>
            </w:tcBorders>
            <w:shd w:val="clear" w:color="auto" w:fill="auto"/>
            <w:vAlign w:val="center"/>
          </w:tcPr>
          <w:p w14:paraId="4C1831AC">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本年支出</w:t>
            </w:r>
          </w:p>
        </w:tc>
      </w:tr>
      <w:tr w14:paraId="0F013E48">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40E23582">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功能分类科目编码</w:t>
            </w:r>
          </w:p>
        </w:tc>
        <w:tc>
          <w:tcPr>
            <w:tcW w:w="3803" w:type="dxa"/>
            <w:vMerge w:val="restart"/>
            <w:tcBorders>
              <w:top w:val="nil"/>
              <w:left w:val="single" w:color="auto" w:sz="4" w:space="0"/>
              <w:bottom w:val="single" w:color="auto" w:sz="4" w:space="0"/>
              <w:right w:val="single" w:color="auto" w:sz="4" w:space="0"/>
            </w:tcBorders>
            <w:shd w:val="clear" w:color="auto" w:fill="auto"/>
            <w:vAlign w:val="center"/>
          </w:tcPr>
          <w:p w14:paraId="0DBBE021">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科目名称</w:t>
            </w:r>
          </w:p>
        </w:tc>
        <w:tc>
          <w:tcPr>
            <w:tcW w:w="2724" w:type="dxa"/>
            <w:vMerge w:val="restart"/>
            <w:tcBorders>
              <w:top w:val="nil"/>
              <w:left w:val="single" w:color="auto" w:sz="4" w:space="0"/>
              <w:bottom w:val="single" w:color="000000" w:sz="4" w:space="0"/>
              <w:right w:val="single" w:color="auto" w:sz="4" w:space="0"/>
            </w:tcBorders>
            <w:shd w:val="clear" w:color="auto" w:fill="auto"/>
            <w:vAlign w:val="center"/>
          </w:tcPr>
          <w:p w14:paraId="09C2F342">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530D5292">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46AEAC72">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项目支出</w:t>
            </w:r>
          </w:p>
        </w:tc>
      </w:tr>
      <w:tr w14:paraId="404558E9">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5F070DA">
            <w:pPr>
              <w:widowControl/>
              <w:jc w:val="left"/>
              <w:rPr>
                <w:rFonts w:ascii="Times New Roman" w:hAnsi="Times New Roman" w:eastAsia="仿宋_GB2312" w:cs="Times New Roman"/>
                <w:color w:val="auto"/>
                <w:kern w:val="0"/>
                <w:szCs w:val="21"/>
              </w:rPr>
            </w:pPr>
          </w:p>
        </w:tc>
        <w:tc>
          <w:tcPr>
            <w:tcW w:w="3803" w:type="dxa"/>
            <w:vMerge w:val="continue"/>
            <w:tcBorders>
              <w:top w:val="nil"/>
              <w:left w:val="single" w:color="auto" w:sz="4" w:space="0"/>
              <w:bottom w:val="single" w:color="auto" w:sz="4" w:space="0"/>
              <w:right w:val="single" w:color="auto" w:sz="4" w:space="0"/>
            </w:tcBorders>
            <w:vAlign w:val="center"/>
          </w:tcPr>
          <w:p w14:paraId="7B6F2563">
            <w:pPr>
              <w:widowControl/>
              <w:jc w:val="left"/>
              <w:rPr>
                <w:rFonts w:ascii="Times New Roman" w:hAnsi="Times New Roman" w:eastAsia="仿宋_GB2312" w:cs="Times New Roman"/>
                <w:color w:val="auto"/>
                <w:kern w:val="0"/>
                <w:szCs w:val="21"/>
              </w:rPr>
            </w:pPr>
          </w:p>
        </w:tc>
        <w:tc>
          <w:tcPr>
            <w:tcW w:w="2724" w:type="dxa"/>
            <w:vMerge w:val="continue"/>
            <w:tcBorders>
              <w:top w:val="nil"/>
              <w:left w:val="single" w:color="auto" w:sz="4" w:space="0"/>
              <w:bottom w:val="single" w:color="000000" w:sz="4" w:space="0"/>
              <w:right w:val="single" w:color="auto" w:sz="4" w:space="0"/>
            </w:tcBorders>
            <w:vAlign w:val="center"/>
          </w:tcPr>
          <w:p w14:paraId="3B8376B1">
            <w:pPr>
              <w:widowControl/>
              <w:jc w:val="left"/>
              <w:rPr>
                <w:rFonts w:ascii="Times New Roman" w:hAnsi="Times New Roman" w:eastAsia="仿宋_GB2312" w:cs="Times New Roman"/>
                <w:color w:val="auto"/>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0F963CF">
            <w:pPr>
              <w:widowControl/>
              <w:jc w:val="left"/>
              <w:rPr>
                <w:rFonts w:ascii="Times New Roman" w:hAnsi="Times New Roman" w:eastAsia="仿宋_GB2312" w:cs="Times New Roman"/>
                <w:color w:val="auto"/>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A7423F1">
            <w:pPr>
              <w:widowControl/>
              <w:jc w:val="left"/>
              <w:rPr>
                <w:rFonts w:ascii="Times New Roman" w:hAnsi="Times New Roman" w:eastAsia="仿宋_GB2312" w:cs="Times New Roman"/>
                <w:color w:val="auto"/>
                <w:kern w:val="0"/>
                <w:szCs w:val="21"/>
              </w:rPr>
            </w:pPr>
          </w:p>
        </w:tc>
      </w:tr>
      <w:tr w14:paraId="3E7372D2">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4BD67BA">
            <w:pPr>
              <w:widowControl/>
              <w:jc w:val="left"/>
              <w:rPr>
                <w:rFonts w:ascii="Times New Roman" w:hAnsi="Times New Roman" w:eastAsia="仿宋_GB2312" w:cs="Times New Roman"/>
                <w:color w:val="auto"/>
                <w:kern w:val="0"/>
                <w:szCs w:val="21"/>
              </w:rPr>
            </w:pPr>
          </w:p>
        </w:tc>
        <w:tc>
          <w:tcPr>
            <w:tcW w:w="3803" w:type="dxa"/>
            <w:vMerge w:val="continue"/>
            <w:tcBorders>
              <w:top w:val="nil"/>
              <w:left w:val="single" w:color="auto" w:sz="4" w:space="0"/>
              <w:bottom w:val="single" w:color="auto" w:sz="4" w:space="0"/>
              <w:right w:val="single" w:color="auto" w:sz="4" w:space="0"/>
            </w:tcBorders>
            <w:vAlign w:val="center"/>
          </w:tcPr>
          <w:p w14:paraId="2CDEED6F">
            <w:pPr>
              <w:widowControl/>
              <w:jc w:val="left"/>
              <w:rPr>
                <w:rFonts w:ascii="Times New Roman" w:hAnsi="Times New Roman" w:eastAsia="仿宋_GB2312" w:cs="Times New Roman"/>
                <w:color w:val="auto"/>
                <w:kern w:val="0"/>
                <w:szCs w:val="21"/>
              </w:rPr>
            </w:pPr>
          </w:p>
        </w:tc>
        <w:tc>
          <w:tcPr>
            <w:tcW w:w="2724" w:type="dxa"/>
            <w:vMerge w:val="continue"/>
            <w:tcBorders>
              <w:top w:val="nil"/>
              <w:left w:val="single" w:color="auto" w:sz="4" w:space="0"/>
              <w:bottom w:val="single" w:color="000000" w:sz="4" w:space="0"/>
              <w:right w:val="single" w:color="auto" w:sz="4" w:space="0"/>
            </w:tcBorders>
            <w:vAlign w:val="center"/>
          </w:tcPr>
          <w:p w14:paraId="4E9210B3">
            <w:pPr>
              <w:widowControl/>
              <w:jc w:val="left"/>
              <w:rPr>
                <w:rFonts w:ascii="Times New Roman" w:hAnsi="Times New Roman" w:eastAsia="仿宋_GB2312" w:cs="Times New Roman"/>
                <w:color w:val="auto"/>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88D8108">
            <w:pPr>
              <w:widowControl/>
              <w:jc w:val="left"/>
              <w:rPr>
                <w:rFonts w:ascii="Times New Roman" w:hAnsi="Times New Roman" w:eastAsia="仿宋_GB2312" w:cs="Times New Roman"/>
                <w:color w:val="auto"/>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1E879B6">
            <w:pPr>
              <w:widowControl/>
              <w:jc w:val="left"/>
              <w:rPr>
                <w:rFonts w:ascii="Times New Roman" w:hAnsi="Times New Roman" w:eastAsia="仿宋_GB2312" w:cs="Times New Roman"/>
                <w:color w:val="auto"/>
                <w:kern w:val="0"/>
                <w:szCs w:val="21"/>
              </w:rPr>
            </w:pPr>
          </w:p>
        </w:tc>
      </w:tr>
      <w:tr w14:paraId="045D2CB7">
        <w:tblPrEx>
          <w:tblCellMar>
            <w:top w:w="0" w:type="dxa"/>
            <w:left w:w="108" w:type="dxa"/>
            <w:bottom w:w="0" w:type="dxa"/>
            <w:right w:w="108" w:type="dxa"/>
          </w:tblCellMar>
        </w:tblPrEx>
        <w:trPr>
          <w:trHeight w:val="450" w:hRule="atLeast"/>
          <w:jc w:val="center"/>
        </w:trPr>
        <w:tc>
          <w:tcPr>
            <w:tcW w:w="500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6EF1017">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栏次</w:t>
            </w:r>
          </w:p>
        </w:tc>
        <w:tc>
          <w:tcPr>
            <w:tcW w:w="2724" w:type="dxa"/>
            <w:tcBorders>
              <w:top w:val="nil"/>
              <w:left w:val="nil"/>
              <w:bottom w:val="single" w:color="auto" w:sz="4" w:space="0"/>
              <w:right w:val="single" w:color="auto" w:sz="4" w:space="0"/>
            </w:tcBorders>
            <w:shd w:val="clear" w:color="auto" w:fill="auto"/>
            <w:vAlign w:val="center"/>
          </w:tcPr>
          <w:p w14:paraId="68663127">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1A74FDAE">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04E31630">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3</w:t>
            </w:r>
          </w:p>
        </w:tc>
      </w:tr>
      <w:tr w14:paraId="0E75E16C">
        <w:tblPrEx>
          <w:tblCellMar>
            <w:top w:w="0" w:type="dxa"/>
            <w:left w:w="108" w:type="dxa"/>
            <w:bottom w:w="0" w:type="dxa"/>
            <w:right w:w="108" w:type="dxa"/>
          </w:tblCellMar>
        </w:tblPrEx>
        <w:trPr>
          <w:trHeight w:val="450" w:hRule="atLeast"/>
          <w:jc w:val="center"/>
        </w:trPr>
        <w:tc>
          <w:tcPr>
            <w:tcW w:w="500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361D05D">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合计</w:t>
            </w:r>
          </w:p>
        </w:tc>
        <w:tc>
          <w:tcPr>
            <w:tcW w:w="2724" w:type="dxa"/>
            <w:tcBorders>
              <w:top w:val="nil"/>
              <w:left w:val="nil"/>
              <w:bottom w:val="single" w:color="auto" w:sz="4" w:space="0"/>
              <w:right w:val="single" w:color="auto" w:sz="4" w:space="0"/>
            </w:tcBorders>
            <w:shd w:val="clear" w:color="auto" w:fill="auto"/>
            <w:vAlign w:val="center"/>
          </w:tcPr>
          <w:p w14:paraId="0666515A">
            <w:pPr>
              <w:widowControl/>
              <w:jc w:val="center"/>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lang w:val="en-US" w:eastAsia="zh-CN"/>
              </w:rPr>
              <w:t>1383.34</w:t>
            </w:r>
            <w:r>
              <w:rPr>
                <w:rFonts w:ascii="Times New Roman" w:hAnsi="Times New Roman" w:eastAsia="仿宋_GB2312" w:cs="Times New Roman"/>
                <w:color w:val="auto"/>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32EF9E74">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635.94</w:t>
            </w:r>
          </w:p>
        </w:tc>
        <w:tc>
          <w:tcPr>
            <w:tcW w:w="3000" w:type="dxa"/>
            <w:tcBorders>
              <w:top w:val="nil"/>
              <w:left w:val="nil"/>
              <w:bottom w:val="single" w:color="auto" w:sz="4" w:space="0"/>
              <w:right w:val="single" w:color="auto" w:sz="8" w:space="0"/>
            </w:tcBorders>
            <w:shd w:val="clear" w:color="auto" w:fill="auto"/>
            <w:vAlign w:val="center"/>
          </w:tcPr>
          <w:p w14:paraId="13733913">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747.40</w:t>
            </w:r>
          </w:p>
        </w:tc>
      </w:tr>
      <w:tr w14:paraId="5416046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2E46E12D">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2080505</w:t>
            </w:r>
          </w:p>
        </w:tc>
        <w:tc>
          <w:tcPr>
            <w:tcW w:w="3803" w:type="dxa"/>
            <w:tcBorders>
              <w:top w:val="nil"/>
              <w:left w:val="nil"/>
              <w:bottom w:val="single" w:color="auto" w:sz="4" w:space="0"/>
              <w:right w:val="single" w:color="auto" w:sz="4" w:space="0"/>
            </w:tcBorders>
            <w:shd w:val="clear" w:color="000000" w:fill="FFFFFF"/>
            <w:vAlign w:val="center"/>
          </w:tcPr>
          <w:p w14:paraId="559EB289">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机关事业单位基本养老保险缴费支出</w:t>
            </w:r>
          </w:p>
        </w:tc>
        <w:tc>
          <w:tcPr>
            <w:tcW w:w="2724" w:type="dxa"/>
            <w:tcBorders>
              <w:top w:val="nil"/>
              <w:left w:val="nil"/>
              <w:bottom w:val="single" w:color="auto" w:sz="4" w:space="0"/>
              <w:right w:val="single" w:color="auto" w:sz="4" w:space="0"/>
            </w:tcBorders>
            <w:shd w:val="clear" w:color="auto" w:fill="auto"/>
            <w:vAlign w:val="center"/>
          </w:tcPr>
          <w:p w14:paraId="33D52281">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67.31</w:t>
            </w:r>
          </w:p>
        </w:tc>
        <w:tc>
          <w:tcPr>
            <w:tcW w:w="3492" w:type="dxa"/>
            <w:tcBorders>
              <w:top w:val="nil"/>
              <w:left w:val="nil"/>
              <w:bottom w:val="single" w:color="auto" w:sz="4" w:space="0"/>
              <w:right w:val="single" w:color="auto" w:sz="4" w:space="0"/>
            </w:tcBorders>
            <w:shd w:val="clear" w:color="auto" w:fill="auto"/>
            <w:vAlign w:val="center"/>
          </w:tcPr>
          <w:p w14:paraId="4F3DD10F">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67.31</w:t>
            </w:r>
          </w:p>
        </w:tc>
        <w:tc>
          <w:tcPr>
            <w:tcW w:w="3000" w:type="dxa"/>
            <w:tcBorders>
              <w:top w:val="nil"/>
              <w:left w:val="nil"/>
              <w:bottom w:val="single" w:color="auto" w:sz="4" w:space="0"/>
              <w:right w:val="single" w:color="auto" w:sz="8" w:space="0"/>
            </w:tcBorders>
            <w:shd w:val="clear" w:color="auto" w:fill="auto"/>
            <w:vAlign w:val="center"/>
          </w:tcPr>
          <w:p w14:paraId="2B03631A">
            <w:pPr>
              <w:widowControl/>
              <w:jc w:val="center"/>
              <w:rPr>
                <w:rFonts w:ascii="Times New Roman" w:hAnsi="Times New Roman" w:eastAsia="仿宋_GB2312" w:cs="Times New Roman"/>
                <w:color w:val="auto"/>
                <w:kern w:val="0"/>
                <w:szCs w:val="21"/>
              </w:rPr>
            </w:pPr>
          </w:p>
        </w:tc>
      </w:tr>
      <w:tr w14:paraId="75D2E38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10171C7C">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2080599</w:t>
            </w:r>
          </w:p>
        </w:tc>
        <w:tc>
          <w:tcPr>
            <w:tcW w:w="3803" w:type="dxa"/>
            <w:tcBorders>
              <w:top w:val="nil"/>
              <w:left w:val="nil"/>
              <w:bottom w:val="single" w:color="auto" w:sz="4" w:space="0"/>
              <w:right w:val="single" w:color="auto" w:sz="4" w:space="0"/>
            </w:tcBorders>
            <w:shd w:val="clear" w:color="000000" w:fill="FFFFFF"/>
            <w:vAlign w:val="center"/>
          </w:tcPr>
          <w:p w14:paraId="2913BB65">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其他行政事业单位养老支出</w:t>
            </w:r>
          </w:p>
        </w:tc>
        <w:tc>
          <w:tcPr>
            <w:tcW w:w="2724" w:type="dxa"/>
            <w:tcBorders>
              <w:top w:val="nil"/>
              <w:left w:val="nil"/>
              <w:bottom w:val="single" w:color="auto" w:sz="4" w:space="0"/>
              <w:right w:val="single" w:color="auto" w:sz="4" w:space="0"/>
            </w:tcBorders>
            <w:shd w:val="clear" w:color="auto" w:fill="auto"/>
            <w:vAlign w:val="center"/>
          </w:tcPr>
          <w:p w14:paraId="5D7F03C5">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16.55</w:t>
            </w:r>
          </w:p>
        </w:tc>
        <w:tc>
          <w:tcPr>
            <w:tcW w:w="3492" w:type="dxa"/>
            <w:tcBorders>
              <w:top w:val="nil"/>
              <w:left w:val="nil"/>
              <w:bottom w:val="single" w:color="auto" w:sz="4" w:space="0"/>
              <w:right w:val="single" w:color="auto" w:sz="4" w:space="0"/>
            </w:tcBorders>
            <w:shd w:val="clear" w:color="auto" w:fill="auto"/>
            <w:vAlign w:val="center"/>
          </w:tcPr>
          <w:p w14:paraId="0C97B6BD">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16.55</w:t>
            </w:r>
          </w:p>
        </w:tc>
        <w:tc>
          <w:tcPr>
            <w:tcW w:w="3000" w:type="dxa"/>
            <w:tcBorders>
              <w:top w:val="nil"/>
              <w:left w:val="nil"/>
              <w:bottom w:val="single" w:color="auto" w:sz="4" w:space="0"/>
              <w:right w:val="single" w:color="auto" w:sz="8" w:space="0"/>
            </w:tcBorders>
            <w:shd w:val="clear" w:color="auto" w:fill="auto"/>
            <w:vAlign w:val="center"/>
          </w:tcPr>
          <w:p w14:paraId="0250FA42">
            <w:pPr>
              <w:widowControl/>
              <w:jc w:val="center"/>
              <w:rPr>
                <w:rFonts w:hint="default" w:ascii="Times New Roman" w:hAnsi="Times New Roman" w:eastAsia="仿宋_GB2312" w:cs="Times New Roman"/>
                <w:color w:val="auto"/>
                <w:kern w:val="0"/>
                <w:szCs w:val="21"/>
                <w:lang w:val="en-US" w:eastAsia="zh-CN"/>
              </w:rPr>
            </w:pPr>
          </w:p>
        </w:tc>
      </w:tr>
      <w:tr w14:paraId="2AA2B49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0F4607D">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2080801</w:t>
            </w:r>
          </w:p>
        </w:tc>
        <w:tc>
          <w:tcPr>
            <w:tcW w:w="3803" w:type="dxa"/>
            <w:tcBorders>
              <w:top w:val="nil"/>
              <w:left w:val="nil"/>
              <w:bottom w:val="single" w:color="auto" w:sz="4" w:space="0"/>
              <w:right w:val="single" w:color="auto" w:sz="4" w:space="0"/>
            </w:tcBorders>
            <w:shd w:val="clear" w:color="auto" w:fill="auto"/>
            <w:vAlign w:val="center"/>
          </w:tcPr>
          <w:p w14:paraId="29438ACC">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死亡抚恤</w:t>
            </w:r>
          </w:p>
        </w:tc>
        <w:tc>
          <w:tcPr>
            <w:tcW w:w="2724" w:type="dxa"/>
            <w:tcBorders>
              <w:top w:val="nil"/>
              <w:left w:val="nil"/>
              <w:bottom w:val="single" w:color="auto" w:sz="4" w:space="0"/>
              <w:right w:val="single" w:color="auto" w:sz="4" w:space="0"/>
            </w:tcBorders>
            <w:shd w:val="clear" w:color="auto" w:fill="auto"/>
            <w:vAlign w:val="center"/>
          </w:tcPr>
          <w:p w14:paraId="1F046040">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24.67</w:t>
            </w:r>
          </w:p>
        </w:tc>
        <w:tc>
          <w:tcPr>
            <w:tcW w:w="3492" w:type="dxa"/>
            <w:tcBorders>
              <w:top w:val="nil"/>
              <w:left w:val="nil"/>
              <w:bottom w:val="single" w:color="auto" w:sz="4" w:space="0"/>
              <w:right w:val="single" w:color="auto" w:sz="4" w:space="0"/>
            </w:tcBorders>
            <w:shd w:val="clear" w:color="auto" w:fill="auto"/>
            <w:vAlign w:val="center"/>
          </w:tcPr>
          <w:p w14:paraId="4B59CC55">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24.67</w:t>
            </w:r>
          </w:p>
        </w:tc>
        <w:tc>
          <w:tcPr>
            <w:tcW w:w="3000" w:type="dxa"/>
            <w:tcBorders>
              <w:top w:val="nil"/>
              <w:left w:val="nil"/>
              <w:bottom w:val="single" w:color="auto" w:sz="4" w:space="0"/>
              <w:right w:val="single" w:color="auto" w:sz="8" w:space="0"/>
            </w:tcBorders>
            <w:shd w:val="clear" w:color="auto" w:fill="auto"/>
            <w:vAlign w:val="center"/>
          </w:tcPr>
          <w:p w14:paraId="3DB953A7">
            <w:pPr>
              <w:widowControl/>
              <w:jc w:val="center"/>
              <w:rPr>
                <w:rFonts w:ascii="Times New Roman" w:hAnsi="Times New Roman" w:eastAsia="仿宋_GB2312" w:cs="Times New Roman"/>
                <w:color w:val="auto"/>
                <w:kern w:val="0"/>
                <w:szCs w:val="21"/>
              </w:rPr>
            </w:pPr>
          </w:p>
        </w:tc>
      </w:tr>
      <w:tr w14:paraId="7E6EA2A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7B54094">
            <w:pPr>
              <w:widowControl/>
              <w:jc w:val="left"/>
              <w:rPr>
                <w:rFonts w:hint="default" w:eastAsia="仿宋_GB2312" w:asciiTheme="minorHAnsi" w:hAnsiTheme="minorHAnsi" w:cstheme="minorBidi"/>
                <w:color w:val="auto"/>
                <w:kern w:val="0"/>
                <w:sz w:val="21"/>
                <w:szCs w:val="21"/>
                <w:lang w:val="en-US" w:eastAsia="zh-CN" w:bidi="ar-SA"/>
              </w:rPr>
            </w:pPr>
            <w:r>
              <w:rPr>
                <w:rFonts w:hint="eastAsia" w:ascii="Times New Roman" w:hAnsi="Times New Roman" w:eastAsia="仿宋_GB2312" w:cs="Times New Roman"/>
                <w:color w:val="auto"/>
                <w:kern w:val="0"/>
                <w:sz w:val="24"/>
                <w:szCs w:val="24"/>
                <w:lang w:val="en-US" w:eastAsia="zh-CN" w:bidi="ar-SA"/>
              </w:rPr>
              <w:t>2100302</w:t>
            </w:r>
          </w:p>
        </w:tc>
        <w:tc>
          <w:tcPr>
            <w:tcW w:w="3803" w:type="dxa"/>
            <w:tcBorders>
              <w:top w:val="nil"/>
              <w:left w:val="nil"/>
              <w:bottom w:val="single" w:color="auto" w:sz="4" w:space="0"/>
              <w:right w:val="single" w:color="auto" w:sz="4" w:space="0"/>
            </w:tcBorders>
            <w:shd w:val="clear" w:color="auto" w:fill="auto"/>
            <w:vAlign w:val="center"/>
          </w:tcPr>
          <w:p w14:paraId="4757F386">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乡镇卫生院</w:t>
            </w:r>
          </w:p>
        </w:tc>
        <w:tc>
          <w:tcPr>
            <w:tcW w:w="2724" w:type="dxa"/>
            <w:tcBorders>
              <w:top w:val="nil"/>
              <w:left w:val="nil"/>
              <w:bottom w:val="single" w:color="auto" w:sz="4" w:space="0"/>
              <w:right w:val="single" w:color="auto" w:sz="4" w:space="0"/>
            </w:tcBorders>
            <w:shd w:val="clear" w:color="auto" w:fill="auto"/>
            <w:vAlign w:val="center"/>
          </w:tcPr>
          <w:p w14:paraId="366F0FE0">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478.71</w:t>
            </w:r>
          </w:p>
        </w:tc>
        <w:tc>
          <w:tcPr>
            <w:tcW w:w="3492" w:type="dxa"/>
            <w:tcBorders>
              <w:top w:val="nil"/>
              <w:left w:val="nil"/>
              <w:bottom w:val="single" w:color="auto" w:sz="4" w:space="0"/>
              <w:right w:val="single" w:color="auto" w:sz="4" w:space="0"/>
            </w:tcBorders>
            <w:shd w:val="clear" w:color="auto" w:fill="auto"/>
            <w:vAlign w:val="center"/>
          </w:tcPr>
          <w:p w14:paraId="0552A134">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478.71</w:t>
            </w:r>
          </w:p>
        </w:tc>
        <w:tc>
          <w:tcPr>
            <w:tcW w:w="3000" w:type="dxa"/>
            <w:tcBorders>
              <w:top w:val="nil"/>
              <w:left w:val="nil"/>
              <w:bottom w:val="single" w:color="auto" w:sz="4" w:space="0"/>
              <w:right w:val="single" w:color="auto" w:sz="8" w:space="0"/>
            </w:tcBorders>
            <w:shd w:val="clear" w:color="auto" w:fill="auto"/>
            <w:vAlign w:val="center"/>
          </w:tcPr>
          <w:p w14:paraId="11991A02">
            <w:pPr>
              <w:widowControl/>
              <w:jc w:val="center"/>
              <w:rPr>
                <w:rFonts w:ascii="Times New Roman" w:hAnsi="Times New Roman" w:eastAsia="仿宋_GB2312" w:cs="Times New Roman"/>
                <w:color w:val="auto"/>
                <w:kern w:val="0"/>
                <w:szCs w:val="21"/>
              </w:rPr>
            </w:pPr>
          </w:p>
        </w:tc>
      </w:tr>
      <w:tr w14:paraId="64ACD56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7F299F0">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2100399</w:t>
            </w:r>
          </w:p>
        </w:tc>
        <w:tc>
          <w:tcPr>
            <w:tcW w:w="3803" w:type="dxa"/>
            <w:tcBorders>
              <w:top w:val="nil"/>
              <w:left w:val="nil"/>
              <w:bottom w:val="single" w:color="auto" w:sz="4" w:space="0"/>
              <w:right w:val="single" w:color="auto" w:sz="4" w:space="0"/>
            </w:tcBorders>
            <w:shd w:val="clear" w:color="auto" w:fill="auto"/>
            <w:vAlign w:val="center"/>
          </w:tcPr>
          <w:p w14:paraId="0950317A">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其他基层医疗卫生机构支出</w:t>
            </w:r>
          </w:p>
        </w:tc>
        <w:tc>
          <w:tcPr>
            <w:tcW w:w="2724" w:type="dxa"/>
            <w:tcBorders>
              <w:top w:val="nil"/>
              <w:left w:val="nil"/>
              <w:bottom w:val="single" w:color="auto" w:sz="4" w:space="0"/>
              <w:right w:val="single" w:color="auto" w:sz="4" w:space="0"/>
            </w:tcBorders>
            <w:shd w:val="clear" w:color="auto" w:fill="auto"/>
            <w:vAlign w:val="center"/>
          </w:tcPr>
          <w:p w14:paraId="23E090DE">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103.53</w:t>
            </w:r>
          </w:p>
        </w:tc>
        <w:tc>
          <w:tcPr>
            <w:tcW w:w="3492" w:type="dxa"/>
            <w:tcBorders>
              <w:top w:val="nil"/>
              <w:left w:val="nil"/>
              <w:bottom w:val="single" w:color="auto" w:sz="4" w:space="0"/>
              <w:right w:val="single" w:color="auto" w:sz="4" w:space="0"/>
            </w:tcBorders>
            <w:shd w:val="clear" w:color="auto" w:fill="auto"/>
            <w:vAlign w:val="center"/>
          </w:tcPr>
          <w:p w14:paraId="394B6436">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23.69</w:t>
            </w:r>
          </w:p>
        </w:tc>
        <w:tc>
          <w:tcPr>
            <w:tcW w:w="3000" w:type="dxa"/>
            <w:tcBorders>
              <w:top w:val="nil"/>
              <w:left w:val="nil"/>
              <w:bottom w:val="single" w:color="auto" w:sz="4" w:space="0"/>
              <w:right w:val="single" w:color="auto" w:sz="8" w:space="0"/>
            </w:tcBorders>
            <w:shd w:val="clear" w:color="auto" w:fill="auto"/>
            <w:vAlign w:val="center"/>
          </w:tcPr>
          <w:p w14:paraId="2D90762A">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79.84</w:t>
            </w:r>
          </w:p>
        </w:tc>
      </w:tr>
      <w:tr w14:paraId="139E975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90AF45A">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2100408</w:t>
            </w:r>
          </w:p>
        </w:tc>
        <w:tc>
          <w:tcPr>
            <w:tcW w:w="3803" w:type="dxa"/>
            <w:tcBorders>
              <w:top w:val="nil"/>
              <w:left w:val="nil"/>
              <w:bottom w:val="single" w:color="auto" w:sz="4" w:space="0"/>
              <w:right w:val="single" w:color="auto" w:sz="4" w:space="0"/>
            </w:tcBorders>
            <w:shd w:val="clear" w:color="auto" w:fill="auto"/>
            <w:vAlign w:val="center"/>
          </w:tcPr>
          <w:p w14:paraId="5B765221">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基本公共卫生服务</w:t>
            </w:r>
          </w:p>
        </w:tc>
        <w:tc>
          <w:tcPr>
            <w:tcW w:w="2724" w:type="dxa"/>
            <w:tcBorders>
              <w:top w:val="nil"/>
              <w:left w:val="nil"/>
              <w:bottom w:val="single" w:color="auto" w:sz="4" w:space="0"/>
              <w:right w:val="single" w:color="auto" w:sz="4" w:space="0"/>
            </w:tcBorders>
            <w:shd w:val="clear" w:color="auto" w:fill="auto"/>
            <w:vAlign w:val="center"/>
          </w:tcPr>
          <w:p w14:paraId="4D85DEF0">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667.56</w:t>
            </w:r>
          </w:p>
        </w:tc>
        <w:tc>
          <w:tcPr>
            <w:tcW w:w="3492" w:type="dxa"/>
            <w:tcBorders>
              <w:top w:val="nil"/>
              <w:left w:val="nil"/>
              <w:bottom w:val="single" w:color="auto" w:sz="4" w:space="0"/>
              <w:right w:val="single" w:color="auto" w:sz="4" w:space="0"/>
            </w:tcBorders>
            <w:shd w:val="clear" w:color="auto" w:fill="auto"/>
            <w:vAlign w:val="center"/>
          </w:tcPr>
          <w:p w14:paraId="45395823">
            <w:pPr>
              <w:widowControl/>
              <w:jc w:val="center"/>
              <w:rPr>
                <w:rFonts w:ascii="Times New Roman" w:hAnsi="Times New Roman" w:eastAsia="仿宋_GB2312" w:cs="Times New Roman"/>
                <w:color w:val="auto"/>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2CFC1E00">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667.56</w:t>
            </w:r>
          </w:p>
        </w:tc>
      </w:tr>
      <w:tr w14:paraId="19B6F57F">
        <w:tblPrEx>
          <w:tblCellMar>
            <w:top w:w="0" w:type="dxa"/>
            <w:left w:w="108" w:type="dxa"/>
            <w:bottom w:w="0" w:type="dxa"/>
            <w:right w:w="108" w:type="dxa"/>
          </w:tblCellMar>
        </w:tblPrEx>
        <w:trPr>
          <w:trHeight w:val="45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8C2F924">
            <w:pPr>
              <w:widowControl/>
              <w:jc w:val="left"/>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2101102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1900266">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事业单位医疗</w:t>
            </w:r>
          </w:p>
        </w:tc>
        <w:tc>
          <w:tcPr>
            <w:tcW w:w="0" w:type="auto"/>
            <w:tcBorders>
              <w:top w:val="single" w:color="auto" w:sz="4" w:space="0"/>
              <w:left w:val="single" w:color="auto" w:sz="4" w:space="0"/>
              <w:bottom w:val="single" w:color="auto" w:sz="4" w:space="0"/>
              <w:right w:val="single" w:color="auto" w:sz="4" w:space="0"/>
            </w:tcBorders>
          </w:tcPr>
          <w:p w14:paraId="429ABEAD">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25.01</w:t>
            </w:r>
          </w:p>
        </w:tc>
        <w:tc>
          <w:tcPr>
            <w:tcW w:w="0" w:type="auto"/>
            <w:tcBorders>
              <w:top w:val="single" w:color="auto" w:sz="4" w:space="0"/>
              <w:left w:val="single" w:color="auto" w:sz="4" w:space="0"/>
              <w:bottom w:val="single" w:color="auto" w:sz="4" w:space="0"/>
              <w:right w:val="single" w:color="auto" w:sz="4" w:space="0"/>
            </w:tcBorders>
          </w:tcPr>
          <w:p w14:paraId="1DD651A3">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25.01</w:t>
            </w:r>
          </w:p>
        </w:tc>
        <w:tc>
          <w:tcPr>
            <w:tcW w:w="0" w:type="auto"/>
            <w:tcBorders>
              <w:top w:val="single" w:color="auto" w:sz="4" w:space="0"/>
              <w:left w:val="single" w:color="auto" w:sz="4" w:space="0"/>
              <w:bottom w:val="single" w:color="auto" w:sz="4" w:space="0"/>
              <w:right w:val="single" w:color="auto" w:sz="4" w:space="0"/>
            </w:tcBorders>
          </w:tcPr>
          <w:p w14:paraId="1F61F82B">
            <w:pPr>
              <w:widowControl/>
              <w:jc w:val="center"/>
              <w:rPr>
                <w:rFonts w:ascii="Times New Roman" w:hAnsi="Times New Roman" w:eastAsia="仿宋_GB2312" w:cs="Times New Roman"/>
                <w:color w:val="auto"/>
                <w:kern w:val="0"/>
                <w:szCs w:val="21"/>
              </w:rPr>
            </w:pPr>
          </w:p>
        </w:tc>
      </w:tr>
    </w:tbl>
    <w:p w14:paraId="35442F13">
      <w:pPr>
        <w:widowControl/>
        <w:spacing w:before="120"/>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注：本表反映部门本年度一般公共预算财政拨款支出情况。</w:t>
      </w:r>
    </w:p>
    <w:p w14:paraId="58A846C8">
      <w:pPr>
        <w:widowControl/>
        <w:jc w:val="left"/>
        <w:rPr>
          <w:rFonts w:ascii="Times New Roman" w:hAnsi="Times New Roman" w:eastAsia="仿宋_GB2312" w:cs="Times New Roman"/>
          <w:bCs/>
          <w:color w:val="auto"/>
          <w:kern w:val="0"/>
          <w:szCs w:val="21"/>
        </w:rPr>
      </w:pPr>
    </w:p>
    <w:p w14:paraId="10F47251">
      <w:pPr>
        <w:widowControl/>
        <w:jc w:val="left"/>
        <w:rPr>
          <w:rFonts w:ascii="Times New Roman" w:hAnsi="Times New Roman" w:eastAsia="仿宋_GB2312" w:cs="Times New Roman"/>
          <w:bCs/>
          <w:color w:val="auto"/>
          <w:kern w:val="0"/>
          <w:szCs w:val="21"/>
        </w:rPr>
      </w:pPr>
      <w:r>
        <w:rPr>
          <w:rFonts w:ascii="Times New Roman" w:hAnsi="Times New Roman" w:eastAsia="仿宋_GB2312" w:cs="Times New Roman"/>
          <w:bCs/>
          <w:color w:val="auto"/>
          <w:kern w:val="0"/>
          <w:szCs w:val="21"/>
        </w:rPr>
        <w:br w:type="page"/>
      </w:r>
    </w:p>
    <w:p w14:paraId="06D67978">
      <w:pPr>
        <w:widowControl/>
        <w:spacing w:after="120"/>
        <w:jc w:val="center"/>
        <w:textAlignment w:val="center"/>
        <w:rPr>
          <w:rFonts w:ascii="Times New Roman" w:hAnsi="Times New Roman" w:eastAsia="黑体" w:cs="Times New Roman"/>
          <w:color w:val="auto"/>
          <w:kern w:val="0"/>
          <w:sz w:val="36"/>
          <w:szCs w:val="36"/>
          <w:lang w:bidi="ar"/>
        </w:rPr>
      </w:pPr>
      <w:bookmarkStart w:id="2" w:name="RANGE!A1:I34"/>
      <w:r>
        <w:rPr>
          <w:rFonts w:ascii="Times New Roman" w:hAnsi="Times New Roman" w:eastAsia="黑体" w:cs="Times New Roman"/>
          <w:color w:val="auto"/>
          <w:kern w:val="0"/>
          <w:sz w:val="36"/>
          <w:szCs w:val="36"/>
          <w:lang w:bidi="ar"/>
        </w:rPr>
        <w:t>一般公共预算财政拨款基本支出决算明细表</w:t>
      </w:r>
      <w:bookmarkEnd w:id="2"/>
    </w:p>
    <w:p w14:paraId="2F68938A">
      <w:pPr>
        <w:widowControl/>
        <w:wordWrap w:val="0"/>
        <w:spacing w:line="240" w:lineRule="exact"/>
        <w:jc w:val="righ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xml:space="preserve">  部门：</w:t>
      </w:r>
      <w:r>
        <w:rPr>
          <w:rFonts w:hint="eastAsia" w:ascii="Times New Roman" w:hAnsi="Times New Roman" w:eastAsia="楷体_GB2312" w:cs="Times New Roman"/>
          <w:color w:val="auto"/>
          <w:kern w:val="0"/>
          <w:sz w:val="20"/>
          <w:szCs w:val="20"/>
          <w:lang w:eastAsia="zh-CN" w:bidi="ar"/>
        </w:rPr>
        <w:t>蓝山县塔峰镇中心卫生院</w:t>
      </w:r>
      <w:r>
        <w:rPr>
          <w:rFonts w:ascii="Times New Roman" w:hAnsi="Times New Roman" w:eastAsia="仿宋_GB2312" w:cs="Times New Roman"/>
          <w:color w:val="auto"/>
          <w:kern w:val="0"/>
          <w:szCs w:val="21"/>
        </w:rPr>
        <w:t xml:space="preserve">                                                                                                公开06表</w:t>
      </w:r>
    </w:p>
    <w:p w14:paraId="57643DE9">
      <w:pPr>
        <w:widowControl/>
        <w:spacing w:line="240" w:lineRule="exact"/>
        <w:jc w:val="right"/>
        <w:rPr>
          <w:rFonts w:ascii="Times New Roman" w:hAnsi="Times New Roman" w:eastAsia="华文中宋" w:cs="Times New Roman"/>
          <w:color w:val="auto"/>
          <w:kern w:val="0"/>
          <w:szCs w:val="32"/>
        </w:rPr>
      </w:pPr>
      <w:r>
        <w:rPr>
          <w:rFonts w:ascii="Times New Roman" w:hAnsi="Times New Roman" w:eastAsia="仿宋_GB2312" w:cs="Times New Roman"/>
          <w:color w:val="auto"/>
          <w:kern w:val="0"/>
          <w:szCs w:val="21"/>
        </w:rPr>
        <w:t>单位：万元</w:t>
      </w:r>
    </w:p>
    <w:tbl>
      <w:tblPr>
        <w:tblStyle w:val="8"/>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42291807">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47B8AD78">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5311A7E9">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4A615A06">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3CB9ED2F">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2C036181">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23D12312">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6AC1CD84">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1633F3B3">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1415B019">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决算数</w:t>
            </w:r>
          </w:p>
        </w:tc>
      </w:tr>
      <w:tr w14:paraId="2BF6391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9157A8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4393254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1DC34E21">
            <w:pPr>
              <w:widowControl/>
              <w:jc w:val="center"/>
              <w:rPr>
                <w:rFonts w:hint="default" w:ascii="Times New Roman" w:hAnsi="Times New Roman" w:eastAsia="仿宋_GB2312" w:cs="Times New Roman"/>
                <w:color w:val="auto"/>
                <w:kern w:val="0"/>
                <w:szCs w:val="20"/>
                <w:lang w:val="en-US" w:eastAsia="zh-CN"/>
              </w:rPr>
            </w:pPr>
            <w:r>
              <w:rPr>
                <w:rFonts w:hint="eastAsia" w:ascii="Times New Roman" w:hAnsi="Times New Roman" w:eastAsia="仿宋_GB2312" w:cs="Times New Roman"/>
                <w:color w:val="auto"/>
                <w:kern w:val="0"/>
                <w:szCs w:val="20"/>
                <w:lang w:val="en-US" w:eastAsia="zh-CN"/>
              </w:rPr>
              <w:t>611.27</w:t>
            </w:r>
          </w:p>
        </w:tc>
        <w:tc>
          <w:tcPr>
            <w:tcW w:w="1116" w:type="dxa"/>
            <w:tcBorders>
              <w:top w:val="nil"/>
              <w:left w:val="nil"/>
              <w:bottom w:val="single" w:color="auto" w:sz="4" w:space="0"/>
              <w:right w:val="single" w:color="auto" w:sz="4" w:space="0"/>
            </w:tcBorders>
            <w:shd w:val="clear" w:color="auto" w:fill="auto"/>
            <w:noWrap/>
            <w:vAlign w:val="center"/>
          </w:tcPr>
          <w:p w14:paraId="77BE0E3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1960F57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4F71B26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0871FD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28A6866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6AAC497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51F39AC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7A81CF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11F8A8A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7C0B98E6">
            <w:pPr>
              <w:widowControl/>
              <w:jc w:val="center"/>
              <w:rPr>
                <w:rFonts w:hint="default" w:ascii="Times New Roman" w:hAnsi="Times New Roman" w:eastAsia="仿宋_GB2312" w:cs="Times New Roman"/>
                <w:color w:val="auto"/>
                <w:kern w:val="0"/>
                <w:szCs w:val="20"/>
                <w:lang w:val="en-US" w:eastAsia="zh-CN"/>
              </w:rPr>
            </w:pPr>
            <w:r>
              <w:rPr>
                <w:rFonts w:hint="eastAsia" w:ascii="Times New Roman" w:hAnsi="Times New Roman" w:eastAsia="仿宋_GB2312" w:cs="Times New Roman"/>
                <w:color w:val="auto"/>
                <w:kern w:val="0"/>
                <w:szCs w:val="20"/>
                <w:lang w:val="en-US" w:eastAsia="zh-CN"/>
              </w:rPr>
              <w:t>364.18</w:t>
            </w:r>
          </w:p>
        </w:tc>
        <w:tc>
          <w:tcPr>
            <w:tcW w:w="1116" w:type="dxa"/>
            <w:tcBorders>
              <w:top w:val="nil"/>
              <w:left w:val="nil"/>
              <w:bottom w:val="single" w:color="auto" w:sz="4" w:space="0"/>
              <w:right w:val="single" w:color="auto" w:sz="4" w:space="0"/>
            </w:tcBorders>
            <w:shd w:val="clear" w:color="auto" w:fill="auto"/>
            <w:noWrap/>
            <w:vAlign w:val="center"/>
          </w:tcPr>
          <w:p w14:paraId="4881465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1464D5B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2A3655A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CAFDE4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3F47B78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2B20253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525BD6D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B3027C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5E8D99B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3589665A">
            <w:pPr>
              <w:widowControl/>
              <w:jc w:val="center"/>
              <w:rPr>
                <w:rFonts w:hint="default" w:ascii="Times New Roman" w:hAnsi="Times New Roman" w:eastAsia="仿宋_GB2312" w:cs="Times New Roman"/>
                <w:color w:val="auto"/>
                <w:kern w:val="0"/>
                <w:szCs w:val="20"/>
                <w:lang w:val="en-US" w:eastAsia="zh-CN"/>
              </w:rPr>
            </w:pPr>
            <w:r>
              <w:rPr>
                <w:rFonts w:hint="eastAsia" w:ascii="Times New Roman" w:hAnsi="Times New Roman" w:eastAsia="仿宋_GB2312" w:cs="Times New Roman"/>
                <w:color w:val="auto"/>
                <w:kern w:val="0"/>
                <w:szCs w:val="20"/>
                <w:lang w:val="en-US" w:eastAsia="zh-CN"/>
              </w:rPr>
              <w:t>44.13</w:t>
            </w:r>
          </w:p>
        </w:tc>
        <w:tc>
          <w:tcPr>
            <w:tcW w:w="1116" w:type="dxa"/>
            <w:tcBorders>
              <w:top w:val="nil"/>
              <w:left w:val="nil"/>
              <w:bottom w:val="single" w:color="auto" w:sz="4" w:space="0"/>
              <w:right w:val="single" w:color="auto" w:sz="4" w:space="0"/>
            </w:tcBorders>
            <w:shd w:val="clear" w:color="auto" w:fill="auto"/>
            <w:noWrap/>
            <w:vAlign w:val="center"/>
          </w:tcPr>
          <w:p w14:paraId="32772D5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5F80593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4DD7DC8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0804C8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47E8246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6316DA0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3A0FF08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837030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17C5CA2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59A0C7E7">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68192D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4A64DB9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7D59560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5E61AE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011EEBC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11E2DD0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4720ED7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B9349D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3035742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6E77BE80">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65E7B2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67C32F0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10D9FF3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DB8B3C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6732B23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06DC2B3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4623911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F7E4F0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25A424B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076A39CA">
            <w:pPr>
              <w:widowControl/>
              <w:jc w:val="center"/>
              <w:rPr>
                <w:rFonts w:hint="default" w:ascii="Times New Roman" w:hAnsi="Times New Roman" w:eastAsia="仿宋_GB2312" w:cs="Times New Roman"/>
                <w:color w:val="auto"/>
                <w:kern w:val="0"/>
                <w:szCs w:val="20"/>
                <w:lang w:val="en-US" w:eastAsia="zh-CN"/>
              </w:rPr>
            </w:pPr>
            <w:r>
              <w:rPr>
                <w:rFonts w:hint="eastAsia" w:ascii="Times New Roman" w:hAnsi="Times New Roman" w:eastAsia="仿宋_GB2312" w:cs="Times New Roman"/>
                <w:color w:val="auto"/>
                <w:kern w:val="0"/>
                <w:szCs w:val="20"/>
                <w:lang w:val="en-US" w:eastAsia="zh-CN"/>
              </w:rPr>
              <w:t>56.45</w:t>
            </w:r>
          </w:p>
        </w:tc>
        <w:tc>
          <w:tcPr>
            <w:tcW w:w="1116" w:type="dxa"/>
            <w:tcBorders>
              <w:top w:val="nil"/>
              <w:left w:val="nil"/>
              <w:bottom w:val="single" w:color="auto" w:sz="4" w:space="0"/>
              <w:right w:val="single" w:color="auto" w:sz="4" w:space="0"/>
            </w:tcBorders>
            <w:shd w:val="clear" w:color="auto" w:fill="auto"/>
            <w:noWrap/>
            <w:vAlign w:val="center"/>
          </w:tcPr>
          <w:p w14:paraId="69DB7D2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5D6A9BB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2A05FA9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2758DC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4DD8819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33968AB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1E8B66F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ADFFC3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12F76EF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40F45E5D">
            <w:pPr>
              <w:widowControl/>
              <w:jc w:val="center"/>
              <w:rPr>
                <w:rFonts w:hint="default" w:ascii="Times New Roman" w:hAnsi="Times New Roman" w:eastAsia="仿宋_GB2312" w:cs="Times New Roman"/>
                <w:color w:val="auto"/>
                <w:kern w:val="0"/>
                <w:szCs w:val="20"/>
                <w:lang w:val="en-US" w:eastAsia="zh-CN"/>
              </w:rPr>
            </w:pPr>
            <w:r>
              <w:rPr>
                <w:rFonts w:hint="eastAsia" w:ascii="Times New Roman" w:hAnsi="Times New Roman" w:eastAsia="仿宋_GB2312" w:cs="Times New Roman"/>
                <w:color w:val="auto"/>
                <w:kern w:val="0"/>
                <w:szCs w:val="20"/>
                <w:lang w:val="en-US" w:eastAsia="zh-CN"/>
              </w:rPr>
              <w:t>79.02</w:t>
            </w:r>
          </w:p>
        </w:tc>
        <w:tc>
          <w:tcPr>
            <w:tcW w:w="1116" w:type="dxa"/>
            <w:tcBorders>
              <w:top w:val="nil"/>
              <w:left w:val="nil"/>
              <w:bottom w:val="single" w:color="auto" w:sz="4" w:space="0"/>
              <w:right w:val="single" w:color="auto" w:sz="4" w:space="0"/>
            </w:tcBorders>
            <w:shd w:val="clear" w:color="auto" w:fill="auto"/>
            <w:noWrap/>
            <w:vAlign w:val="center"/>
          </w:tcPr>
          <w:p w14:paraId="7A6850B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4A0E8EF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2C6E880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759FD8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465F3A4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2E803AD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59C3BFA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956921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4A30446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29500731">
            <w:pPr>
              <w:widowControl/>
              <w:jc w:val="center"/>
              <w:rPr>
                <w:rFonts w:hint="default" w:ascii="Times New Roman" w:hAnsi="Times New Roman" w:eastAsia="仿宋_GB2312" w:cs="Times New Roman"/>
                <w:color w:val="auto"/>
                <w:kern w:val="0"/>
                <w:szCs w:val="20"/>
                <w:lang w:val="en-US" w:eastAsia="zh-CN"/>
              </w:rPr>
            </w:pPr>
            <w:r>
              <w:rPr>
                <w:rFonts w:hint="eastAsia" w:ascii="Times New Roman" w:hAnsi="Times New Roman" w:eastAsia="仿宋_GB2312" w:cs="Times New Roman"/>
                <w:color w:val="auto"/>
                <w:kern w:val="0"/>
                <w:szCs w:val="20"/>
                <w:lang w:val="en-US" w:eastAsia="zh-CN"/>
              </w:rPr>
              <w:t>1.35</w:t>
            </w:r>
          </w:p>
        </w:tc>
        <w:tc>
          <w:tcPr>
            <w:tcW w:w="1116" w:type="dxa"/>
            <w:tcBorders>
              <w:top w:val="nil"/>
              <w:left w:val="nil"/>
              <w:bottom w:val="single" w:color="auto" w:sz="4" w:space="0"/>
              <w:right w:val="single" w:color="auto" w:sz="4" w:space="0"/>
            </w:tcBorders>
            <w:shd w:val="clear" w:color="auto" w:fill="auto"/>
            <w:noWrap/>
            <w:vAlign w:val="center"/>
          </w:tcPr>
          <w:p w14:paraId="441C631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53453AA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2CCF024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D2C0D8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05E30AE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3872285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055C06C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7EB427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6AF7885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1CC9B60B">
            <w:pPr>
              <w:widowControl/>
              <w:jc w:val="center"/>
              <w:rPr>
                <w:rFonts w:hint="default" w:ascii="Times New Roman" w:hAnsi="Times New Roman" w:eastAsia="仿宋_GB2312" w:cs="Times New Roman"/>
                <w:color w:val="auto"/>
                <w:kern w:val="0"/>
                <w:szCs w:val="20"/>
                <w:lang w:val="en-US" w:eastAsia="zh-CN"/>
              </w:rPr>
            </w:pPr>
            <w:r>
              <w:rPr>
                <w:rFonts w:hint="eastAsia" w:ascii="Times New Roman" w:hAnsi="Times New Roman" w:eastAsia="仿宋_GB2312" w:cs="Times New Roman"/>
                <w:color w:val="auto"/>
                <w:kern w:val="0"/>
                <w:szCs w:val="20"/>
                <w:lang w:val="en-US" w:eastAsia="zh-CN"/>
              </w:rPr>
              <w:t>25.65</w:t>
            </w:r>
          </w:p>
        </w:tc>
        <w:tc>
          <w:tcPr>
            <w:tcW w:w="1116" w:type="dxa"/>
            <w:tcBorders>
              <w:top w:val="nil"/>
              <w:left w:val="nil"/>
              <w:bottom w:val="single" w:color="auto" w:sz="4" w:space="0"/>
              <w:right w:val="single" w:color="auto" w:sz="4" w:space="0"/>
            </w:tcBorders>
            <w:shd w:val="clear" w:color="auto" w:fill="auto"/>
            <w:noWrap/>
            <w:vAlign w:val="center"/>
          </w:tcPr>
          <w:p w14:paraId="2222494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78532D4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58335C8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21ACD0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49BD0B5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524E5CB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52324D7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0F2C43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5370B9B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7608433E">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80CE03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149D7CC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38966AE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880718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1338020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34C4A7C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66055C3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D1B3B4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3FD7F59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53FAA1DC">
            <w:pPr>
              <w:widowControl/>
              <w:jc w:val="center"/>
              <w:rPr>
                <w:rFonts w:hint="default" w:ascii="Times New Roman" w:hAnsi="Times New Roman" w:eastAsia="仿宋_GB2312" w:cs="Times New Roman"/>
                <w:color w:val="auto"/>
                <w:kern w:val="0"/>
                <w:szCs w:val="20"/>
                <w:lang w:val="en-US" w:eastAsia="zh-CN"/>
              </w:rPr>
            </w:pPr>
            <w:r>
              <w:rPr>
                <w:rFonts w:hint="eastAsia" w:ascii="Times New Roman" w:hAnsi="Times New Roman" w:eastAsia="仿宋_GB2312" w:cs="Times New Roman"/>
                <w:color w:val="auto"/>
                <w:kern w:val="0"/>
                <w:szCs w:val="20"/>
                <w:lang w:val="en-US" w:eastAsia="zh-CN"/>
              </w:rPr>
              <w:t>19.40</w:t>
            </w:r>
          </w:p>
        </w:tc>
        <w:tc>
          <w:tcPr>
            <w:tcW w:w="1116" w:type="dxa"/>
            <w:tcBorders>
              <w:top w:val="nil"/>
              <w:left w:val="nil"/>
              <w:bottom w:val="single" w:color="auto" w:sz="4" w:space="0"/>
              <w:right w:val="single" w:color="auto" w:sz="4" w:space="0"/>
            </w:tcBorders>
            <w:shd w:val="clear" w:color="auto" w:fill="auto"/>
            <w:noWrap/>
            <w:vAlign w:val="center"/>
          </w:tcPr>
          <w:p w14:paraId="035E3DC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23AF00F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534ACC9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60E56E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0653DA2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36114D7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1DB6DC6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817BF5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69CF29C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13A943E7">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43F9A5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7C40A97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103536A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8C9699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04CBCEF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7EF8BEB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1D70637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5C5896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733D9A0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0954B4E8">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14E1DD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72E38A1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0E82473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02A0D2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099D5AB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53EBC08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6FFA972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56D87B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0E44078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2492A14F">
            <w:pPr>
              <w:widowControl/>
              <w:jc w:val="center"/>
              <w:rPr>
                <w:rFonts w:hint="default" w:ascii="Times New Roman" w:hAnsi="Times New Roman" w:eastAsia="仿宋_GB2312" w:cs="Times New Roman"/>
                <w:color w:val="auto"/>
                <w:kern w:val="0"/>
                <w:szCs w:val="20"/>
                <w:lang w:val="en-US" w:eastAsia="zh-CN"/>
              </w:rPr>
            </w:pPr>
            <w:r>
              <w:rPr>
                <w:rFonts w:hint="eastAsia" w:ascii="Times New Roman" w:hAnsi="Times New Roman" w:eastAsia="仿宋_GB2312" w:cs="Times New Roman"/>
                <w:color w:val="auto"/>
                <w:kern w:val="0"/>
                <w:szCs w:val="20"/>
                <w:lang w:val="en-US" w:eastAsia="zh-CN"/>
              </w:rPr>
              <w:t>21.10</w:t>
            </w:r>
          </w:p>
        </w:tc>
        <w:tc>
          <w:tcPr>
            <w:tcW w:w="1116" w:type="dxa"/>
            <w:tcBorders>
              <w:top w:val="nil"/>
              <w:left w:val="nil"/>
              <w:bottom w:val="single" w:color="auto" w:sz="4" w:space="0"/>
              <w:right w:val="single" w:color="auto" w:sz="4" w:space="0"/>
            </w:tcBorders>
            <w:shd w:val="clear" w:color="auto" w:fill="auto"/>
            <w:noWrap/>
            <w:vAlign w:val="center"/>
          </w:tcPr>
          <w:p w14:paraId="00D38D1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4BA57AD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73F36C3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934195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2F7CE3D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656BF86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6C26518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A1CBD2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2EBDC7D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7A4765FC">
            <w:pPr>
              <w:widowControl/>
              <w:jc w:val="center"/>
              <w:rPr>
                <w:rFonts w:hint="default" w:ascii="Times New Roman" w:hAnsi="Times New Roman" w:eastAsia="仿宋_GB2312" w:cs="Times New Roman"/>
                <w:color w:val="auto"/>
                <w:kern w:val="0"/>
                <w:szCs w:val="20"/>
                <w:lang w:val="en-US" w:eastAsia="zh-CN"/>
              </w:rPr>
            </w:pPr>
            <w:r>
              <w:rPr>
                <w:rFonts w:hint="eastAsia" w:ascii="Times New Roman" w:hAnsi="Times New Roman" w:eastAsia="仿宋_GB2312" w:cs="Times New Roman"/>
                <w:color w:val="auto"/>
                <w:kern w:val="0"/>
                <w:szCs w:val="20"/>
                <w:lang w:val="en-US" w:eastAsia="zh-CN"/>
              </w:rPr>
              <w:t>24.67</w:t>
            </w:r>
          </w:p>
        </w:tc>
        <w:tc>
          <w:tcPr>
            <w:tcW w:w="1116" w:type="dxa"/>
            <w:tcBorders>
              <w:top w:val="nil"/>
              <w:left w:val="nil"/>
              <w:bottom w:val="single" w:color="auto" w:sz="4" w:space="0"/>
              <w:right w:val="single" w:color="auto" w:sz="4" w:space="0"/>
            </w:tcBorders>
            <w:shd w:val="clear" w:color="auto" w:fill="auto"/>
            <w:noWrap/>
            <w:vAlign w:val="center"/>
          </w:tcPr>
          <w:p w14:paraId="4ED8735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32CE682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1751461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E2A6C1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2B1C3A5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7D09936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1038E84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F702C9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5E7ADE6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65CCE8A5">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290B40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24A2384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0E50C57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F6F750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33FC841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25629B7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7ECDDE3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D9AA1D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49CAD10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68AD2FA0">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6C65D6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7E672CE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62D2E65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A4B3BB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6A8048C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2137DF5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577ED90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BCEB70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744C6D2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60D1C592">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AA0DF5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4BC4E41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50C4CB0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9FA8DD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0BB16B0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09432D3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19C440C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B29FF9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11D1542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636129A9">
            <w:pPr>
              <w:widowControl/>
              <w:jc w:val="center"/>
              <w:rPr>
                <w:rFonts w:hint="default" w:ascii="Times New Roman" w:hAnsi="Times New Roman" w:eastAsia="仿宋_GB2312" w:cs="Times New Roman"/>
                <w:color w:val="auto"/>
                <w:kern w:val="0"/>
                <w:szCs w:val="20"/>
                <w:lang w:val="en-US" w:eastAsia="zh-CN"/>
              </w:rPr>
            </w:pPr>
            <w:r>
              <w:rPr>
                <w:rFonts w:hint="eastAsia" w:ascii="Times New Roman" w:hAnsi="Times New Roman" w:eastAsia="仿宋_GB2312" w:cs="Times New Roman"/>
                <w:color w:val="auto"/>
                <w:kern w:val="0"/>
                <w:szCs w:val="20"/>
                <w:lang w:val="en-US" w:eastAsia="zh-CN"/>
              </w:rPr>
              <w:t>22.63</w:t>
            </w:r>
          </w:p>
        </w:tc>
        <w:tc>
          <w:tcPr>
            <w:tcW w:w="1116" w:type="dxa"/>
            <w:tcBorders>
              <w:top w:val="nil"/>
              <w:left w:val="nil"/>
              <w:bottom w:val="single" w:color="auto" w:sz="4" w:space="0"/>
              <w:right w:val="single" w:color="auto" w:sz="4" w:space="0"/>
            </w:tcBorders>
            <w:shd w:val="clear" w:color="auto" w:fill="auto"/>
            <w:noWrap/>
            <w:vAlign w:val="center"/>
          </w:tcPr>
          <w:p w14:paraId="4C59E5D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69442C9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59FD683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9A3C50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5BF9711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1387315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139AE88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853FE2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5DA6BCE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6A576151">
            <w:pPr>
              <w:widowControl/>
              <w:jc w:val="center"/>
              <w:rPr>
                <w:rFonts w:hint="default" w:ascii="Times New Roman" w:hAnsi="Times New Roman" w:eastAsia="仿宋_GB2312" w:cs="Times New Roman"/>
                <w:color w:val="auto"/>
                <w:kern w:val="0"/>
                <w:szCs w:val="20"/>
                <w:lang w:val="en-US" w:eastAsia="zh-CN"/>
              </w:rPr>
            </w:pPr>
            <w:r>
              <w:rPr>
                <w:rFonts w:hint="eastAsia" w:ascii="Times New Roman" w:hAnsi="Times New Roman" w:eastAsia="仿宋_GB2312" w:cs="Times New Roman"/>
                <w:color w:val="auto"/>
                <w:kern w:val="0"/>
                <w:szCs w:val="20"/>
                <w:lang w:val="en-US" w:eastAsia="zh-CN"/>
              </w:rPr>
              <w:t>2.03</w:t>
            </w:r>
          </w:p>
        </w:tc>
        <w:tc>
          <w:tcPr>
            <w:tcW w:w="1116" w:type="dxa"/>
            <w:tcBorders>
              <w:top w:val="nil"/>
              <w:left w:val="nil"/>
              <w:bottom w:val="single" w:color="auto" w:sz="4" w:space="0"/>
              <w:right w:val="single" w:color="auto" w:sz="4" w:space="0"/>
            </w:tcBorders>
            <w:shd w:val="clear" w:color="auto" w:fill="auto"/>
            <w:noWrap/>
            <w:vAlign w:val="center"/>
          </w:tcPr>
          <w:p w14:paraId="6F87BC8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6D21E0D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4FB2B3B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78332D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479DEED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39E35CD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47550CD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F12713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0C069A6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6B20EB0B">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45F774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4812113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5C11BE5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122BC8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1753E2E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2F11B69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448C00F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972EB9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13D5F1C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5463CDFE">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D81FBB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3B049BE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5D9FE00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1EED4F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5955AC3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39C46B5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7AC4FCA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0F4645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3F3A5B8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7973B54B">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E78F7F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60B0F70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381D345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74568F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61FC3C5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13C7811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75BA6A6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1FE57B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21BCE64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4905271E">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48CA6A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3D7938E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6198188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341489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1485ACB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经常性赠与</w:t>
            </w:r>
          </w:p>
          <w:p w14:paraId="6E2E008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资本性赠与</w:t>
            </w:r>
          </w:p>
          <w:p w14:paraId="55B33412">
            <w:pPr>
              <w:widowControl/>
              <w:jc w:val="left"/>
              <w:rPr>
                <w:rFonts w:ascii="Times New Roman" w:hAnsi="Times New Roman" w:eastAsia="仿宋_GB2312" w:cs="Times New Roman"/>
                <w:color w:val="auto"/>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157C0E4C">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D745F">
                  <w:pPr>
                    <w:widowControl/>
                    <w:jc w:val="lef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 xml:space="preserve">  经常性赠与</w:t>
                  </w:r>
                </w:p>
              </w:tc>
            </w:tr>
            <w:tr w14:paraId="2C8C888D">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9F0B">
                  <w:pPr>
                    <w:widowControl/>
                    <w:jc w:val="lef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 xml:space="preserve">  资本性赠与</w:t>
                  </w:r>
                </w:p>
              </w:tc>
            </w:tr>
          </w:tbl>
          <w:p w14:paraId="28EF4114">
            <w:pPr>
              <w:widowControl/>
              <w:jc w:val="left"/>
              <w:rPr>
                <w:rFonts w:ascii="Times New Roman" w:hAnsi="Times New Roman" w:eastAsia="仿宋_GB2312" w:cs="Times New Roman"/>
                <w:color w:val="auto"/>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1E214CEE">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DF507">
                  <w:pPr>
                    <w:widowControl/>
                    <w:jc w:val="lef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 xml:space="preserve">  经常性赠与</w:t>
                  </w:r>
                </w:p>
              </w:tc>
            </w:tr>
            <w:tr w14:paraId="0D176438">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2919">
                  <w:pPr>
                    <w:widowControl/>
                    <w:jc w:val="lef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 xml:space="preserve">  资本性赠与</w:t>
                  </w:r>
                </w:p>
              </w:tc>
            </w:tr>
          </w:tbl>
          <w:p w14:paraId="3B3A8E1D">
            <w:pPr>
              <w:widowControl/>
              <w:jc w:val="left"/>
              <w:rPr>
                <w:rFonts w:ascii="Times New Roman" w:hAnsi="Times New Roman" w:eastAsia="仿宋_GB2312" w:cs="Times New Roman"/>
                <w:color w:val="auto"/>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5520D8F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1C73721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4212BD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63E0A7E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739171C8">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7DF13B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7D1792D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0F772BE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A6AACF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7478F8F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574D0AF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0B6F42C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7C384F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1B61AAF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1DB6F79D">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1974E5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280DCB7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0985D09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155CD7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21BE0B8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2187933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29D8C59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9D87C5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44AE758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27840A23">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9C85AD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5D4A03A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28A17EE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DD7A958">
            <w:pPr>
              <w:widowControl/>
              <w:jc w:val="left"/>
              <w:rPr>
                <w:rFonts w:ascii="Times New Roman" w:hAnsi="Times New Roman" w:eastAsia="仿宋_GB2312" w:cs="Times New Roman"/>
                <w:color w:val="auto"/>
                <w:kern w:val="0"/>
                <w:szCs w:val="18"/>
              </w:rPr>
            </w:pPr>
            <w:r>
              <w:rPr>
                <w:rFonts w:ascii="Times New Roman" w:hAnsi="Times New Roman" w:eastAsia="仿宋_GB2312" w:cs="Times New Roman"/>
                <w:color w:val="auto"/>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0EC2A59A">
            <w:pPr>
              <w:widowControl/>
              <w:jc w:val="left"/>
              <w:rPr>
                <w:rFonts w:ascii="Times New Roman" w:hAnsi="Times New Roman" w:eastAsia="仿宋_GB2312" w:cs="Times New Roman"/>
                <w:color w:val="auto"/>
                <w:kern w:val="0"/>
                <w:szCs w:val="18"/>
              </w:rPr>
            </w:pPr>
            <w:r>
              <w:rPr>
                <w:rFonts w:ascii="Times New Roman" w:hAnsi="Times New Roman" w:eastAsia="仿宋_GB2312" w:cs="Times New Roman"/>
                <w:color w:val="auto"/>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23F8835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21959DE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DAD340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16C0B6F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5B62C32A">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9041D1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4F87403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6D7CC64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EFCF7DF">
            <w:pPr>
              <w:widowControl/>
              <w:jc w:val="left"/>
              <w:rPr>
                <w:rFonts w:ascii="Times New Roman" w:hAnsi="Times New Roman" w:eastAsia="仿宋_GB2312" w:cs="Times New Roman"/>
                <w:color w:val="auto"/>
                <w:kern w:val="0"/>
                <w:szCs w:val="18"/>
              </w:rPr>
            </w:pPr>
            <w:r>
              <w:rPr>
                <w:rFonts w:ascii="Times New Roman" w:hAnsi="Times New Roman" w:eastAsia="仿宋_GB2312" w:cs="Times New Roman"/>
                <w:color w:val="auto"/>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5485FDAD">
            <w:pPr>
              <w:widowControl/>
              <w:jc w:val="left"/>
              <w:rPr>
                <w:rFonts w:ascii="Times New Roman" w:hAnsi="Times New Roman" w:eastAsia="仿宋_GB2312" w:cs="Times New Roman"/>
                <w:color w:val="auto"/>
                <w:kern w:val="0"/>
                <w:szCs w:val="18"/>
              </w:rPr>
            </w:pPr>
            <w:r>
              <w:rPr>
                <w:rFonts w:ascii="Times New Roman" w:hAnsi="Times New Roman" w:eastAsia="仿宋_GB2312" w:cs="Times New Roman"/>
                <w:color w:val="auto"/>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28A878B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465C8C22">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2F956E5">
            <w:pPr>
              <w:widowControl/>
              <w:jc w:val="center"/>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13EA9021">
            <w:pPr>
              <w:widowControl/>
              <w:jc w:val="center"/>
              <w:rPr>
                <w:rFonts w:hint="default" w:ascii="Times New Roman" w:hAnsi="Times New Roman" w:eastAsia="仿宋_GB2312" w:cs="Times New Roman"/>
                <w:color w:val="auto"/>
                <w:kern w:val="0"/>
                <w:szCs w:val="20"/>
                <w:lang w:val="en-US" w:eastAsia="zh-CN"/>
              </w:rPr>
            </w:pPr>
            <w:r>
              <w:rPr>
                <w:rFonts w:hint="eastAsia" w:ascii="Times New Roman" w:hAnsi="Times New Roman" w:eastAsia="仿宋_GB2312" w:cs="Times New Roman"/>
                <w:color w:val="auto"/>
                <w:kern w:val="0"/>
                <w:szCs w:val="20"/>
                <w:lang w:val="en-US" w:eastAsia="zh-CN"/>
              </w:rPr>
              <w:t>635.94</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626A3223">
            <w:pPr>
              <w:widowControl/>
              <w:jc w:val="center"/>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1229FC0D">
            <w:pPr>
              <w:widowControl/>
              <w:jc w:val="left"/>
              <w:rPr>
                <w:rFonts w:hint="default" w:ascii="Times New Roman" w:hAnsi="Times New Roman" w:eastAsia="仿宋_GB2312" w:cs="Times New Roman"/>
                <w:color w:val="auto"/>
                <w:kern w:val="0"/>
                <w:szCs w:val="18"/>
                <w:lang w:val="en-US" w:eastAsia="zh-CN"/>
              </w:rPr>
            </w:pPr>
            <w:r>
              <w:rPr>
                <w:rFonts w:ascii="Times New Roman" w:hAnsi="Times New Roman" w:eastAsia="仿宋_GB2312" w:cs="Times New Roman"/>
                <w:color w:val="auto"/>
                <w:kern w:val="0"/>
                <w:szCs w:val="18"/>
              </w:rPr>
              <w:t>　</w:t>
            </w:r>
            <w:r>
              <w:rPr>
                <w:rFonts w:hint="eastAsia" w:ascii="Times New Roman" w:hAnsi="Times New Roman" w:eastAsia="仿宋_GB2312" w:cs="Times New Roman"/>
                <w:color w:val="auto"/>
                <w:kern w:val="0"/>
                <w:szCs w:val="18"/>
                <w:lang w:val="en-US" w:eastAsia="zh-CN"/>
              </w:rPr>
              <w:t>0.00</w:t>
            </w:r>
          </w:p>
        </w:tc>
      </w:tr>
    </w:tbl>
    <w:p w14:paraId="72EFB5DC">
      <w:pPr>
        <w:widowControl/>
        <w:jc w:val="left"/>
        <w:rPr>
          <w:rFonts w:ascii="Times New Roman" w:hAnsi="Times New Roman" w:eastAsia="仿宋_GB2312" w:cs="Times New Roman"/>
          <w:color w:val="auto"/>
          <w:kern w:val="0"/>
          <w:szCs w:val="24"/>
        </w:rPr>
      </w:pPr>
      <w:r>
        <w:rPr>
          <w:rFonts w:ascii="Times New Roman" w:hAnsi="Times New Roman" w:eastAsia="仿宋_GB2312" w:cs="Times New Roman"/>
          <w:color w:val="auto"/>
          <w:kern w:val="0"/>
          <w:szCs w:val="24"/>
        </w:rPr>
        <w:t>注：本表反映部门本年度一般公共预算财政拨款基本支出明细情况。</w:t>
      </w:r>
    </w:p>
    <w:p w14:paraId="7762CB02">
      <w:pPr>
        <w:widowControl/>
        <w:spacing w:line="400" w:lineRule="exact"/>
        <w:jc w:val="center"/>
        <w:textAlignment w:val="center"/>
        <w:rPr>
          <w:rFonts w:ascii="Times New Roman" w:hAnsi="Times New Roman" w:eastAsia="仿宋_GB2312" w:cs="Times New Roman"/>
          <w:color w:val="auto"/>
          <w:kern w:val="0"/>
          <w:sz w:val="32"/>
          <w:szCs w:val="32"/>
          <w:lang w:bidi="ar"/>
        </w:rPr>
      </w:pPr>
    </w:p>
    <w:p w14:paraId="0A6F3AF0">
      <w:pPr>
        <w:widowControl/>
        <w:spacing w:after="156" w:afterLines="50"/>
        <w:jc w:val="center"/>
        <w:textAlignment w:val="center"/>
        <w:rPr>
          <w:rFonts w:ascii="Times New Roman" w:hAnsi="Times New Roman" w:eastAsia="黑体" w:cs="Times New Roman"/>
          <w:color w:val="auto"/>
          <w:kern w:val="0"/>
          <w:sz w:val="36"/>
          <w:szCs w:val="36"/>
          <w:lang w:bidi="ar"/>
        </w:rPr>
      </w:pPr>
      <w:r>
        <w:rPr>
          <w:rFonts w:ascii="Times New Roman" w:hAnsi="Times New Roman" w:eastAsia="黑体" w:cs="Times New Roman"/>
          <w:color w:val="auto"/>
          <w:kern w:val="0"/>
          <w:sz w:val="36"/>
          <w:szCs w:val="36"/>
          <w:lang w:bidi="ar"/>
        </w:rPr>
        <w:t>政府性基金预算财政拨款收入支出决算表</w:t>
      </w:r>
    </w:p>
    <w:p w14:paraId="232EB34E">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kern w:val="0"/>
          <w:sz w:val="20"/>
          <w:szCs w:val="20"/>
          <w:lang w:bidi="ar"/>
        </w:rPr>
        <w:t>公开07表</w:t>
      </w:r>
    </w:p>
    <w:p w14:paraId="7106BC74">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部门：</w:t>
      </w:r>
      <w:r>
        <w:rPr>
          <w:rFonts w:hint="eastAsia" w:ascii="Times New Roman" w:hAnsi="Times New Roman" w:eastAsia="楷体_GB2312" w:cs="Times New Roman"/>
          <w:color w:val="auto"/>
          <w:kern w:val="0"/>
          <w:sz w:val="20"/>
          <w:szCs w:val="20"/>
          <w:lang w:eastAsia="zh-CN" w:bidi="ar"/>
        </w:rPr>
        <w:t>蓝山县塔峰镇中心卫生院</w:t>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kern w:val="0"/>
          <w:sz w:val="20"/>
          <w:szCs w:val="20"/>
          <w:lang w:bidi="ar"/>
        </w:rPr>
        <w:t>单位：万元</w:t>
      </w:r>
    </w:p>
    <w:tbl>
      <w:tblPr>
        <w:tblStyle w:val="8"/>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104F5356">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B90B0">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 xml:space="preserve">项 </w:t>
            </w:r>
            <w:r>
              <w:rPr>
                <w:rStyle w:val="15"/>
                <w:rFonts w:hint="default" w:ascii="Times New Roman" w:hAnsi="Times New Roman" w:eastAsia="仿宋_GB2312" w:cs="Times New Roman"/>
                <w:b/>
                <w:bCs/>
                <w:color w:val="auto"/>
                <w:lang w:bidi="ar"/>
              </w:rPr>
              <w:t xml:space="preserve">   </w:t>
            </w:r>
            <w:r>
              <w:rPr>
                <w:rStyle w:val="16"/>
                <w:rFonts w:hint="default" w:ascii="Times New Roman" w:hAnsi="Times New Roman" w:eastAsia="仿宋_GB2312" w:cs="Times New Roman"/>
                <w:b/>
                <w:bCs/>
                <w:color w:val="auto"/>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654B33">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1C2B81">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7B83BB">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F5C9E">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年末结转和结余</w:t>
            </w:r>
          </w:p>
        </w:tc>
      </w:tr>
      <w:tr w14:paraId="05821414">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D50F9">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4A84F">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DFB57">
            <w:pPr>
              <w:widowControl/>
              <w:jc w:val="center"/>
              <w:rPr>
                <w:rFonts w:ascii="Times New Roman" w:hAnsi="Times New Roman" w:eastAsia="仿宋_GB2312" w:cs="Times New Roman"/>
                <w:b/>
                <w:bCs/>
                <w:color w:val="auto"/>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16E14">
            <w:pPr>
              <w:widowControl/>
              <w:jc w:val="center"/>
              <w:rPr>
                <w:rFonts w:ascii="Times New Roman" w:hAnsi="Times New Roman" w:eastAsia="仿宋_GB2312" w:cs="Times New Roman"/>
                <w:b/>
                <w:bCs/>
                <w:color w:val="auto"/>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61B02">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38C12">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A27B1">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0DB70">
            <w:pPr>
              <w:widowControl/>
              <w:jc w:val="center"/>
              <w:rPr>
                <w:rFonts w:ascii="Times New Roman" w:hAnsi="Times New Roman" w:eastAsia="仿宋_GB2312" w:cs="Times New Roman"/>
                <w:color w:val="auto"/>
                <w:sz w:val="24"/>
                <w:szCs w:val="24"/>
              </w:rPr>
            </w:pPr>
          </w:p>
        </w:tc>
      </w:tr>
      <w:tr w14:paraId="02E2403C">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B3A5D">
            <w:pPr>
              <w:jc w:val="center"/>
              <w:rPr>
                <w:rFonts w:ascii="Times New Roman" w:hAnsi="Times New Roman" w:eastAsia="仿宋_GB2312" w:cs="Times New Roman"/>
                <w:color w:val="auto"/>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74A25">
            <w:pPr>
              <w:jc w:val="center"/>
              <w:rPr>
                <w:rFonts w:ascii="Times New Roman" w:hAnsi="Times New Roman" w:eastAsia="仿宋_GB2312" w:cs="Times New Roman"/>
                <w:color w:val="auto"/>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9ABCF">
            <w:pPr>
              <w:jc w:val="center"/>
              <w:rPr>
                <w:rFonts w:ascii="Times New Roman" w:hAnsi="Times New Roman" w:eastAsia="仿宋_GB2312" w:cs="Times New Roman"/>
                <w:color w:val="auto"/>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D3888">
            <w:pPr>
              <w:jc w:val="center"/>
              <w:rPr>
                <w:rFonts w:ascii="Times New Roman" w:hAnsi="Times New Roman" w:eastAsia="仿宋_GB2312" w:cs="Times New Roman"/>
                <w:color w:val="auto"/>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3A42B">
            <w:pPr>
              <w:jc w:val="center"/>
              <w:rPr>
                <w:rFonts w:ascii="Times New Roman" w:hAnsi="Times New Roman" w:eastAsia="仿宋_GB2312" w:cs="Times New Roman"/>
                <w:color w:val="auto"/>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90F96">
            <w:pPr>
              <w:jc w:val="center"/>
              <w:rPr>
                <w:rFonts w:ascii="Times New Roman" w:hAnsi="Times New Roman" w:eastAsia="仿宋_GB2312" w:cs="Times New Roman"/>
                <w:color w:val="auto"/>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7A2F2">
            <w:pPr>
              <w:jc w:val="center"/>
              <w:rPr>
                <w:rFonts w:ascii="Times New Roman" w:hAnsi="Times New Roman" w:eastAsia="仿宋_GB2312" w:cs="Times New Roman"/>
                <w:color w:val="auto"/>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808E9">
            <w:pPr>
              <w:jc w:val="center"/>
              <w:rPr>
                <w:rFonts w:ascii="Times New Roman" w:hAnsi="Times New Roman" w:eastAsia="仿宋_GB2312" w:cs="Times New Roman"/>
                <w:color w:val="auto"/>
                <w:sz w:val="24"/>
                <w:szCs w:val="24"/>
              </w:rPr>
            </w:pPr>
          </w:p>
        </w:tc>
      </w:tr>
      <w:tr w14:paraId="3EB6D33A">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AF00A">
            <w:pPr>
              <w:jc w:val="center"/>
              <w:rPr>
                <w:rFonts w:ascii="Times New Roman" w:hAnsi="Times New Roman" w:eastAsia="仿宋_GB2312" w:cs="Times New Roman"/>
                <w:color w:val="auto"/>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57905">
            <w:pPr>
              <w:jc w:val="center"/>
              <w:rPr>
                <w:rFonts w:ascii="Times New Roman" w:hAnsi="Times New Roman" w:eastAsia="仿宋_GB2312" w:cs="Times New Roman"/>
                <w:color w:val="auto"/>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31442">
            <w:pPr>
              <w:jc w:val="center"/>
              <w:rPr>
                <w:rFonts w:ascii="Times New Roman" w:hAnsi="Times New Roman" w:eastAsia="仿宋_GB2312" w:cs="Times New Roman"/>
                <w:color w:val="auto"/>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AFB04">
            <w:pPr>
              <w:jc w:val="center"/>
              <w:rPr>
                <w:rFonts w:ascii="Times New Roman" w:hAnsi="Times New Roman" w:eastAsia="仿宋_GB2312" w:cs="Times New Roman"/>
                <w:color w:val="auto"/>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0B1BF">
            <w:pPr>
              <w:jc w:val="center"/>
              <w:rPr>
                <w:rFonts w:ascii="Times New Roman" w:hAnsi="Times New Roman" w:eastAsia="仿宋_GB2312" w:cs="Times New Roman"/>
                <w:color w:val="auto"/>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79739">
            <w:pPr>
              <w:jc w:val="center"/>
              <w:rPr>
                <w:rFonts w:ascii="Times New Roman" w:hAnsi="Times New Roman" w:eastAsia="仿宋_GB2312" w:cs="Times New Roman"/>
                <w:color w:val="auto"/>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2E195">
            <w:pPr>
              <w:jc w:val="center"/>
              <w:rPr>
                <w:rFonts w:ascii="Times New Roman" w:hAnsi="Times New Roman" w:eastAsia="仿宋_GB2312" w:cs="Times New Roman"/>
                <w:color w:val="auto"/>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FF047">
            <w:pPr>
              <w:jc w:val="center"/>
              <w:rPr>
                <w:rFonts w:ascii="Times New Roman" w:hAnsi="Times New Roman" w:eastAsia="仿宋_GB2312" w:cs="Times New Roman"/>
                <w:color w:val="auto"/>
                <w:sz w:val="24"/>
                <w:szCs w:val="24"/>
              </w:rPr>
            </w:pPr>
          </w:p>
        </w:tc>
      </w:tr>
      <w:tr w14:paraId="6C236908">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64F10">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A182">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9B03">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EBB3">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EB60">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FD99">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FB8A">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6</w:t>
            </w:r>
          </w:p>
        </w:tc>
      </w:tr>
      <w:tr w14:paraId="3061550D">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DC608">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9B95">
            <w:pPr>
              <w:jc w:val="cente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68E5">
            <w:pPr>
              <w:jc w:val="cente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E1DB">
            <w:pPr>
              <w:jc w:val="cente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D050">
            <w:pPr>
              <w:jc w:val="cente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13CB">
            <w:pPr>
              <w:jc w:val="cente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54D7">
            <w:pPr>
              <w:jc w:val="center"/>
              <w:rPr>
                <w:rFonts w:ascii="Times New Roman" w:hAnsi="Times New Roman" w:eastAsia="仿宋_GB2312" w:cs="Times New Roman"/>
                <w:color w:val="auto"/>
                <w:sz w:val="24"/>
                <w:szCs w:val="24"/>
              </w:rPr>
            </w:pPr>
          </w:p>
        </w:tc>
      </w:tr>
      <w:tr w14:paraId="4B68814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80AA">
            <w:pP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27F4">
            <w:pPr>
              <w:rPr>
                <w:rFonts w:ascii="Times New Roman" w:hAnsi="Times New Roman" w:eastAsia="仿宋_GB2312" w:cs="Times New Roman"/>
                <w:color w:val="auto"/>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079B">
            <w:pP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A3E2">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F23B">
            <w:pP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E4F6">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A193">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CCAA">
            <w:pPr>
              <w:rPr>
                <w:rFonts w:ascii="Times New Roman" w:hAnsi="Times New Roman" w:eastAsia="仿宋_GB2312" w:cs="Times New Roman"/>
                <w:color w:val="auto"/>
                <w:sz w:val="24"/>
                <w:szCs w:val="24"/>
              </w:rPr>
            </w:pPr>
          </w:p>
        </w:tc>
      </w:tr>
      <w:tr w14:paraId="34608B4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2E1D">
            <w:pP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D2EA">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9A0C">
            <w:pP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CC37">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C4DC">
            <w:pP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354F">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AA88">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6BBC">
            <w:pPr>
              <w:rPr>
                <w:rFonts w:ascii="Times New Roman" w:hAnsi="Times New Roman" w:eastAsia="仿宋_GB2312" w:cs="Times New Roman"/>
                <w:color w:val="auto"/>
                <w:sz w:val="24"/>
                <w:szCs w:val="24"/>
              </w:rPr>
            </w:pPr>
          </w:p>
        </w:tc>
      </w:tr>
      <w:tr w14:paraId="6B9CCE8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BAEE">
            <w:pP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918E">
            <w:pPr>
              <w:rPr>
                <w:rFonts w:ascii="Times New Roman" w:hAnsi="Times New Roman" w:eastAsia="仿宋_GB2312" w:cs="Times New Roman"/>
                <w:color w:val="auto"/>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8DE3">
            <w:pP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4E19">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AE07">
            <w:pP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B56C">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3E5B">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48F8">
            <w:pPr>
              <w:rPr>
                <w:rFonts w:ascii="Times New Roman" w:hAnsi="Times New Roman" w:eastAsia="仿宋_GB2312" w:cs="Times New Roman"/>
                <w:color w:val="auto"/>
                <w:sz w:val="24"/>
                <w:szCs w:val="24"/>
              </w:rPr>
            </w:pPr>
          </w:p>
        </w:tc>
      </w:tr>
      <w:tr w14:paraId="3BD19D7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5C38">
            <w:pP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0B0E">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7B10">
            <w:pP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671A">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6F52">
            <w:pP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600C">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89B4">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9432">
            <w:pPr>
              <w:rPr>
                <w:rFonts w:ascii="Times New Roman" w:hAnsi="Times New Roman" w:eastAsia="仿宋_GB2312" w:cs="Times New Roman"/>
                <w:color w:val="auto"/>
                <w:sz w:val="24"/>
                <w:szCs w:val="24"/>
              </w:rPr>
            </w:pPr>
          </w:p>
        </w:tc>
      </w:tr>
      <w:tr w14:paraId="274F5B7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B293">
            <w:pP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7183">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F4E4">
            <w:pP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AC85">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A87F">
            <w:pP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DFFB">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3215">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BBF8">
            <w:pPr>
              <w:rPr>
                <w:rFonts w:ascii="Times New Roman" w:hAnsi="Times New Roman" w:eastAsia="仿宋_GB2312" w:cs="Times New Roman"/>
                <w:color w:val="auto"/>
                <w:sz w:val="24"/>
                <w:szCs w:val="24"/>
              </w:rPr>
            </w:pPr>
          </w:p>
        </w:tc>
      </w:tr>
      <w:tr w14:paraId="1C3C38A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B649">
            <w:pP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C1B5">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D64A">
            <w:pP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F9A5">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4870">
            <w:pP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65D8">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97C7">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4555">
            <w:pPr>
              <w:rPr>
                <w:rFonts w:ascii="Times New Roman" w:hAnsi="Times New Roman" w:eastAsia="仿宋_GB2312" w:cs="Times New Roman"/>
                <w:color w:val="auto"/>
                <w:sz w:val="24"/>
                <w:szCs w:val="24"/>
              </w:rPr>
            </w:pPr>
          </w:p>
        </w:tc>
      </w:tr>
    </w:tbl>
    <w:p w14:paraId="20FC8692">
      <w:pPr>
        <w:widowControl/>
        <w:spacing w:before="120"/>
        <w:jc w:val="left"/>
        <w:textAlignment w:val="center"/>
        <w:rPr>
          <w:rFonts w:ascii="Times New Roman" w:hAnsi="Times New Roman" w:eastAsia="仿宋_GB2312" w:cs="Times New Roman"/>
          <w:color w:val="auto"/>
          <w:kern w:val="0"/>
          <w:sz w:val="24"/>
          <w:szCs w:val="24"/>
          <w:lang w:bidi="ar"/>
        </w:rPr>
      </w:pPr>
      <w:r>
        <w:rPr>
          <w:rFonts w:ascii="Times New Roman" w:hAnsi="Times New Roman" w:eastAsia="仿宋_GB2312" w:cs="Times New Roman"/>
          <w:color w:val="auto"/>
          <w:kern w:val="0"/>
          <w:sz w:val="24"/>
          <w:szCs w:val="24"/>
          <w:lang w:bidi="ar"/>
        </w:rPr>
        <w:t>注：本表反映部门本年度政府性基金预算财政拨款收入、支出及结转和结余情况。</w:t>
      </w:r>
    </w:p>
    <w:p w14:paraId="03978AD9">
      <w:pPr>
        <w:widowControl/>
        <w:jc w:val="left"/>
        <w:textAlignment w:val="center"/>
        <w:rPr>
          <w:rFonts w:ascii="Times New Roman" w:hAnsi="Times New Roman" w:eastAsia="仿宋_GB2312" w:cs="Times New Roman"/>
          <w:color w:val="auto"/>
          <w:kern w:val="0"/>
          <w:sz w:val="24"/>
          <w:szCs w:val="24"/>
          <w:lang w:bidi="ar"/>
        </w:rPr>
      </w:pPr>
    </w:p>
    <w:p w14:paraId="411D691E">
      <w:pPr>
        <w:widowControl/>
        <w:jc w:val="left"/>
        <w:textAlignment w:val="center"/>
        <w:rPr>
          <w:rFonts w:ascii="Times New Roman" w:hAnsi="Times New Roman" w:eastAsia="仿宋_GB2312" w:cs="Times New Roman"/>
          <w:color w:val="auto"/>
          <w:kern w:val="0"/>
          <w:sz w:val="24"/>
          <w:szCs w:val="24"/>
          <w:lang w:bidi="ar"/>
        </w:rPr>
      </w:pPr>
      <w:r>
        <w:rPr>
          <w:rFonts w:ascii="Times New Roman" w:hAnsi="Times New Roman" w:eastAsia="仿宋_GB2312" w:cs="Times New Roman"/>
          <w:b/>
          <w:bCs/>
          <w:color w:val="auto"/>
          <w:kern w:val="0"/>
          <w:sz w:val="24"/>
          <w:szCs w:val="24"/>
          <w:lang w:bidi="ar"/>
        </w:rPr>
        <w:t>说明：我单位没有政府性基金收入，也没有使用政府性基金安排的支出，故本表无数据。</w:t>
      </w:r>
    </w:p>
    <w:p w14:paraId="05FBC6B6">
      <w:pPr>
        <w:widowControl/>
        <w:jc w:val="center"/>
        <w:rPr>
          <w:rFonts w:ascii="Times New Roman" w:hAnsi="Times New Roman" w:eastAsia="方正小标宋_GBK" w:cs="Times New Roman"/>
          <w:color w:val="auto"/>
          <w:kern w:val="0"/>
          <w:sz w:val="36"/>
          <w:szCs w:val="36"/>
        </w:rPr>
      </w:pPr>
    </w:p>
    <w:p w14:paraId="37902FB1">
      <w:pPr>
        <w:widowControl/>
        <w:spacing w:line="400" w:lineRule="exact"/>
        <w:textAlignment w:val="center"/>
        <w:rPr>
          <w:rFonts w:ascii="Times New Roman" w:hAnsi="Times New Roman" w:eastAsia="黑体" w:cs="Times New Roman"/>
          <w:color w:val="auto"/>
          <w:kern w:val="0"/>
          <w:sz w:val="36"/>
          <w:szCs w:val="36"/>
          <w:lang w:bidi="ar"/>
        </w:rPr>
      </w:pPr>
    </w:p>
    <w:p w14:paraId="28C77364">
      <w:pPr>
        <w:widowControl/>
        <w:spacing w:after="156" w:afterLines="50"/>
        <w:jc w:val="center"/>
        <w:textAlignment w:val="center"/>
        <w:rPr>
          <w:rFonts w:ascii="Times New Roman" w:hAnsi="Times New Roman" w:eastAsia="黑体" w:cs="Times New Roman"/>
          <w:color w:val="auto"/>
          <w:kern w:val="0"/>
          <w:sz w:val="36"/>
          <w:szCs w:val="36"/>
          <w:lang w:bidi="ar"/>
        </w:rPr>
      </w:pPr>
      <w:r>
        <w:rPr>
          <w:rFonts w:ascii="Times New Roman" w:hAnsi="Times New Roman" w:eastAsia="黑体" w:cs="Times New Roman"/>
          <w:color w:val="auto"/>
          <w:kern w:val="0"/>
          <w:sz w:val="36"/>
          <w:szCs w:val="36"/>
          <w:lang w:bidi="ar"/>
        </w:rPr>
        <w:t>国有资本经营预算财政拨款支出决算表</w:t>
      </w:r>
    </w:p>
    <w:p w14:paraId="4B937538">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 xml:space="preserve">                                                                                                          </w:t>
      </w:r>
      <w:r>
        <w:rPr>
          <w:rFonts w:hint="eastAsia" w:ascii="Times New Roman" w:hAnsi="Times New Roman" w:eastAsia="仿宋_GB2312" w:cs="Times New Roman"/>
          <w:color w:val="auto"/>
          <w:kern w:val="0"/>
          <w:sz w:val="20"/>
          <w:szCs w:val="20"/>
          <w:lang w:val="en-US" w:eastAsia="zh-CN" w:bidi="ar"/>
        </w:rPr>
        <w:t xml:space="preserve">        </w:t>
      </w:r>
      <w:r>
        <w:rPr>
          <w:rFonts w:ascii="Times New Roman" w:hAnsi="Times New Roman" w:eastAsia="仿宋_GB2312" w:cs="Times New Roman"/>
          <w:color w:val="auto"/>
          <w:kern w:val="0"/>
          <w:sz w:val="20"/>
          <w:szCs w:val="20"/>
          <w:lang w:bidi="ar"/>
        </w:rPr>
        <w:t xml:space="preserve">  公开08表</w:t>
      </w:r>
    </w:p>
    <w:p w14:paraId="054261E6">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部门：</w:t>
      </w:r>
      <w:r>
        <w:rPr>
          <w:rFonts w:hint="eastAsia" w:ascii="Times New Roman" w:hAnsi="Times New Roman" w:eastAsia="楷体_GB2312" w:cs="Times New Roman"/>
          <w:color w:val="auto"/>
          <w:kern w:val="0"/>
          <w:sz w:val="20"/>
          <w:szCs w:val="20"/>
          <w:lang w:eastAsia="zh-CN" w:bidi="ar"/>
        </w:rPr>
        <w:t>蓝山县塔峰镇中心卫生院</w:t>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kern w:val="0"/>
          <w:sz w:val="20"/>
          <w:szCs w:val="20"/>
          <w:lang w:bidi="ar"/>
        </w:rPr>
        <w:t>单位：万元</w:t>
      </w:r>
    </w:p>
    <w:tbl>
      <w:tblPr>
        <w:tblStyle w:val="8"/>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596C6880">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8B62E">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 xml:space="preserve">项 </w:t>
            </w:r>
            <w:r>
              <w:rPr>
                <w:rFonts w:ascii="Times New Roman" w:hAnsi="Times New Roman" w:eastAsia="仿宋_GB2312" w:cs="Times New Roman"/>
                <w:b/>
                <w:bCs/>
                <w:color w:val="auto"/>
                <w:kern w:val="0"/>
                <w:sz w:val="22"/>
                <w:lang w:bidi="ar"/>
              </w:rPr>
              <w:t xml:space="preserve">   </w:t>
            </w:r>
            <w:r>
              <w:rPr>
                <w:rStyle w:val="17"/>
                <w:rFonts w:hint="default" w:ascii="Times New Roman" w:hAnsi="Times New Roman" w:eastAsia="仿宋_GB2312" w:cs="Times New Roman"/>
                <w:b/>
                <w:bCs/>
                <w:color w:val="auto"/>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DBD912">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本年支出</w:t>
            </w:r>
          </w:p>
        </w:tc>
      </w:tr>
      <w:tr w14:paraId="2ACF39AB">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670271">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E90AB3">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F2DA1">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87089E">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02344">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项目支出</w:t>
            </w:r>
          </w:p>
        </w:tc>
      </w:tr>
      <w:tr w14:paraId="4C9C5751">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EEA21">
            <w:pPr>
              <w:jc w:val="center"/>
              <w:rPr>
                <w:rFonts w:ascii="Times New Roman" w:hAnsi="Times New Roman" w:eastAsia="仿宋_GB2312" w:cs="Times New Roman"/>
                <w:color w:val="auto"/>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19D9D">
            <w:pPr>
              <w:jc w:val="center"/>
              <w:rPr>
                <w:rFonts w:ascii="Times New Roman" w:hAnsi="Times New Roman" w:eastAsia="仿宋_GB2312" w:cs="Times New Roman"/>
                <w:color w:val="auto"/>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112FD">
            <w:pPr>
              <w:jc w:val="center"/>
              <w:rPr>
                <w:rFonts w:ascii="Times New Roman" w:hAnsi="Times New Roman" w:eastAsia="仿宋_GB2312" w:cs="Times New Roman"/>
                <w:color w:val="auto"/>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B9E5A">
            <w:pPr>
              <w:jc w:val="center"/>
              <w:rPr>
                <w:rFonts w:ascii="Times New Roman" w:hAnsi="Times New Roman" w:eastAsia="仿宋_GB2312" w:cs="Times New Roman"/>
                <w:color w:val="auto"/>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EA754">
            <w:pPr>
              <w:jc w:val="center"/>
              <w:rPr>
                <w:rFonts w:ascii="Times New Roman" w:hAnsi="Times New Roman" w:eastAsia="仿宋_GB2312" w:cs="Times New Roman"/>
                <w:color w:val="auto"/>
                <w:sz w:val="24"/>
                <w:szCs w:val="24"/>
              </w:rPr>
            </w:pPr>
          </w:p>
        </w:tc>
      </w:tr>
      <w:tr w14:paraId="683094FF">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475EF">
            <w:pPr>
              <w:jc w:val="center"/>
              <w:rPr>
                <w:rFonts w:ascii="Times New Roman" w:hAnsi="Times New Roman" w:eastAsia="仿宋_GB2312" w:cs="Times New Roman"/>
                <w:color w:val="auto"/>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0D4BC">
            <w:pPr>
              <w:jc w:val="center"/>
              <w:rPr>
                <w:rFonts w:ascii="Times New Roman" w:hAnsi="Times New Roman" w:eastAsia="仿宋_GB2312" w:cs="Times New Roman"/>
                <w:color w:val="auto"/>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CA907">
            <w:pPr>
              <w:jc w:val="center"/>
              <w:rPr>
                <w:rFonts w:ascii="Times New Roman" w:hAnsi="Times New Roman" w:eastAsia="仿宋_GB2312" w:cs="Times New Roman"/>
                <w:color w:val="auto"/>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76FBF">
            <w:pPr>
              <w:jc w:val="center"/>
              <w:rPr>
                <w:rFonts w:ascii="Times New Roman" w:hAnsi="Times New Roman" w:eastAsia="仿宋_GB2312" w:cs="Times New Roman"/>
                <w:color w:val="auto"/>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1A827">
            <w:pPr>
              <w:jc w:val="center"/>
              <w:rPr>
                <w:rFonts w:ascii="Times New Roman" w:hAnsi="Times New Roman" w:eastAsia="仿宋_GB2312" w:cs="Times New Roman"/>
                <w:color w:val="auto"/>
                <w:sz w:val="24"/>
                <w:szCs w:val="24"/>
              </w:rPr>
            </w:pPr>
          </w:p>
        </w:tc>
      </w:tr>
      <w:tr w14:paraId="418799E2">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8C9A9">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B3AAF">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81518">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C6BFE">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3</w:t>
            </w:r>
          </w:p>
        </w:tc>
      </w:tr>
      <w:tr w14:paraId="49719BB0">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FDB35">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2150E">
            <w:pPr>
              <w:jc w:val="cente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CC3A5">
            <w:pPr>
              <w:jc w:val="cente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BE589">
            <w:pPr>
              <w:jc w:val="center"/>
              <w:rPr>
                <w:rFonts w:ascii="Times New Roman" w:hAnsi="Times New Roman" w:eastAsia="仿宋_GB2312" w:cs="Times New Roman"/>
                <w:color w:val="auto"/>
                <w:sz w:val="24"/>
                <w:szCs w:val="24"/>
              </w:rPr>
            </w:pPr>
          </w:p>
        </w:tc>
      </w:tr>
      <w:tr w14:paraId="62C787D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D252F">
            <w:pPr>
              <w:jc w:val="cente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A98FF">
            <w:pPr>
              <w:rPr>
                <w:rFonts w:ascii="Times New Roman" w:hAnsi="Times New Roman" w:eastAsia="仿宋_GB2312" w:cs="Times New Roman"/>
                <w:color w:val="auto"/>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62AA6">
            <w:pP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340B0">
            <w:pP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EBD04">
            <w:pPr>
              <w:rPr>
                <w:rFonts w:ascii="Times New Roman" w:hAnsi="Times New Roman" w:eastAsia="仿宋_GB2312" w:cs="Times New Roman"/>
                <w:color w:val="auto"/>
                <w:sz w:val="24"/>
                <w:szCs w:val="24"/>
              </w:rPr>
            </w:pPr>
          </w:p>
        </w:tc>
      </w:tr>
      <w:tr w14:paraId="63C3F5A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E63A2">
            <w:pPr>
              <w:jc w:val="cente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7FC2E">
            <w:pPr>
              <w:rPr>
                <w:rFonts w:ascii="Times New Roman" w:hAnsi="Times New Roman" w:eastAsia="仿宋_GB2312" w:cs="Times New Roman"/>
                <w:color w:val="auto"/>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D202F">
            <w:pP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2C075">
            <w:pP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25A0A">
            <w:pPr>
              <w:rPr>
                <w:rFonts w:ascii="Times New Roman" w:hAnsi="Times New Roman" w:eastAsia="仿宋_GB2312" w:cs="Times New Roman"/>
                <w:color w:val="auto"/>
                <w:sz w:val="24"/>
                <w:szCs w:val="24"/>
              </w:rPr>
            </w:pPr>
          </w:p>
        </w:tc>
      </w:tr>
      <w:tr w14:paraId="38E171D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8FBAA">
            <w:pPr>
              <w:jc w:val="cente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68110">
            <w:pPr>
              <w:rPr>
                <w:rFonts w:ascii="Times New Roman" w:hAnsi="Times New Roman" w:eastAsia="宋体" w:cs="Times New Roman"/>
                <w:color w:val="auto"/>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59938">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7CF0D">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595A1">
            <w:pPr>
              <w:rPr>
                <w:rFonts w:ascii="Times New Roman" w:hAnsi="Times New Roman" w:eastAsia="宋体" w:cs="Times New Roman"/>
                <w:color w:val="auto"/>
                <w:sz w:val="24"/>
                <w:szCs w:val="24"/>
              </w:rPr>
            </w:pPr>
          </w:p>
        </w:tc>
      </w:tr>
      <w:tr w14:paraId="68486F6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6C939">
            <w:pPr>
              <w:jc w:val="cente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2B22A">
            <w:pPr>
              <w:rPr>
                <w:rFonts w:ascii="Times New Roman" w:hAnsi="Times New Roman" w:eastAsia="宋体" w:cs="Times New Roman"/>
                <w:color w:val="auto"/>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B99B0">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8DD76">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F3F5D">
            <w:pPr>
              <w:rPr>
                <w:rFonts w:ascii="Times New Roman" w:hAnsi="Times New Roman" w:eastAsia="宋体" w:cs="Times New Roman"/>
                <w:color w:val="auto"/>
                <w:sz w:val="24"/>
                <w:szCs w:val="24"/>
              </w:rPr>
            </w:pPr>
          </w:p>
        </w:tc>
      </w:tr>
      <w:tr w14:paraId="50D2089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5F330">
            <w:pPr>
              <w:jc w:val="cente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65A4E">
            <w:pPr>
              <w:rPr>
                <w:rFonts w:ascii="Times New Roman" w:hAnsi="Times New Roman" w:eastAsia="宋体" w:cs="Times New Roman"/>
                <w:color w:val="auto"/>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9DC41">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A08C4">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A849B">
            <w:pPr>
              <w:rPr>
                <w:rFonts w:ascii="Times New Roman" w:hAnsi="Times New Roman" w:eastAsia="宋体" w:cs="Times New Roman"/>
                <w:color w:val="auto"/>
                <w:sz w:val="24"/>
                <w:szCs w:val="24"/>
              </w:rPr>
            </w:pPr>
          </w:p>
        </w:tc>
      </w:tr>
      <w:tr w14:paraId="5400DB6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87456">
            <w:pPr>
              <w:jc w:val="cente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B948F">
            <w:pPr>
              <w:rPr>
                <w:rFonts w:ascii="Times New Roman" w:hAnsi="Times New Roman" w:eastAsia="宋体" w:cs="Times New Roman"/>
                <w:color w:val="auto"/>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0E0DE">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179FD">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AB5DE">
            <w:pPr>
              <w:rPr>
                <w:rFonts w:ascii="Times New Roman" w:hAnsi="Times New Roman" w:eastAsia="宋体" w:cs="Times New Roman"/>
                <w:color w:val="auto"/>
                <w:sz w:val="24"/>
                <w:szCs w:val="24"/>
              </w:rPr>
            </w:pPr>
          </w:p>
        </w:tc>
      </w:tr>
    </w:tbl>
    <w:p w14:paraId="42EA3CA5">
      <w:pPr>
        <w:widowControl/>
        <w:spacing w:before="120"/>
        <w:jc w:val="left"/>
        <w:textAlignment w:val="center"/>
        <w:rPr>
          <w:rFonts w:ascii="Times New Roman" w:hAnsi="Times New Roman" w:eastAsia="仿宋_GB2312" w:cs="Times New Roman"/>
          <w:color w:val="auto"/>
          <w:kern w:val="0"/>
          <w:sz w:val="24"/>
          <w:szCs w:val="24"/>
          <w:lang w:bidi="ar"/>
        </w:rPr>
      </w:pPr>
      <w:r>
        <w:rPr>
          <w:rFonts w:ascii="Times New Roman" w:hAnsi="Times New Roman" w:eastAsia="仿宋_GB2312" w:cs="Times New Roman"/>
          <w:color w:val="auto"/>
          <w:kern w:val="0"/>
          <w:sz w:val="24"/>
          <w:szCs w:val="24"/>
          <w:lang w:bidi="ar"/>
        </w:rPr>
        <w:t>注：本表反映部门本年度国有资本经营预算财政拨款支出情况。</w:t>
      </w:r>
    </w:p>
    <w:p w14:paraId="5AC92BFF">
      <w:pPr>
        <w:widowControl/>
        <w:jc w:val="left"/>
        <w:textAlignment w:val="center"/>
        <w:rPr>
          <w:rFonts w:ascii="Times New Roman" w:hAnsi="Times New Roman" w:eastAsia="宋体" w:cs="Times New Roman"/>
          <w:color w:val="auto"/>
          <w:kern w:val="0"/>
          <w:sz w:val="24"/>
          <w:szCs w:val="24"/>
          <w:lang w:bidi="ar"/>
        </w:rPr>
      </w:pPr>
    </w:p>
    <w:p w14:paraId="6D6B0DC9">
      <w:pPr>
        <w:widowControl/>
        <w:jc w:val="left"/>
        <w:textAlignment w:val="center"/>
        <w:rPr>
          <w:rFonts w:ascii="Times New Roman" w:hAnsi="Times New Roman" w:eastAsia="楷体_GB2312" w:cs="Times New Roman"/>
          <w:color w:val="auto"/>
          <w:kern w:val="0"/>
          <w:sz w:val="24"/>
          <w:szCs w:val="24"/>
          <w:lang w:bidi="ar"/>
        </w:rPr>
      </w:pPr>
      <w:r>
        <w:rPr>
          <w:rFonts w:ascii="Times New Roman" w:hAnsi="Times New Roman" w:eastAsia="楷体_GB2312" w:cs="Times New Roman"/>
          <w:b/>
          <w:bCs/>
          <w:color w:val="auto"/>
          <w:kern w:val="0"/>
          <w:sz w:val="24"/>
          <w:szCs w:val="24"/>
          <w:lang w:bidi="ar"/>
        </w:rPr>
        <w:t>说明：我单位没有使用国有资本经营预算安排的支出，故本表无数据。</w:t>
      </w:r>
    </w:p>
    <w:p w14:paraId="062D8233">
      <w:pPr>
        <w:widowControl/>
        <w:jc w:val="center"/>
        <w:rPr>
          <w:rFonts w:ascii="Times New Roman" w:hAnsi="Times New Roman" w:eastAsia="方正小标宋_GBK" w:cs="Times New Roman"/>
          <w:color w:val="auto"/>
          <w:kern w:val="0"/>
          <w:sz w:val="36"/>
          <w:szCs w:val="36"/>
        </w:rPr>
      </w:pPr>
    </w:p>
    <w:p w14:paraId="65CE940F">
      <w:pPr>
        <w:pStyle w:val="6"/>
        <w:spacing w:line="400" w:lineRule="exact"/>
        <w:rPr>
          <w:rFonts w:ascii="Times New Roman" w:hAnsi="Times New Roman" w:eastAsia="华文中宋" w:cs="Times New Roman"/>
          <w:color w:val="auto"/>
          <w:kern w:val="0"/>
          <w:sz w:val="32"/>
          <w:szCs w:val="32"/>
          <w:lang w:bidi="ar"/>
        </w:rPr>
      </w:pPr>
    </w:p>
    <w:p w14:paraId="351372FF">
      <w:pPr>
        <w:widowControl/>
        <w:spacing w:after="156" w:afterLines="50"/>
        <w:jc w:val="center"/>
        <w:textAlignment w:val="center"/>
        <w:rPr>
          <w:rFonts w:ascii="Times New Roman" w:hAnsi="Times New Roman" w:eastAsia="黑体" w:cs="Times New Roman"/>
          <w:color w:val="auto"/>
          <w:kern w:val="0"/>
          <w:sz w:val="36"/>
          <w:szCs w:val="36"/>
          <w:lang w:bidi="ar"/>
        </w:rPr>
      </w:pPr>
      <w:r>
        <w:rPr>
          <w:rFonts w:ascii="Times New Roman" w:hAnsi="Times New Roman" w:eastAsia="黑体" w:cs="Times New Roman"/>
          <w:color w:val="auto"/>
          <w:kern w:val="0"/>
          <w:sz w:val="36"/>
          <w:szCs w:val="36"/>
          <w:lang w:bidi="ar"/>
        </w:rPr>
        <w:t>财政拨款“三公”经费支出决算表</w:t>
      </w:r>
    </w:p>
    <w:p w14:paraId="568A25AA">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auto"/>
          <w:sz w:val="20"/>
          <w:szCs w:val="20"/>
        </w:rPr>
      </w:pP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kern w:val="0"/>
          <w:sz w:val="20"/>
          <w:szCs w:val="20"/>
          <w:lang w:bidi="ar"/>
        </w:rPr>
        <w:t>公开09表</w:t>
      </w:r>
    </w:p>
    <w:p w14:paraId="05876B47">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auto"/>
          <w:sz w:val="20"/>
          <w:szCs w:val="20"/>
        </w:rPr>
      </w:pPr>
      <w:r>
        <w:rPr>
          <w:rFonts w:ascii="Times New Roman" w:hAnsi="Times New Roman" w:eastAsia="楷体_GB2312" w:cs="Times New Roman"/>
          <w:color w:val="auto"/>
          <w:kern w:val="0"/>
          <w:sz w:val="20"/>
          <w:szCs w:val="20"/>
          <w:lang w:bidi="ar"/>
        </w:rPr>
        <w:t>部门：</w:t>
      </w:r>
      <w:r>
        <w:rPr>
          <w:rFonts w:hint="eastAsia" w:ascii="Times New Roman" w:hAnsi="Times New Roman" w:eastAsia="楷体_GB2312" w:cs="Times New Roman"/>
          <w:color w:val="auto"/>
          <w:kern w:val="0"/>
          <w:sz w:val="20"/>
          <w:szCs w:val="20"/>
          <w:lang w:eastAsia="zh-CN" w:bidi="ar"/>
        </w:rPr>
        <w:t>蓝山县塔峰镇中心卫生院</w:t>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kern w:val="0"/>
          <w:sz w:val="20"/>
          <w:szCs w:val="20"/>
          <w:lang w:bidi="ar"/>
        </w:rPr>
        <w:t>单位：万元</w:t>
      </w:r>
    </w:p>
    <w:tbl>
      <w:tblPr>
        <w:tblStyle w:val="8"/>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1B639882">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B134F0">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311408">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决算数</w:t>
            </w:r>
          </w:p>
        </w:tc>
      </w:tr>
      <w:tr w14:paraId="433EE361">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5C833">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B8B535">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476E32">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DEFDB4">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0BE52D">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AE2BD">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B0BA9F">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0750F">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公务接待费</w:t>
            </w:r>
          </w:p>
        </w:tc>
      </w:tr>
      <w:tr w14:paraId="295BFEE9">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D50B2">
            <w:pPr>
              <w:jc w:val="center"/>
              <w:rPr>
                <w:rFonts w:ascii="Times New Roman" w:hAnsi="Times New Roman" w:eastAsia="仿宋_GB2312" w:cs="Times New Roman"/>
                <w:color w:val="auto"/>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67693">
            <w:pPr>
              <w:jc w:val="center"/>
              <w:rPr>
                <w:rFonts w:ascii="Times New Roman" w:hAnsi="Times New Roman" w:eastAsia="仿宋_GB2312" w:cs="Times New Roman"/>
                <w:color w:val="auto"/>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F08AF">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203AC">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公务用车</w:t>
            </w:r>
            <w:r>
              <w:rPr>
                <w:rFonts w:ascii="Times New Roman" w:hAnsi="Times New Roman" w:eastAsia="仿宋_GB2312" w:cs="Times New Roman"/>
                <w:b/>
                <w:bCs/>
                <w:color w:val="auto"/>
                <w:kern w:val="0"/>
                <w:sz w:val="22"/>
                <w:lang w:bidi="ar"/>
              </w:rPr>
              <w:br w:type="textWrapping"/>
            </w:r>
            <w:r>
              <w:rPr>
                <w:rFonts w:ascii="Times New Roman" w:hAnsi="Times New Roman" w:eastAsia="仿宋_GB2312" w:cs="Times New Roman"/>
                <w:b/>
                <w:bCs/>
                <w:color w:val="auto"/>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8EEDF">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公务用车</w:t>
            </w:r>
            <w:r>
              <w:rPr>
                <w:rFonts w:ascii="Times New Roman" w:hAnsi="Times New Roman" w:eastAsia="仿宋_GB2312" w:cs="Times New Roman"/>
                <w:b/>
                <w:bCs/>
                <w:color w:val="auto"/>
                <w:kern w:val="0"/>
                <w:sz w:val="22"/>
                <w:lang w:bidi="ar"/>
              </w:rPr>
              <w:br w:type="textWrapping"/>
            </w:r>
            <w:r>
              <w:rPr>
                <w:rFonts w:ascii="Times New Roman" w:hAnsi="Times New Roman" w:eastAsia="仿宋_GB2312" w:cs="Times New Roman"/>
                <w:b/>
                <w:bCs/>
                <w:color w:val="auto"/>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E460C">
            <w:pPr>
              <w:jc w:val="center"/>
              <w:rPr>
                <w:rFonts w:ascii="Times New Roman" w:hAnsi="Times New Roman" w:eastAsia="仿宋_GB2312" w:cs="Times New Roman"/>
                <w:color w:val="auto"/>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8B231">
            <w:pPr>
              <w:jc w:val="center"/>
              <w:rPr>
                <w:rFonts w:ascii="Times New Roman" w:hAnsi="Times New Roman" w:eastAsia="仿宋_GB2312" w:cs="Times New Roman"/>
                <w:color w:val="auto"/>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A9E1F">
            <w:pPr>
              <w:jc w:val="center"/>
              <w:rPr>
                <w:rFonts w:ascii="Times New Roman" w:hAnsi="Times New Roman" w:eastAsia="仿宋_GB2312" w:cs="Times New Roman"/>
                <w:color w:val="auto"/>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A8462">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49F51">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公务用车</w:t>
            </w:r>
            <w:r>
              <w:rPr>
                <w:rFonts w:ascii="Times New Roman" w:hAnsi="Times New Roman" w:eastAsia="仿宋_GB2312" w:cs="Times New Roman"/>
                <w:b/>
                <w:bCs/>
                <w:color w:val="auto"/>
                <w:kern w:val="0"/>
                <w:sz w:val="22"/>
                <w:lang w:bidi="ar"/>
              </w:rPr>
              <w:br w:type="textWrapping"/>
            </w:r>
            <w:r>
              <w:rPr>
                <w:rFonts w:ascii="Times New Roman" w:hAnsi="Times New Roman" w:eastAsia="仿宋_GB2312" w:cs="Times New Roman"/>
                <w:b/>
                <w:bCs/>
                <w:color w:val="auto"/>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377BD">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公务用车</w:t>
            </w:r>
            <w:r>
              <w:rPr>
                <w:rFonts w:ascii="Times New Roman" w:hAnsi="Times New Roman" w:eastAsia="仿宋_GB2312" w:cs="Times New Roman"/>
                <w:b/>
                <w:bCs/>
                <w:color w:val="auto"/>
                <w:kern w:val="0"/>
                <w:sz w:val="22"/>
                <w:lang w:bidi="ar"/>
              </w:rPr>
              <w:br w:type="textWrapping"/>
            </w:r>
            <w:r>
              <w:rPr>
                <w:rFonts w:ascii="Times New Roman" w:hAnsi="Times New Roman" w:eastAsia="仿宋_GB2312" w:cs="Times New Roman"/>
                <w:b/>
                <w:bCs/>
                <w:color w:val="auto"/>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E1501">
            <w:pPr>
              <w:jc w:val="center"/>
              <w:rPr>
                <w:rFonts w:ascii="Times New Roman" w:hAnsi="Times New Roman" w:eastAsia="仿宋_GB2312" w:cs="Times New Roman"/>
                <w:color w:val="auto"/>
                <w:sz w:val="22"/>
              </w:rPr>
            </w:pPr>
          </w:p>
        </w:tc>
      </w:tr>
      <w:tr w14:paraId="10AA8568">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510F4">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6DF5C">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C8377">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9A96A">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392B2">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91EF2">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9F3C4">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BF3B2">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375DE">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701EB">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C0567">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F5F8E">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12</w:t>
            </w:r>
          </w:p>
        </w:tc>
      </w:tr>
      <w:tr w14:paraId="43415581">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D34D5">
            <w:pPr>
              <w:rPr>
                <w:rFonts w:hint="default" w:ascii="Times New Roman" w:hAnsi="Times New Roman" w:eastAsia="仿宋_GB2312" w:cs="Times New Roman"/>
                <w:color w:val="auto"/>
                <w:sz w:val="22"/>
                <w:lang w:val="en-US" w:eastAsia="zh-CN"/>
              </w:rPr>
            </w:pPr>
            <w:r>
              <w:rPr>
                <w:rFonts w:hint="eastAsia" w:ascii="Times New Roman" w:hAnsi="Times New Roman" w:eastAsia="仿宋_GB2312" w:cs="Times New Roman"/>
                <w:color w:val="auto"/>
                <w:sz w:val="22"/>
                <w:lang w:val="en-US" w:eastAsia="zh-CN"/>
              </w:rPr>
              <w:t>0.36</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8B432">
            <w:pPr>
              <w:rPr>
                <w:rFonts w:ascii="Times New Roman" w:hAnsi="Times New Roman" w:eastAsia="仿宋_GB2312" w:cs="Times New Roman"/>
                <w:color w:val="auto"/>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58DF0">
            <w:pPr>
              <w:rPr>
                <w:rFonts w:ascii="Times New Roman" w:hAnsi="Times New Roman" w:eastAsia="仿宋_GB2312" w:cs="Times New Roman"/>
                <w:color w:val="auto"/>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5CE4C">
            <w:pPr>
              <w:rPr>
                <w:rFonts w:ascii="Times New Roman" w:hAnsi="Times New Roman" w:eastAsia="仿宋_GB2312" w:cs="Times New Roman"/>
                <w:color w:val="auto"/>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6B56E">
            <w:pPr>
              <w:rPr>
                <w:rFonts w:ascii="Times New Roman" w:hAnsi="Times New Roman" w:eastAsia="仿宋_GB2312" w:cs="Times New Roman"/>
                <w:color w:val="auto"/>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B7914">
            <w:pPr>
              <w:rPr>
                <w:rFonts w:ascii="Times New Roman" w:hAnsi="Times New Roman" w:eastAsia="仿宋_GB2312" w:cs="Times New Roman"/>
                <w:color w:val="auto"/>
                <w:sz w:val="22"/>
              </w:rPr>
            </w:pPr>
            <w:r>
              <w:rPr>
                <w:rFonts w:hint="eastAsia" w:ascii="Times New Roman" w:hAnsi="Times New Roman" w:eastAsia="仿宋_GB2312" w:cs="Times New Roman"/>
                <w:color w:val="auto"/>
                <w:sz w:val="22"/>
                <w:lang w:val="en-US" w:eastAsia="zh-CN"/>
              </w:rPr>
              <w:t>0.36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121F7">
            <w:pPr>
              <w:rPr>
                <w:rFonts w:hint="default" w:ascii="Times New Roman" w:hAnsi="Times New Roman" w:eastAsia="仿宋_GB2312" w:cs="Times New Roman"/>
                <w:color w:val="auto"/>
                <w:sz w:val="22"/>
                <w:lang w:val="en-US" w:eastAsia="zh-CN"/>
              </w:rPr>
            </w:pPr>
            <w:r>
              <w:rPr>
                <w:rFonts w:hint="eastAsia" w:ascii="Times New Roman" w:hAnsi="Times New Roman" w:eastAsia="仿宋_GB2312" w:cs="Times New Roman"/>
                <w:color w:val="auto"/>
                <w:sz w:val="22"/>
                <w:lang w:val="en-US" w:eastAsia="zh-CN"/>
              </w:rPr>
              <w:t>0.33</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B922E">
            <w:pPr>
              <w:rPr>
                <w:rFonts w:ascii="Times New Roman" w:hAnsi="Times New Roman" w:eastAsia="仿宋_GB2312" w:cs="Times New Roman"/>
                <w:color w:val="auto"/>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AFB68">
            <w:pPr>
              <w:rPr>
                <w:rFonts w:ascii="Times New Roman" w:hAnsi="Times New Roman" w:eastAsia="仿宋_GB2312" w:cs="Times New Roman"/>
                <w:color w:val="auto"/>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2409D">
            <w:pPr>
              <w:rPr>
                <w:rFonts w:ascii="Times New Roman" w:hAnsi="Times New Roman" w:eastAsia="仿宋_GB2312" w:cs="Times New Roman"/>
                <w:color w:val="auto"/>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4198C">
            <w:pPr>
              <w:rPr>
                <w:rFonts w:ascii="Times New Roman" w:hAnsi="Times New Roman" w:eastAsia="仿宋_GB2312" w:cs="Times New Roman"/>
                <w:color w:val="auto"/>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437AC">
            <w:pPr>
              <w:rPr>
                <w:rFonts w:ascii="Times New Roman" w:hAnsi="Times New Roman" w:eastAsia="仿宋_GB2312" w:cs="Times New Roman"/>
                <w:color w:val="auto"/>
                <w:sz w:val="22"/>
              </w:rPr>
            </w:pPr>
            <w:r>
              <w:rPr>
                <w:rFonts w:hint="eastAsia" w:ascii="Times New Roman" w:hAnsi="Times New Roman" w:eastAsia="仿宋_GB2312" w:cs="Times New Roman"/>
                <w:color w:val="auto"/>
                <w:sz w:val="22"/>
                <w:lang w:val="en-US" w:eastAsia="zh-CN"/>
              </w:rPr>
              <w:t>0.33</w:t>
            </w:r>
          </w:p>
        </w:tc>
      </w:tr>
    </w:tbl>
    <w:p w14:paraId="0D671D2E">
      <w:pPr>
        <w:widowControl/>
        <w:spacing w:before="120"/>
        <w:jc w:val="left"/>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3ADFE883">
      <w:pPr>
        <w:autoSpaceDE w:val="0"/>
        <w:autoSpaceDN w:val="0"/>
        <w:adjustRightInd w:val="0"/>
        <w:ind w:left="315" w:leftChars="150"/>
        <w:jc w:val="left"/>
        <w:rPr>
          <w:rFonts w:ascii="Times New Roman" w:hAnsi="Times New Roman" w:eastAsia="宋体" w:cs="Times New Roman"/>
          <w:color w:val="auto"/>
          <w:kern w:val="0"/>
          <w:sz w:val="24"/>
          <w:szCs w:val="24"/>
        </w:rPr>
      </w:pPr>
    </w:p>
    <w:p w14:paraId="3FA27426">
      <w:pPr>
        <w:autoSpaceDE w:val="0"/>
        <w:autoSpaceDN w:val="0"/>
        <w:adjustRightInd w:val="0"/>
        <w:ind w:left="315" w:leftChars="150"/>
        <w:jc w:val="left"/>
        <w:rPr>
          <w:rFonts w:ascii="Times New Roman" w:hAnsi="Times New Roman" w:eastAsia="宋体" w:cs="Times New Roman"/>
          <w:color w:val="auto"/>
          <w:kern w:val="0"/>
          <w:sz w:val="24"/>
          <w:szCs w:val="24"/>
        </w:rPr>
      </w:pPr>
    </w:p>
    <w:p w14:paraId="1685CD98">
      <w:pPr>
        <w:autoSpaceDE w:val="0"/>
        <w:autoSpaceDN w:val="0"/>
        <w:adjustRightInd w:val="0"/>
        <w:ind w:left="315" w:leftChars="150"/>
        <w:jc w:val="left"/>
        <w:rPr>
          <w:rFonts w:ascii="Times New Roman" w:hAnsi="Times New Roman" w:eastAsia="宋体" w:cs="Times New Roman"/>
          <w:color w:val="auto"/>
          <w:kern w:val="0"/>
          <w:sz w:val="24"/>
          <w:szCs w:val="24"/>
        </w:rPr>
      </w:pPr>
    </w:p>
    <w:p w14:paraId="77124F81">
      <w:pPr>
        <w:autoSpaceDE w:val="0"/>
        <w:autoSpaceDN w:val="0"/>
        <w:adjustRightInd w:val="0"/>
        <w:ind w:left="315" w:leftChars="150"/>
        <w:jc w:val="left"/>
        <w:rPr>
          <w:rFonts w:ascii="Times New Roman" w:hAnsi="Times New Roman" w:eastAsia="宋体" w:cs="Times New Roman"/>
          <w:color w:val="auto"/>
          <w:kern w:val="0"/>
          <w:sz w:val="24"/>
          <w:szCs w:val="24"/>
        </w:rPr>
      </w:pPr>
    </w:p>
    <w:p w14:paraId="44AA6DCC">
      <w:pPr>
        <w:autoSpaceDE w:val="0"/>
        <w:autoSpaceDN w:val="0"/>
        <w:adjustRightInd w:val="0"/>
        <w:ind w:left="315" w:leftChars="150"/>
        <w:jc w:val="left"/>
        <w:rPr>
          <w:rFonts w:ascii="Times New Roman" w:hAnsi="Times New Roman" w:eastAsia="宋体" w:cs="Times New Roman"/>
          <w:color w:val="auto"/>
          <w:kern w:val="0"/>
          <w:sz w:val="24"/>
          <w:szCs w:val="24"/>
        </w:rPr>
      </w:pPr>
    </w:p>
    <w:p w14:paraId="00D48835">
      <w:pPr>
        <w:widowControl/>
        <w:rPr>
          <w:rFonts w:ascii="Times New Roman" w:hAnsi="Times New Roman" w:cs="Times New Roman"/>
          <w:color w:val="auto"/>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color w:val="auto"/>
          <w:szCs w:val="21"/>
        </w:rPr>
        <w:br w:type="page"/>
      </w:r>
    </w:p>
    <w:p w14:paraId="24150DAE">
      <w:pPr>
        <w:pStyle w:val="12"/>
        <w:rPr>
          <w:rFonts w:ascii="Times New Roman" w:hAnsi="Times New Roman" w:cs="Times New Roman"/>
          <w:color w:val="auto"/>
          <w:sz w:val="72"/>
          <w:szCs w:val="72"/>
        </w:rPr>
      </w:pPr>
    </w:p>
    <w:p w14:paraId="5729B291">
      <w:pPr>
        <w:pStyle w:val="12"/>
        <w:rPr>
          <w:rFonts w:ascii="Times New Roman" w:hAnsi="Times New Roman" w:cs="Times New Roman"/>
          <w:color w:val="auto"/>
          <w:sz w:val="72"/>
          <w:szCs w:val="72"/>
        </w:rPr>
      </w:pPr>
    </w:p>
    <w:p w14:paraId="7CEE8862">
      <w:pPr>
        <w:pStyle w:val="12"/>
        <w:rPr>
          <w:rFonts w:ascii="Times New Roman" w:hAnsi="Times New Roman" w:cs="Times New Roman"/>
          <w:color w:val="auto"/>
          <w:sz w:val="72"/>
          <w:szCs w:val="72"/>
        </w:rPr>
      </w:pPr>
    </w:p>
    <w:p w14:paraId="782B6938">
      <w:pPr>
        <w:pStyle w:val="12"/>
        <w:jc w:val="center"/>
        <w:rPr>
          <w:rFonts w:ascii="Times New Roman" w:hAnsi="Times New Roman" w:cs="Times New Roman"/>
          <w:color w:val="auto"/>
          <w:sz w:val="72"/>
          <w:szCs w:val="72"/>
        </w:rPr>
      </w:pPr>
    </w:p>
    <w:p w14:paraId="296CDF91">
      <w:pPr>
        <w:pStyle w:val="12"/>
        <w:jc w:val="center"/>
        <w:rPr>
          <w:rFonts w:ascii="Times New Roman" w:hAnsi="Times New Roman" w:eastAsia="方正小标宋_GBK" w:cs="Times New Roman"/>
          <w:color w:val="auto"/>
          <w:sz w:val="72"/>
          <w:szCs w:val="72"/>
        </w:rPr>
      </w:pPr>
    </w:p>
    <w:p w14:paraId="41DC10EC">
      <w:pPr>
        <w:pStyle w:val="12"/>
        <w:spacing w:line="360" w:lineRule="auto"/>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第三部分</w:t>
      </w:r>
    </w:p>
    <w:p w14:paraId="3F7BECE8">
      <w:pPr>
        <w:pStyle w:val="12"/>
        <w:spacing w:line="360" w:lineRule="auto"/>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2024年度部门决算情况说明</w:t>
      </w:r>
    </w:p>
    <w:p w14:paraId="24D27E95">
      <w:pPr>
        <w:widowControl/>
        <w:jc w:val="left"/>
        <w:rPr>
          <w:rFonts w:ascii="Times New Roman" w:hAnsi="Times New Roman" w:cs="Times New Roman"/>
          <w:color w:val="auto"/>
          <w:sz w:val="32"/>
          <w:szCs w:val="32"/>
        </w:rPr>
      </w:pPr>
      <w:r>
        <w:rPr>
          <w:color w:val="auto"/>
        </w:rPr>
        <w:br w:type="page"/>
      </w:r>
    </w:p>
    <w:p w14:paraId="0ED0F72A">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一、收入支出决算总体情况说明</w:t>
      </w:r>
    </w:p>
    <w:p w14:paraId="7A5A0029">
      <w:pPr>
        <w:spacing w:line="560" w:lineRule="exact"/>
        <w:ind w:firstLine="640" w:firstLineChars="200"/>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2024年度收、支总计</w:t>
      </w:r>
      <w:r>
        <w:rPr>
          <w:rFonts w:hint="eastAsia" w:ascii="Times New Roman" w:hAnsi="Times New Roman" w:eastAsia="仿宋_GB2312" w:cs="Times New Roman"/>
          <w:color w:val="auto"/>
          <w:sz w:val="32"/>
          <w:szCs w:val="32"/>
          <w:lang w:val="en-US" w:eastAsia="zh-CN"/>
        </w:rPr>
        <w:t>3126.69</w:t>
      </w:r>
      <w:r>
        <w:rPr>
          <w:rFonts w:ascii="Times New Roman" w:hAnsi="Times New Roman" w:eastAsia="仿宋_GB2312" w:cs="Times New Roman"/>
          <w:color w:val="auto"/>
          <w:sz w:val="32"/>
          <w:szCs w:val="32"/>
        </w:rPr>
        <w:t>万元。与上年相比，增加</w:t>
      </w:r>
      <w:r>
        <w:rPr>
          <w:rFonts w:hint="eastAsia" w:ascii="Times New Roman" w:hAnsi="Times New Roman" w:eastAsia="仿宋_GB2312" w:cs="Times New Roman"/>
          <w:color w:val="auto"/>
          <w:sz w:val="32"/>
          <w:szCs w:val="32"/>
          <w:lang w:val="en-US" w:eastAsia="zh-CN"/>
        </w:rPr>
        <w:t>1058.41</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lang w:val="en-US" w:eastAsia="zh-CN"/>
        </w:rPr>
        <w:t>51.17</w:t>
      </w:r>
      <w:r>
        <w:rPr>
          <w:rFonts w:ascii="Times New Roman" w:hAnsi="Times New Roman" w:eastAsia="仿宋_GB2312" w:cs="Times New Roman"/>
          <w:color w:val="auto"/>
          <w:sz w:val="32"/>
          <w:szCs w:val="32"/>
        </w:rPr>
        <w:t>%，主要是因为</w:t>
      </w:r>
      <w:r>
        <w:rPr>
          <w:rFonts w:hint="eastAsia" w:ascii="仿宋_GB2312" w:hAnsi="仿宋_GB2312" w:eastAsia="仿宋_GB2312" w:cs="仿宋_GB2312"/>
          <w:color w:val="auto"/>
          <w:kern w:val="2"/>
          <w:sz w:val="32"/>
          <w:szCs w:val="32"/>
          <w:u w:val="none"/>
        </w:rPr>
        <w:t>公共卫生工作全面提升</w:t>
      </w:r>
      <w:r>
        <w:rPr>
          <w:rFonts w:hint="eastAsia" w:ascii="仿宋_GB2312" w:hAnsi="仿宋_GB2312" w:eastAsia="仿宋_GB2312" w:cs="仿宋_GB2312"/>
          <w:color w:val="auto"/>
          <w:kern w:val="2"/>
          <w:sz w:val="32"/>
          <w:szCs w:val="32"/>
          <w:u w:val="none"/>
          <w:lang w:val="en-US" w:eastAsia="zh-CN"/>
        </w:rPr>
        <w:t>;</w:t>
      </w:r>
      <w:r>
        <w:rPr>
          <w:rFonts w:hint="eastAsia" w:ascii="仿宋_GB2312" w:hAnsi="仿宋_GB2312" w:eastAsia="仿宋_GB2312" w:cs="仿宋_GB2312"/>
          <w:color w:val="auto"/>
          <w:sz w:val="32"/>
          <w:szCs w:val="32"/>
          <w:u w:val="none"/>
        </w:rPr>
        <w:t>为提升全乡公共卫生服务水平，严抓基本公共卫生服务项目工作，充分调动全院职工的工作积极性和主动性，取得了较好效果。医疗护理工作满意度不断提高</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医疗方面，本院本着“一切以病人为中心”“一切为了病人”的服务宗旨，全体同志齐心协力，按照医院部署，围绕“以病人为中心，努力提高医疗服务质量”为主线，根据门诊年初工作计划，严格管理，求真务实，踏实苦干，在医德医风、医疗质量、基层建设等方面取得了较好的成绩。</w:t>
      </w:r>
    </w:p>
    <w:p w14:paraId="132AEA2D">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二、收入决算情况说明</w:t>
      </w:r>
    </w:p>
    <w:p w14:paraId="2787BBCA">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2024年度收入合计</w:t>
      </w:r>
      <w:r>
        <w:rPr>
          <w:rFonts w:hint="eastAsia" w:ascii="Times New Roman" w:hAnsi="Times New Roman" w:eastAsia="仿宋_GB2312" w:cs="Times New Roman"/>
          <w:color w:val="auto"/>
          <w:sz w:val="32"/>
          <w:szCs w:val="32"/>
          <w:lang w:val="en-US" w:eastAsia="zh-CN"/>
        </w:rPr>
        <w:t>3126.69</w:t>
      </w:r>
      <w:r>
        <w:rPr>
          <w:rFonts w:ascii="Times New Roman" w:hAnsi="Times New Roman" w:eastAsia="仿宋_GB2312" w:cs="Times New Roman"/>
          <w:color w:val="auto"/>
          <w:sz w:val="32"/>
          <w:szCs w:val="32"/>
        </w:rPr>
        <w:t>万元，其中：财政拨款收入</w:t>
      </w:r>
      <w:r>
        <w:rPr>
          <w:rFonts w:hint="eastAsia" w:ascii="Times New Roman" w:hAnsi="Times New Roman" w:eastAsia="仿宋_GB2312" w:cs="Times New Roman"/>
          <w:color w:val="auto"/>
          <w:sz w:val="32"/>
          <w:szCs w:val="32"/>
          <w:lang w:val="en-US" w:eastAsia="zh-CN"/>
        </w:rPr>
        <w:t>1383.34</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44.24</w:t>
      </w:r>
      <w:r>
        <w:rPr>
          <w:rFonts w:ascii="Times New Roman" w:hAnsi="Times New Roman" w:eastAsia="仿宋_GB2312" w:cs="Times New Roman"/>
          <w:color w:val="auto"/>
          <w:sz w:val="32"/>
          <w:szCs w:val="32"/>
        </w:rPr>
        <w:t>%；事业收入</w:t>
      </w:r>
      <w:r>
        <w:rPr>
          <w:rFonts w:hint="eastAsia" w:ascii="Times New Roman" w:hAnsi="Times New Roman" w:eastAsia="仿宋_GB2312" w:cs="Times New Roman"/>
          <w:color w:val="auto"/>
          <w:sz w:val="32"/>
          <w:szCs w:val="32"/>
          <w:lang w:val="en-US" w:eastAsia="zh-CN"/>
        </w:rPr>
        <w:t>1743.35</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55.76</w:t>
      </w:r>
      <w:r>
        <w:rPr>
          <w:rFonts w:ascii="Times New Roman" w:hAnsi="Times New Roman" w:eastAsia="仿宋_GB2312" w:cs="Times New Roman"/>
          <w:color w:val="auto"/>
          <w:sz w:val="32"/>
          <w:szCs w:val="32"/>
        </w:rPr>
        <w:t>%。</w:t>
      </w:r>
    </w:p>
    <w:p w14:paraId="58317606">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三、支出决算情况说明</w:t>
      </w:r>
    </w:p>
    <w:p w14:paraId="2AC059AB">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2024年度支出合计</w:t>
      </w:r>
      <w:r>
        <w:rPr>
          <w:rFonts w:hint="eastAsia" w:ascii="Times New Roman" w:hAnsi="Times New Roman" w:eastAsia="仿宋_GB2312" w:cs="Times New Roman"/>
          <w:color w:val="auto"/>
          <w:sz w:val="32"/>
          <w:szCs w:val="32"/>
          <w:lang w:val="en-US" w:eastAsia="zh-CN"/>
        </w:rPr>
        <w:t>3126.69</w:t>
      </w:r>
      <w:r>
        <w:rPr>
          <w:rFonts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lang w:val="en-US" w:eastAsia="zh-CN"/>
        </w:rPr>
        <w:t>2379.29</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76.10</w:t>
      </w:r>
      <w:r>
        <w:rPr>
          <w:rFonts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747.4</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23.90</w:t>
      </w:r>
      <w:r>
        <w:rPr>
          <w:rFonts w:ascii="Times New Roman" w:hAnsi="Times New Roman" w:eastAsia="仿宋_GB2312" w:cs="Times New Roman"/>
          <w:color w:val="auto"/>
          <w:sz w:val="32"/>
          <w:szCs w:val="32"/>
        </w:rPr>
        <w:t>%。</w:t>
      </w:r>
    </w:p>
    <w:p w14:paraId="1E4AB76B">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四、财政拨款收入支出决算总体情况说明</w:t>
      </w:r>
    </w:p>
    <w:p w14:paraId="32D4AE2B">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2024年度财政拨款收、支总计</w:t>
      </w:r>
      <w:r>
        <w:rPr>
          <w:rFonts w:hint="eastAsia" w:ascii="Times New Roman" w:hAnsi="Times New Roman" w:eastAsia="仿宋_GB2312" w:cs="Times New Roman"/>
          <w:color w:val="auto"/>
          <w:sz w:val="32"/>
          <w:szCs w:val="32"/>
          <w:lang w:val="en-US" w:eastAsia="zh-CN"/>
        </w:rPr>
        <w:t>1383.34</w:t>
      </w:r>
      <w:r>
        <w:rPr>
          <w:rFonts w:ascii="Times New Roman" w:hAnsi="Times New Roman" w:eastAsia="仿宋_GB2312" w:cs="Times New Roman"/>
          <w:color w:val="auto"/>
          <w:sz w:val="32"/>
          <w:szCs w:val="32"/>
        </w:rPr>
        <w:t>万元，与上年相比，增加</w:t>
      </w:r>
      <w:r>
        <w:rPr>
          <w:rFonts w:hint="eastAsia" w:ascii="Times New Roman" w:hAnsi="Times New Roman" w:eastAsia="仿宋_GB2312" w:cs="Times New Roman"/>
          <w:color w:val="auto"/>
          <w:sz w:val="32"/>
          <w:szCs w:val="32"/>
          <w:lang w:val="en-US" w:eastAsia="zh-CN"/>
        </w:rPr>
        <w:t>250.64</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lang w:val="en-US" w:eastAsia="zh-CN"/>
        </w:rPr>
        <w:t>22.13</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lang w:eastAsia="zh-CN"/>
        </w:rPr>
        <w:t>人员成本上升，医疗保险单位部分由财政拨付。</w:t>
      </w:r>
    </w:p>
    <w:p w14:paraId="19430B2F">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五、一般公共预算财政拨款支出决算情况说明</w:t>
      </w:r>
    </w:p>
    <w:p w14:paraId="2F25F306">
      <w:pPr>
        <w:pStyle w:val="12"/>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（一）一般公共预算财政拨款支出决算总体情况</w:t>
      </w:r>
    </w:p>
    <w:p w14:paraId="7324384F">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2024年度财政拨款支出</w:t>
      </w:r>
      <w:r>
        <w:rPr>
          <w:rFonts w:hint="eastAsia" w:ascii="Times New Roman" w:hAnsi="Times New Roman" w:eastAsia="仿宋_GB2312" w:cs="Times New Roman"/>
          <w:color w:val="auto"/>
          <w:sz w:val="32"/>
          <w:szCs w:val="32"/>
          <w:lang w:val="en-US" w:eastAsia="zh-CN"/>
        </w:rPr>
        <w:t>1383.34</w:t>
      </w:r>
      <w:r>
        <w:rPr>
          <w:rFonts w:ascii="Times New Roman" w:hAnsi="Times New Roman" w:eastAsia="仿宋_GB2312" w:cs="Times New Roman"/>
          <w:color w:val="auto"/>
          <w:sz w:val="32"/>
          <w:szCs w:val="32"/>
        </w:rPr>
        <w:t>万元，占本年支出合计的</w:t>
      </w:r>
      <w:r>
        <w:rPr>
          <w:rFonts w:hint="eastAsia" w:ascii="Times New Roman" w:hAnsi="Times New Roman" w:eastAsia="仿宋_GB2312" w:cs="Times New Roman"/>
          <w:color w:val="auto"/>
          <w:sz w:val="32"/>
          <w:szCs w:val="32"/>
          <w:lang w:val="en-US" w:eastAsia="zh-CN"/>
        </w:rPr>
        <w:t>44.24</w:t>
      </w:r>
      <w:r>
        <w:rPr>
          <w:rFonts w:ascii="Times New Roman" w:hAnsi="Times New Roman" w:eastAsia="仿宋_GB2312" w:cs="Times New Roman"/>
          <w:color w:val="auto"/>
          <w:sz w:val="32"/>
          <w:szCs w:val="32"/>
        </w:rPr>
        <w:t>%，与上年相比，财政拨款支出增加</w:t>
      </w:r>
      <w:r>
        <w:rPr>
          <w:rFonts w:hint="eastAsia" w:ascii="Times New Roman" w:hAnsi="Times New Roman" w:eastAsia="仿宋_GB2312" w:cs="Times New Roman"/>
          <w:color w:val="auto"/>
          <w:sz w:val="32"/>
          <w:szCs w:val="32"/>
          <w:lang w:val="en-US" w:eastAsia="zh-CN"/>
        </w:rPr>
        <w:t>250.64</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lang w:val="en-US" w:eastAsia="zh-CN"/>
        </w:rPr>
        <w:t>22.13</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lang w:eastAsia="zh-CN"/>
        </w:rPr>
        <w:t>人员成本上升，医疗保险单位部分由财政拨付。</w:t>
      </w:r>
    </w:p>
    <w:p w14:paraId="7F226260">
      <w:pPr>
        <w:pStyle w:val="12"/>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（二）一般公共预算财政拨款支出决算结构情况</w:t>
      </w:r>
    </w:p>
    <w:p w14:paraId="6135E197">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2024年度财政拨款支出</w:t>
      </w:r>
      <w:r>
        <w:rPr>
          <w:rFonts w:hint="eastAsia" w:ascii="Times New Roman" w:hAnsi="Times New Roman" w:eastAsia="仿宋_GB2312" w:cs="Times New Roman"/>
          <w:color w:val="auto"/>
          <w:sz w:val="32"/>
          <w:szCs w:val="32"/>
          <w:lang w:val="en-US" w:eastAsia="zh-CN"/>
        </w:rPr>
        <w:t>1383.34</w:t>
      </w:r>
      <w:r>
        <w:rPr>
          <w:rFonts w:ascii="Times New Roman" w:hAnsi="Times New Roman" w:eastAsia="仿宋_GB2312" w:cs="Times New Roman"/>
          <w:color w:val="auto"/>
          <w:sz w:val="32"/>
          <w:szCs w:val="32"/>
        </w:rPr>
        <w:t>万元，主要用于以下方面：</w:t>
      </w:r>
      <w:r>
        <w:rPr>
          <w:rFonts w:hint="eastAsia" w:ascii="Times New Roman" w:hAnsi="Times New Roman" w:eastAsia="仿宋_GB2312" w:cs="Times New Roman"/>
          <w:color w:val="auto"/>
          <w:sz w:val="32"/>
          <w:szCs w:val="32"/>
          <w:lang w:eastAsia="zh-CN"/>
        </w:rPr>
        <w:t>社会保障和就业</w:t>
      </w:r>
      <w:r>
        <w:rPr>
          <w:rFonts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lang w:val="en-US" w:eastAsia="zh-CN"/>
        </w:rPr>
        <w:t>108.53</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7.85</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卫生健康</w:t>
      </w:r>
      <w:r>
        <w:rPr>
          <w:rFonts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lang w:val="en-US" w:eastAsia="zh-CN"/>
        </w:rPr>
        <w:t>1274.82</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92.15</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4920A3C8">
      <w:pPr>
        <w:pStyle w:val="12"/>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（三）一般公共预算财政拨款支出决算具体情况</w:t>
      </w:r>
    </w:p>
    <w:p w14:paraId="7993E45B">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2024年度财政拨款支出年初预算数为</w:t>
      </w:r>
      <w:r>
        <w:rPr>
          <w:rFonts w:hint="eastAsia" w:ascii="Times New Roman" w:hAnsi="Times New Roman" w:eastAsia="仿宋_GB2312" w:cs="Times New Roman"/>
          <w:color w:val="auto"/>
          <w:sz w:val="32"/>
          <w:szCs w:val="32"/>
          <w:lang w:val="en-US" w:eastAsia="zh-CN"/>
        </w:rPr>
        <w:t>1659.09</w:t>
      </w:r>
      <w:r>
        <w:rPr>
          <w:rFonts w:ascii="Times New Roman" w:hAnsi="Times New Roman" w:eastAsia="仿宋_GB2312" w:cs="Times New Roman"/>
          <w:color w:val="auto"/>
          <w:sz w:val="32"/>
          <w:szCs w:val="32"/>
        </w:rPr>
        <w:t>万元，支出决算数为</w:t>
      </w:r>
      <w:r>
        <w:rPr>
          <w:rFonts w:hint="eastAsia" w:ascii="Times New Roman" w:hAnsi="Times New Roman" w:eastAsia="仿宋_GB2312" w:cs="Times New Roman"/>
          <w:color w:val="auto"/>
          <w:sz w:val="32"/>
          <w:szCs w:val="32"/>
          <w:lang w:val="en-US" w:eastAsia="zh-CN"/>
        </w:rPr>
        <w:t>1383.34</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83.38</w:t>
      </w:r>
      <w:r>
        <w:rPr>
          <w:rFonts w:ascii="Times New Roman" w:hAnsi="Times New Roman" w:eastAsia="仿宋_GB2312" w:cs="Times New Roman"/>
          <w:color w:val="auto"/>
          <w:sz w:val="32"/>
          <w:szCs w:val="32"/>
        </w:rPr>
        <w:t>%，其中：</w:t>
      </w:r>
    </w:p>
    <w:p w14:paraId="524DFCCC">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社会保障和就业支出</w:t>
      </w:r>
      <w:r>
        <w:rPr>
          <w:rFonts w:hint="eastAsia" w:ascii="Times New Roman" w:hAnsi="Times New Roman" w:eastAsia="仿宋_GB2312" w:cs="Times New Roman"/>
          <w:color w:val="auto"/>
          <w:sz w:val="32"/>
          <w:szCs w:val="32"/>
          <w:lang w:val="en-US" w:eastAsia="zh-CN"/>
        </w:rPr>
        <w:t>208（类）行政事业单位养老支出20805（款）机关事业单位基本养老保险缴费支出2080505（项）</w:t>
      </w:r>
      <w:r>
        <w:rPr>
          <w:rFonts w:ascii="Times New Roman" w:hAnsi="Times New Roman" w:eastAsia="仿宋_GB2312" w:cs="Times New Roman"/>
          <w:color w:val="auto"/>
          <w:sz w:val="32"/>
          <w:szCs w:val="32"/>
        </w:rPr>
        <w:t>。</w:t>
      </w:r>
    </w:p>
    <w:p w14:paraId="667A0FFB">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66.85</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67.31</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100.69</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015D6529">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社会保障和就业支出</w:t>
      </w:r>
      <w:r>
        <w:rPr>
          <w:rFonts w:hint="eastAsia" w:ascii="Times New Roman" w:hAnsi="Times New Roman" w:eastAsia="仿宋_GB2312" w:cs="Times New Roman"/>
          <w:color w:val="auto"/>
          <w:sz w:val="32"/>
          <w:szCs w:val="32"/>
          <w:lang w:val="en-US" w:eastAsia="zh-CN"/>
        </w:rPr>
        <w:t>208（类）行政事业单位养老支出20805（款）其他行政事业单位养老支出2080599（项）</w:t>
      </w:r>
      <w:r>
        <w:rPr>
          <w:rFonts w:ascii="Times New Roman" w:hAnsi="Times New Roman" w:eastAsia="仿宋_GB2312" w:cs="Times New Roman"/>
          <w:color w:val="auto"/>
          <w:sz w:val="32"/>
          <w:szCs w:val="32"/>
        </w:rPr>
        <w:t>。</w:t>
      </w:r>
    </w:p>
    <w:p w14:paraId="35CDF645">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16.55</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p>
    <w:p w14:paraId="1C9F2E4C">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社会保障和就业支出</w:t>
      </w:r>
      <w:r>
        <w:rPr>
          <w:rFonts w:hint="eastAsia" w:ascii="Times New Roman" w:hAnsi="Times New Roman" w:eastAsia="仿宋_GB2312" w:cs="Times New Roman"/>
          <w:color w:val="auto"/>
          <w:sz w:val="32"/>
          <w:szCs w:val="32"/>
          <w:lang w:val="en-US" w:eastAsia="zh-CN"/>
        </w:rPr>
        <w:t>208（类）抚恤20808（款）死亡抚恤2080801（项）</w:t>
      </w:r>
      <w:r>
        <w:rPr>
          <w:rFonts w:ascii="Times New Roman" w:hAnsi="Times New Roman" w:eastAsia="仿宋_GB2312" w:cs="Times New Roman"/>
          <w:color w:val="auto"/>
          <w:sz w:val="32"/>
          <w:szCs w:val="32"/>
        </w:rPr>
        <w:t>。</w:t>
      </w:r>
    </w:p>
    <w:p w14:paraId="604454DF">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24.67</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p>
    <w:p w14:paraId="5D4135F5">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卫生健康支出</w:t>
      </w:r>
      <w:r>
        <w:rPr>
          <w:rFonts w:hint="eastAsia" w:ascii="Times New Roman" w:hAnsi="Times New Roman" w:eastAsia="仿宋_GB2312" w:cs="Times New Roman"/>
          <w:color w:val="auto"/>
          <w:sz w:val="32"/>
          <w:szCs w:val="32"/>
          <w:lang w:val="en-US" w:eastAsia="zh-CN"/>
        </w:rPr>
        <w:t>210（类）基层医疗卫生机构21003（款）乡镇卫生院2100302（项）</w:t>
      </w:r>
      <w:r>
        <w:rPr>
          <w:rFonts w:ascii="Times New Roman" w:hAnsi="Times New Roman" w:eastAsia="仿宋_GB2312" w:cs="Times New Roman"/>
          <w:color w:val="auto"/>
          <w:sz w:val="32"/>
          <w:szCs w:val="32"/>
        </w:rPr>
        <w:t>。</w:t>
      </w:r>
    </w:p>
    <w:p w14:paraId="28E8CED6">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613.82</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478.71</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77.99</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7F2EB58F">
      <w:pPr>
        <w:pStyle w:val="12"/>
        <w:overflowPunct w:val="0"/>
        <w:autoSpaceDE/>
        <w:autoSpaceDN/>
        <w:spacing w:line="600" w:lineRule="exact"/>
        <w:ind w:firstLine="640" w:firstLineChars="200"/>
        <w:jc w:val="both"/>
        <w:rPr>
          <w:rFonts w:hint="default" w:ascii="Times New Roman" w:hAnsi="Times New Roman" w:eastAsia="仿宋_GB2312" w:cs="Times New Roman"/>
          <w:color w:val="auto"/>
          <w:sz w:val="32"/>
          <w:szCs w:val="32"/>
          <w:lang w:val="en-US"/>
        </w:rPr>
      </w:pPr>
      <w:r>
        <w:rPr>
          <w:rFonts w:hint="eastAsia" w:ascii="Times New Roman" w:hAnsi="Times New Roman" w:eastAsia="仿宋_GB2312" w:cs="Times New Roman"/>
          <w:color w:val="auto"/>
          <w:sz w:val="32"/>
          <w:szCs w:val="32"/>
          <w:lang w:val="en-US" w:eastAsia="zh-CN"/>
        </w:rPr>
        <w:t>5</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卫生健康支出</w:t>
      </w:r>
      <w:r>
        <w:rPr>
          <w:rFonts w:hint="eastAsia" w:ascii="Times New Roman" w:hAnsi="Times New Roman" w:eastAsia="仿宋_GB2312" w:cs="Times New Roman"/>
          <w:color w:val="auto"/>
          <w:sz w:val="32"/>
          <w:szCs w:val="32"/>
          <w:lang w:val="en-US" w:eastAsia="zh-CN"/>
        </w:rPr>
        <w:t>210（类）基层医疗卫生机构21003（款）其他基层医疗卫生机构支出2100399（项）</w:t>
      </w:r>
    </w:p>
    <w:p w14:paraId="6F745235">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127.4</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103.53</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81.26</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536DC6A0">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6</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卫生健康支出</w:t>
      </w:r>
      <w:r>
        <w:rPr>
          <w:rFonts w:hint="eastAsia" w:ascii="Times New Roman" w:hAnsi="Times New Roman" w:eastAsia="仿宋_GB2312" w:cs="Times New Roman"/>
          <w:color w:val="auto"/>
          <w:sz w:val="32"/>
          <w:szCs w:val="32"/>
          <w:lang w:val="en-US" w:eastAsia="zh-CN"/>
        </w:rPr>
        <w:t>210（类）公共卫生21004（款）基本公共卫生服务2100408（项）</w:t>
      </w:r>
      <w:r>
        <w:rPr>
          <w:rFonts w:ascii="Times New Roman" w:hAnsi="Times New Roman" w:eastAsia="仿宋_GB2312" w:cs="Times New Roman"/>
          <w:color w:val="auto"/>
          <w:sz w:val="32"/>
          <w:szCs w:val="32"/>
        </w:rPr>
        <w:t>。</w:t>
      </w:r>
    </w:p>
    <w:p w14:paraId="06A605BC">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780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667.56</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85.58</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4BE72284">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7</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卫生健康支出</w:t>
      </w:r>
      <w:r>
        <w:rPr>
          <w:rFonts w:hint="eastAsia" w:ascii="Times New Roman" w:hAnsi="Times New Roman" w:eastAsia="仿宋_GB2312" w:cs="Times New Roman"/>
          <w:color w:val="auto"/>
          <w:sz w:val="32"/>
          <w:szCs w:val="32"/>
          <w:lang w:val="en-US" w:eastAsia="zh-CN"/>
        </w:rPr>
        <w:t>210（类）行政事业单位医疗21011（款）事业单位医疗2101102（项）</w:t>
      </w:r>
      <w:r>
        <w:rPr>
          <w:rFonts w:ascii="Times New Roman" w:hAnsi="Times New Roman" w:eastAsia="仿宋_GB2312" w:cs="Times New Roman"/>
          <w:color w:val="auto"/>
          <w:sz w:val="32"/>
          <w:szCs w:val="32"/>
        </w:rPr>
        <w:t>。</w:t>
      </w:r>
    </w:p>
    <w:p w14:paraId="4B678EB5">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20.89</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25.01</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119.72</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6A26F33C">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8</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住房保障支出</w:t>
      </w:r>
      <w:r>
        <w:rPr>
          <w:rFonts w:hint="eastAsia" w:ascii="Times New Roman" w:hAnsi="Times New Roman" w:eastAsia="仿宋_GB2312" w:cs="Times New Roman"/>
          <w:color w:val="auto"/>
          <w:sz w:val="32"/>
          <w:szCs w:val="32"/>
          <w:lang w:val="en-US" w:eastAsia="zh-CN"/>
        </w:rPr>
        <w:t>221（类）住房改革支出22102（款）住房公积金2210201（项）</w:t>
      </w:r>
      <w:r>
        <w:rPr>
          <w:rFonts w:ascii="Times New Roman" w:hAnsi="Times New Roman" w:eastAsia="仿宋_GB2312" w:cs="Times New Roman"/>
          <w:color w:val="auto"/>
          <w:sz w:val="32"/>
          <w:szCs w:val="32"/>
        </w:rPr>
        <w:t>。</w:t>
      </w:r>
    </w:p>
    <w:p w14:paraId="33AEB8BB">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50.13</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5CC97585">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六、一般公共预算财政拨款基本支出决算情况说明</w:t>
      </w:r>
    </w:p>
    <w:p w14:paraId="47E0A683">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2024年度一般公共预算财政拨款基本支出</w:t>
      </w:r>
      <w:r>
        <w:rPr>
          <w:rFonts w:hint="eastAsia" w:ascii="Times New Roman" w:hAnsi="Times New Roman" w:eastAsia="仿宋_GB2312" w:cs="Times New Roman"/>
          <w:color w:val="auto"/>
          <w:sz w:val="32"/>
          <w:szCs w:val="32"/>
          <w:lang w:val="en-US" w:eastAsia="zh-CN"/>
        </w:rPr>
        <w:t>635.94</w:t>
      </w:r>
      <w:r>
        <w:rPr>
          <w:rFonts w:ascii="Times New Roman" w:hAnsi="Times New Roman" w:eastAsia="仿宋_GB2312" w:cs="Times New Roman"/>
          <w:color w:val="auto"/>
          <w:sz w:val="32"/>
          <w:szCs w:val="32"/>
        </w:rPr>
        <w:t>万元，其中：</w:t>
      </w:r>
    </w:p>
    <w:p w14:paraId="66B95B3A">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人员经费</w:t>
      </w:r>
      <w:r>
        <w:rPr>
          <w:rFonts w:hint="eastAsia" w:ascii="Times New Roman" w:hAnsi="Times New Roman" w:eastAsia="仿宋_GB2312" w:cs="Times New Roman"/>
          <w:color w:val="auto"/>
          <w:sz w:val="32"/>
          <w:szCs w:val="32"/>
          <w:lang w:val="en-US" w:eastAsia="zh-CN"/>
        </w:rPr>
        <w:t>635.94</w:t>
      </w:r>
      <w:r>
        <w:rPr>
          <w:rFonts w:ascii="Times New Roman" w:hAnsi="Times New Roman" w:eastAsia="仿宋_GB2312" w:cs="Times New Roman"/>
          <w:color w:val="auto"/>
          <w:sz w:val="32"/>
          <w:szCs w:val="32"/>
        </w:rPr>
        <w:t>万元，占基本支出的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%,主要包括基本工资、津贴补贴、</w:t>
      </w:r>
      <w:r>
        <w:rPr>
          <w:rFonts w:hint="eastAsia" w:ascii="Times New Roman" w:hAnsi="Times New Roman" w:eastAsia="仿宋_GB2312" w:cs="Times New Roman"/>
          <w:color w:val="auto"/>
          <w:sz w:val="32"/>
          <w:szCs w:val="32"/>
          <w:lang w:eastAsia="zh-CN"/>
        </w:rPr>
        <w:t>绩效工资、机关事业单位基本养老保险缴费、职业年金缴费、职工基本医疗保险缴费、其他社会保障缴费、其他工资福利支出、抚恤金、生活补助</w:t>
      </w:r>
      <w:r>
        <w:rPr>
          <w:rFonts w:ascii="Times New Roman" w:hAnsi="Times New Roman" w:eastAsia="仿宋_GB2312" w:cs="Times New Roman"/>
          <w:color w:val="auto"/>
          <w:sz w:val="32"/>
          <w:szCs w:val="32"/>
        </w:rPr>
        <w:t>。</w:t>
      </w:r>
    </w:p>
    <w:p w14:paraId="3C8E9C0A">
      <w:pPr>
        <w:pStyle w:val="12"/>
        <w:overflowPunct w:val="0"/>
        <w:autoSpaceDE/>
        <w:autoSpaceDN/>
        <w:spacing w:line="600" w:lineRule="exact"/>
        <w:ind w:firstLine="640" w:firstLineChars="200"/>
        <w:jc w:val="both"/>
        <w:rPr>
          <w:rFonts w:ascii="Times New Roman" w:hAnsi="Times New Roman" w:eastAsia="仿宋_GB2312" w:cs="Times New Roman"/>
          <w:b/>
          <w:color w:val="auto"/>
          <w:sz w:val="32"/>
          <w:szCs w:val="32"/>
        </w:rPr>
      </w:pPr>
      <w:r>
        <w:rPr>
          <w:rFonts w:ascii="Times New Roman" w:hAnsi="Times New Roman" w:eastAsia="仿宋_GB2312" w:cs="Times New Roman"/>
          <w:b/>
          <w:bCs/>
          <w:color w:val="auto"/>
          <w:sz w:val="32"/>
          <w:szCs w:val="32"/>
        </w:rPr>
        <w:t>公用经费</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万元，占基本支出的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6B3ECE63">
      <w:pPr>
        <w:pStyle w:val="12"/>
        <w:overflowPunct w:val="0"/>
        <w:autoSpaceDE/>
        <w:autoSpaceDN/>
        <w:spacing w:line="600" w:lineRule="exact"/>
        <w:ind w:firstLine="640" w:firstLineChars="200"/>
        <w:jc w:val="both"/>
        <w:rPr>
          <w:rFonts w:ascii="Times New Roman" w:hAnsi="Times New Roman" w:eastAsia="仿宋_GB2312" w:cs="Times New Roman"/>
          <w:b/>
          <w:color w:val="auto"/>
          <w:sz w:val="32"/>
          <w:szCs w:val="32"/>
        </w:rPr>
      </w:pPr>
      <w:r>
        <w:rPr>
          <w:rFonts w:ascii="Times New Roman" w:hAnsi="Times New Roman" w:cs="Times New Roman"/>
          <w:bCs/>
          <w:color w:val="auto"/>
          <w:sz w:val="32"/>
          <w:szCs w:val="32"/>
        </w:rPr>
        <w:t>七、财政拨款“三公”经费支出决算情况说明</w:t>
      </w:r>
    </w:p>
    <w:p w14:paraId="30966DE6">
      <w:pPr>
        <w:pStyle w:val="12"/>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（一）“三公”经费财政拨款支出决算总体情况说明</w:t>
      </w:r>
    </w:p>
    <w:p w14:paraId="6FEA9B6B">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highlight w:val="yellow"/>
        </w:rPr>
      </w:pPr>
      <w:r>
        <w:rPr>
          <w:rFonts w:ascii="Times New Roman" w:hAnsi="Times New Roman" w:eastAsia="仿宋_GB2312" w:cs="Times New Roman"/>
          <w:color w:val="auto"/>
          <w:sz w:val="32"/>
          <w:szCs w:val="32"/>
        </w:rPr>
        <w:t>2024年度“三公”经费财政拨款支出预算为</w:t>
      </w:r>
      <w:r>
        <w:rPr>
          <w:rFonts w:hint="eastAsia" w:ascii="Times New Roman" w:hAnsi="Times New Roman" w:eastAsia="仿宋_GB2312" w:cs="Times New Roman"/>
          <w:color w:val="auto"/>
          <w:sz w:val="32"/>
          <w:szCs w:val="32"/>
          <w:lang w:val="en-US" w:eastAsia="zh-CN"/>
        </w:rPr>
        <w:t>0.36</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0.33</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91.67</w:t>
      </w:r>
      <w:r>
        <w:rPr>
          <w:rFonts w:ascii="Times New Roman" w:hAnsi="Times New Roman" w:eastAsia="仿宋_GB2312" w:cs="Times New Roman"/>
          <w:color w:val="auto"/>
          <w:sz w:val="32"/>
          <w:szCs w:val="32"/>
        </w:rPr>
        <w:t>%；与上年相比减少</w:t>
      </w:r>
      <w:r>
        <w:rPr>
          <w:rFonts w:hint="eastAsia" w:ascii="Times New Roman" w:hAnsi="Times New Roman" w:eastAsia="仿宋_GB2312" w:cs="Times New Roman"/>
          <w:color w:val="auto"/>
          <w:sz w:val="32"/>
          <w:szCs w:val="32"/>
          <w:lang w:val="en-US" w:eastAsia="zh-CN"/>
        </w:rPr>
        <w:t>0.02</w:t>
      </w:r>
      <w:r>
        <w:rPr>
          <w:rFonts w:ascii="Times New Roman" w:hAnsi="Times New Roman" w:eastAsia="仿宋_GB2312" w:cs="Times New Roman"/>
          <w:color w:val="auto"/>
          <w:sz w:val="32"/>
          <w:szCs w:val="32"/>
        </w:rPr>
        <w:t>万元，降低</w:t>
      </w:r>
      <w:r>
        <w:rPr>
          <w:rFonts w:hint="eastAsia" w:ascii="Times New Roman" w:hAnsi="Times New Roman" w:eastAsia="仿宋_GB2312" w:cs="Times New Roman"/>
          <w:color w:val="auto"/>
          <w:sz w:val="32"/>
          <w:szCs w:val="32"/>
          <w:lang w:val="en-US" w:eastAsia="zh-CN"/>
        </w:rPr>
        <w:t>5.71</w:t>
      </w:r>
      <w:r>
        <w:rPr>
          <w:rFonts w:ascii="Times New Roman" w:hAnsi="Times New Roman" w:eastAsia="仿宋_GB2312" w:cs="Times New Roman"/>
          <w:color w:val="auto"/>
          <w:sz w:val="32"/>
          <w:szCs w:val="32"/>
        </w:rPr>
        <w:t>%。决算数小于预算数的主要原因是</w:t>
      </w:r>
      <w:r>
        <w:rPr>
          <w:rFonts w:hint="eastAsia" w:ascii="Times New Roman" w:hAnsi="Times New Roman" w:eastAsia="仿宋_GB2312" w:cs="Times New Roman"/>
          <w:color w:val="auto"/>
          <w:sz w:val="32"/>
          <w:szCs w:val="32"/>
        </w:rPr>
        <w:t>政策刚性约束，根据《湖南省2024年预算执行监管细则》，基层事业单位需按月报送“三公经费”执行情况，超进度支出将被约谈，倒逼卫生院主动压缩开支</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决算数小于上年数的主要原因是</w:t>
      </w:r>
      <w:r>
        <w:rPr>
          <w:rFonts w:hint="eastAsia" w:ascii="Times New Roman" w:hAnsi="Times New Roman" w:eastAsia="仿宋_GB2312" w:cs="Times New Roman"/>
          <w:color w:val="auto"/>
          <w:sz w:val="32"/>
          <w:szCs w:val="32"/>
        </w:rPr>
        <w:t>政策刚性约束</w:t>
      </w:r>
      <w:r>
        <w:rPr>
          <w:rFonts w:hint="eastAsia" w:ascii="Times New Roman" w:hAnsi="Times New Roman" w:eastAsia="仿宋_GB2312" w:cs="Times New Roman"/>
          <w:color w:val="auto"/>
          <w:sz w:val="32"/>
          <w:szCs w:val="32"/>
          <w:lang w:eastAsia="zh-CN"/>
        </w:rPr>
        <w:t>，湖南省2024年升级“三公经费”清理行动，明确要求基层单位公务支出“只降不增”。乡镇卫生院被纳入重点监控名单，超历史支出行为直接触发财政预警系统</w:t>
      </w:r>
      <w:r>
        <w:rPr>
          <w:rFonts w:ascii="Times New Roman" w:hAnsi="Times New Roman" w:eastAsia="仿宋_GB2312" w:cs="Times New Roman"/>
          <w:color w:val="auto"/>
          <w:sz w:val="32"/>
          <w:szCs w:val="32"/>
        </w:rPr>
        <w:t>。</w:t>
      </w:r>
    </w:p>
    <w:p w14:paraId="33CDAC30">
      <w:pPr>
        <w:pStyle w:val="12"/>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（二）“三公”经费财政拨款支出决算具体情况说明</w:t>
      </w:r>
    </w:p>
    <w:p w14:paraId="74C2BDD5">
      <w:pPr>
        <w:pStyle w:val="12"/>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color w:val="auto"/>
          <w:sz w:val="32"/>
          <w:szCs w:val="32"/>
        </w:rPr>
        <w:t>1.因公出国（境）费支出预算为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67AFDC31">
      <w:pPr>
        <w:pStyle w:val="12"/>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color w:val="auto"/>
          <w:sz w:val="32"/>
          <w:szCs w:val="32"/>
        </w:rPr>
        <w:t>2.公务用车购置费及运行维护费支出预算为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433489A7">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3.公务接待费支出预算为</w:t>
      </w:r>
      <w:r>
        <w:rPr>
          <w:rFonts w:hint="eastAsia" w:ascii="Times New Roman" w:hAnsi="Times New Roman" w:eastAsia="仿宋_GB2312" w:cs="Times New Roman"/>
          <w:color w:val="auto"/>
          <w:sz w:val="32"/>
          <w:szCs w:val="32"/>
          <w:lang w:val="en-US" w:eastAsia="zh-CN"/>
        </w:rPr>
        <w:t>0.36</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0.33</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91.67</w:t>
      </w:r>
      <w:r>
        <w:rPr>
          <w:rFonts w:ascii="Times New Roman" w:hAnsi="Times New Roman" w:eastAsia="仿宋_GB2312" w:cs="Times New Roman"/>
          <w:color w:val="auto"/>
          <w:sz w:val="32"/>
          <w:szCs w:val="32"/>
        </w:rPr>
        <w:t>%；与上年相比减少</w:t>
      </w:r>
      <w:r>
        <w:rPr>
          <w:rFonts w:hint="eastAsia" w:ascii="Times New Roman" w:hAnsi="Times New Roman" w:eastAsia="仿宋_GB2312" w:cs="Times New Roman"/>
          <w:color w:val="auto"/>
          <w:sz w:val="32"/>
          <w:szCs w:val="32"/>
          <w:lang w:val="en-US" w:eastAsia="zh-CN"/>
        </w:rPr>
        <w:t>0.02</w:t>
      </w:r>
      <w:r>
        <w:rPr>
          <w:rFonts w:ascii="Times New Roman" w:hAnsi="Times New Roman" w:eastAsia="仿宋_GB2312" w:cs="Times New Roman"/>
          <w:color w:val="auto"/>
          <w:sz w:val="32"/>
          <w:szCs w:val="32"/>
        </w:rPr>
        <w:t>万元，降低</w:t>
      </w:r>
      <w:r>
        <w:rPr>
          <w:rFonts w:hint="eastAsia" w:ascii="Times New Roman" w:hAnsi="Times New Roman" w:eastAsia="仿宋_GB2312" w:cs="Times New Roman"/>
          <w:color w:val="auto"/>
          <w:sz w:val="32"/>
          <w:szCs w:val="32"/>
          <w:lang w:val="en-US" w:eastAsia="zh-CN"/>
        </w:rPr>
        <w:t>5.71</w:t>
      </w:r>
      <w:r>
        <w:rPr>
          <w:rFonts w:ascii="Times New Roman" w:hAnsi="Times New Roman" w:eastAsia="仿宋_GB2312" w:cs="Times New Roman"/>
          <w:color w:val="auto"/>
          <w:sz w:val="32"/>
          <w:szCs w:val="32"/>
        </w:rPr>
        <w:t>%。决算数小于预算数的主要原因是</w:t>
      </w:r>
      <w:r>
        <w:rPr>
          <w:rFonts w:hint="eastAsia" w:ascii="Times New Roman" w:hAnsi="Times New Roman" w:eastAsia="仿宋_GB2312" w:cs="Times New Roman"/>
          <w:color w:val="auto"/>
          <w:sz w:val="32"/>
          <w:szCs w:val="32"/>
        </w:rPr>
        <w:t>政策刚性约束，根据《湖南省2024年预算执行监管细则》，基层事业单位需按月报送“三公经费”执行情况，超进度支出将被约谈，倒逼卫生院主动压缩开支</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决算数小于上年数的主要原因是</w:t>
      </w:r>
      <w:r>
        <w:rPr>
          <w:rFonts w:hint="eastAsia" w:ascii="Times New Roman" w:hAnsi="Times New Roman" w:eastAsia="仿宋_GB2312" w:cs="Times New Roman"/>
          <w:color w:val="auto"/>
          <w:sz w:val="32"/>
          <w:szCs w:val="32"/>
        </w:rPr>
        <w:t>政策刚性约束</w:t>
      </w:r>
      <w:r>
        <w:rPr>
          <w:rFonts w:hint="eastAsia" w:ascii="Times New Roman" w:hAnsi="Times New Roman" w:eastAsia="仿宋_GB2312" w:cs="Times New Roman"/>
          <w:color w:val="auto"/>
          <w:sz w:val="32"/>
          <w:szCs w:val="32"/>
          <w:lang w:eastAsia="zh-CN"/>
        </w:rPr>
        <w:t>，湖南省2024年升级“三公经费”清理行动，明确要求基层单位公务支出“只降不增”。乡镇卫生院被纳入重点监控名单，超历史支出行为直接触发财政预警系统</w:t>
      </w:r>
      <w:r>
        <w:rPr>
          <w:rFonts w:ascii="Times New Roman" w:hAnsi="Times New Roman" w:eastAsia="仿宋_GB2312" w:cs="Times New Roman"/>
          <w:color w:val="auto"/>
          <w:sz w:val="32"/>
          <w:szCs w:val="32"/>
        </w:rPr>
        <w:t>。</w:t>
      </w:r>
    </w:p>
    <w:p w14:paraId="6BAB5E9B">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八、政府性基金预算收入支出决算情况</w:t>
      </w:r>
    </w:p>
    <w:p w14:paraId="39384933">
      <w:pPr>
        <w:pStyle w:val="12"/>
        <w:overflowPunct w:val="0"/>
        <w:autoSpaceDE/>
        <w:autoSpaceDN/>
        <w:spacing w:line="600" w:lineRule="exact"/>
        <w:ind w:firstLine="640" w:firstLineChars="200"/>
        <w:jc w:val="both"/>
        <w:rPr>
          <w:rFonts w:ascii="Times New Roman" w:hAnsi="Times New Roman" w:eastAsia="仿宋_GB2312" w:cs="Times New Roman"/>
          <w:b w:val="0"/>
          <w:bCs w:val="0"/>
          <w:i w:val="0"/>
          <w:iCs/>
          <w:color w:val="auto"/>
          <w:sz w:val="32"/>
          <w:szCs w:val="32"/>
        </w:rPr>
      </w:pPr>
      <w:r>
        <w:rPr>
          <w:rFonts w:ascii="Times New Roman" w:hAnsi="Times New Roman" w:eastAsia="楷体_GB2312" w:cs="Times New Roman"/>
          <w:b w:val="0"/>
          <w:bCs w:val="0"/>
          <w:i w:val="0"/>
          <w:iCs/>
          <w:color w:val="auto"/>
          <w:sz w:val="32"/>
          <w:szCs w:val="32"/>
        </w:rPr>
        <w:t>本单位无政府性基金收支</w:t>
      </w:r>
    </w:p>
    <w:p w14:paraId="54579D26">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九、关于机关运行经费支出说明</w:t>
      </w:r>
    </w:p>
    <w:p w14:paraId="2876FB28">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本部门2024年度机关运行经费支出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，与</w:t>
      </w:r>
      <w:r>
        <w:rPr>
          <w:rFonts w:ascii="Times New Roman" w:hAnsi="Times New Roman" w:eastAsia="仿宋_GB2312" w:cs="Times New Roman"/>
          <w:color w:val="auto"/>
          <w:sz w:val="32"/>
          <w:szCs w:val="32"/>
        </w:rPr>
        <w:t>年初预算数</w:t>
      </w:r>
      <w:r>
        <w:rPr>
          <w:rFonts w:hint="eastAsia" w:ascii="Times New Roman" w:hAnsi="Times New Roman" w:eastAsia="仿宋_GB2312" w:cs="Times New Roman"/>
          <w:color w:val="auto"/>
          <w:sz w:val="32"/>
          <w:szCs w:val="32"/>
          <w:lang w:eastAsia="zh-CN"/>
        </w:rPr>
        <w:t>持平。</w:t>
      </w:r>
      <w:r>
        <w:rPr>
          <w:rFonts w:ascii="Times New Roman" w:hAnsi="Times New Roman" w:eastAsia="仿宋_GB2312" w:cs="Times New Roman"/>
          <w:color w:val="auto"/>
          <w:sz w:val="32"/>
          <w:szCs w:val="32"/>
        </w:rPr>
        <w:t>主要原因是：</w:t>
      </w:r>
      <w:r>
        <w:rPr>
          <w:rFonts w:hint="eastAsia" w:ascii="Times New Roman" w:hAnsi="Times New Roman" w:eastAsia="仿宋_GB2312" w:cs="Times New Roman"/>
          <w:color w:val="auto"/>
          <w:sz w:val="32"/>
          <w:szCs w:val="32"/>
          <w:lang w:eastAsia="zh-CN"/>
        </w:rPr>
        <w:t>按照预算标准执行经费开支</w:t>
      </w:r>
      <w:r>
        <w:rPr>
          <w:rFonts w:ascii="Times New Roman" w:hAnsi="Times New Roman" w:eastAsia="仿宋_GB2312" w:cs="Times New Roman"/>
          <w:color w:val="auto"/>
          <w:sz w:val="32"/>
          <w:szCs w:val="32"/>
        </w:rPr>
        <w:t>。</w:t>
      </w:r>
    </w:p>
    <w:p w14:paraId="50091B58">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十、一般性支出情况说明</w:t>
      </w:r>
    </w:p>
    <w:p w14:paraId="7E515F7D">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color w:val="auto"/>
          <w:sz w:val="32"/>
          <w:szCs w:val="32"/>
        </w:rPr>
        <w:t>2024年本部门开支会议费</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万元，人数</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人；开支培训费</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人数</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人；举办节庆、晚会、论坛、赛事活动，开支</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p>
    <w:p w14:paraId="175D3191">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十一、关于政府采购支出说明</w:t>
      </w:r>
    </w:p>
    <w:p w14:paraId="6D4E58EC">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color w:val="auto"/>
          <w:sz w:val="32"/>
          <w:szCs w:val="32"/>
        </w:rPr>
        <w:t>本部门2024年度政府采购支出总额</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万元，其中：政府采购货物支出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万元、政府采购工程支出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万元、政府采购服务支出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万元。授予中小企业合同金额</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万元，占政府采购支出总额的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%，其中：授予小微企业合同金额</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万元，占授予中小企业合同金额的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2DFAF83A">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350B9B12">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w:t>
      </w:r>
      <w:r>
        <w:rPr>
          <w:rFonts w:hint="eastAsia" w:ascii="Times New Roman" w:hAnsi="Times New Roman" w:eastAsia="仿宋_GB2312" w:cs="Times New Roman"/>
          <w:color w:val="auto"/>
          <w:sz w:val="32"/>
          <w:szCs w:val="32"/>
          <w:lang w:eastAsia="zh-CN"/>
        </w:rPr>
        <w:t>（为救护车）</w:t>
      </w:r>
      <w:r>
        <w:rPr>
          <w:rFonts w:ascii="Times New Roman" w:hAnsi="Times New Roman" w:eastAsia="仿宋_GB2312" w:cs="Times New Roman"/>
          <w:color w:val="auto"/>
          <w:sz w:val="32"/>
          <w:szCs w:val="32"/>
        </w:rPr>
        <w:t>、离退休干部服务用车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0A1BA20F">
      <w:pPr>
        <w:pStyle w:val="12"/>
        <w:numPr>
          <w:ilvl w:val="0"/>
          <w:numId w:val="1"/>
        </w:numPr>
        <w:overflowPunct w:val="0"/>
        <w:autoSpaceDE/>
        <w:autoSpaceDN/>
        <w:spacing w:line="600" w:lineRule="exact"/>
        <w:ind w:firstLine="640" w:firstLineChars="200"/>
        <w:jc w:val="both"/>
        <w:rPr>
          <w:rFonts w:hint="default" w:ascii="Times New Roman" w:hAnsi="Times New Roman" w:eastAsia="黑体" w:cs="Times New Roman"/>
          <w:bCs/>
          <w:color w:val="auto"/>
          <w:sz w:val="32"/>
          <w:szCs w:val="32"/>
          <w:lang w:val="en-US" w:eastAsia="zh-CN"/>
        </w:rPr>
      </w:pP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7C67BE46">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详情见附件一</w:t>
      </w:r>
    </w:p>
    <w:p w14:paraId="136E0D4E">
      <w:pPr>
        <w:pStyle w:val="12"/>
        <w:jc w:val="center"/>
        <w:rPr>
          <w:rFonts w:ascii="Times New Roman" w:hAnsi="Times New Roman" w:cs="Times New Roman"/>
          <w:color w:val="auto"/>
          <w:sz w:val="72"/>
          <w:szCs w:val="72"/>
        </w:rPr>
      </w:pPr>
    </w:p>
    <w:p w14:paraId="24652685">
      <w:pPr>
        <w:pStyle w:val="12"/>
        <w:jc w:val="center"/>
        <w:rPr>
          <w:rFonts w:ascii="Times New Roman" w:hAnsi="Times New Roman" w:cs="Times New Roman"/>
          <w:color w:val="auto"/>
          <w:sz w:val="72"/>
          <w:szCs w:val="72"/>
        </w:rPr>
      </w:pPr>
    </w:p>
    <w:p w14:paraId="77E57702">
      <w:pPr>
        <w:pStyle w:val="12"/>
        <w:jc w:val="center"/>
        <w:rPr>
          <w:rFonts w:ascii="Times New Roman" w:hAnsi="Times New Roman" w:cs="Times New Roman"/>
          <w:color w:val="auto"/>
          <w:sz w:val="72"/>
          <w:szCs w:val="72"/>
        </w:rPr>
      </w:pPr>
    </w:p>
    <w:p w14:paraId="7FBDB1F8">
      <w:pPr>
        <w:pStyle w:val="12"/>
        <w:jc w:val="center"/>
        <w:rPr>
          <w:rFonts w:ascii="Times New Roman" w:hAnsi="Times New Roman" w:cs="Times New Roman"/>
          <w:color w:val="auto"/>
          <w:sz w:val="72"/>
          <w:szCs w:val="72"/>
        </w:rPr>
      </w:pPr>
    </w:p>
    <w:p w14:paraId="0CC4689A">
      <w:pPr>
        <w:pStyle w:val="12"/>
        <w:jc w:val="center"/>
        <w:rPr>
          <w:rFonts w:ascii="Times New Roman" w:hAnsi="Times New Roman" w:cs="Times New Roman"/>
          <w:color w:val="auto"/>
          <w:sz w:val="72"/>
          <w:szCs w:val="72"/>
        </w:rPr>
      </w:pPr>
    </w:p>
    <w:p w14:paraId="6467982C">
      <w:pPr>
        <w:pStyle w:val="12"/>
        <w:jc w:val="center"/>
        <w:rPr>
          <w:rFonts w:ascii="Times New Roman" w:hAnsi="Times New Roman" w:cs="Times New Roman"/>
          <w:color w:val="auto"/>
          <w:sz w:val="72"/>
          <w:szCs w:val="72"/>
        </w:rPr>
      </w:pPr>
    </w:p>
    <w:p w14:paraId="0789D5CA">
      <w:pPr>
        <w:pStyle w:val="12"/>
        <w:jc w:val="center"/>
        <w:rPr>
          <w:rFonts w:ascii="Times New Roman" w:hAnsi="Times New Roman" w:cs="Times New Roman"/>
          <w:color w:val="auto"/>
          <w:sz w:val="72"/>
          <w:szCs w:val="72"/>
        </w:rPr>
      </w:pPr>
    </w:p>
    <w:p w14:paraId="1199BE6A">
      <w:pPr>
        <w:pStyle w:val="12"/>
        <w:jc w:val="center"/>
        <w:rPr>
          <w:rFonts w:ascii="Times New Roman" w:hAnsi="Times New Roman" w:cs="Times New Roman"/>
          <w:color w:val="auto"/>
          <w:sz w:val="72"/>
          <w:szCs w:val="72"/>
        </w:rPr>
      </w:pPr>
    </w:p>
    <w:p w14:paraId="28B45BBB">
      <w:pPr>
        <w:pStyle w:val="12"/>
        <w:jc w:val="center"/>
        <w:rPr>
          <w:rFonts w:ascii="Times New Roman" w:hAnsi="Times New Roman" w:cs="Times New Roman"/>
          <w:color w:val="auto"/>
          <w:sz w:val="72"/>
          <w:szCs w:val="72"/>
        </w:rPr>
      </w:pPr>
    </w:p>
    <w:p w14:paraId="12B06566">
      <w:pPr>
        <w:pStyle w:val="12"/>
        <w:jc w:val="center"/>
        <w:rPr>
          <w:rFonts w:ascii="Times New Roman" w:hAnsi="Times New Roman" w:cs="Times New Roman"/>
          <w:color w:val="auto"/>
          <w:sz w:val="72"/>
          <w:szCs w:val="72"/>
        </w:rPr>
      </w:pPr>
    </w:p>
    <w:p w14:paraId="034F8596">
      <w:pPr>
        <w:pStyle w:val="12"/>
        <w:jc w:val="center"/>
        <w:rPr>
          <w:rFonts w:ascii="Times New Roman" w:hAnsi="Times New Roman" w:cs="Times New Roman"/>
          <w:color w:val="auto"/>
          <w:sz w:val="72"/>
          <w:szCs w:val="72"/>
        </w:rPr>
      </w:pPr>
    </w:p>
    <w:p w14:paraId="7776EC4F">
      <w:pPr>
        <w:pStyle w:val="12"/>
        <w:jc w:val="both"/>
        <w:rPr>
          <w:rFonts w:ascii="Times New Roman" w:hAnsi="Times New Roman" w:cs="Times New Roman"/>
          <w:color w:val="auto"/>
          <w:sz w:val="72"/>
          <w:szCs w:val="72"/>
        </w:rPr>
      </w:pPr>
    </w:p>
    <w:p w14:paraId="20184524">
      <w:pPr>
        <w:pStyle w:val="12"/>
        <w:spacing w:line="360" w:lineRule="auto"/>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第四部分    名词解释</w:t>
      </w:r>
    </w:p>
    <w:p w14:paraId="2A68B089">
      <w:pPr>
        <w:widowControl/>
        <w:jc w:val="left"/>
        <w:rPr>
          <w:rFonts w:ascii="Times New Roman" w:hAnsi="Times New Roman" w:cs="Times New Roman"/>
          <w:color w:val="auto"/>
          <w:kern w:val="0"/>
          <w:sz w:val="32"/>
          <w:szCs w:val="32"/>
        </w:rPr>
      </w:pPr>
    </w:p>
    <w:p w14:paraId="4034B6A9">
      <w:pPr>
        <w:spacing w:line="560" w:lineRule="atLeas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一、</w:t>
      </w:r>
      <w:r>
        <w:rPr>
          <w:rFonts w:hint="eastAsia" w:ascii="楷体_GB2312" w:hAnsi="楷体_GB2312" w:eastAsia="楷体_GB2312" w:cs="楷体_GB2312"/>
          <w:b w:val="0"/>
          <w:bCs w:val="0"/>
          <w:color w:val="auto"/>
          <w:sz w:val="32"/>
          <w:szCs w:val="32"/>
          <w:shd w:val="clear" w:color="auto" w:fill="FFFFFF"/>
        </w:rPr>
        <w:t>机关运行经费</w:t>
      </w:r>
      <w:r>
        <w:rPr>
          <w:rFonts w:hint="eastAsia" w:ascii="仿宋_GB2312" w:hAnsi="仿宋_GB2312" w:eastAsia="仿宋_GB2312" w:cs="仿宋_GB2312"/>
          <w:color w:val="auto"/>
          <w:sz w:val="32"/>
          <w:szCs w:val="32"/>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14:paraId="4A8B61AF">
      <w:pPr>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二、</w:t>
      </w:r>
      <w:r>
        <w:rPr>
          <w:rFonts w:hint="eastAsia" w:ascii="楷体_GB2312" w:hAnsi="楷体_GB2312" w:eastAsia="楷体_GB2312" w:cs="楷体_GB2312"/>
          <w:b w:val="0"/>
          <w:bCs w:val="0"/>
          <w:color w:val="auto"/>
          <w:sz w:val="32"/>
          <w:szCs w:val="32"/>
          <w:shd w:val="clear" w:color="auto" w:fill="FFFFFF"/>
        </w:rPr>
        <w:t>“三公”经费。</w:t>
      </w:r>
      <w:r>
        <w:rPr>
          <w:rFonts w:hint="eastAsia" w:ascii="仿宋_GB2312" w:hAnsi="仿宋_GB2312" w:eastAsia="仿宋_GB2312" w:cs="仿宋_GB2312"/>
          <w:color w:val="auto"/>
          <w:sz w:val="32"/>
          <w:szCs w:val="32"/>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r>
        <w:rPr>
          <w:rFonts w:ascii="Calibri" w:hAnsi="Calibri" w:eastAsia="仿宋_GB2312" w:cs="Calibri"/>
          <w:color w:val="auto"/>
          <w:sz w:val="32"/>
          <w:szCs w:val="32"/>
          <w:shd w:val="clear" w:color="auto" w:fill="FFFFFF"/>
        </w:rPr>
        <w:t> </w:t>
      </w:r>
    </w:p>
    <w:p w14:paraId="260E9BA5">
      <w:pPr>
        <w:spacing w:line="560" w:lineRule="atLeast"/>
        <w:ind w:firstLine="640" w:firstLineChars="200"/>
        <w:rPr>
          <w:rFonts w:ascii="仿宋_GB2312" w:hAnsi="仿宋_GB2312" w:eastAsia="仿宋_GB2312" w:cs="仿宋_GB2312"/>
          <w:color w:val="auto"/>
          <w:sz w:val="32"/>
          <w:szCs w:val="32"/>
          <w:shd w:val="clear" w:color="auto" w:fill="FFFFFF"/>
        </w:rPr>
      </w:pPr>
      <w:r>
        <w:rPr>
          <w:rFonts w:ascii="Times New Roman" w:hAnsi="Times New Roman" w:eastAsia="仿宋_GB2312" w:cs="Times New Roman"/>
          <w:color w:val="auto"/>
          <w:kern w:val="0"/>
          <w:sz w:val="32"/>
          <w:szCs w:val="32"/>
        </w:rPr>
        <w:t>三、</w:t>
      </w:r>
      <w:r>
        <w:rPr>
          <w:rFonts w:hint="eastAsia" w:ascii="楷体_GB2312" w:hAnsi="楷体_GB2312" w:eastAsia="楷体_GB2312" w:cs="楷体_GB2312"/>
          <w:b w:val="0"/>
          <w:bCs w:val="0"/>
          <w:color w:val="auto"/>
          <w:sz w:val="32"/>
          <w:szCs w:val="32"/>
          <w:shd w:val="clear" w:color="auto" w:fill="FFFFFF"/>
        </w:rPr>
        <w:t>基本支出。</w:t>
      </w:r>
      <w:r>
        <w:rPr>
          <w:rFonts w:hint="eastAsia" w:ascii="仿宋_GB2312" w:hAnsi="仿宋_GB2312" w:eastAsia="仿宋_GB2312" w:cs="仿宋_GB2312"/>
          <w:color w:val="auto"/>
          <w:sz w:val="32"/>
          <w:szCs w:val="32"/>
          <w:shd w:val="clear" w:color="auto" w:fill="FFFFFF"/>
        </w:rPr>
        <w:t>指为保障机构正常运转、完成日常工作任务而发生的人员支出和公用支出。</w:t>
      </w:r>
    </w:p>
    <w:p w14:paraId="6E6237DD">
      <w:pPr>
        <w:spacing w:line="560" w:lineRule="atLeast"/>
        <w:ind w:firstLine="640" w:firstLineChars="200"/>
        <w:rPr>
          <w:rFonts w:hint="eastAsia" w:ascii="仿宋_GB2312" w:hAnsi="仿宋_GB2312" w:eastAsia="仿宋_GB2312" w:cs="仿宋_GB2312"/>
          <w:color w:val="auto"/>
          <w:sz w:val="32"/>
          <w:szCs w:val="32"/>
          <w:shd w:val="clear" w:color="auto" w:fill="FFFFFF"/>
        </w:rPr>
      </w:pPr>
      <w:r>
        <w:rPr>
          <w:rFonts w:hint="eastAsia" w:ascii="Times New Roman" w:hAnsi="Times New Roman" w:eastAsia="仿宋_GB2312" w:cs="Times New Roman"/>
          <w:color w:val="auto"/>
          <w:kern w:val="0"/>
          <w:sz w:val="32"/>
          <w:szCs w:val="32"/>
          <w:lang w:eastAsia="zh-CN"/>
        </w:rPr>
        <w:t>四、</w:t>
      </w:r>
      <w:r>
        <w:rPr>
          <w:rFonts w:hint="eastAsia" w:ascii="楷体_GB2312" w:hAnsi="楷体_GB2312" w:eastAsia="楷体_GB2312" w:cs="楷体_GB2312"/>
          <w:b w:val="0"/>
          <w:bCs w:val="0"/>
          <w:color w:val="auto"/>
          <w:sz w:val="32"/>
          <w:szCs w:val="32"/>
          <w:shd w:val="clear" w:color="auto" w:fill="FFFFFF"/>
        </w:rPr>
        <w:t>项目支出。</w:t>
      </w:r>
      <w:r>
        <w:rPr>
          <w:rFonts w:hint="eastAsia" w:ascii="仿宋_GB2312" w:hAnsi="仿宋_GB2312" w:eastAsia="仿宋_GB2312" w:cs="仿宋_GB2312"/>
          <w:color w:val="auto"/>
          <w:sz w:val="32"/>
          <w:szCs w:val="32"/>
          <w:shd w:val="clear" w:color="auto" w:fill="FFFFFF"/>
        </w:rPr>
        <w:t>指在基本支出之外为完成特定行政任务和事业发展目标所发生的支出。</w:t>
      </w:r>
    </w:p>
    <w:p w14:paraId="6092CCD3">
      <w:pPr>
        <w:spacing w:line="560" w:lineRule="atLeast"/>
        <w:ind w:firstLine="640" w:firstLineChars="200"/>
        <w:rPr>
          <w:rFonts w:hint="eastAsia" w:ascii="仿宋_GB2312" w:hAnsi="仿宋_GB2312" w:eastAsia="仿宋_GB2312" w:cs="仿宋_GB2312"/>
          <w:color w:val="auto"/>
          <w:sz w:val="32"/>
          <w:szCs w:val="32"/>
          <w:shd w:val="clear" w:color="auto" w:fill="FFFFFF"/>
        </w:rPr>
      </w:pPr>
    </w:p>
    <w:p w14:paraId="0A5AEA06">
      <w:pPr>
        <w:pStyle w:val="12"/>
        <w:spacing w:line="360" w:lineRule="auto"/>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第五部分   附 件</w:t>
      </w:r>
    </w:p>
    <w:p w14:paraId="61D421C5">
      <w:pPr>
        <w:rPr>
          <w:rFonts w:ascii="Times New Roman" w:hAnsi="Times New Roman" w:cs="Times New Roman"/>
          <w:color w:val="auto"/>
          <w:sz w:val="72"/>
          <w:szCs w:val="72"/>
        </w:rPr>
      </w:pPr>
    </w:p>
    <w:p w14:paraId="58DA0E11">
      <w:pPr>
        <w:pStyle w:val="12"/>
        <w:spacing w:line="600" w:lineRule="exact"/>
        <w:rPr>
          <w:rFonts w:ascii="Times New Roman" w:hAnsi="Times New Roman" w:eastAsia="仿宋_GB2312" w:cs="Times New Roman"/>
          <w:color w:val="auto"/>
          <w:sz w:val="32"/>
          <w:szCs w:val="32"/>
        </w:rPr>
      </w:pPr>
      <w:bookmarkStart w:id="3" w:name="_GoBack"/>
      <w:bookmarkEnd w:id="3"/>
      <w:r>
        <w:rPr>
          <w:rFonts w:ascii="Times New Roman" w:hAnsi="Times New Roman" w:eastAsia="仿宋_GB2312" w:cs="Times New Roman"/>
          <w:b/>
          <w:bCs/>
          <w:color w:val="auto"/>
          <w:sz w:val="32"/>
          <w:szCs w:val="32"/>
        </w:rPr>
        <w:t>一、</w:t>
      </w:r>
      <w:r>
        <w:rPr>
          <w:rFonts w:ascii="Times New Roman" w:hAnsi="Times New Roman" w:eastAsia="仿宋_GB2312" w:cs="Times New Roman"/>
          <w:color w:val="auto"/>
          <w:sz w:val="32"/>
          <w:szCs w:val="32"/>
        </w:rPr>
        <w:t>2024年</w:t>
      </w:r>
      <w:r>
        <w:rPr>
          <w:rFonts w:hint="eastAsia" w:ascii="Times New Roman" w:hAnsi="Times New Roman" w:eastAsia="仿宋_GB2312" w:cs="Times New Roman"/>
          <w:color w:val="auto"/>
          <w:sz w:val="32"/>
          <w:szCs w:val="32"/>
          <w:lang w:eastAsia="zh-CN"/>
        </w:rPr>
        <w:t>蓝山县塔峰镇中心卫生院</w:t>
      </w:r>
      <w:r>
        <w:rPr>
          <w:rFonts w:ascii="Times New Roman" w:hAnsi="Times New Roman" w:eastAsia="仿宋_GB2312" w:cs="Times New Roman"/>
          <w:color w:val="auto"/>
          <w:sz w:val="32"/>
          <w:szCs w:val="32"/>
        </w:rPr>
        <w:t>整体支出绩效自评报告。</w:t>
      </w:r>
    </w:p>
    <w:p w14:paraId="53B991B3">
      <w:pPr>
        <w:jc w:val="center"/>
        <w:rPr>
          <w:rFonts w:hint="eastAsia"/>
          <w:color w:val="auto"/>
        </w:rPr>
      </w:pPr>
      <w:r>
        <w:rPr>
          <w:rFonts w:hint="eastAsia"/>
          <w:color w:val="auto"/>
          <w:sz w:val="32"/>
          <w:szCs w:val="40"/>
          <w:lang w:eastAsia="zh-CN"/>
        </w:rPr>
        <w:t>蓝山县塔峰镇中心</w:t>
      </w:r>
      <w:r>
        <w:rPr>
          <w:rFonts w:hint="eastAsia"/>
          <w:color w:val="auto"/>
          <w:sz w:val="32"/>
          <w:szCs w:val="40"/>
        </w:rPr>
        <w:t>卫生院20</w:t>
      </w:r>
      <w:r>
        <w:rPr>
          <w:rFonts w:hint="eastAsia"/>
          <w:color w:val="auto"/>
          <w:sz w:val="32"/>
          <w:szCs w:val="40"/>
          <w:lang w:val="en-US" w:eastAsia="zh-CN"/>
        </w:rPr>
        <w:t>24</w:t>
      </w:r>
      <w:r>
        <w:rPr>
          <w:rFonts w:hint="eastAsia"/>
          <w:color w:val="auto"/>
          <w:sz w:val="32"/>
          <w:szCs w:val="40"/>
        </w:rPr>
        <w:t>年绩效自评报告</w:t>
      </w:r>
    </w:p>
    <w:p w14:paraId="34F36630">
      <w:pPr>
        <w:rPr>
          <w:rFonts w:hint="eastAsia"/>
          <w:color w:val="auto"/>
        </w:rPr>
      </w:pPr>
    </w:p>
    <w:p w14:paraId="5EAC7AA1">
      <w:pPr>
        <w:rPr>
          <w:rFonts w:hint="eastAsia"/>
          <w:color w:val="auto"/>
          <w:sz w:val="24"/>
          <w:szCs w:val="32"/>
        </w:rPr>
      </w:pPr>
      <w:r>
        <w:rPr>
          <w:rFonts w:hint="eastAsia"/>
          <w:color w:val="auto"/>
          <w:sz w:val="24"/>
          <w:szCs w:val="32"/>
          <w:lang w:eastAsia="zh-CN"/>
        </w:rPr>
        <w:t>一</w:t>
      </w:r>
      <w:r>
        <w:rPr>
          <w:rFonts w:hint="eastAsia"/>
          <w:color w:val="auto"/>
          <w:sz w:val="24"/>
          <w:szCs w:val="32"/>
        </w:rPr>
        <w:t>、基本情况</w:t>
      </w:r>
    </w:p>
    <w:p w14:paraId="1130EA59">
      <w:pPr>
        <w:rPr>
          <w:rFonts w:hint="eastAsia"/>
          <w:color w:val="auto"/>
          <w:sz w:val="24"/>
          <w:szCs w:val="32"/>
        </w:rPr>
      </w:pPr>
      <w:r>
        <w:rPr>
          <w:rFonts w:hint="eastAsia"/>
          <w:color w:val="auto"/>
          <w:sz w:val="24"/>
          <w:szCs w:val="32"/>
        </w:rPr>
        <w:t xml:space="preserve">1. 单位概况  </w:t>
      </w:r>
    </w:p>
    <w:p w14:paraId="4753B9ED">
      <w:pPr>
        <w:rPr>
          <w:rFonts w:hint="eastAsia"/>
          <w:color w:val="auto"/>
          <w:sz w:val="24"/>
          <w:szCs w:val="32"/>
        </w:rPr>
      </w:pPr>
      <w:r>
        <w:rPr>
          <w:rFonts w:hint="eastAsia"/>
          <w:color w:val="auto"/>
          <w:sz w:val="24"/>
          <w:szCs w:val="32"/>
        </w:rPr>
        <w:t xml:space="preserve">   卫生院基本情况：</w:t>
      </w:r>
      <w:r>
        <w:rPr>
          <w:rFonts w:hint="eastAsia"/>
          <w:color w:val="auto"/>
          <w:sz w:val="24"/>
          <w:szCs w:val="32"/>
          <w:lang w:eastAsia="zh-CN"/>
        </w:rPr>
        <w:t>塔峰镇</w:t>
      </w:r>
      <w:r>
        <w:rPr>
          <w:rFonts w:hint="eastAsia"/>
          <w:color w:val="auto"/>
          <w:sz w:val="24"/>
          <w:szCs w:val="32"/>
        </w:rPr>
        <w:t>卫生院</w:t>
      </w:r>
      <w:r>
        <w:rPr>
          <w:rFonts w:hint="eastAsia"/>
          <w:color w:val="auto"/>
          <w:sz w:val="24"/>
          <w:szCs w:val="32"/>
          <w:lang w:eastAsia="zh-CN"/>
        </w:rPr>
        <w:t>位于塔峰村</w:t>
      </w:r>
      <w:r>
        <w:rPr>
          <w:rFonts w:hint="eastAsia"/>
          <w:color w:val="auto"/>
          <w:sz w:val="24"/>
          <w:szCs w:val="32"/>
        </w:rPr>
        <w:t>、</w:t>
      </w:r>
      <w:r>
        <w:rPr>
          <w:rFonts w:hint="eastAsia"/>
          <w:color w:val="auto"/>
          <w:sz w:val="24"/>
          <w:szCs w:val="32"/>
          <w:lang w:eastAsia="zh-CN"/>
        </w:rPr>
        <w:t>服务辖区内</w:t>
      </w:r>
      <w:r>
        <w:rPr>
          <w:rFonts w:hint="eastAsia"/>
          <w:color w:val="auto"/>
          <w:sz w:val="24"/>
          <w:szCs w:val="32"/>
          <w:lang w:val="en-US" w:eastAsia="zh-CN"/>
        </w:rPr>
        <w:t>15万余人口</w:t>
      </w:r>
      <w:r>
        <w:rPr>
          <w:rFonts w:hint="eastAsia"/>
          <w:color w:val="auto"/>
          <w:sz w:val="24"/>
          <w:szCs w:val="32"/>
        </w:rPr>
        <w:t>、</w:t>
      </w:r>
      <w:r>
        <w:rPr>
          <w:rFonts w:hint="eastAsia"/>
          <w:color w:val="auto"/>
          <w:sz w:val="24"/>
          <w:szCs w:val="32"/>
          <w:lang w:val="en-US" w:eastAsia="zh-CN"/>
        </w:rPr>
        <w:t>2024年</w:t>
      </w:r>
      <w:r>
        <w:rPr>
          <w:rFonts w:hint="eastAsia"/>
          <w:color w:val="auto"/>
          <w:sz w:val="24"/>
          <w:szCs w:val="32"/>
        </w:rPr>
        <w:t>人员编制</w:t>
      </w:r>
      <w:r>
        <w:rPr>
          <w:rFonts w:hint="eastAsia"/>
          <w:color w:val="auto"/>
          <w:sz w:val="24"/>
          <w:szCs w:val="32"/>
          <w:lang w:eastAsia="zh-CN"/>
        </w:rPr>
        <w:t>数</w:t>
      </w:r>
      <w:r>
        <w:rPr>
          <w:rFonts w:hint="eastAsia"/>
          <w:color w:val="auto"/>
          <w:sz w:val="24"/>
          <w:szCs w:val="32"/>
          <w:lang w:val="en-US" w:eastAsia="zh-CN"/>
        </w:rPr>
        <w:t>113人</w:t>
      </w:r>
      <w:r>
        <w:rPr>
          <w:rFonts w:hint="eastAsia"/>
          <w:color w:val="auto"/>
          <w:sz w:val="24"/>
          <w:szCs w:val="32"/>
        </w:rPr>
        <w:t>、</w:t>
      </w:r>
      <w:r>
        <w:rPr>
          <w:rFonts w:hint="eastAsia"/>
          <w:color w:val="auto"/>
          <w:sz w:val="24"/>
          <w:szCs w:val="32"/>
          <w:lang w:eastAsia="zh-CN"/>
        </w:rPr>
        <w:t>实际开放</w:t>
      </w:r>
      <w:r>
        <w:rPr>
          <w:rFonts w:hint="eastAsia"/>
          <w:color w:val="auto"/>
          <w:sz w:val="24"/>
          <w:szCs w:val="32"/>
        </w:rPr>
        <w:t>床位数</w:t>
      </w:r>
      <w:r>
        <w:rPr>
          <w:rFonts w:hint="eastAsia"/>
          <w:color w:val="auto"/>
          <w:sz w:val="24"/>
          <w:szCs w:val="32"/>
          <w:lang w:val="en-US" w:eastAsia="zh-CN"/>
        </w:rPr>
        <w:t>99张</w:t>
      </w:r>
      <w:r>
        <w:rPr>
          <w:rFonts w:hint="eastAsia"/>
          <w:color w:val="auto"/>
          <w:sz w:val="24"/>
          <w:szCs w:val="32"/>
        </w:rPr>
        <w:t>、科室设置</w:t>
      </w:r>
      <w:r>
        <w:rPr>
          <w:rFonts w:hint="eastAsia"/>
          <w:color w:val="auto"/>
          <w:sz w:val="24"/>
          <w:szCs w:val="32"/>
          <w:lang w:eastAsia="zh-CN"/>
        </w:rPr>
        <w:t>：</w:t>
      </w:r>
      <w:r>
        <w:rPr>
          <w:rFonts w:hint="eastAsia"/>
          <w:color w:val="auto"/>
          <w:sz w:val="24"/>
          <w:szCs w:val="32"/>
        </w:rPr>
        <w:t>内儿科、外科、急诊科、妇产科、中医科、血透科、医技科、预防接种科、药房、高血压门诊</w:t>
      </w:r>
      <w:r>
        <w:rPr>
          <w:rFonts w:hint="eastAsia"/>
          <w:color w:val="auto"/>
          <w:sz w:val="24"/>
          <w:szCs w:val="32"/>
          <w:lang w:eastAsia="zh-CN"/>
        </w:rPr>
        <w:t>。</w:t>
      </w:r>
      <w:r>
        <w:rPr>
          <w:rFonts w:hint="eastAsia"/>
          <w:color w:val="auto"/>
          <w:sz w:val="24"/>
          <w:szCs w:val="32"/>
        </w:rPr>
        <w:t xml:space="preserve">  </w:t>
      </w:r>
    </w:p>
    <w:p w14:paraId="40C6FECA">
      <w:pPr>
        <w:rPr>
          <w:rFonts w:hint="eastAsia" w:eastAsia="宋体"/>
          <w:color w:val="auto"/>
          <w:sz w:val="24"/>
          <w:szCs w:val="32"/>
          <w:lang w:eastAsia="zh-CN"/>
        </w:rPr>
      </w:pPr>
      <w:r>
        <w:rPr>
          <w:rFonts w:hint="eastAsia"/>
          <w:color w:val="auto"/>
          <w:sz w:val="24"/>
          <w:szCs w:val="32"/>
        </w:rPr>
        <w:t xml:space="preserve">   年度重点工作目标：如基本医疗、公共卫生服务、家庭医生签约</w:t>
      </w:r>
      <w:r>
        <w:rPr>
          <w:rFonts w:hint="eastAsia"/>
          <w:color w:val="auto"/>
          <w:sz w:val="24"/>
          <w:szCs w:val="32"/>
          <w:lang w:eastAsia="zh-CN"/>
        </w:rPr>
        <w:t>、疫情防控等。</w:t>
      </w:r>
    </w:p>
    <w:p w14:paraId="65B9BFCD">
      <w:pPr>
        <w:rPr>
          <w:rFonts w:hint="eastAsia"/>
          <w:color w:val="auto"/>
          <w:sz w:val="24"/>
          <w:szCs w:val="32"/>
        </w:rPr>
      </w:pPr>
      <w:r>
        <w:rPr>
          <w:rFonts w:hint="eastAsia"/>
          <w:color w:val="auto"/>
          <w:sz w:val="24"/>
          <w:szCs w:val="32"/>
        </w:rPr>
        <w:t xml:space="preserve">2. 年度整体支出绩效目标  </w:t>
      </w:r>
    </w:p>
    <w:p w14:paraId="6FAB750A">
      <w:pPr>
        <w:rPr>
          <w:rFonts w:hint="eastAsia"/>
          <w:color w:val="auto"/>
          <w:sz w:val="24"/>
          <w:szCs w:val="32"/>
        </w:rPr>
      </w:pPr>
      <w:r>
        <w:rPr>
          <w:rFonts w:hint="eastAsia"/>
          <w:color w:val="auto"/>
          <w:sz w:val="24"/>
          <w:szCs w:val="32"/>
        </w:rPr>
        <w:t xml:space="preserve">  总预算金额</w:t>
      </w:r>
      <w:r>
        <w:rPr>
          <w:rFonts w:hint="eastAsia"/>
          <w:color w:val="auto"/>
          <w:sz w:val="24"/>
          <w:szCs w:val="32"/>
          <w:lang w:eastAsia="zh-CN"/>
        </w:rPr>
        <w:t>：其中：</w:t>
      </w:r>
      <w:r>
        <w:rPr>
          <w:rFonts w:hint="eastAsia"/>
          <w:color w:val="auto"/>
          <w:sz w:val="24"/>
          <w:szCs w:val="32"/>
        </w:rPr>
        <w:t>财政拨款</w:t>
      </w:r>
      <w:r>
        <w:rPr>
          <w:rFonts w:hint="eastAsia"/>
          <w:color w:val="auto"/>
          <w:sz w:val="24"/>
          <w:szCs w:val="32"/>
          <w:lang w:val="en-US" w:eastAsia="zh-CN"/>
        </w:rPr>
        <w:t>1395.52万元；</w:t>
      </w:r>
      <w:r>
        <w:rPr>
          <w:rFonts w:hint="eastAsia"/>
          <w:color w:val="auto"/>
          <w:sz w:val="24"/>
          <w:szCs w:val="32"/>
        </w:rPr>
        <w:t>自有资金</w:t>
      </w:r>
      <w:r>
        <w:rPr>
          <w:rFonts w:hint="eastAsia"/>
          <w:color w:val="auto"/>
          <w:sz w:val="24"/>
          <w:szCs w:val="32"/>
          <w:lang w:eastAsia="zh-CN"/>
        </w:rPr>
        <w:t>：</w:t>
      </w:r>
      <w:r>
        <w:rPr>
          <w:rFonts w:hint="eastAsia"/>
          <w:color w:val="auto"/>
          <w:sz w:val="24"/>
          <w:szCs w:val="32"/>
          <w:lang w:val="en-US" w:eastAsia="zh-CN"/>
        </w:rPr>
        <w:t>1743.37万元</w:t>
      </w:r>
      <w:r>
        <w:rPr>
          <w:rFonts w:hint="eastAsia"/>
          <w:color w:val="auto"/>
          <w:sz w:val="24"/>
          <w:szCs w:val="32"/>
        </w:rPr>
        <w:t xml:space="preserve">。  </w:t>
      </w:r>
    </w:p>
    <w:p w14:paraId="27E14657">
      <w:pPr>
        <w:rPr>
          <w:rFonts w:hint="eastAsia"/>
          <w:color w:val="auto"/>
          <w:sz w:val="24"/>
          <w:szCs w:val="32"/>
        </w:rPr>
      </w:pPr>
      <w:r>
        <w:rPr>
          <w:rFonts w:hint="eastAsia"/>
          <w:color w:val="auto"/>
          <w:sz w:val="24"/>
          <w:szCs w:val="32"/>
        </w:rPr>
        <w:t xml:space="preserve">   核心目标：提升诊疗人次、规范慢性病管理率≥</w:t>
      </w:r>
      <w:r>
        <w:rPr>
          <w:rFonts w:hint="eastAsia"/>
          <w:color w:val="auto"/>
          <w:sz w:val="24"/>
          <w:szCs w:val="32"/>
          <w:lang w:val="en-US" w:eastAsia="zh-CN"/>
        </w:rPr>
        <w:t>85</w:t>
      </w:r>
      <w:r>
        <w:rPr>
          <w:rFonts w:hint="eastAsia"/>
          <w:color w:val="auto"/>
          <w:sz w:val="24"/>
          <w:szCs w:val="32"/>
        </w:rPr>
        <w:t>%、患者满意度≥</w:t>
      </w:r>
      <w:r>
        <w:rPr>
          <w:rFonts w:hint="eastAsia"/>
          <w:color w:val="auto"/>
          <w:sz w:val="24"/>
          <w:szCs w:val="32"/>
          <w:lang w:val="en-US" w:eastAsia="zh-CN"/>
        </w:rPr>
        <w:t>85</w:t>
      </w:r>
      <w:r>
        <w:rPr>
          <w:rFonts w:hint="eastAsia"/>
          <w:color w:val="auto"/>
          <w:sz w:val="24"/>
          <w:szCs w:val="32"/>
        </w:rPr>
        <w:t>%、预算执行率≥</w:t>
      </w:r>
      <w:r>
        <w:rPr>
          <w:rFonts w:hint="eastAsia"/>
          <w:color w:val="auto"/>
          <w:sz w:val="24"/>
          <w:szCs w:val="32"/>
          <w:lang w:val="en-US" w:eastAsia="zh-CN"/>
        </w:rPr>
        <w:t>96</w:t>
      </w:r>
      <w:r>
        <w:rPr>
          <w:rFonts w:hint="eastAsia"/>
          <w:color w:val="auto"/>
          <w:sz w:val="24"/>
          <w:szCs w:val="32"/>
        </w:rPr>
        <w:t xml:space="preserve">%等。  </w:t>
      </w:r>
    </w:p>
    <w:p w14:paraId="4061D12F">
      <w:pPr>
        <w:rPr>
          <w:rFonts w:hint="eastAsia"/>
          <w:color w:val="auto"/>
          <w:sz w:val="24"/>
          <w:szCs w:val="32"/>
        </w:rPr>
      </w:pPr>
    </w:p>
    <w:p w14:paraId="382F967C">
      <w:pPr>
        <w:rPr>
          <w:rFonts w:hint="eastAsia"/>
          <w:color w:val="auto"/>
          <w:sz w:val="24"/>
          <w:szCs w:val="32"/>
        </w:rPr>
      </w:pPr>
      <w:r>
        <w:rPr>
          <w:rFonts w:hint="eastAsia"/>
          <w:color w:val="auto"/>
          <w:sz w:val="24"/>
          <w:szCs w:val="32"/>
        </w:rPr>
        <w:t xml:space="preserve">二、一般公共预算支出情况  </w:t>
      </w:r>
    </w:p>
    <w:p w14:paraId="697E967B">
      <w:pPr>
        <w:rPr>
          <w:rFonts w:hint="eastAsia"/>
          <w:color w:val="auto"/>
          <w:sz w:val="24"/>
          <w:szCs w:val="32"/>
        </w:rPr>
      </w:pPr>
      <w:r>
        <w:rPr>
          <w:rFonts w:hint="eastAsia"/>
          <w:color w:val="auto"/>
          <w:sz w:val="24"/>
          <w:szCs w:val="32"/>
        </w:rPr>
        <w:t xml:space="preserve">1. 基本支出情况  </w:t>
      </w:r>
    </w:p>
    <w:p w14:paraId="7544A0D6">
      <w:pPr>
        <w:rPr>
          <w:rFonts w:hint="eastAsia"/>
          <w:color w:val="auto"/>
          <w:sz w:val="24"/>
          <w:szCs w:val="32"/>
        </w:rPr>
      </w:pPr>
      <w:r>
        <w:rPr>
          <w:rFonts w:hint="eastAsia"/>
          <w:color w:val="auto"/>
          <w:sz w:val="24"/>
          <w:szCs w:val="32"/>
        </w:rPr>
        <w:t xml:space="preserve">   人员经费：</w:t>
      </w:r>
      <w:r>
        <w:rPr>
          <w:rFonts w:hint="eastAsia"/>
          <w:color w:val="auto"/>
          <w:sz w:val="24"/>
          <w:szCs w:val="32"/>
          <w:lang w:eastAsia="zh-CN"/>
        </w:rPr>
        <w:t>其中：</w:t>
      </w:r>
      <w:r>
        <w:rPr>
          <w:rFonts w:hint="eastAsia"/>
          <w:color w:val="auto"/>
          <w:sz w:val="24"/>
          <w:szCs w:val="32"/>
        </w:rPr>
        <w:t>工资、社保、公积金等</w:t>
      </w:r>
      <w:r>
        <w:rPr>
          <w:rFonts w:hint="eastAsia"/>
          <w:color w:val="auto"/>
          <w:sz w:val="24"/>
          <w:szCs w:val="32"/>
          <w:lang w:eastAsia="zh-CN"/>
        </w:rPr>
        <w:t>支出金额：</w:t>
      </w:r>
      <w:r>
        <w:rPr>
          <w:rFonts w:hint="eastAsia"/>
          <w:color w:val="auto"/>
          <w:sz w:val="24"/>
          <w:szCs w:val="32"/>
          <w:lang w:val="en-US" w:eastAsia="zh-CN"/>
        </w:rPr>
        <w:t>1052.42万元</w:t>
      </w:r>
      <w:r>
        <w:rPr>
          <w:rFonts w:hint="eastAsia"/>
          <w:color w:val="auto"/>
          <w:sz w:val="24"/>
          <w:szCs w:val="32"/>
        </w:rPr>
        <w:t>（占比</w:t>
      </w:r>
      <w:r>
        <w:rPr>
          <w:rFonts w:hint="eastAsia"/>
          <w:color w:val="auto"/>
          <w:sz w:val="24"/>
          <w:szCs w:val="32"/>
          <w:lang w:val="en-US" w:eastAsia="zh-CN"/>
        </w:rPr>
        <w:t>44.23</w:t>
      </w:r>
      <w:r>
        <w:rPr>
          <w:rFonts w:hint="eastAsia"/>
          <w:color w:val="auto"/>
          <w:sz w:val="24"/>
          <w:szCs w:val="32"/>
        </w:rPr>
        <w:t xml:space="preserve">%）。  </w:t>
      </w:r>
    </w:p>
    <w:p w14:paraId="0A826773">
      <w:pPr>
        <w:rPr>
          <w:rFonts w:hint="eastAsia"/>
          <w:color w:val="auto"/>
          <w:sz w:val="24"/>
          <w:szCs w:val="32"/>
        </w:rPr>
      </w:pPr>
      <w:r>
        <w:rPr>
          <w:rFonts w:hint="eastAsia"/>
          <w:color w:val="auto"/>
          <w:sz w:val="24"/>
          <w:szCs w:val="32"/>
        </w:rPr>
        <w:t xml:space="preserve">   公用经费：</w:t>
      </w:r>
      <w:r>
        <w:rPr>
          <w:rFonts w:hint="eastAsia"/>
          <w:color w:val="auto"/>
          <w:sz w:val="24"/>
          <w:szCs w:val="32"/>
          <w:lang w:eastAsia="zh-CN"/>
        </w:rPr>
        <w:t>其他资金支出金额</w:t>
      </w:r>
      <w:r>
        <w:rPr>
          <w:rFonts w:hint="eastAsia"/>
          <w:color w:val="auto"/>
          <w:sz w:val="24"/>
          <w:szCs w:val="32"/>
          <w:lang w:val="en-US" w:eastAsia="zh-CN"/>
        </w:rPr>
        <w:t>1326.88万元</w:t>
      </w:r>
      <w:r>
        <w:rPr>
          <w:rFonts w:hint="eastAsia"/>
          <w:color w:val="auto"/>
          <w:sz w:val="24"/>
          <w:szCs w:val="32"/>
        </w:rPr>
        <w:t>（占比</w:t>
      </w:r>
      <w:r>
        <w:rPr>
          <w:rFonts w:hint="eastAsia"/>
          <w:color w:val="auto"/>
          <w:sz w:val="24"/>
          <w:szCs w:val="32"/>
          <w:lang w:val="en-US" w:eastAsia="zh-CN"/>
        </w:rPr>
        <w:t>55.77</w:t>
      </w:r>
      <w:r>
        <w:rPr>
          <w:rFonts w:hint="eastAsia"/>
          <w:color w:val="auto"/>
          <w:sz w:val="24"/>
          <w:szCs w:val="32"/>
        </w:rPr>
        <w:t xml:space="preserve">%）。  </w:t>
      </w:r>
    </w:p>
    <w:p w14:paraId="3AB52F4F">
      <w:pPr>
        <w:rPr>
          <w:rFonts w:hint="eastAsia"/>
          <w:color w:val="auto"/>
          <w:sz w:val="24"/>
          <w:szCs w:val="32"/>
        </w:rPr>
      </w:pPr>
      <w:r>
        <w:rPr>
          <w:rFonts w:hint="eastAsia"/>
          <w:color w:val="auto"/>
          <w:sz w:val="24"/>
          <w:szCs w:val="32"/>
        </w:rPr>
        <w:t xml:space="preserve">2. 项目支出情况  </w:t>
      </w:r>
    </w:p>
    <w:p w14:paraId="54649105">
      <w:pPr>
        <w:rPr>
          <w:rFonts w:hint="eastAsia"/>
          <w:color w:val="auto"/>
          <w:sz w:val="24"/>
          <w:szCs w:val="32"/>
        </w:rPr>
      </w:pPr>
      <w:r>
        <w:rPr>
          <w:rFonts w:hint="eastAsia"/>
          <w:color w:val="auto"/>
          <w:sz w:val="24"/>
          <w:szCs w:val="32"/>
        </w:rPr>
        <w:t xml:space="preserve">   专项资金</w:t>
      </w:r>
      <w:r>
        <w:rPr>
          <w:rFonts w:hint="eastAsia"/>
          <w:color w:val="auto"/>
          <w:sz w:val="24"/>
          <w:szCs w:val="32"/>
          <w:lang w:val="en-US" w:eastAsia="zh-CN"/>
        </w:rPr>
        <w:t>1</w:t>
      </w:r>
      <w:r>
        <w:rPr>
          <w:rFonts w:hint="eastAsia"/>
          <w:color w:val="auto"/>
          <w:sz w:val="24"/>
          <w:szCs w:val="32"/>
          <w:lang w:eastAsia="zh-CN"/>
        </w:rPr>
        <w:t>：</w:t>
      </w:r>
      <w:r>
        <w:rPr>
          <w:rFonts w:hint="eastAsia"/>
          <w:color w:val="auto"/>
          <w:sz w:val="24"/>
          <w:szCs w:val="32"/>
        </w:rPr>
        <w:t>基本公共卫生服务</w:t>
      </w:r>
      <w:r>
        <w:rPr>
          <w:rFonts w:hint="eastAsia"/>
          <w:color w:val="auto"/>
          <w:sz w:val="24"/>
          <w:szCs w:val="32"/>
          <w:lang w:eastAsia="zh-CN"/>
        </w:rPr>
        <w:t>年度使用</w:t>
      </w:r>
      <w:r>
        <w:rPr>
          <w:rFonts w:hint="eastAsia"/>
          <w:color w:val="auto"/>
          <w:sz w:val="24"/>
          <w:szCs w:val="32"/>
        </w:rPr>
        <w:t>资金</w:t>
      </w:r>
      <w:r>
        <w:rPr>
          <w:rFonts w:hint="eastAsia"/>
          <w:color w:val="auto"/>
          <w:sz w:val="24"/>
          <w:szCs w:val="32"/>
          <w:lang w:val="en-US" w:eastAsia="zh-CN"/>
        </w:rPr>
        <w:t>:667.56万元</w:t>
      </w:r>
      <w:r>
        <w:rPr>
          <w:rFonts w:hint="eastAsia"/>
          <w:color w:val="auto"/>
          <w:sz w:val="24"/>
          <w:szCs w:val="32"/>
        </w:rPr>
        <w:t xml:space="preserve"> </w:t>
      </w:r>
    </w:p>
    <w:p w14:paraId="61574170">
      <w:pPr>
        <w:rPr>
          <w:rFonts w:hint="eastAsia"/>
          <w:color w:val="auto"/>
          <w:sz w:val="24"/>
          <w:szCs w:val="32"/>
        </w:rPr>
      </w:pPr>
      <w:r>
        <w:rPr>
          <w:rFonts w:hint="eastAsia"/>
          <w:color w:val="auto"/>
          <w:sz w:val="24"/>
          <w:szCs w:val="32"/>
        </w:rPr>
        <w:t xml:space="preserve">    用途：居民健康档案、老年人健康管理、预防接种等；  </w:t>
      </w:r>
    </w:p>
    <w:p w14:paraId="0F098502">
      <w:pPr>
        <w:rPr>
          <w:rFonts w:hint="eastAsia" w:eastAsia="宋体"/>
          <w:color w:val="auto"/>
          <w:sz w:val="24"/>
          <w:szCs w:val="32"/>
          <w:lang w:eastAsia="zh-CN"/>
        </w:rPr>
      </w:pPr>
      <w:r>
        <w:rPr>
          <w:rFonts w:hint="eastAsia"/>
          <w:color w:val="auto"/>
          <w:sz w:val="24"/>
          <w:szCs w:val="32"/>
        </w:rPr>
        <w:t xml:space="preserve">    执行进度：</w:t>
      </w:r>
      <w:r>
        <w:rPr>
          <w:rFonts w:hint="eastAsia"/>
          <w:color w:val="auto"/>
          <w:sz w:val="24"/>
          <w:szCs w:val="32"/>
          <w:lang w:val="en-US" w:eastAsia="zh-CN"/>
        </w:rPr>
        <w:t>69</w:t>
      </w:r>
      <w:r>
        <w:rPr>
          <w:rFonts w:hint="eastAsia"/>
          <w:color w:val="auto"/>
          <w:sz w:val="24"/>
          <w:szCs w:val="32"/>
        </w:rPr>
        <w:t>%</w:t>
      </w:r>
      <w:r>
        <w:rPr>
          <w:rFonts w:hint="eastAsia"/>
          <w:color w:val="auto"/>
          <w:sz w:val="24"/>
          <w:szCs w:val="32"/>
          <w:lang w:eastAsia="zh-CN"/>
        </w:rPr>
        <w:t>（需与工作量挂钩，如完成建档率</w:t>
      </w:r>
      <w:r>
        <w:rPr>
          <w:rFonts w:hint="eastAsia"/>
          <w:color w:val="auto"/>
          <w:sz w:val="24"/>
          <w:szCs w:val="32"/>
          <w:lang w:val="en-US" w:eastAsia="zh-CN"/>
        </w:rPr>
        <w:t>100%</w:t>
      </w:r>
      <w:r>
        <w:rPr>
          <w:rFonts w:hint="eastAsia"/>
          <w:color w:val="auto"/>
          <w:sz w:val="24"/>
          <w:szCs w:val="32"/>
          <w:lang w:eastAsia="zh-CN"/>
        </w:rPr>
        <w:t>）。</w:t>
      </w:r>
    </w:p>
    <w:p w14:paraId="09AA2651">
      <w:pPr>
        <w:rPr>
          <w:rFonts w:hint="eastAsia"/>
          <w:color w:val="auto"/>
          <w:sz w:val="24"/>
          <w:szCs w:val="32"/>
        </w:rPr>
      </w:pPr>
      <w:r>
        <w:rPr>
          <w:rFonts w:hint="eastAsia"/>
          <w:color w:val="auto"/>
          <w:sz w:val="24"/>
          <w:szCs w:val="32"/>
        </w:rPr>
        <w:t xml:space="preserve">     </w:t>
      </w:r>
    </w:p>
    <w:p w14:paraId="08C65FE4">
      <w:pPr>
        <w:rPr>
          <w:rFonts w:hint="eastAsia"/>
          <w:color w:val="auto"/>
          <w:sz w:val="24"/>
          <w:szCs w:val="32"/>
        </w:rPr>
      </w:pPr>
      <w:r>
        <w:rPr>
          <w:rFonts w:hint="eastAsia"/>
          <w:color w:val="auto"/>
          <w:sz w:val="24"/>
          <w:szCs w:val="32"/>
        </w:rPr>
        <w:t xml:space="preserve">三、政府性基金预算支出情况 </w:t>
      </w:r>
      <w:r>
        <w:rPr>
          <w:rFonts w:hint="eastAsia"/>
          <w:color w:val="auto"/>
          <w:sz w:val="24"/>
          <w:szCs w:val="32"/>
          <w:lang w:eastAsia="zh-CN"/>
        </w:rPr>
        <w:t>：</w:t>
      </w:r>
      <w:r>
        <w:rPr>
          <w:rFonts w:hint="eastAsia"/>
          <w:color w:val="auto"/>
          <w:sz w:val="24"/>
          <w:szCs w:val="32"/>
        </w:rPr>
        <w:t>本单位无政府性基金预算支出</w:t>
      </w:r>
    </w:p>
    <w:p w14:paraId="3B501D6D">
      <w:pPr>
        <w:rPr>
          <w:rFonts w:hint="eastAsia"/>
          <w:color w:val="auto"/>
          <w:sz w:val="24"/>
          <w:szCs w:val="32"/>
        </w:rPr>
      </w:pPr>
    </w:p>
    <w:p w14:paraId="69564F2D">
      <w:pPr>
        <w:rPr>
          <w:rFonts w:hint="eastAsia"/>
          <w:color w:val="auto"/>
          <w:sz w:val="24"/>
          <w:szCs w:val="32"/>
        </w:rPr>
      </w:pPr>
      <w:r>
        <w:rPr>
          <w:rFonts w:hint="eastAsia"/>
          <w:color w:val="auto"/>
          <w:sz w:val="24"/>
          <w:szCs w:val="32"/>
        </w:rPr>
        <w:t>四、国有资本经营/社会保险基金预算支出情况</w:t>
      </w:r>
      <w:r>
        <w:rPr>
          <w:rFonts w:hint="eastAsia"/>
          <w:color w:val="auto"/>
          <w:sz w:val="24"/>
          <w:szCs w:val="32"/>
          <w:lang w:eastAsia="zh-CN"/>
        </w:rPr>
        <w:t>：</w:t>
      </w:r>
      <w:r>
        <w:rPr>
          <w:rFonts w:hint="eastAsia"/>
          <w:color w:val="auto"/>
          <w:sz w:val="24"/>
          <w:szCs w:val="32"/>
        </w:rPr>
        <w:t xml:space="preserve">不适用  </w:t>
      </w:r>
      <w:r>
        <w:rPr>
          <w:rFonts w:hint="eastAsia"/>
          <w:color w:val="auto"/>
          <w:sz w:val="24"/>
          <w:szCs w:val="32"/>
          <w:lang w:eastAsia="zh-CN"/>
        </w:rPr>
        <w:t>（</w:t>
      </w:r>
      <w:r>
        <w:rPr>
          <w:rFonts w:hint="eastAsia"/>
          <w:color w:val="auto"/>
          <w:sz w:val="24"/>
          <w:szCs w:val="32"/>
        </w:rPr>
        <w:t>基层卫生院通常不涉及</w:t>
      </w:r>
      <w:r>
        <w:rPr>
          <w:rFonts w:hint="eastAsia"/>
          <w:color w:val="auto"/>
          <w:sz w:val="24"/>
          <w:szCs w:val="32"/>
          <w:lang w:eastAsia="zh-CN"/>
        </w:rPr>
        <w:t>）</w:t>
      </w:r>
      <w:r>
        <w:rPr>
          <w:rFonts w:hint="eastAsia"/>
          <w:color w:val="auto"/>
          <w:sz w:val="24"/>
          <w:szCs w:val="32"/>
        </w:rPr>
        <w:t xml:space="preserve">  </w:t>
      </w:r>
    </w:p>
    <w:p w14:paraId="2B416166">
      <w:pPr>
        <w:rPr>
          <w:rFonts w:hint="eastAsia"/>
          <w:color w:val="auto"/>
          <w:sz w:val="24"/>
          <w:szCs w:val="32"/>
        </w:rPr>
      </w:pPr>
    </w:p>
    <w:p w14:paraId="4347C8D5">
      <w:pPr>
        <w:rPr>
          <w:rFonts w:hint="eastAsia"/>
          <w:color w:val="auto"/>
          <w:sz w:val="24"/>
          <w:szCs w:val="32"/>
        </w:rPr>
      </w:pPr>
      <w:r>
        <w:rPr>
          <w:rFonts w:hint="eastAsia"/>
          <w:color w:val="auto"/>
          <w:sz w:val="24"/>
          <w:szCs w:val="32"/>
          <w:lang w:eastAsia="zh-CN"/>
        </w:rPr>
        <w:t>五</w:t>
      </w:r>
      <w:r>
        <w:rPr>
          <w:rFonts w:hint="eastAsia"/>
          <w:color w:val="auto"/>
          <w:sz w:val="24"/>
          <w:szCs w:val="32"/>
        </w:rPr>
        <w:t xml:space="preserve">、部门整体支出绩效情况   </w:t>
      </w:r>
    </w:p>
    <w:p w14:paraId="59190B12">
      <w:pPr>
        <w:rPr>
          <w:rFonts w:hint="eastAsia"/>
          <w:color w:val="auto"/>
          <w:sz w:val="24"/>
          <w:szCs w:val="32"/>
        </w:rPr>
      </w:pPr>
      <w:r>
        <w:rPr>
          <w:rFonts w:hint="eastAsia"/>
          <w:color w:val="auto"/>
          <w:sz w:val="24"/>
          <w:szCs w:val="32"/>
        </w:rPr>
        <w:t>1. 运行成本：人均诊疗成本同比下降</w:t>
      </w:r>
      <w:r>
        <w:rPr>
          <w:rFonts w:hint="eastAsia"/>
          <w:color w:val="auto"/>
          <w:sz w:val="24"/>
          <w:szCs w:val="32"/>
          <w:lang w:val="en-US" w:eastAsia="zh-CN"/>
        </w:rPr>
        <w:t>3.35</w:t>
      </w:r>
      <w:r>
        <w:rPr>
          <w:rFonts w:hint="eastAsia"/>
          <w:color w:val="auto"/>
          <w:sz w:val="24"/>
          <w:szCs w:val="32"/>
        </w:rPr>
        <w:t>%，药占比控制在</w:t>
      </w:r>
      <w:r>
        <w:rPr>
          <w:rFonts w:hint="eastAsia"/>
          <w:color w:val="auto"/>
          <w:sz w:val="24"/>
          <w:szCs w:val="32"/>
          <w:lang w:val="en-US" w:eastAsia="zh-CN"/>
        </w:rPr>
        <w:t>50%</w:t>
      </w:r>
      <w:r>
        <w:rPr>
          <w:rFonts w:hint="eastAsia"/>
          <w:color w:val="auto"/>
          <w:sz w:val="24"/>
          <w:szCs w:val="32"/>
        </w:rPr>
        <w:t xml:space="preserve">。  </w:t>
      </w:r>
    </w:p>
    <w:p w14:paraId="1E6D9850">
      <w:pPr>
        <w:rPr>
          <w:rFonts w:hint="eastAsia"/>
          <w:color w:val="auto"/>
          <w:sz w:val="24"/>
          <w:szCs w:val="32"/>
        </w:rPr>
      </w:pPr>
      <w:r>
        <w:rPr>
          <w:rFonts w:hint="eastAsia"/>
          <w:color w:val="auto"/>
          <w:sz w:val="24"/>
          <w:szCs w:val="32"/>
        </w:rPr>
        <w:t>2. 管理效率：医保资金使用合规率100%，预算执行率</w:t>
      </w:r>
      <w:r>
        <w:rPr>
          <w:rFonts w:hint="eastAsia"/>
          <w:color w:val="auto"/>
          <w:sz w:val="24"/>
          <w:szCs w:val="32"/>
          <w:lang w:val="en-US" w:eastAsia="zh-CN"/>
        </w:rPr>
        <w:t>100</w:t>
      </w:r>
      <w:r>
        <w:rPr>
          <w:rFonts w:hint="eastAsia"/>
          <w:color w:val="auto"/>
          <w:sz w:val="24"/>
          <w:szCs w:val="32"/>
        </w:rPr>
        <w:t xml:space="preserve">%。  </w:t>
      </w:r>
    </w:p>
    <w:p w14:paraId="0CC5BE33">
      <w:pPr>
        <w:rPr>
          <w:rFonts w:hint="eastAsia"/>
          <w:color w:val="auto"/>
          <w:sz w:val="24"/>
          <w:szCs w:val="32"/>
        </w:rPr>
      </w:pPr>
      <w:r>
        <w:rPr>
          <w:rFonts w:hint="eastAsia"/>
          <w:color w:val="auto"/>
          <w:sz w:val="24"/>
          <w:szCs w:val="32"/>
        </w:rPr>
        <w:t xml:space="preserve">3. 履职效能：  </w:t>
      </w:r>
    </w:p>
    <w:p w14:paraId="16E5244F">
      <w:pPr>
        <w:rPr>
          <w:rFonts w:hint="default" w:eastAsia="宋体"/>
          <w:color w:val="auto"/>
          <w:sz w:val="24"/>
          <w:szCs w:val="32"/>
          <w:lang w:val="en-US" w:eastAsia="zh-CN"/>
        </w:rPr>
      </w:pPr>
      <w:r>
        <w:rPr>
          <w:rFonts w:hint="eastAsia"/>
          <w:color w:val="auto"/>
          <w:sz w:val="24"/>
          <w:szCs w:val="32"/>
        </w:rPr>
        <w:t xml:space="preserve">   医疗服务质量：门诊人次同比增长</w:t>
      </w:r>
      <w:r>
        <w:rPr>
          <w:rFonts w:hint="eastAsia"/>
          <w:color w:val="auto"/>
          <w:sz w:val="24"/>
          <w:szCs w:val="32"/>
          <w:lang w:val="en-US" w:eastAsia="zh-CN"/>
        </w:rPr>
        <w:t>22.5</w:t>
      </w:r>
      <w:r>
        <w:rPr>
          <w:rFonts w:hint="eastAsia"/>
          <w:color w:val="auto"/>
          <w:sz w:val="24"/>
          <w:szCs w:val="32"/>
        </w:rPr>
        <w:t>%</w:t>
      </w:r>
      <w:r>
        <w:rPr>
          <w:rFonts w:hint="eastAsia"/>
          <w:color w:val="auto"/>
          <w:sz w:val="24"/>
          <w:szCs w:val="32"/>
          <w:lang w:eastAsia="zh-CN"/>
        </w:rPr>
        <w:t>。抗生素使用合格率</w:t>
      </w:r>
      <w:r>
        <w:rPr>
          <w:rFonts w:hint="eastAsia"/>
          <w:color w:val="auto"/>
          <w:sz w:val="24"/>
          <w:szCs w:val="32"/>
        </w:rPr>
        <w:t>≥</w:t>
      </w:r>
      <w:r>
        <w:rPr>
          <w:rFonts w:hint="eastAsia"/>
          <w:color w:val="auto"/>
          <w:sz w:val="24"/>
          <w:szCs w:val="32"/>
          <w:lang w:val="en-US" w:eastAsia="zh-CN"/>
        </w:rPr>
        <w:t>90%；</w:t>
      </w:r>
    </w:p>
    <w:p w14:paraId="05E23BA9">
      <w:pPr>
        <w:rPr>
          <w:rFonts w:hint="default" w:eastAsia="宋体"/>
          <w:color w:val="auto"/>
          <w:sz w:val="24"/>
          <w:szCs w:val="32"/>
          <w:lang w:val="en-US" w:eastAsia="zh-CN"/>
        </w:rPr>
      </w:pPr>
      <w:r>
        <w:rPr>
          <w:rFonts w:hint="eastAsia"/>
          <w:color w:val="auto"/>
          <w:sz w:val="24"/>
          <w:szCs w:val="32"/>
        </w:rPr>
        <w:t xml:space="preserve">   公卫服务：</w:t>
      </w:r>
      <w:r>
        <w:rPr>
          <w:rFonts w:hint="eastAsia"/>
          <w:color w:val="auto"/>
          <w:sz w:val="24"/>
          <w:szCs w:val="32"/>
          <w:lang w:eastAsia="zh-CN"/>
        </w:rPr>
        <w:t>高血压患者管理率</w:t>
      </w:r>
      <w:r>
        <w:rPr>
          <w:rFonts w:hint="eastAsia"/>
          <w:color w:val="auto"/>
          <w:sz w:val="24"/>
          <w:szCs w:val="32"/>
        </w:rPr>
        <w:t>≥</w:t>
      </w:r>
      <w:r>
        <w:rPr>
          <w:rFonts w:hint="eastAsia"/>
          <w:color w:val="auto"/>
          <w:sz w:val="24"/>
          <w:szCs w:val="32"/>
          <w:lang w:val="en-US" w:eastAsia="zh-CN"/>
        </w:rPr>
        <w:t>96.23%；超目标7.23个百分点。</w:t>
      </w:r>
    </w:p>
    <w:p w14:paraId="5D4CDE56">
      <w:pPr>
        <w:rPr>
          <w:rFonts w:hint="eastAsia"/>
          <w:color w:val="auto"/>
          <w:sz w:val="24"/>
          <w:szCs w:val="32"/>
        </w:rPr>
      </w:pPr>
      <w:r>
        <w:rPr>
          <w:rFonts w:hint="eastAsia"/>
          <w:color w:val="auto"/>
          <w:sz w:val="24"/>
          <w:szCs w:val="32"/>
        </w:rPr>
        <w:t>4. 社会效应：辖区居民健康知识知晓率提升至</w:t>
      </w:r>
      <w:r>
        <w:rPr>
          <w:rFonts w:hint="eastAsia"/>
          <w:color w:val="auto"/>
          <w:sz w:val="24"/>
          <w:szCs w:val="32"/>
          <w:lang w:val="en-US" w:eastAsia="zh-CN"/>
        </w:rPr>
        <w:t>92</w:t>
      </w:r>
      <w:r>
        <w:rPr>
          <w:rFonts w:hint="eastAsia"/>
          <w:color w:val="auto"/>
          <w:sz w:val="24"/>
          <w:szCs w:val="32"/>
        </w:rPr>
        <w:t xml:space="preserve">%。  </w:t>
      </w:r>
    </w:p>
    <w:p w14:paraId="3E8F994B">
      <w:pPr>
        <w:rPr>
          <w:rFonts w:hint="eastAsia"/>
          <w:color w:val="auto"/>
          <w:sz w:val="24"/>
          <w:szCs w:val="32"/>
        </w:rPr>
      </w:pPr>
      <w:r>
        <w:rPr>
          <w:rFonts w:hint="eastAsia"/>
          <w:color w:val="auto"/>
          <w:sz w:val="24"/>
          <w:szCs w:val="32"/>
        </w:rPr>
        <w:t>5. 满意度：患者满意度调查得分</w:t>
      </w:r>
      <w:r>
        <w:rPr>
          <w:rFonts w:hint="eastAsia"/>
          <w:color w:val="auto"/>
          <w:sz w:val="24"/>
          <w:szCs w:val="32"/>
          <w:lang w:val="en-US" w:eastAsia="zh-CN"/>
        </w:rPr>
        <w:t>95</w:t>
      </w:r>
      <w:r>
        <w:rPr>
          <w:rFonts w:hint="eastAsia"/>
          <w:color w:val="auto"/>
          <w:sz w:val="24"/>
          <w:szCs w:val="32"/>
        </w:rPr>
        <w:t xml:space="preserve">分。  </w:t>
      </w:r>
    </w:p>
    <w:p w14:paraId="5A73605F">
      <w:pPr>
        <w:rPr>
          <w:rFonts w:hint="eastAsia"/>
          <w:color w:val="auto"/>
          <w:sz w:val="24"/>
          <w:szCs w:val="32"/>
        </w:rPr>
      </w:pPr>
    </w:p>
    <w:p w14:paraId="6E6BA192">
      <w:pPr>
        <w:rPr>
          <w:rFonts w:hint="eastAsia"/>
          <w:color w:val="auto"/>
          <w:sz w:val="24"/>
          <w:szCs w:val="32"/>
        </w:rPr>
      </w:pPr>
      <w:r>
        <w:rPr>
          <w:rFonts w:hint="eastAsia"/>
          <w:color w:val="auto"/>
          <w:sz w:val="24"/>
          <w:szCs w:val="32"/>
          <w:lang w:eastAsia="zh-CN"/>
        </w:rPr>
        <w:t>六</w:t>
      </w:r>
      <w:r>
        <w:rPr>
          <w:rFonts w:hint="eastAsia"/>
          <w:color w:val="auto"/>
          <w:sz w:val="24"/>
          <w:szCs w:val="32"/>
        </w:rPr>
        <w:t xml:space="preserve">、存在的问题及原因分析  </w:t>
      </w:r>
    </w:p>
    <w:p w14:paraId="3BCFD4B0">
      <w:pPr>
        <w:rPr>
          <w:rFonts w:hint="eastAsia"/>
          <w:color w:val="auto"/>
          <w:sz w:val="24"/>
          <w:szCs w:val="32"/>
          <w:lang w:val="en-US" w:eastAsia="zh-CN"/>
        </w:rPr>
      </w:pPr>
      <w:r>
        <w:rPr>
          <w:rFonts w:hint="eastAsia"/>
          <w:color w:val="auto"/>
          <w:sz w:val="24"/>
          <w:szCs w:val="32"/>
          <w:lang w:val="en-US" w:eastAsia="zh-CN"/>
        </w:rPr>
        <w:t>1、服务能力还有待提升。目前我院外科、妇科和儿科力量相当薄弱，外科未开展,妇科和儿科业务开展较少，远不能满足患者的需求。</w:t>
      </w:r>
    </w:p>
    <w:p w14:paraId="7420ED46">
      <w:pPr>
        <w:rPr>
          <w:rFonts w:hint="eastAsia"/>
          <w:color w:val="auto"/>
          <w:sz w:val="24"/>
          <w:szCs w:val="32"/>
          <w:lang w:val="en-US" w:eastAsia="zh-CN"/>
        </w:rPr>
      </w:pPr>
      <w:r>
        <w:rPr>
          <w:rFonts w:hint="eastAsia"/>
          <w:color w:val="auto"/>
          <w:sz w:val="24"/>
          <w:szCs w:val="32"/>
          <w:lang w:val="en-US" w:eastAsia="zh-CN"/>
        </w:rPr>
        <w:t>2、人才培养有待加强。医院真正独挡一面的人才缺乏。尤其是外科、妇科、五官口腔科人才缺乏。</w:t>
      </w:r>
    </w:p>
    <w:p w14:paraId="0B18CD23">
      <w:pPr>
        <w:rPr>
          <w:rFonts w:hint="eastAsia"/>
          <w:color w:val="auto"/>
          <w:sz w:val="24"/>
          <w:szCs w:val="32"/>
          <w:lang w:val="en-US" w:eastAsia="zh-CN"/>
        </w:rPr>
      </w:pPr>
      <w:r>
        <w:rPr>
          <w:rFonts w:hint="eastAsia"/>
          <w:color w:val="auto"/>
          <w:sz w:val="24"/>
          <w:szCs w:val="32"/>
          <w:lang w:val="en-US" w:eastAsia="zh-CN"/>
        </w:rPr>
        <w:t>3、基本公卫工作与临床有效衔接还待加强，基本公卫工作还需进一步做实做细。</w:t>
      </w:r>
    </w:p>
    <w:p w14:paraId="70AE8D6C">
      <w:pPr>
        <w:rPr>
          <w:rFonts w:hint="eastAsia"/>
          <w:color w:val="auto"/>
          <w:sz w:val="24"/>
          <w:szCs w:val="32"/>
          <w:lang w:val="en-US" w:eastAsia="zh-CN"/>
        </w:rPr>
      </w:pPr>
      <w:r>
        <w:rPr>
          <w:rFonts w:hint="eastAsia"/>
          <w:color w:val="auto"/>
          <w:sz w:val="24"/>
          <w:szCs w:val="32"/>
          <w:lang w:val="en-US" w:eastAsia="zh-CN"/>
        </w:rPr>
        <w:t>4、医院管理还比较粗犷，有待进一步精细化和规范化管理。</w:t>
      </w:r>
    </w:p>
    <w:p w14:paraId="47518630">
      <w:pPr>
        <w:rPr>
          <w:rFonts w:hint="eastAsia"/>
          <w:color w:val="auto"/>
          <w:sz w:val="24"/>
          <w:szCs w:val="32"/>
          <w:lang w:val="en-US" w:eastAsia="zh-CN"/>
        </w:rPr>
      </w:pPr>
    </w:p>
    <w:p w14:paraId="26046CB3">
      <w:pPr>
        <w:rPr>
          <w:rFonts w:hint="eastAsia"/>
          <w:color w:val="auto"/>
          <w:sz w:val="24"/>
          <w:szCs w:val="32"/>
          <w:lang w:val="en-US" w:eastAsia="zh-CN"/>
        </w:rPr>
      </w:pPr>
      <w:r>
        <w:rPr>
          <w:rFonts w:hint="eastAsia"/>
          <w:color w:val="auto"/>
          <w:sz w:val="24"/>
          <w:szCs w:val="32"/>
          <w:lang w:eastAsia="zh-CN"/>
        </w:rPr>
        <w:t>七</w:t>
      </w:r>
      <w:r>
        <w:rPr>
          <w:rFonts w:hint="eastAsia"/>
          <w:color w:val="auto"/>
          <w:sz w:val="24"/>
          <w:szCs w:val="32"/>
        </w:rPr>
        <w:t xml:space="preserve">、下一步改进措施    </w:t>
      </w:r>
    </w:p>
    <w:p w14:paraId="50F1BB3F">
      <w:pPr>
        <w:rPr>
          <w:rFonts w:hint="eastAsia"/>
          <w:color w:val="auto"/>
          <w:sz w:val="24"/>
          <w:szCs w:val="32"/>
          <w:lang w:val="en-US" w:eastAsia="zh-CN"/>
        </w:rPr>
      </w:pPr>
      <w:r>
        <w:rPr>
          <w:rFonts w:hint="eastAsia"/>
          <w:color w:val="auto"/>
          <w:sz w:val="24"/>
          <w:szCs w:val="32"/>
          <w:lang w:val="en-US" w:eastAsia="zh-CN"/>
        </w:rPr>
        <w:t>1.三医包村实效化。挂钩村卫生室经费，降低市域外转率，强化家庭医生签约服务落地。</w:t>
      </w:r>
    </w:p>
    <w:p w14:paraId="5EEA9EF1">
      <w:pPr>
        <w:rPr>
          <w:rFonts w:hint="eastAsia"/>
          <w:color w:val="auto"/>
          <w:sz w:val="24"/>
          <w:szCs w:val="32"/>
          <w:lang w:val="en-US" w:eastAsia="zh-CN"/>
        </w:rPr>
      </w:pPr>
      <w:r>
        <w:rPr>
          <w:rFonts w:hint="eastAsia"/>
          <w:color w:val="auto"/>
          <w:sz w:val="24"/>
          <w:szCs w:val="32"/>
          <w:lang w:val="en-US" w:eastAsia="zh-CN"/>
        </w:rPr>
        <w:t>2.医防融合深化。临床医师参与公卫管理，优化流程，解决服务人口多与人力不足矛盾。</w:t>
      </w:r>
    </w:p>
    <w:p w14:paraId="74AC4210">
      <w:pPr>
        <w:rPr>
          <w:rFonts w:hint="eastAsia"/>
          <w:color w:val="auto"/>
          <w:sz w:val="24"/>
          <w:szCs w:val="32"/>
          <w:lang w:val="en-US" w:eastAsia="zh-CN"/>
        </w:rPr>
      </w:pPr>
      <w:r>
        <w:rPr>
          <w:rFonts w:hint="eastAsia"/>
          <w:color w:val="auto"/>
          <w:sz w:val="24"/>
          <w:szCs w:val="32"/>
          <w:lang w:val="en-US" w:eastAsia="zh-CN"/>
        </w:rPr>
        <w:t>3精细化管理升级。完善制度与绩效考核，加强财务管控，激发职工积极性。</w:t>
      </w:r>
    </w:p>
    <w:p w14:paraId="64A91CA9">
      <w:pPr>
        <w:rPr>
          <w:rFonts w:hint="eastAsia"/>
          <w:color w:val="auto"/>
          <w:sz w:val="24"/>
          <w:szCs w:val="32"/>
          <w:lang w:val="en-US" w:eastAsia="zh-CN"/>
        </w:rPr>
      </w:pPr>
    </w:p>
    <w:p w14:paraId="5703641B">
      <w:pPr>
        <w:rPr>
          <w:rFonts w:hint="eastAsia"/>
          <w:color w:val="auto"/>
          <w:sz w:val="24"/>
          <w:szCs w:val="32"/>
          <w:lang w:val="en-US" w:eastAsia="zh-CN"/>
        </w:rPr>
      </w:pPr>
    </w:p>
    <w:p w14:paraId="5BC76F18">
      <w:pPr>
        <w:rPr>
          <w:rFonts w:hint="eastAsia"/>
          <w:color w:val="auto"/>
          <w:sz w:val="24"/>
          <w:szCs w:val="32"/>
        </w:rPr>
      </w:pPr>
      <w:r>
        <w:rPr>
          <w:rFonts w:hint="eastAsia"/>
          <w:color w:val="auto"/>
          <w:sz w:val="24"/>
          <w:szCs w:val="32"/>
        </w:rPr>
        <w:t xml:space="preserve"> </w:t>
      </w:r>
    </w:p>
    <w:p w14:paraId="3E30980D">
      <w:pPr>
        <w:rPr>
          <w:rFonts w:hint="eastAsia"/>
          <w:color w:val="auto"/>
          <w:sz w:val="24"/>
          <w:szCs w:val="32"/>
        </w:rPr>
      </w:pPr>
      <w:r>
        <w:rPr>
          <w:rFonts w:hint="eastAsia"/>
          <w:color w:val="auto"/>
          <w:sz w:val="24"/>
          <w:szCs w:val="32"/>
          <w:lang w:eastAsia="zh-CN"/>
        </w:rPr>
        <w:t>八</w:t>
      </w:r>
      <w:r>
        <w:rPr>
          <w:rFonts w:hint="eastAsia"/>
          <w:color w:val="auto"/>
          <w:sz w:val="24"/>
          <w:szCs w:val="32"/>
        </w:rPr>
        <w:t xml:space="preserve">、绩效自评结果拟应用和公开情况  </w:t>
      </w:r>
    </w:p>
    <w:p w14:paraId="5CF05073">
      <w:pPr>
        <w:rPr>
          <w:rFonts w:hint="eastAsia"/>
          <w:color w:val="auto"/>
          <w:sz w:val="24"/>
          <w:szCs w:val="32"/>
        </w:rPr>
      </w:pPr>
      <w:r>
        <w:rPr>
          <w:rFonts w:hint="eastAsia"/>
          <w:color w:val="auto"/>
          <w:sz w:val="24"/>
          <w:szCs w:val="32"/>
        </w:rPr>
        <w:t xml:space="preserve">等级：优秀。  </w:t>
      </w:r>
    </w:p>
    <w:p w14:paraId="7EE3FAC5">
      <w:pPr>
        <w:rPr>
          <w:color w:val="auto"/>
          <w:sz w:val="24"/>
          <w:szCs w:val="32"/>
        </w:rPr>
      </w:pPr>
      <w:r>
        <w:rPr>
          <w:rFonts w:hint="eastAsia"/>
          <w:color w:val="auto"/>
          <w:sz w:val="24"/>
          <w:szCs w:val="32"/>
        </w:rPr>
        <w:t xml:space="preserve"> </w:t>
      </w:r>
    </w:p>
    <w:p w14:paraId="3AD8A39C">
      <w:pPr>
        <w:pStyle w:val="12"/>
        <w:spacing w:line="600" w:lineRule="exact"/>
        <w:ind w:firstLine="640" w:firstLineChars="200"/>
        <w:rPr>
          <w:rFonts w:ascii="Times New Roman" w:hAnsi="Times New Roman" w:eastAsia="仿宋_GB2312" w:cs="Times New Roman"/>
          <w:color w:val="auto"/>
          <w:sz w:val="32"/>
          <w:szCs w:val="32"/>
        </w:rPr>
      </w:pPr>
    </w:p>
    <w:p w14:paraId="5182CA6A">
      <w:pPr>
        <w:pStyle w:val="12"/>
        <w:spacing w:line="600" w:lineRule="exact"/>
        <w:ind w:firstLine="640" w:firstLineChars="200"/>
        <w:rPr>
          <w:rFonts w:ascii="Times New Roman" w:hAnsi="Times New Roman" w:cs="Times New Roman"/>
          <w:color w:val="auto"/>
          <w:kern w:val="0"/>
          <w:sz w:val="32"/>
          <w:szCs w:val="32"/>
        </w:rPr>
      </w:pPr>
      <w:r>
        <w:rPr>
          <w:rFonts w:hint="eastAsia" w:ascii="Times New Roman" w:hAnsi="Times New Roman" w:eastAsia="仿宋_GB2312" w:cs="Times New Roman"/>
          <w:color w:val="auto"/>
          <w:sz w:val="32"/>
          <w:szCs w:val="32"/>
          <w:lang w:eastAsia="zh-CN"/>
        </w:rPr>
        <w:t>二、</w:t>
      </w:r>
      <w:r>
        <w:rPr>
          <w:rFonts w:hint="eastAsia" w:ascii="Times New Roman" w:hAnsi="Times New Roman" w:eastAsia="仿宋_GB2312" w:cs="Times New Roman"/>
          <w:color w:val="auto"/>
          <w:sz w:val="32"/>
          <w:szCs w:val="32"/>
          <w:lang w:val="en-US" w:eastAsia="zh-CN"/>
        </w:rPr>
        <w:t>2024年蓝山县塔峰镇中心卫生院决算公开表</w:t>
      </w: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C5ACB">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C19F8">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D3CF2">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941075">
                          <w:pPr>
                            <w:pStyle w:val="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3941075">
                    <w:pPr>
                      <w:pStyle w:val="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42E83A"/>
    <w:multiLevelType w:val="singleLevel"/>
    <w:tmpl w:val="BD42E83A"/>
    <w:lvl w:ilvl="0" w:tentative="0">
      <w:start w:val="1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2612A2"/>
    <w:rsid w:val="0DB354D4"/>
    <w:rsid w:val="12007B4E"/>
    <w:rsid w:val="12EC06AD"/>
    <w:rsid w:val="15BC44EF"/>
    <w:rsid w:val="18356139"/>
    <w:rsid w:val="1D97DEFF"/>
    <w:rsid w:val="1DCF2827"/>
    <w:rsid w:val="1DFF72E5"/>
    <w:rsid w:val="1EFC6F07"/>
    <w:rsid w:val="208610ED"/>
    <w:rsid w:val="22621291"/>
    <w:rsid w:val="245B65CD"/>
    <w:rsid w:val="2B2B5D1A"/>
    <w:rsid w:val="2FDF85B8"/>
    <w:rsid w:val="2FFFEE04"/>
    <w:rsid w:val="33232CF8"/>
    <w:rsid w:val="34DF85B0"/>
    <w:rsid w:val="39841A5A"/>
    <w:rsid w:val="3986639D"/>
    <w:rsid w:val="3B8F36BC"/>
    <w:rsid w:val="3FA96813"/>
    <w:rsid w:val="46FE6CA1"/>
    <w:rsid w:val="47B83171"/>
    <w:rsid w:val="491FF225"/>
    <w:rsid w:val="4CDC0C63"/>
    <w:rsid w:val="4FFD214C"/>
    <w:rsid w:val="541D24C1"/>
    <w:rsid w:val="563252F1"/>
    <w:rsid w:val="5777D4F5"/>
    <w:rsid w:val="59DD8326"/>
    <w:rsid w:val="5B754496"/>
    <w:rsid w:val="5BFC7EC1"/>
    <w:rsid w:val="5DEF592A"/>
    <w:rsid w:val="5FC6BB1E"/>
    <w:rsid w:val="5FF720F1"/>
    <w:rsid w:val="67FF5C0B"/>
    <w:rsid w:val="6EFC0924"/>
    <w:rsid w:val="6FB74722"/>
    <w:rsid w:val="6FEF8B7E"/>
    <w:rsid w:val="71A6591B"/>
    <w:rsid w:val="737D59BA"/>
    <w:rsid w:val="746D6FF7"/>
    <w:rsid w:val="77C37683"/>
    <w:rsid w:val="77D00808"/>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next w:val="7"/>
    <w:semiHidden/>
    <w:qFormat/>
    <w:uiPriority w:val="0"/>
    <w:pPr>
      <w:snapToGrid w:val="0"/>
      <w:jc w:val="left"/>
    </w:pPr>
    <w:rPr>
      <w:sz w:val="18"/>
      <w:szCs w:val="18"/>
    </w:rPr>
  </w:style>
  <w:style w:type="paragraph" w:styleId="7">
    <w:name w:val="Body Text First Indent 2"/>
    <w:basedOn w:val="2"/>
    <w:unhideWhenUsed/>
    <w:qFormat/>
    <w:uiPriority w:val="99"/>
    <w:pPr>
      <w:ind w:firstLine="420" w:firstLineChars="200"/>
    </w:p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3"/>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1398</Words>
  <Characters>1606</Characters>
  <Lines>69</Lines>
  <Paragraphs>19</Paragraphs>
  <TotalTime>22</TotalTime>
  <ScaleCrop>false</ScaleCrop>
  <LinksUpToDate>false</LinksUpToDate>
  <CharactersWithSpaces>1782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Administrator</cp:lastModifiedBy>
  <cp:lastPrinted>2024-08-08T18:20:00Z</cp:lastPrinted>
  <dcterms:modified xsi:type="dcterms:W3CDTF">2025-08-26T12:22:06Z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eyJoZGlkIjoiNzUwZTliZDIyZjg1Njk5YzY3ZmVkYWIxYjRlODI0NzMifQ==</vt:lpwstr>
  </property>
</Properties>
</file>