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outlineLvl w:val="9"/>
        <w:rPr>
          <w:rFonts w:ascii="仿宋_GB2312" w:hAnsi="仿宋_GB2312" w:eastAsia="仿宋_GB2312" w:cs="仿宋_GB2312"/>
          <w:sz w:val="28"/>
          <w:szCs w:val="28"/>
        </w:rPr>
      </w:pPr>
      <w:bookmarkStart w:id="0" w:name="_Toc339876871"/>
      <w:bookmarkStart w:id="1" w:name="_Toc338666136"/>
      <w:bookmarkStart w:id="2" w:name="_Toc338666324"/>
      <w:bookmarkStart w:id="3" w:name="_Toc338665990"/>
      <w:bookmarkStart w:id="4" w:name="_Toc338665977"/>
    </w:p>
    <w:p>
      <w:pPr>
        <w:keepNext w:val="0"/>
        <w:keepLines w:val="0"/>
        <w:pageBreakBefore w:val="0"/>
        <w:widowControl w:val="0"/>
        <w:kinsoku/>
        <w:wordWrap/>
        <w:overflowPunct/>
        <w:topLinePunct w:val="0"/>
        <w:autoSpaceDE/>
        <w:autoSpaceDN/>
        <w:bidi w:val="0"/>
        <w:adjustRightInd/>
        <w:snapToGrid/>
        <w:spacing w:line="570" w:lineRule="exact"/>
        <w:ind w:left="0" w:leftChars="0" w:right="695" w:rightChars="331" w:firstLine="0" w:firstLineChars="0"/>
        <w:jc w:val="center"/>
        <w:textAlignment w:val="auto"/>
        <w:outlineLvl w:val="9"/>
        <w:rPr>
          <w:rFonts w:ascii="仿宋_GB2312" w:hAnsi="仿宋" w:eastAsia="仿宋_GB2312" w:cs="Courier New"/>
          <w:kern w:val="0"/>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outlineLvl w:val="9"/>
        <w:rPr>
          <w:rFonts w:ascii="方正小标宋简体" w:hAnsi="仿宋" w:eastAsia="方正小标宋简体"/>
          <w:sz w:val="28"/>
          <w:szCs w:val="28"/>
        </w:rPr>
      </w:pPr>
    </w:p>
    <w:p>
      <w:pPr>
        <w:pStyle w:val="13"/>
        <w:spacing w:before="0" w:after="0" w:line="570" w:lineRule="exact"/>
        <w:rPr>
          <w:rFonts w:ascii="方正小标宋简体" w:hAnsi="宋体" w:eastAsia="方正小标宋简体" w:cs="宋体"/>
          <w:b w:val="0"/>
          <w:sz w:val="36"/>
          <w:szCs w:val="36"/>
        </w:rPr>
      </w:pPr>
      <w:r>
        <w:rPr>
          <w:rFonts w:hint="eastAsia" w:ascii="方正小标宋简体" w:hAnsi="宋体" w:eastAsia="方正小标宋简体" w:cs="宋体"/>
          <w:b w:val="0"/>
          <w:sz w:val="36"/>
          <w:szCs w:val="36"/>
        </w:rPr>
        <w:t>蓝山县</w:t>
      </w:r>
      <w:bookmarkEnd w:id="0"/>
      <w:bookmarkEnd w:id="1"/>
      <w:bookmarkEnd w:id="2"/>
      <w:bookmarkEnd w:id="3"/>
      <w:bookmarkEnd w:id="4"/>
      <w:r>
        <w:rPr>
          <w:rFonts w:hint="eastAsia" w:ascii="方正小标宋简体" w:hAnsi="宋体" w:eastAsia="方正小标宋简体" w:cs="宋体"/>
          <w:b w:val="0"/>
          <w:sz w:val="36"/>
          <w:szCs w:val="36"/>
        </w:rPr>
        <w:t>科工局</w:t>
      </w:r>
      <w:r>
        <w:rPr>
          <w:rFonts w:hint="eastAsia" w:ascii="Times New Roman" w:hAnsi="Times New Roman" w:eastAsia="方正小标宋简体" w:cs="Times New Roman"/>
          <w:b w:val="0"/>
          <w:sz w:val="36"/>
          <w:szCs w:val="36"/>
        </w:rPr>
        <w:t>2019</w:t>
      </w:r>
      <w:r>
        <w:rPr>
          <w:rFonts w:hint="eastAsia" w:ascii="方正小标宋简体" w:hAnsi="宋体" w:eastAsia="方正小标宋简体" w:cs="宋体"/>
          <w:b w:val="0"/>
          <w:sz w:val="36"/>
          <w:szCs w:val="36"/>
        </w:rPr>
        <w:t>年度支持引进三类</w:t>
      </w:r>
      <w:r>
        <w:rPr>
          <w:rFonts w:hint="eastAsia" w:ascii="Times New Roman" w:hAnsi="Times New Roman" w:eastAsia="方正小标宋简体" w:cs="Times New Roman"/>
          <w:b w:val="0"/>
          <w:sz w:val="36"/>
          <w:szCs w:val="36"/>
        </w:rPr>
        <w:t>500</w:t>
      </w:r>
      <w:r>
        <w:rPr>
          <w:rFonts w:hint="eastAsia" w:ascii="方正小标宋简体" w:hAnsi="宋体" w:eastAsia="方正小标宋简体" w:cs="宋体"/>
          <w:b w:val="0"/>
          <w:sz w:val="36"/>
          <w:szCs w:val="36"/>
        </w:rPr>
        <w:t>强项目</w:t>
      </w:r>
    </w:p>
    <w:p>
      <w:pPr>
        <w:pStyle w:val="13"/>
        <w:spacing w:before="0" w:after="0" w:line="570" w:lineRule="exact"/>
        <w:rPr>
          <w:rFonts w:ascii="方正小标宋简体" w:hAnsi="宋体" w:eastAsia="方正小标宋简体" w:cs="宋体"/>
          <w:b w:val="0"/>
          <w:sz w:val="36"/>
          <w:szCs w:val="36"/>
        </w:rPr>
      </w:pPr>
      <w:r>
        <w:rPr>
          <w:rFonts w:hint="eastAsia" w:ascii="方正小标宋简体" w:hAnsi="宋体" w:eastAsia="方正小标宋简体" w:cs="宋体"/>
          <w:b w:val="0"/>
          <w:sz w:val="36"/>
          <w:szCs w:val="36"/>
        </w:rPr>
        <w:t>专项资金绩效评价报告</w:t>
      </w:r>
    </w:p>
    <w:p>
      <w:pPr>
        <w:keepNext w:val="0"/>
        <w:keepLines w:val="0"/>
        <w:pageBreakBefore w:val="0"/>
        <w:widowControl w:val="0"/>
        <w:kinsoku/>
        <w:wordWrap/>
        <w:overflowPunct/>
        <w:topLinePunct w:val="0"/>
        <w:autoSpaceDE/>
        <w:autoSpaceDN/>
        <w:bidi w:val="0"/>
        <w:adjustRightInd/>
        <w:snapToGrid/>
        <w:spacing w:line="570" w:lineRule="exact"/>
        <w:ind w:left="0" w:leftChars="0" w:right="-334" w:rightChars="-159" w:firstLine="0" w:firstLineChars="0"/>
        <w:jc w:val="right"/>
        <w:textAlignment w:val="auto"/>
        <w:outlineLvl w:val="9"/>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334" w:rightChars="-159" w:firstLine="0" w:firstLineChars="0"/>
        <w:jc w:val="right"/>
        <w:textAlignment w:val="auto"/>
        <w:outlineLvl w:val="9"/>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334" w:rightChars="-159" w:firstLine="0" w:firstLineChars="0"/>
        <w:jc w:val="right"/>
        <w:textAlignment w:val="auto"/>
        <w:outlineLvl w:val="9"/>
        <w:rPr>
          <w:rFonts w:ascii="仿宋_GB2312" w:hAnsi="仿宋" w:eastAsia="仿宋_GB2312"/>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keepNext w:val="0"/>
        <w:keepLines w:val="0"/>
        <w:pageBreakBefore w:val="0"/>
        <w:widowControl/>
        <w:kinsoku/>
        <w:wordWrap/>
        <w:overflowPunct/>
        <w:topLinePunct w:val="0"/>
        <w:autoSpaceDE/>
        <w:autoSpaceDN/>
        <w:bidi w:val="0"/>
        <w:spacing w:line="570" w:lineRule="exact"/>
        <w:ind w:left="0" w:leftChars="0" w:right="0" w:rightChars="0"/>
        <w:jc w:val="both"/>
        <w:textAlignment w:val="auto"/>
        <w:outlineLvl w:val="9"/>
        <w:rPr>
          <w:rFonts w:hint="eastAsia" w:ascii="方正仿宋_GB2312" w:hAnsi="方正仿宋_GB2312" w:eastAsia="方正仿宋_GB2312" w:cs="方正仿宋_GB2312"/>
          <w:sz w:val="30"/>
          <w:szCs w:val="30"/>
        </w:rPr>
      </w:pPr>
      <w:r>
        <w:rPr>
          <w:rFonts w:eastAsia="仿宋_GB2312"/>
          <w:sz w:val="32"/>
          <w:szCs w:val="32"/>
        </w:rPr>
        <w:t xml:space="preserve">    </w:t>
      </w:r>
      <w:r>
        <w:rPr>
          <w:rFonts w:hint="eastAsia" w:ascii="方正仿宋_GB2312" w:hAnsi="方正仿宋_GB2312" w:eastAsia="方正仿宋_GB2312" w:cs="方正仿宋_GB2312"/>
          <w:sz w:val="30"/>
          <w:szCs w:val="30"/>
        </w:rPr>
        <w:t>为进一步规范和加强财政专项资金管理，提高财政资金使用效益。根据《项目支出</w:t>
      </w:r>
      <w:bookmarkStart w:id="5" w:name="_GoBack"/>
      <w:bookmarkEnd w:id="5"/>
      <w:r>
        <w:rPr>
          <w:rFonts w:hint="eastAsia" w:ascii="方正仿宋_GB2312" w:hAnsi="方正仿宋_GB2312" w:eastAsia="方正仿宋_GB2312" w:cs="方正仿宋_GB2312"/>
          <w:sz w:val="30"/>
          <w:szCs w:val="30"/>
        </w:rPr>
        <w:t>绩效评价管理办法》（财预〔</w:t>
      </w:r>
      <w:r>
        <w:rPr>
          <w:rFonts w:hint="eastAsia" w:ascii="Times New Roman" w:hAnsi="Times New Roman" w:eastAsia="方正仿宋_GB2312" w:cs="方正仿宋_GB2312"/>
          <w:sz w:val="30"/>
          <w:szCs w:val="30"/>
        </w:rPr>
        <w:t>2020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10</w:t>
      </w:r>
      <w:r>
        <w:rPr>
          <w:rFonts w:hint="eastAsia" w:ascii="方正仿宋_GB2312" w:hAnsi="方正仿宋_GB2312" w:eastAsia="方正仿宋_GB2312" w:cs="方正仿宋_GB2312"/>
          <w:sz w:val="30"/>
          <w:szCs w:val="30"/>
        </w:rPr>
        <w:t>号）</w:t>
      </w:r>
      <w:r>
        <w:rPr>
          <w:rFonts w:hint="eastAsia" w:ascii="方正仿宋_GB2312" w:hAnsi="方正仿宋_GB2312" w:eastAsia="方正仿宋_GB2312" w:cs="方正仿宋_GB2312"/>
          <w:kern w:val="0"/>
          <w:sz w:val="30"/>
          <w:szCs w:val="30"/>
        </w:rPr>
        <w:t>、《湖南省人民政府关于全面推进预算绩效管理的意见》（湘政发〔</w:t>
      </w:r>
      <w:r>
        <w:rPr>
          <w:rFonts w:hint="eastAsia" w:ascii="Times New Roman" w:hAnsi="Times New Roman" w:eastAsia="方正仿宋_GB2312" w:cs="方正仿宋_GB2312"/>
          <w:kern w:val="0"/>
          <w:sz w:val="30"/>
          <w:szCs w:val="30"/>
        </w:rPr>
        <w:t>2012</w:t>
      </w:r>
      <w:r>
        <w:rPr>
          <w:rFonts w:hint="eastAsia" w:ascii="方正仿宋_GB2312" w:hAnsi="方正仿宋_GB2312" w:eastAsia="方正仿宋_GB2312" w:cs="方正仿宋_GB2312"/>
          <w:kern w:val="0"/>
          <w:sz w:val="30"/>
          <w:szCs w:val="30"/>
        </w:rPr>
        <w:t>〕</w:t>
      </w:r>
      <w:r>
        <w:rPr>
          <w:rFonts w:hint="eastAsia" w:ascii="Times New Roman" w:hAnsi="Times New Roman" w:eastAsia="方正仿宋_GB2312" w:cs="方正仿宋_GB2312"/>
          <w:kern w:val="0"/>
          <w:sz w:val="30"/>
          <w:szCs w:val="30"/>
        </w:rPr>
        <w:t>33</w:t>
      </w:r>
      <w:r>
        <w:rPr>
          <w:rFonts w:hint="eastAsia" w:ascii="方正仿宋_GB2312" w:hAnsi="方正仿宋_GB2312" w:eastAsia="方正仿宋_GB2312" w:cs="方正仿宋_GB2312"/>
          <w:kern w:val="0"/>
          <w:sz w:val="30"/>
          <w:szCs w:val="30"/>
        </w:rPr>
        <w:t>号）、《永州市人民政府关于全面推进预算绩效管理的实施意见》（永政发〔</w:t>
      </w:r>
      <w:r>
        <w:rPr>
          <w:rFonts w:hint="eastAsia" w:ascii="Times New Roman" w:hAnsi="Times New Roman" w:eastAsia="方正仿宋_GB2312" w:cs="方正仿宋_GB2312"/>
          <w:kern w:val="0"/>
          <w:sz w:val="30"/>
          <w:szCs w:val="30"/>
        </w:rPr>
        <w:t>2013</w:t>
      </w:r>
      <w:r>
        <w:rPr>
          <w:rFonts w:hint="eastAsia" w:ascii="方正仿宋_GB2312" w:hAnsi="方正仿宋_GB2312" w:eastAsia="方正仿宋_GB2312" w:cs="方正仿宋_GB2312"/>
          <w:kern w:val="0"/>
          <w:sz w:val="30"/>
          <w:szCs w:val="30"/>
        </w:rPr>
        <w:t>〕</w:t>
      </w:r>
      <w:r>
        <w:rPr>
          <w:rFonts w:hint="eastAsia" w:ascii="Times New Roman" w:hAnsi="Times New Roman" w:eastAsia="方正仿宋_GB2312" w:cs="方正仿宋_GB2312"/>
          <w:kern w:val="0"/>
          <w:sz w:val="30"/>
          <w:szCs w:val="30"/>
        </w:rPr>
        <w:t>24</w:t>
      </w:r>
      <w:r>
        <w:rPr>
          <w:rFonts w:hint="eastAsia" w:ascii="方正仿宋_GB2312" w:hAnsi="方正仿宋_GB2312" w:eastAsia="方正仿宋_GB2312" w:cs="方正仿宋_GB2312"/>
          <w:kern w:val="0"/>
          <w:sz w:val="30"/>
          <w:szCs w:val="30"/>
        </w:rPr>
        <w:t>号），结合《蓝山县财政局关于开展</w:t>
      </w:r>
      <w:r>
        <w:rPr>
          <w:rFonts w:hint="eastAsia" w:ascii="Times New Roman" w:hAnsi="Times New Roman" w:eastAsia="方正仿宋_GB2312" w:cs="方正仿宋_GB2312"/>
          <w:kern w:val="0"/>
          <w:sz w:val="30"/>
          <w:szCs w:val="30"/>
        </w:rPr>
        <w:t>2019</w:t>
      </w:r>
      <w:r>
        <w:rPr>
          <w:rFonts w:hint="eastAsia" w:ascii="方正仿宋_GB2312" w:hAnsi="方正仿宋_GB2312" w:eastAsia="方正仿宋_GB2312" w:cs="方正仿宋_GB2312"/>
          <w:kern w:val="0"/>
          <w:sz w:val="30"/>
          <w:szCs w:val="30"/>
        </w:rPr>
        <w:t>年重点绩效评价工作的通知（中介机构评价）》（蓝财绩〔</w:t>
      </w:r>
      <w:r>
        <w:rPr>
          <w:rFonts w:hint="eastAsia" w:ascii="Times New Roman" w:hAnsi="Times New Roman" w:eastAsia="方正仿宋_GB2312" w:cs="方正仿宋_GB2312"/>
          <w:kern w:val="0"/>
          <w:sz w:val="30"/>
          <w:szCs w:val="30"/>
        </w:rPr>
        <w:t>2020</w:t>
      </w:r>
      <w:r>
        <w:rPr>
          <w:rFonts w:hint="eastAsia" w:ascii="方正仿宋_GB2312" w:hAnsi="方正仿宋_GB2312" w:eastAsia="方正仿宋_GB2312" w:cs="方正仿宋_GB2312"/>
          <w:kern w:val="0"/>
          <w:sz w:val="30"/>
          <w:szCs w:val="30"/>
        </w:rPr>
        <w:t>〕</w:t>
      </w:r>
      <w:r>
        <w:rPr>
          <w:rFonts w:hint="eastAsia" w:ascii="Times New Roman" w:hAnsi="Times New Roman" w:eastAsia="方正仿宋_GB2312" w:cs="方正仿宋_GB2312"/>
          <w:kern w:val="0"/>
          <w:sz w:val="30"/>
          <w:szCs w:val="30"/>
        </w:rPr>
        <w:t>4</w:t>
      </w:r>
      <w:r>
        <w:rPr>
          <w:rFonts w:hint="eastAsia" w:ascii="方正仿宋_GB2312" w:hAnsi="方正仿宋_GB2312" w:eastAsia="方正仿宋_GB2312" w:cs="方正仿宋_GB2312"/>
          <w:kern w:val="0"/>
          <w:sz w:val="30"/>
          <w:szCs w:val="30"/>
        </w:rPr>
        <w:t>号）的要求</w:t>
      </w:r>
      <w:r>
        <w:rPr>
          <w:rFonts w:hint="eastAsia" w:ascii="方正仿宋_GB2312" w:hAnsi="方正仿宋_GB2312" w:eastAsia="方正仿宋_GB2312" w:cs="方正仿宋_GB2312"/>
          <w:sz w:val="30"/>
          <w:szCs w:val="30"/>
        </w:rPr>
        <w:t>，广东诚安信会计师事务所（特殊普通合伙）湖南分所接受蓝山县财政局的委托，本着独立、客观、公正、科学的原则，于</w:t>
      </w:r>
      <w:r>
        <w:rPr>
          <w:rFonts w:hint="eastAsia" w:ascii="Times New Roman" w:hAnsi="Times New Roman" w:eastAsia="方正仿宋_GB2312" w:cs="方正仿宋_GB2312"/>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方正仿宋_GB2312"/>
          <w:sz w:val="30"/>
          <w:szCs w:val="30"/>
        </w:rPr>
        <w:t>11</w:t>
      </w:r>
      <w:r>
        <w:rPr>
          <w:rFonts w:hint="eastAsia" w:ascii="方正仿宋_GB2312" w:hAnsi="方正仿宋_GB2312" w:eastAsia="方正仿宋_GB2312" w:cs="方正仿宋_GB2312"/>
          <w:sz w:val="30"/>
          <w:szCs w:val="30"/>
        </w:rPr>
        <w:t>月对蓝山县科工局</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年度本级安排支持引进三类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强项目专项资金实施绩效评价。根据财政支出绩效评价的有关规定，形成本绩效评价报告。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招商引资是促进产业升级、经济腾飞的主引擎，也是实现爬坡过坎、追赶超越的加速器，为推动蓝山县开放型经济发展，蓝山县财政安排专项工作经费</w:t>
      </w:r>
      <w:r>
        <w:rPr>
          <w:rFonts w:hint="eastAsia" w:ascii="Times New Roman" w:hAnsi="Times New Roman" w:eastAsia="方正仿宋_GB2312" w:cs="方正仿宋_GB2312"/>
          <w:bCs/>
          <w:sz w:val="30"/>
          <w:szCs w:val="30"/>
        </w:rPr>
        <w:t>139</w:t>
      </w:r>
      <w:r>
        <w:rPr>
          <w:rFonts w:hint="eastAsia" w:ascii="方正仿宋_GB2312" w:hAnsi="方正仿宋_GB2312" w:eastAsia="方正仿宋_GB2312" w:cs="方正仿宋_GB2312"/>
          <w:bCs/>
          <w:sz w:val="30"/>
          <w:szCs w:val="30"/>
        </w:rPr>
        <w:t>,</w:t>
      </w:r>
      <w:r>
        <w:rPr>
          <w:rFonts w:hint="eastAsia" w:ascii="Times New Roman" w:hAnsi="Times New Roman" w:eastAsia="方正仿宋_GB2312" w:cs="方正仿宋_GB2312"/>
          <w:bCs/>
          <w:sz w:val="30"/>
          <w:szCs w:val="30"/>
        </w:rPr>
        <w:t>537</w:t>
      </w:r>
      <w:r>
        <w:rPr>
          <w:rFonts w:hint="eastAsia" w:ascii="方正仿宋_GB2312" w:hAnsi="方正仿宋_GB2312" w:eastAsia="方正仿宋_GB2312" w:cs="方正仿宋_GB2312"/>
          <w:bCs/>
          <w:sz w:val="30"/>
          <w:szCs w:val="30"/>
        </w:rPr>
        <w:t>.</w:t>
      </w:r>
      <w:r>
        <w:rPr>
          <w:rFonts w:hint="eastAsia" w:ascii="Times New Roman" w:hAnsi="Times New Roman" w:eastAsia="方正仿宋_GB2312" w:cs="方正仿宋_GB2312"/>
          <w:bCs/>
          <w:sz w:val="30"/>
          <w:szCs w:val="30"/>
        </w:rPr>
        <w:t>00</w:t>
      </w:r>
      <w:r>
        <w:rPr>
          <w:rFonts w:hint="eastAsia" w:ascii="方正仿宋_GB2312" w:hAnsi="方正仿宋_GB2312" w:eastAsia="方正仿宋_GB2312" w:cs="方正仿宋_GB2312"/>
          <w:bCs/>
          <w:sz w:val="30"/>
          <w:szCs w:val="30"/>
        </w:rPr>
        <w:t>元用于支持引进“三类</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强”项目（世界</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强、中国</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强和民营</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强三类企业新设和新增的投资项目）企业落户。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pStyle w:val="12"/>
        <w:keepNext w:val="0"/>
        <w:keepLines w:val="0"/>
        <w:pageBreakBefore w:val="0"/>
        <w:tabs>
          <w:tab w:val="left" w:pos="830"/>
        </w:tabs>
        <w:kinsoku/>
        <w:wordWrap/>
        <w:overflowPunct/>
        <w:topLinePunct w:val="0"/>
        <w:autoSpaceDE/>
        <w:autoSpaceDN/>
        <w:bidi w:val="0"/>
        <w:spacing w:before="0" w:beforeAutospacing="0" w:after="0" w:afterAutospacing="0"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kern w:val="2"/>
          <w:sz w:val="30"/>
          <w:szCs w:val="30"/>
        </w:rPr>
      </w:pPr>
      <w:r>
        <w:rPr>
          <w:rFonts w:hint="eastAsia" w:ascii="方正仿宋_GB2312" w:hAnsi="方正仿宋_GB2312" w:eastAsia="方正仿宋_GB2312" w:cs="方正仿宋_GB2312"/>
          <w:bCs/>
          <w:sz w:val="30"/>
          <w:szCs w:val="30"/>
        </w:rPr>
        <w:t>根据蓝山县的发展定位，精准锁定拟引进的目标</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企业，找准项目合作点，制定招商线路图和专门招商方案，高效推进工作对接。精准开发招商项目，突出细分产业招商方向，提升产业招商精准度，强化部门联动招商，重点对接粤港澳大湾区，深入融入长江经济带，开展以外资、外向型企业为重点的招商对接活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为加强财政支出管理，优化财政支出结构，提高财政资金使用效益，强化</w:t>
      </w:r>
      <w:r>
        <w:rPr>
          <w:rFonts w:hint="eastAsia" w:ascii="方正仿宋_GB2312" w:hAnsi="方正仿宋_GB2312" w:eastAsia="方正仿宋_GB2312" w:cs="方正仿宋_GB2312"/>
          <w:sz w:val="30"/>
          <w:szCs w:val="30"/>
        </w:rPr>
        <w:t>蓝山县科工局支持引进三类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强专项资金</w:t>
      </w:r>
      <w:r>
        <w:rPr>
          <w:rFonts w:hint="eastAsia" w:ascii="方正仿宋_GB2312" w:hAnsi="方正仿宋_GB2312" w:eastAsia="方正仿宋_GB2312" w:cs="方正仿宋_GB2312"/>
          <w:bCs/>
          <w:sz w:val="30"/>
          <w:szCs w:val="30"/>
        </w:rPr>
        <w:t>项目财政资金管理和财政支出绩效理念，提高</w:t>
      </w:r>
      <w:r>
        <w:rPr>
          <w:rFonts w:hint="eastAsia" w:ascii="方正仿宋_GB2312" w:hAnsi="方正仿宋_GB2312" w:eastAsia="方正仿宋_GB2312" w:cs="方正仿宋_GB2312"/>
          <w:sz w:val="30"/>
          <w:szCs w:val="30"/>
        </w:rPr>
        <w:t>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w:t>
      </w:r>
      <w:r>
        <w:rPr>
          <w:rFonts w:hint="eastAsia" w:ascii="方正仿宋_GB2312" w:hAnsi="方正仿宋_GB2312" w:eastAsia="方正仿宋_GB2312" w:cs="方正仿宋_GB2312"/>
          <w:bCs/>
          <w:sz w:val="30"/>
          <w:szCs w:val="30"/>
        </w:rPr>
        <w:t>项目专项资金的使用效益，保证</w:t>
      </w:r>
      <w:r>
        <w:rPr>
          <w:rFonts w:hint="eastAsia" w:ascii="方正仿宋_GB2312" w:hAnsi="方正仿宋_GB2312" w:eastAsia="方正仿宋_GB2312" w:cs="方正仿宋_GB2312"/>
          <w:sz w:val="30"/>
          <w:szCs w:val="30"/>
        </w:rPr>
        <w:t>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w:t>
      </w:r>
      <w:r>
        <w:rPr>
          <w:rFonts w:hint="eastAsia" w:ascii="方正仿宋_GB2312" w:hAnsi="方正仿宋_GB2312" w:eastAsia="方正仿宋_GB2312" w:cs="方正仿宋_GB2312"/>
          <w:bCs/>
          <w:sz w:val="30"/>
          <w:szCs w:val="30"/>
        </w:rPr>
        <w:t>项目顺利实施。蓝山县财政局决定对</w:t>
      </w:r>
      <w:r>
        <w:rPr>
          <w:rFonts w:hint="eastAsia" w:ascii="方正仿宋_GB2312" w:hAnsi="方正仿宋_GB2312" w:eastAsia="方正仿宋_GB2312" w:cs="方正仿宋_GB2312"/>
          <w:sz w:val="30"/>
          <w:szCs w:val="30"/>
        </w:rPr>
        <w:t>蓝山县科工局本级安排</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年度支持引进三类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强项目</w:t>
      </w:r>
      <w:r>
        <w:rPr>
          <w:rFonts w:hint="eastAsia" w:ascii="Times New Roman" w:hAnsi="Times New Roman" w:eastAsia="方正仿宋_GB2312" w:cs="方正仿宋_GB2312"/>
          <w:sz w:val="30"/>
          <w:szCs w:val="30"/>
        </w:rPr>
        <w:t>139</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537</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00</w:t>
      </w:r>
      <w:r>
        <w:rPr>
          <w:rFonts w:hint="eastAsia" w:ascii="方正仿宋_GB2312" w:hAnsi="方正仿宋_GB2312" w:eastAsia="方正仿宋_GB2312" w:cs="方正仿宋_GB2312"/>
          <w:sz w:val="30"/>
          <w:szCs w:val="30"/>
        </w:rPr>
        <w:t>元</w:t>
      </w:r>
      <w:r>
        <w:rPr>
          <w:rFonts w:hint="eastAsia" w:ascii="方正仿宋_GB2312" w:hAnsi="方正仿宋_GB2312" w:eastAsia="方正仿宋_GB2312" w:cs="方正仿宋_GB2312"/>
          <w:bCs/>
          <w:sz w:val="30"/>
          <w:szCs w:val="30"/>
        </w:rPr>
        <w:t>实施绩效评价。</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 xml:space="preserve"> 二、绩效评价工作情况</w:t>
      </w:r>
      <w:r>
        <w:rPr>
          <w:rFonts w:hint="eastAsia" w:ascii="Times New Roman" w:hAnsi="Times New Roman" w:eastAsia="黑体" w:cs="Times New Roman"/>
          <w:b w:val="0"/>
          <w:bCs w:val="0"/>
          <w:sz w:val="28"/>
          <w:szCs w:val="28"/>
          <w:highlight w:val="none"/>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绩效评价的目的在于通过对蓝山县科工局</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年度支持引进三类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强项目</w:t>
      </w:r>
      <w:r>
        <w:rPr>
          <w:rFonts w:hint="eastAsia" w:ascii="Times New Roman" w:hAnsi="Times New Roman" w:eastAsia="方正仿宋_GB2312" w:cs="方正仿宋_GB2312"/>
          <w:sz w:val="30"/>
          <w:szCs w:val="30"/>
        </w:rPr>
        <w:t>139</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537</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00</w:t>
      </w:r>
      <w:r>
        <w:rPr>
          <w:rFonts w:hint="eastAsia" w:ascii="方正仿宋_GB2312" w:hAnsi="方正仿宋_GB2312" w:eastAsia="方正仿宋_GB2312" w:cs="方正仿宋_GB2312"/>
          <w:sz w:val="30"/>
          <w:szCs w:val="30"/>
        </w:rPr>
        <w:t>元进行绩效评价，强化蓝山县科工局支持引进三类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强项目财政资金管理和财政支出绩效理念，提升专项资金的使用效益，保证蓝山县科工局支持引进三类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强项目顺利实施。同时探索专项资金的绩效评价的办法、制度，逐步形成绩效评价的体系和机制，进一步提高专项资金使用管理效益。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kinsoku/>
        <w:wordWrap/>
        <w:overflowPunct/>
        <w:topLinePunct w:val="0"/>
        <w:autoSpaceDE/>
        <w:autoSpaceDN/>
        <w:bidi w:val="0"/>
        <w:spacing w:line="570" w:lineRule="exact"/>
        <w:ind w:left="0" w:leftChars="0" w:right="0" w:rightChars="0" w:firstLine="56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根据</w:t>
      </w:r>
      <w:r>
        <w:rPr>
          <w:rFonts w:hint="eastAsia" w:ascii="Times New Roman" w:hAnsi="Times New Roman" w:eastAsia="方正仿宋_GB2312" w:cs="方正仿宋_GB2312"/>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方正仿宋_GB2312"/>
          <w:sz w:val="30"/>
          <w:szCs w:val="30"/>
        </w:rPr>
        <w:t>10</w:t>
      </w:r>
      <w:r>
        <w:rPr>
          <w:rFonts w:hint="eastAsia" w:ascii="方正仿宋_GB2312" w:hAnsi="方正仿宋_GB2312" w:eastAsia="方正仿宋_GB2312" w:cs="方正仿宋_GB2312"/>
          <w:sz w:val="30"/>
          <w:szCs w:val="30"/>
        </w:rPr>
        <w:t>月下发的《蓝山县财政局关于开展</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年重点绩效评价工作的通知（中介机构评价）》（蓝财绩〔</w:t>
      </w:r>
      <w:r>
        <w:rPr>
          <w:rFonts w:hint="eastAsia" w:ascii="Times New Roman" w:hAnsi="Times New Roman" w:eastAsia="方正仿宋_GB2312" w:cs="方正仿宋_GB2312"/>
          <w:sz w:val="30"/>
          <w:szCs w:val="30"/>
        </w:rPr>
        <w:t>2020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4</w:t>
      </w:r>
      <w:r>
        <w:rPr>
          <w:rFonts w:hint="eastAsia" w:ascii="方正仿宋_GB2312" w:hAnsi="方正仿宋_GB2312" w:eastAsia="方正仿宋_GB2312" w:cs="方正仿宋_GB2312"/>
          <w:sz w:val="30"/>
          <w:szCs w:val="30"/>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方正仿宋_GB2312"/>
          <w:sz w:val="30"/>
          <w:szCs w:val="30"/>
        </w:rPr>
        <w:t>11</w:t>
      </w:r>
      <w:r>
        <w:rPr>
          <w:rFonts w:hint="eastAsia" w:ascii="方正仿宋_GB2312" w:hAnsi="方正仿宋_GB2312" w:eastAsia="方正仿宋_GB2312" w:cs="方正仿宋_GB2312"/>
          <w:sz w:val="30"/>
          <w:szCs w:val="30"/>
        </w:rPr>
        <w:t>月，广东诚安信会计师事务所（特殊普通合伙）湖南分所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sz w:val="30"/>
          <w:szCs w:val="30"/>
        </w:rPr>
      </w:pPr>
      <w:r>
        <w:rPr>
          <w:rFonts w:hint="eastAsia" w:ascii="Times New Roman" w:hAnsi="Times New Roman" w:eastAsia="方正仿宋_GB2312" w:cs="方正仿宋_GB2312"/>
          <w:sz w:val="30"/>
          <w:szCs w:val="30"/>
        </w:rPr>
        <w:t>1</w:t>
      </w:r>
      <w:r>
        <w:rPr>
          <w:rFonts w:hint="eastAsia" w:ascii="方正仿宋_GB2312" w:hAnsi="方正仿宋_GB2312" w:eastAsia="方正仿宋_GB2312" w:cs="方正仿宋_GB2312"/>
          <w:sz w:val="30"/>
          <w:szCs w:val="30"/>
        </w:rPr>
        <w:t>、项目资金到位情况分析。根据《</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年招商引资、支持</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强资金项目明细表》，到位资金</w:t>
      </w:r>
      <w:r>
        <w:rPr>
          <w:rFonts w:hint="eastAsia" w:ascii="Times New Roman" w:hAnsi="Times New Roman" w:eastAsia="方正仿宋_GB2312" w:cs="方正仿宋_GB2312"/>
          <w:sz w:val="30"/>
          <w:szCs w:val="30"/>
        </w:rPr>
        <w:t>139</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537</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00</w:t>
      </w:r>
      <w:r>
        <w:rPr>
          <w:rFonts w:hint="eastAsia" w:ascii="方正仿宋_GB2312" w:hAnsi="方正仿宋_GB2312" w:eastAsia="方正仿宋_GB2312" w:cs="方正仿宋_GB2312"/>
          <w:sz w:val="30"/>
          <w:szCs w:val="30"/>
        </w:rPr>
        <w:t>元，到位率</w:t>
      </w:r>
      <w:r>
        <w:rPr>
          <w:rFonts w:hint="eastAsia" w:ascii="Times New Roman" w:hAnsi="Times New Roman" w:eastAsia="方正仿宋_GB2312" w:cs="方正仿宋_GB2312"/>
          <w:sz w:val="30"/>
          <w:szCs w:val="30"/>
        </w:rPr>
        <w:t>100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00</w:t>
      </w:r>
      <w:r>
        <w:rPr>
          <w:rFonts w:hint="eastAsia" w:ascii="方正仿宋_GB2312" w:hAnsi="方正仿宋_GB2312" w:eastAsia="方正仿宋_GB2312" w:cs="方正仿宋_GB2312"/>
          <w:sz w:val="30"/>
          <w:szCs w:val="30"/>
        </w:rPr>
        <w:t>%。</w:t>
      </w:r>
    </w:p>
    <w:p>
      <w:pPr>
        <w:keepNext w:val="0"/>
        <w:keepLines w:val="0"/>
        <w:pageBreakBefore w:val="0"/>
        <w:kinsoku/>
        <w:wordWrap/>
        <w:overflowPunct/>
        <w:topLinePunct w:val="0"/>
        <w:autoSpaceDE/>
        <w:autoSpaceDN/>
        <w:bidi w:val="0"/>
        <w:adjustRightInd w:val="0"/>
        <w:snapToGrid w:val="0"/>
        <w:spacing w:line="570" w:lineRule="exact"/>
        <w:ind w:left="0" w:leftChars="0" w:right="0" w:rightChars="0" w:firstLine="597" w:firstLineChars="199"/>
        <w:jc w:val="both"/>
        <w:textAlignment w:val="auto"/>
        <w:outlineLvl w:val="9"/>
        <w:rPr>
          <w:rFonts w:ascii="仿宋_GB2312" w:eastAsia="仿宋_GB2312"/>
          <w:sz w:val="28"/>
          <w:szCs w:val="28"/>
        </w:rPr>
      </w:pPr>
      <w:r>
        <w:rPr>
          <w:rFonts w:hint="eastAsia" w:ascii="Times New Roman" w:hAnsi="Times New Roman" w:eastAsia="方正仿宋_GB2312" w:cs="方正仿宋_GB2312"/>
          <w:sz w:val="30"/>
          <w:szCs w:val="30"/>
        </w:rPr>
        <w:t>2</w:t>
      </w:r>
      <w:r>
        <w:rPr>
          <w:rFonts w:hint="eastAsia" w:ascii="方正仿宋_GB2312" w:hAnsi="方正仿宋_GB2312" w:eastAsia="方正仿宋_GB2312" w:cs="方正仿宋_GB2312"/>
          <w:sz w:val="30"/>
          <w:szCs w:val="30"/>
        </w:rPr>
        <w:t>、项目资金执行情况分析。截止绩效评价日（</w:t>
      </w:r>
      <w:r>
        <w:rPr>
          <w:rFonts w:hint="eastAsia" w:ascii="Times New Roman" w:hAnsi="Times New Roman" w:eastAsia="方正仿宋_GB2312" w:cs="方正仿宋_GB2312"/>
          <w:sz w:val="30"/>
          <w:szCs w:val="30"/>
        </w:rPr>
        <w:t>2020</w:t>
      </w:r>
      <w:r>
        <w:rPr>
          <w:rFonts w:hint="eastAsia" w:ascii="方正仿宋_GB2312" w:hAnsi="方正仿宋_GB2312" w:eastAsia="方正仿宋_GB2312" w:cs="方正仿宋_GB2312"/>
          <w:sz w:val="30"/>
          <w:szCs w:val="30"/>
        </w:rPr>
        <w:t>年</w:t>
      </w:r>
      <w:r>
        <w:rPr>
          <w:rFonts w:hint="eastAsia" w:ascii="Times New Roman" w:hAnsi="Times New Roman" w:eastAsia="方正仿宋_GB2312" w:cs="方正仿宋_GB2312"/>
          <w:sz w:val="30"/>
          <w:szCs w:val="30"/>
        </w:rPr>
        <w:t>11</w:t>
      </w:r>
      <w:r>
        <w:rPr>
          <w:rFonts w:hint="eastAsia" w:ascii="方正仿宋_GB2312" w:hAnsi="方正仿宋_GB2312" w:eastAsia="方正仿宋_GB2312" w:cs="方正仿宋_GB2312"/>
          <w:sz w:val="30"/>
          <w:szCs w:val="30"/>
        </w:rPr>
        <w:t>月</w:t>
      </w:r>
      <w:r>
        <w:rPr>
          <w:rFonts w:hint="eastAsia" w:ascii="Times New Roman" w:hAnsi="Times New Roman" w:eastAsia="方正仿宋_GB2312" w:cs="方正仿宋_GB2312"/>
          <w:sz w:val="30"/>
          <w:szCs w:val="30"/>
        </w:rPr>
        <w:t>19</w:t>
      </w:r>
      <w:r>
        <w:rPr>
          <w:rFonts w:hint="eastAsia" w:ascii="方正仿宋_GB2312" w:hAnsi="方正仿宋_GB2312" w:eastAsia="方正仿宋_GB2312" w:cs="方正仿宋_GB2312"/>
          <w:sz w:val="30"/>
          <w:szCs w:val="30"/>
        </w:rPr>
        <w:t>日），蓝山县科工局</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年度支持引进三类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强项目资金</w:t>
      </w:r>
      <w:r>
        <w:rPr>
          <w:rFonts w:hint="eastAsia" w:ascii="Times New Roman" w:hAnsi="Times New Roman" w:eastAsia="方正仿宋_GB2312" w:cs="方正仿宋_GB2312"/>
          <w:sz w:val="30"/>
          <w:szCs w:val="30"/>
        </w:rPr>
        <w:t>139</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537</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00</w:t>
      </w:r>
      <w:r>
        <w:rPr>
          <w:rFonts w:hint="eastAsia" w:ascii="方正仿宋_GB2312" w:hAnsi="方正仿宋_GB2312" w:eastAsia="方正仿宋_GB2312" w:cs="方正仿宋_GB2312"/>
          <w:sz w:val="30"/>
          <w:szCs w:val="30"/>
        </w:rPr>
        <w:t>元已全部使用完毕，执行率</w:t>
      </w:r>
      <w:r>
        <w:rPr>
          <w:rFonts w:hint="eastAsia" w:ascii="Times New Roman" w:hAnsi="Times New Roman" w:eastAsia="方正仿宋_GB2312" w:cs="方正仿宋_GB2312"/>
          <w:sz w:val="30"/>
          <w:szCs w:val="30"/>
        </w:rPr>
        <w:t>100</w:t>
      </w:r>
      <w:r>
        <w:rPr>
          <w:rFonts w:hint="eastAsia" w:ascii="方正仿宋_GB2312" w:hAnsi="方正仿宋_GB2312" w:eastAsia="方正仿宋_GB2312" w:cs="方正仿宋_GB2312"/>
          <w:sz w:val="30"/>
          <w:szCs w:val="30"/>
        </w:rPr>
        <w:t>.</w:t>
      </w:r>
      <w:r>
        <w:rPr>
          <w:rFonts w:hint="eastAsia" w:ascii="Times New Roman" w:hAnsi="Times New Roman" w:eastAsia="方正仿宋_GB2312" w:cs="方正仿宋_GB2312"/>
          <w:sz w:val="30"/>
          <w:szCs w:val="30"/>
        </w:rPr>
        <w:t>00</w:t>
      </w:r>
      <w:r>
        <w:rPr>
          <w:rFonts w:hint="eastAsia" w:ascii="方正仿宋_GB2312" w:hAnsi="方正仿宋_GB2312" w:eastAsia="方正仿宋_GB2312" w:cs="方正仿宋_GB2312"/>
          <w:sz w:val="30"/>
          <w:szCs w:val="30"/>
        </w:rPr>
        <w:t xml:space="preserve">%。支付明细如下： </w:t>
      </w:r>
    </w:p>
    <w:p>
      <w:pPr>
        <w:adjustRightInd w:val="0"/>
        <w:snapToGrid w:val="0"/>
        <w:spacing w:after="156" w:afterLines="50" w:line="570" w:lineRule="exact"/>
        <w:ind w:firstLine="417" w:firstLineChars="199"/>
        <w:jc w:val="right"/>
        <w:rPr>
          <w:rFonts w:hint="eastAsia" w:ascii="仿宋_GB2312" w:eastAsia="仿宋_GB2312"/>
          <w:szCs w:val="21"/>
        </w:rPr>
      </w:pPr>
      <w:r>
        <w:rPr>
          <w:rFonts w:hint="eastAsia" w:ascii="仿宋_GB2312" w:eastAsia="仿宋_GB2312"/>
          <w:szCs w:val="21"/>
        </w:rPr>
        <w:t xml:space="preserve">       </w:t>
      </w:r>
    </w:p>
    <w:p>
      <w:pPr>
        <w:adjustRightInd w:val="0"/>
        <w:snapToGrid w:val="0"/>
        <w:spacing w:after="156" w:afterLines="50" w:line="570" w:lineRule="exact"/>
        <w:ind w:firstLine="417" w:firstLineChars="199"/>
        <w:jc w:val="right"/>
        <w:rPr>
          <w:rFonts w:hint="eastAsia" w:ascii="仿宋_GB2312" w:eastAsia="仿宋_GB2312"/>
          <w:szCs w:val="21"/>
        </w:rPr>
      </w:pPr>
    </w:p>
    <w:p>
      <w:pPr>
        <w:adjustRightInd w:val="0"/>
        <w:snapToGrid w:val="0"/>
        <w:spacing w:after="156" w:afterLines="50" w:line="570" w:lineRule="exact"/>
        <w:ind w:firstLine="417" w:firstLineChars="199"/>
        <w:jc w:val="right"/>
        <w:rPr>
          <w:rFonts w:ascii="仿宋_GB2312" w:eastAsia="仿宋_GB2312"/>
          <w:szCs w:val="21"/>
        </w:rPr>
      </w:pPr>
      <w:r>
        <w:rPr>
          <w:rFonts w:hint="eastAsia" w:ascii="仿宋_GB2312" w:eastAsia="仿宋_GB2312"/>
          <w:szCs w:val="21"/>
        </w:rPr>
        <w:t>单位：元</w:t>
      </w:r>
    </w:p>
    <w:tbl>
      <w:tblPr>
        <w:tblStyle w:val="26"/>
        <w:tblW w:w="10069"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Layout w:type="fixed"/>
        <w:tblCellMar>
          <w:top w:w="0" w:type="dxa"/>
          <w:left w:w="108" w:type="dxa"/>
          <w:bottom w:w="0" w:type="dxa"/>
          <w:right w:w="108" w:type="dxa"/>
        </w:tblCellMar>
      </w:tblPr>
      <w:tblGrid>
        <w:gridCol w:w="4458"/>
        <w:gridCol w:w="3697"/>
        <w:gridCol w:w="1914"/>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PrEx>
        <w:trPr>
          <w:trHeight w:val="567" w:hRule="atLeast"/>
          <w:tblHeader/>
          <w:jc w:val="center"/>
        </w:trPr>
        <w:tc>
          <w:tcPr>
            <w:tcW w:w="4458" w:type="dxa"/>
            <w:shd w:val="clear" w:color="auto" w:fill="FFFFFF" w:themeFill="background1"/>
            <w:vAlign w:val="center"/>
          </w:tcPr>
          <w:p>
            <w:pPr>
              <w:adjustRightInd w:val="0"/>
              <w:snapToGrid w:val="0"/>
              <w:spacing w:line="570" w:lineRule="exact"/>
              <w:jc w:val="center"/>
              <w:rPr>
                <w:rFonts w:ascii="仿宋_GB2312" w:hAnsi="仿宋" w:eastAsia="仿宋_GB2312"/>
                <w:b/>
                <w:szCs w:val="21"/>
              </w:rPr>
            </w:pPr>
            <w:r>
              <w:rPr>
                <w:rFonts w:hint="eastAsia" w:ascii="仿宋_GB2312" w:hAnsi="仿宋" w:eastAsia="仿宋_GB2312"/>
                <w:b/>
                <w:sz w:val="24"/>
              </w:rPr>
              <w:t>支出内容</w:t>
            </w:r>
          </w:p>
        </w:tc>
        <w:tc>
          <w:tcPr>
            <w:tcW w:w="3697" w:type="dxa"/>
            <w:shd w:val="clear" w:color="auto" w:fill="FFFFFF" w:themeFill="background1"/>
            <w:vAlign w:val="center"/>
          </w:tcPr>
          <w:p>
            <w:pPr>
              <w:adjustRightInd w:val="0"/>
              <w:snapToGrid w:val="0"/>
              <w:spacing w:line="570" w:lineRule="exact"/>
              <w:jc w:val="center"/>
              <w:rPr>
                <w:rFonts w:ascii="仿宋_GB2312" w:hAnsi="仿宋" w:eastAsia="仿宋_GB2312"/>
                <w:b/>
                <w:szCs w:val="21"/>
              </w:rPr>
            </w:pPr>
            <w:r>
              <w:rPr>
                <w:rFonts w:hint="eastAsia" w:ascii="仿宋_GB2312" w:hAnsi="仿宋" w:eastAsia="仿宋_GB2312"/>
                <w:b/>
                <w:sz w:val="24"/>
              </w:rPr>
              <w:t>支出金额</w:t>
            </w:r>
          </w:p>
        </w:tc>
        <w:tc>
          <w:tcPr>
            <w:tcW w:w="1914" w:type="dxa"/>
            <w:shd w:val="clear" w:color="auto" w:fill="FFFFFF" w:themeFill="background1"/>
            <w:vAlign w:val="center"/>
          </w:tcPr>
          <w:p>
            <w:pPr>
              <w:adjustRightInd w:val="0"/>
              <w:snapToGrid w:val="0"/>
              <w:spacing w:line="570" w:lineRule="exact"/>
              <w:jc w:val="center"/>
              <w:rPr>
                <w:rFonts w:ascii="仿宋_GB2312" w:hAnsi="仿宋" w:eastAsia="仿宋_GB2312"/>
                <w:b/>
                <w:szCs w:val="21"/>
              </w:rPr>
            </w:pPr>
            <w:r>
              <w:rPr>
                <w:rFonts w:hint="eastAsia" w:ascii="仿宋_GB2312" w:hAnsi="仿宋" w:eastAsia="仿宋_GB2312"/>
                <w:b/>
                <w:sz w:val="24"/>
              </w:rPr>
              <w:t>备注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PrEx>
        <w:trPr>
          <w:trHeight w:val="567" w:hRule="atLeast"/>
          <w:jc w:val="center"/>
        </w:trPr>
        <w:tc>
          <w:tcPr>
            <w:tcW w:w="4458" w:type="dxa"/>
            <w:shd w:val="clear" w:color="auto" w:fill="FFFFFF" w:themeFill="background1"/>
            <w:vAlign w:val="center"/>
          </w:tcPr>
          <w:p>
            <w:pPr>
              <w:adjustRightInd w:val="0"/>
              <w:snapToGrid w:val="0"/>
              <w:spacing w:line="570" w:lineRule="exact"/>
              <w:jc w:val="left"/>
              <w:rPr>
                <w:rFonts w:ascii="仿宋_GB2312" w:hAnsi="仿宋" w:eastAsia="仿宋_GB2312"/>
                <w:bCs/>
                <w:szCs w:val="21"/>
              </w:rPr>
            </w:pPr>
            <w:r>
              <w:rPr>
                <w:rFonts w:hint="eastAsia" w:ascii="仿宋_GB2312" w:hAnsi="仿宋" w:eastAsia="仿宋_GB2312"/>
                <w:bCs/>
                <w:szCs w:val="21"/>
              </w:rPr>
              <w:t>香港对接玩具产业招商经费</w:t>
            </w:r>
          </w:p>
        </w:tc>
        <w:tc>
          <w:tcPr>
            <w:tcW w:w="3697" w:type="dxa"/>
            <w:shd w:val="clear" w:color="auto" w:fill="FFFFFF" w:themeFill="background1"/>
            <w:vAlign w:val="center"/>
          </w:tcPr>
          <w:p>
            <w:pPr>
              <w:adjustRightInd w:val="0"/>
              <w:snapToGrid w:val="0"/>
              <w:spacing w:line="570" w:lineRule="exact"/>
              <w:jc w:val="right"/>
              <w:rPr>
                <w:rFonts w:ascii="仿宋_GB2312" w:eastAsia="仿宋_GB2312"/>
                <w:bCs/>
                <w:szCs w:val="21"/>
              </w:rPr>
            </w:pPr>
            <w:r>
              <w:rPr>
                <w:rFonts w:hint="eastAsia" w:ascii="Times New Roman" w:hAnsi="Times New Roman" w:eastAsia="仿宋_GB2312" w:cs="Times New Roman"/>
                <w:bCs/>
                <w:szCs w:val="21"/>
              </w:rPr>
              <w:t>35</w:t>
            </w:r>
            <w:r>
              <w:rPr>
                <w:rFonts w:hint="eastAsia" w:ascii="仿宋_GB2312" w:eastAsia="仿宋_GB2312"/>
                <w:bCs/>
                <w:szCs w:val="21"/>
              </w:rPr>
              <w:t>,</w:t>
            </w:r>
            <w:r>
              <w:rPr>
                <w:rFonts w:hint="eastAsia" w:ascii="Times New Roman" w:hAnsi="Times New Roman" w:eastAsia="仿宋_GB2312" w:cs="Times New Roman"/>
                <w:bCs/>
                <w:szCs w:val="21"/>
              </w:rPr>
              <w:t>000</w:t>
            </w:r>
            <w:r>
              <w:rPr>
                <w:rFonts w:hint="eastAsia" w:ascii="仿宋_GB2312" w:eastAsia="仿宋_GB2312"/>
                <w:bCs/>
                <w:szCs w:val="21"/>
              </w:rPr>
              <w:t>.</w:t>
            </w:r>
            <w:r>
              <w:rPr>
                <w:rFonts w:hint="eastAsia" w:ascii="Times New Roman" w:hAnsi="Times New Roman" w:eastAsia="仿宋_GB2312" w:cs="Times New Roman"/>
                <w:bCs/>
                <w:szCs w:val="21"/>
              </w:rPr>
              <w:t>00</w:t>
            </w:r>
          </w:p>
        </w:tc>
        <w:tc>
          <w:tcPr>
            <w:tcW w:w="1914" w:type="dxa"/>
            <w:shd w:val="clear" w:color="auto" w:fill="FFFFFF" w:themeFill="background1"/>
            <w:vAlign w:val="center"/>
          </w:tcPr>
          <w:p>
            <w:pPr>
              <w:adjustRightInd w:val="0"/>
              <w:snapToGrid w:val="0"/>
              <w:spacing w:line="570" w:lineRule="exact"/>
              <w:jc w:val="right"/>
              <w:rPr>
                <w:rFonts w:ascii="仿宋_GB2312" w:eastAsia="仿宋_GB2312"/>
                <w:bCs/>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PrEx>
        <w:trPr>
          <w:trHeight w:val="567" w:hRule="atLeast"/>
          <w:jc w:val="center"/>
        </w:trPr>
        <w:tc>
          <w:tcPr>
            <w:tcW w:w="4458" w:type="dxa"/>
            <w:shd w:val="clear" w:color="auto" w:fill="FFFFFF" w:themeFill="background1"/>
          </w:tcPr>
          <w:p>
            <w:pPr>
              <w:adjustRightInd w:val="0"/>
              <w:snapToGrid w:val="0"/>
              <w:spacing w:line="570" w:lineRule="exact"/>
              <w:jc w:val="left"/>
              <w:rPr>
                <w:rFonts w:ascii="仿宋_GB2312" w:eastAsia="仿宋_GB2312"/>
                <w:bCs/>
                <w:szCs w:val="21"/>
              </w:rPr>
            </w:pPr>
            <w:r>
              <w:rPr>
                <w:rFonts w:hint="eastAsia" w:ascii="仿宋_GB2312" w:eastAsia="仿宋_GB2312"/>
                <w:bCs/>
                <w:szCs w:val="21"/>
              </w:rPr>
              <w:t>云南地区考察星级宾馆项目招商经费</w:t>
            </w:r>
          </w:p>
        </w:tc>
        <w:tc>
          <w:tcPr>
            <w:tcW w:w="3697" w:type="dxa"/>
            <w:shd w:val="clear" w:color="auto" w:fill="FFFFFF" w:themeFill="background1"/>
            <w:vAlign w:val="center"/>
          </w:tcPr>
          <w:p>
            <w:pPr>
              <w:adjustRightInd w:val="0"/>
              <w:snapToGrid w:val="0"/>
              <w:spacing w:line="570" w:lineRule="exact"/>
              <w:jc w:val="right"/>
              <w:rPr>
                <w:rFonts w:ascii="仿宋_GB2312" w:eastAsia="仿宋_GB2312"/>
                <w:bCs/>
                <w:szCs w:val="21"/>
              </w:rPr>
            </w:pPr>
            <w:r>
              <w:rPr>
                <w:rFonts w:hint="eastAsia" w:ascii="Times New Roman" w:hAnsi="Times New Roman" w:eastAsia="仿宋_GB2312" w:cs="Times New Roman"/>
                <w:bCs/>
                <w:szCs w:val="21"/>
              </w:rPr>
              <w:t>74</w:t>
            </w:r>
            <w:r>
              <w:rPr>
                <w:rFonts w:hint="eastAsia" w:ascii="仿宋_GB2312" w:eastAsia="仿宋_GB2312"/>
                <w:bCs/>
                <w:szCs w:val="21"/>
              </w:rPr>
              <w:t>,</w:t>
            </w:r>
            <w:r>
              <w:rPr>
                <w:rFonts w:hint="eastAsia" w:ascii="Times New Roman" w:hAnsi="Times New Roman" w:eastAsia="仿宋_GB2312" w:cs="Times New Roman"/>
                <w:bCs/>
                <w:szCs w:val="21"/>
              </w:rPr>
              <w:t>537</w:t>
            </w:r>
            <w:r>
              <w:rPr>
                <w:rFonts w:hint="eastAsia" w:ascii="仿宋_GB2312" w:eastAsia="仿宋_GB2312"/>
                <w:bCs/>
                <w:szCs w:val="21"/>
              </w:rPr>
              <w:t>.</w:t>
            </w:r>
            <w:r>
              <w:rPr>
                <w:rFonts w:hint="eastAsia" w:ascii="Times New Roman" w:hAnsi="Times New Roman" w:eastAsia="仿宋_GB2312" w:cs="Times New Roman"/>
                <w:bCs/>
                <w:szCs w:val="21"/>
              </w:rPr>
              <w:t>00</w:t>
            </w:r>
          </w:p>
        </w:tc>
        <w:tc>
          <w:tcPr>
            <w:tcW w:w="1914" w:type="dxa"/>
            <w:shd w:val="clear" w:color="auto" w:fill="FFFFFF" w:themeFill="background1"/>
            <w:vAlign w:val="center"/>
          </w:tcPr>
          <w:p>
            <w:pPr>
              <w:adjustRightInd w:val="0"/>
              <w:snapToGrid w:val="0"/>
              <w:spacing w:line="570" w:lineRule="exact"/>
              <w:jc w:val="right"/>
              <w:rPr>
                <w:rFonts w:ascii="仿宋_GB2312" w:eastAsia="仿宋_GB2312"/>
                <w:bCs/>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PrEx>
        <w:trPr>
          <w:trHeight w:val="567" w:hRule="atLeast"/>
          <w:jc w:val="center"/>
        </w:trPr>
        <w:tc>
          <w:tcPr>
            <w:tcW w:w="4458" w:type="dxa"/>
            <w:shd w:val="clear" w:color="auto" w:fill="FFFFFF" w:themeFill="background1"/>
          </w:tcPr>
          <w:p>
            <w:pPr>
              <w:adjustRightInd w:val="0"/>
              <w:snapToGrid w:val="0"/>
              <w:spacing w:line="570" w:lineRule="exact"/>
              <w:jc w:val="left"/>
              <w:rPr>
                <w:rFonts w:ascii="仿宋_GB2312" w:eastAsia="仿宋_GB2312"/>
                <w:szCs w:val="21"/>
              </w:rPr>
            </w:pPr>
            <w:r>
              <w:rPr>
                <w:rFonts w:hint="eastAsia" w:ascii="仿宋_GB2312" w:eastAsia="仿宋_GB2312"/>
                <w:szCs w:val="21"/>
              </w:rPr>
              <w:t>佛山招商引资资料费</w:t>
            </w:r>
          </w:p>
        </w:tc>
        <w:tc>
          <w:tcPr>
            <w:tcW w:w="3697" w:type="dxa"/>
            <w:shd w:val="clear" w:color="auto" w:fill="FFFFFF" w:themeFill="background1"/>
            <w:vAlign w:val="center"/>
          </w:tcPr>
          <w:p>
            <w:pPr>
              <w:adjustRightInd w:val="0"/>
              <w:snapToGrid w:val="0"/>
              <w:spacing w:line="570" w:lineRule="exact"/>
              <w:jc w:val="right"/>
              <w:rPr>
                <w:rFonts w:ascii="仿宋_GB2312" w:eastAsia="仿宋_GB2312"/>
                <w:bCs/>
                <w:szCs w:val="21"/>
              </w:rPr>
            </w:pPr>
            <w:r>
              <w:rPr>
                <w:rFonts w:hint="eastAsia" w:ascii="Times New Roman" w:hAnsi="Times New Roman" w:eastAsia="仿宋_GB2312" w:cs="Times New Roman"/>
                <w:bCs/>
                <w:szCs w:val="21"/>
              </w:rPr>
              <w:t>15</w:t>
            </w:r>
            <w:r>
              <w:rPr>
                <w:rFonts w:hint="eastAsia" w:ascii="仿宋_GB2312" w:eastAsia="仿宋_GB2312"/>
                <w:bCs/>
                <w:szCs w:val="21"/>
              </w:rPr>
              <w:t>,</w:t>
            </w:r>
            <w:r>
              <w:rPr>
                <w:rFonts w:hint="eastAsia" w:ascii="Times New Roman" w:hAnsi="Times New Roman" w:eastAsia="仿宋_GB2312" w:cs="Times New Roman"/>
                <w:bCs/>
                <w:szCs w:val="21"/>
              </w:rPr>
              <w:t>551</w:t>
            </w:r>
            <w:r>
              <w:rPr>
                <w:rFonts w:hint="eastAsia" w:ascii="仿宋_GB2312" w:eastAsia="仿宋_GB2312"/>
                <w:bCs/>
                <w:szCs w:val="21"/>
              </w:rPr>
              <w:t>.</w:t>
            </w:r>
            <w:r>
              <w:rPr>
                <w:rFonts w:hint="eastAsia" w:ascii="Times New Roman" w:hAnsi="Times New Roman" w:eastAsia="仿宋_GB2312" w:cs="Times New Roman"/>
                <w:bCs/>
                <w:szCs w:val="21"/>
              </w:rPr>
              <w:t>00</w:t>
            </w:r>
          </w:p>
        </w:tc>
        <w:tc>
          <w:tcPr>
            <w:tcW w:w="1914" w:type="dxa"/>
            <w:shd w:val="clear" w:color="auto" w:fill="FFFFFF" w:themeFill="background1"/>
            <w:vAlign w:val="center"/>
          </w:tcPr>
          <w:p>
            <w:pPr>
              <w:adjustRightInd w:val="0"/>
              <w:snapToGrid w:val="0"/>
              <w:spacing w:line="570" w:lineRule="exact"/>
              <w:jc w:val="right"/>
              <w:rPr>
                <w:rFonts w:ascii="仿宋_GB2312" w:eastAsia="仿宋_GB2312"/>
                <w:bCs/>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PrEx>
        <w:trPr>
          <w:trHeight w:val="567" w:hRule="atLeast"/>
          <w:jc w:val="center"/>
        </w:trPr>
        <w:tc>
          <w:tcPr>
            <w:tcW w:w="4458" w:type="dxa"/>
            <w:shd w:val="clear" w:color="auto" w:fill="FFFFFF" w:themeFill="background1"/>
          </w:tcPr>
          <w:p>
            <w:pPr>
              <w:adjustRightInd w:val="0"/>
              <w:snapToGrid w:val="0"/>
              <w:spacing w:line="570" w:lineRule="exact"/>
              <w:jc w:val="left"/>
              <w:rPr>
                <w:rFonts w:ascii="仿宋_GB2312" w:eastAsia="仿宋_GB2312"/>
                <w:szCs w:val="21"/>
              </w:rPr>
            </w:pPr>
            <w:r>
              <w:rPr>
                <w:rFonts w:hint="eastAsia" w:ascii="仿宋_GB2312" w:eastAsia="仿宋_GB2312"/>
                <w:szCs w:val="21"/>
              </w:rPr>
              <w:t>佛山招商引资差旅费</w:t>
            </w:r>
          </w:p>
        </w:tc>
        <w:tc>
          <w:tcPr>
            <w:tcW w:w="3697" w:type="dxa"/>
            <w:shd w:val="clear" w:color="auto" w:fill="FFFFFF" w:themeFill="background1"/>
            <w:vAlign w:val="center"/>
          </w:tcPr>
          <w:p>
            <w:pPr>
              <w:adjustRightInd w:val="0"/>
              <w:snapToGrid w:val="0"/>
              <w:spacing w:line="570" w:lineRule="exact"/>
              <w:jc w:val="right"/>
              <w:rPr>
                <w:rFonts w:ascii="仿宋_GB2312" w:eastAsia="仿宋_GB2312"/>
                <w:bCs/>
                <w:szCs w:val="21"/>
              </w:rPr>
            </w:pPr>
            <w:r>
              <w:rPr>
                <w:rFonts w:hint="eastAsia" w:ascii="Times New Roman" w:hAnsi="Times New Roman" w:eastAsia="仿宋_GB2312" w:cs="Times New Roman"/>
                <w:bCs/>
                <w:szCs w:val="21"/>
              </w:rPr>
              <w:t>14</w:t>
            </w:r>
            <w:r>
              <w:rPr>
                <w:rFonts w:hint="eastAsia" w:ascii="仿宋_GB2312" w:eastAsia="仿宋_GB2312"/>
                <w:bCs/>
                <w:szCs w:val="21"/>
              </w:rPr>
              <w:t>,</w:t>
            </w:r>
            <w:r>
              <w:rPr>
                <w:rFonts w:hint="eastAsia" w:ascii="Times New Roman" w:hAnsi="Times New Roman" w:eastAsia="仿宋_GB2312" w:cs="Times New Roman"/>
                <w:bCs/>
                <w:szCs w:val="21"/>
              </w:rPr>
              <w:t>449</w:t>
            </w:r>
            <w:r>
              <w:rPr>
                <w:rFonts w:hint="eastAsia" w:ascii="仿宋_GB2312" w:eastAsia="仿宋_GB2312"/>
                <w:bCs/>
                <w:szCs w:val="21"/>
              </w:rPr>
              <w:t>.</w:t>
            </w:r>
            <w:r>
              <w:rPr>
                <w:rFonts w:hint="eastAsia" w:ascii="Times New Roman" w:hAnsi="Times New Roman" w:eastAsia="仿宋_GB2312" w:cs="Times New Roman"/>
                <w:bCs/>
                <w:szCs w:val="21"/>
              </w:rPr>
              <w:t>00</w:t>
            </w:r>
          </w:p>
        </w:tc>
        <w:tc>
          <w:tcPr>
            <w:tcW w:w="1914" w:type="dxa"/>
            <w:shd w:val="clear" w:color="auto" w:fill="FFFFFF" w:themeFill="background1"/>
            <w:vAlign w:val="center"/>
          </w:tcPr>
          <w:p>
            <w:pPr>
              <w:adjustRightInd w:val="0"/>
              <w:snapToGrid w:val="0"/>
              <w:spacing w:line="570" w:lineRule="exact"/>
              <w:jc w:val="right"/>
              <w:rPr>
                <w:rFonts w:ascii="仿宋_GB2312" w:eastAsia="仿宋_GB2312"/>
                <w:bCs/>
                <w:szCs w:val="21"/>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FFFFFF" w:themeFill="background1"/>
        </w:tblPrEx>
        <w:trPr>
          <w:trHeight w:val="567" w:hRule="atLeast"/>
          <w:jc w:val="center"/>
        </w:trPr>
        <w:tc>
          <w:tcPr>
            <w:tcW w:w="4458" w:type="dxa"/>
            <w:shd w:val="clear" w:color="auto" w:fill="FFFFFF" w:themeFill="background1"/>
            <w:vAlign w:val="center"/>
          </w:tcPr>
          <w:p>
            <w:pPr>
              <w:adjustRightInd w:val="0"/>
              <w:snapToGrid w:val="0"/>
              <w:spacing w:line="570" w:lineRule="exact"/>
              <w:jc w:val="center"/>
              <w:rPr>
                <w:rFonts w:ascii="仿宋_GB2312" w:hAnsi="仿宋" w:eastAsia="仿宋_GB2312"/>
                <w:b/>
                <w:sz w:val="24"/>
                <w:szCs w:val="21"/>
              </w:rPr>
            </w:pPr>
            <w:r>
              <w:rPr>
                <w:rFonts w:hint="eastAsia" w:ascii="仿宋_GB2312" w:hAnsi="仿宋" w:eastAsia="仿宋_GB2312"/>
                <w:b/>
                <w:sz w:val="24"/>
                <w:szCs w:val="21"/>
              </w:rPr>
              <w:t>合  计</w:t>
            </w:r>
          </w:p>
        </w:tc>
        <w:tc>
          <w:tcPr>
            <w:tcW w:w="3697" w:type="dxa"/>
            <w:shd w:val="clear" w:color="auto" w:fill="FFFFFF" w:themeFill="background1"/>
            <w:vAlign w:val="center"/>
          </w:tcPr>
          <w:p>
            <w:pPr>
              <w:widowControl/>
              <w:spacing w:line="570" w:lineRule="exact"/>
              <w:jc w:val="right"/>
              <w:textAlignment w:val="center"/>
              <w:rPr>
                <w:rFonts w:ascii="宋体" w:hAnsi="宋体" w:cs="宋体"/>
                <w:color w:val="000000"/>
                <w:sz w:val="22"/>
                <w:szCs w:val="22"/>
              </w:rPr>
            </w:pPr>
            <w:r>
              <w:rPr>
                <w:rFonts w:hint="eastAsia" w:ascii="Times New Roman" w:hAnsi="Times New Roman" w:eastAsia="仿宋_GB2312" w:cs="Times New Roman"/>
                <w:b/>
                <w:sz w:val="24"/>
                <w:szCs w:val="21"/>
              </w:rPr>
              <w:t>139</w:t>
            </w:r>
            <w:r>
              <w:rPr>
                <w:rFonts w:hint="eastAsia" w:ascii="仿宋_GB2312" w:hAnsi="仿宋" w:eastAsia="仿宋_GB2312"/>
                <w:b/>
                <w:sz w:val="24"/>
                <w:szCs w:val="21"/>
              </w:rPr>
              <w:t>,</w:t>
            </w:r>
            <w:r>
              <w:rPr>
                <w:rFonts w:hint="eastAsia" w:ascii="Times New Roman" w:hAnsi="Times New Roman" w:eastAsia="仿宋_GB2312" w:cs="Times New Roman"/>
                <w:b/>
                <w:sz w:val="24"/>
                <w:szCs w:val="21"/>
              </w:rPr>
              <w:t>537</w:t>
            </w:r>
            <w:r>
              <w:rPr>
                <w:rFonts w:hint="eastAsia" w:ascii="仿宋_GB2312" w:hAnsi="仿宋" w:eastAsia="仿宋_GB2312"/>
                <w:b/>
                <w:sz w:val="24"/>
                <w:szCs w:val="21"/>
              </w:rPr>
              <w:t>.</w:t>
            </w:r>
            <w:r>
              <w:rPr>
                <w:rFonts w:hint="eastAsia" w:ascii="Times New Roman" w:hAnsi="Times New Roman" w:eastAsia="仿宋_GB2312" w:cs="Times New Roman"/>
                <w:b/>
                <w:sz w:val="24"/>
                <w:szCs w:val="21"/>
              </w:rPr>
              <w:t>00</w:t>
            </w:r>
            <w:r>
              <w:rPr>
                <w:rFonts w:hint="eastAsia" w:ascii="仿宋_GB2312" w:hAnsi="仿宋" w:eastAsia="仿宋_GB2312"/>
                <w:b/>
                <w:sz w:val="24"/>
                <w:szCs w:val="21"/>
              </w:rPr>
              <w:t xml:space="preserve"> </w:t>
            </w:r>
          </w:p>
        </w:tc>
        <w:tc>
          <w:tcPr>
            <w:tcW w:w="1914" w:type="dxa"/>
            <w:shd w:val="clear" w:color="auto" w:fill="FFFFFF" w:themeFill="background1"/>
            <w:vAlign w:val="center"/>
          </w:tcPr>
          <w:p>
            <w:pPr>
              <w:adjustRightInd w:val="0"/>
              <w:snapToGrid w:val="0"/>
              <w:spacing w:line="570" w:lineRule="exact"/>
              <w:jc w:val="right"/>
              <w:rPr>
                <w:rFonts w:ascii="仿宋_GB2312" w:eastAsia="仿宋_GB2312"/>
                <w:bCs/>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Cs/>
          <w:kern w:val="0"/>
          <w:sz w:val="30"/>
          <w:szCs w:val="30"/>
        </w:rPr>
        <w:t>蓝山县科工局</w:t>
      </w:r>
      <w:r>
        <w:rPr>
          <w:rFonts w:hint="eastAsia" w:ascii="Times New Roman" w:hAnsi="Times New Roman" w:eastAsia="方正仿宋_GB2312" w:cs="方正仿宋_GB2312"/>
          <w:bCs/>
          <w:kern w:val="0"/>
          <w:sz w:val="30"/>
          <w:szCs w:val="30"/>
        </w:rPr>
        <w:t>2019</w:t>
      </w:r>
      <w:r>
        <w:rPr>
          <w:rFonts w:hint="eastAsia" w:ascii="方正仿宋_GB2312" w:hAnsi="方正仿宋_GB2312" w:eastAsia="方正仿宋_GB2312" w:cs="方正仿宋_GB2312"/>
          <w:bCs/>
          <w:kern w:val="0"/>
          <w:sz w:val="30"/>
          <w:szCs w:val="30"/>
        </w:rPr>
        <w:t>年度支持引进三类</w:t>
      </w:r>
      <w:r>
        <w:rPr>
          <w:rFonts w:hint="eastAsia" w:ascii="Times New Roman" w:hAnsi="Times New Roman" w:eastAsia="方正仿宋_GB2312" w:cs="方正仿宋_GB2312"/>
          <w:bCs/>
          <w:kern w:val="0"/>
          <w:sz w:val="30"/>
          <w:szCs w:val="30"/>
        </w:rPr>
        <w:t>500</w:t>
      </w:r>
      <w:r>
        <w:rPr>
          <w:rFonts w:hint="eastAsia" w:ascii="方正仿宋_GB2312" w:hAnsi="方正仿宋_GB2312" w:eastAsia="方正仿宋_GB2312" w:cs="方正仿宋_GB2312"/>
          <w:bCs/>
          <w:kern w:val="0"/>
          <w:sz w:val="30"/>
          <w:szCs w:val="30"/>
        </w:rPr>
        <w:t>强项目专项资金使用按</w:t>
      </w:r>
      <w:r>
        <w:rPr>
          <w:rFonts w:hint="eastAsia" w:ascii="方正仿宋_GB2312" w:hAnsi="方正仿宋_GB2312" w:eastAsia="方正仿宋_GB2312" w:cs="方正仿宋_GB2312"/>
          <w:bCs/>
          <w:sz w:val="30"/>
          <w:szCs w:val="30"/>
          <w:lang w:val="zh-CN"/>
        </w:rPr>
        <w:t>《</w:t>
      </w:r>
      <w:r>
        <w:rPr>
          <w:rFonts w:hint="eastAsia" w:ascii="方正仿宋_GB2312" w:hAnsi="方正仿宋_GB2312" w:eastAsia="方正仿宋_GB2312" w:cs="方正仿宋_GB2312"/>
          <w:bCs/>
          <w:sz w:val="30"/>
          <w:szCs w:val="30"/>
        </w:rPr>
        <w:t>蓝山县</w:t>
      </w:r>
      <w:r>
        <w:rPr>
          <w:rFonts w:hint="eastAsia" w:ascii="Times New Roman" w:hAnsi="Times New Roman" w:eastAsia="方正仿宋_GB2312" w:cs="方正仿宋_GB2312"/>
          <w:bCs/>
          <w:sz w:val="30"/>
          <w:szCs w:val="30"/>
        </w:rPr>
        <w:t>2019</w:t>
      </w:r>
      <w:r>
        <w:rPr>
          <w:rFonts w:hint="eastAsia" w:ascii="方正仿宋_GB2312" w:hAnsi="方正仿宋_GB2312" w:eastAsia="方正仿宋_GB2312" w:cs="方正仿宋_GB2312"/>
          <w:bCs/>
          <w:sz w:val="30"/>
          <w:szCs w:val="30"/>
        </w:rPr>
        <w:t>年支持引进三类</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强项目资金使用管理办法</w:t>
      </w:r>
      <w:r>
        <w:rPr>
          <w:rFonts w:hint="eastAsia" w:ascii="方正仿宋_GB2312" w:hAnsi="方正仿宋_GB2312" w:eastAsia="方正仿宋_GB2312" w:cs="方正仿宋_GB2312"/>
          <w:bCs/>
          <w:sz w:val="30"/>
          <w:szCs w:val="30"/>
          <w:lang w:val="zh-CN"/>
        </w:rPr>
        <w:t>》</w:t>
      </w:r>
      <w:r>
        <w:rPr>
          <w:rFonts w:hint="eastAsia" w:ascii="方正仿宋_GB2312" w:hAnsi="方正仿宋_GB2312" w:eastAsia="方正仿宋_GB2312" w:cs="方正仿宋_GB2312"/>
          <w:bCs/>
          <w:kern w:val="0"/>
          <w:sz w:val="30"/>
          <w:szCs w:val="30"/>
        </w:rPr>
        <w:t>执行，部分项目支出未严格按照规定执行,应加强对项目资金的管理，做到专款专用，资金支付依据充分，提高资金使用效益。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在项目实施过程中，蓝山县科工局建立了互访交流机制，由县委、县政府主要领导组织相关职能部门负责人以招商小分队的形式对接重点企业。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招商引资、扩大开放是加快经济社会发展的重要手段，是实施“经营绿色，建设绿色安康”战略和加快产业建设步伐的重大举措。项目实施后，取得招商引资初步成效，项目和资金在本地落户，有利于增加税源和财政收入，进而促进地方基础设施建设;利用外部企业在技术、产品、管理、营销和资金等多方面的优势，形成上水平、上规模、多元化、外向型的地区性现代化龙头企业；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强企业落户，可以扩大就业，提高居民收入水平，促进社会进步。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五、评价结论</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综合上述分析，支持引进三类</w:t>
      </w:r>
      <w:r>
        <w:rPr>
          <w:rFonts w:hint="eastAsia" w:ascii="Times New Roman" w:hAnsi="Times New Roman" w:eastAsia="方正仿宋_GB2312" w:cs="方正仿宋_GB2312"/>
          <w:bCs/>
          <w:sz w:val="30"/>
          <w:szCs w:val="30"/>
        </w:rPr>
        <w:t>500</w:t>
      </w:r>
      <w:r>
        <w:rPr>
          <w:rFonts w:hint="eastAsia" w:ascii="方正仿宋_GB2312" w:hAnsi="方正仿宋_GB2312" w:eastAsia="方正仿宋_GB2312" w:cs="方正仿宋_GB2312"/>
          <w:bCs/>
          <w:sz w:val="30"/>
          <w:szCs w:val="30"/>
        </w:rPr>
        <w:t>强项目执行整体比较规范合理，但在会计核算、支出审核等方面有待加强，结合《</w:t>
      </w:r>
      <w:r>
        <w:rPr>
          <w:rFonts w:hint="eastAsia" w:ascii="方正仿宋_GB2312" w:hAnsi="方正仿宋_GB2312" w:eastAsia="方正仿宋_GB2312" w:cs="方正仿宋_GB2312"/>
          <w:sz w:val="30"/>
          <w:szCs w:val="30"/>
        </w:rPr>
        <w:t>蓝山县科工局</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年度支持引进三类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强资金绩效评价评分表</w:t>
      </w:r>
      <w:r>
        <w:rPr>
          <w:rFonts w:hint="eastAsia" w:ascii="方正仿宋_GB2312" w:hAnsi="方正仿宋_GB2312" w:eastAsia="方正仿宋_GB2312" w:cs="方正仿宋_GB2312"/>
          <w:bCs/>
          <w:sz w:val="30"/>
          <w:szCs w:val="30"/>
        </w:rPr>
        <w:t>》的评价结果，得分</w:t>
      </w:r>
      <w:r>
        <w:rPr>
          <w:rFonts w:hint="eastAsia" w:ascii="Times New Roman" w:hAnsi="Times New Roman" w:eastAsia="方正仿宋_GB2312" w:cs="方正仿宋_GB2312"/>
          <w:bCs/>
          <w:sz w:val="30"/>
          <w:szCs w:val="30"/>
        </w:rPr>
        <w:t>90</w:t>
      </w:r>
      <w:r>
        <w:rPr>
          <w:rFonts w:hint="eastAsia" w:ascii="方正仿宋_GB2312" w:hAnsi="方正仿宋_GB2312" w:eastAsia="方正仿宋_GB2312" w:cs="方正仿宋_GB2312"/>
          <w:bCs/>
          <w:sz w:val="30"/>
          <w:szCs w:val="30"/>
        </w:rPr>
        <w:t>分，评价等级为“良好”。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六、存在的问题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（一）未进行专项核算</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bCs/>
          <w:sz w:val="30"/>
          <w:szCs w:val="30"/>
        </w:rPr>
      </w:pPr>
      <w:r>
        <w:rPr>
          <w:rFonts w:hint="eastAsia" w:ascii="方正仿宋_GB2312" w:hAnsi="方正仿宋_GB2312" w:eastAsia="方正仿宋_GB2312" w:cs="方正仿宋_GB2312"/>
          <w:bCs/>
          <w:sz w:val="30"/>
          <w:szCs w:val="30"/>
        </w:rPr>
        <w:t>科工局对于招商引资项目未设专项核算，与单位其他支出混合核算，不能清晰明确的体现招商引资项目支出情况。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（二）财务审核不严</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bCs/>
          <w:sz w:val="30"/>
          <w:szCs w:val="30"/>
        </w:rPr>
      </w:pPr>
      <w:r>
        <w:rPr>
          <w:rFonts w:hint="eastAsia" w:ascii="Times New Roman" w:hAnsi="Times New Roman" w:eastAsia="方正仿宋_GB2312" w:cs="方正仿宋_GB2312"/>
          <w:bCs/>
          <w:sz w:val="30"/>
          <w:szCs w:val="30"/>
        </w:rPr>
        <w:t>2019</w:t>
      </w:r>
      <w:r>
        <w:rPr>
          <w:rFonts w:hint="eastAsia" w:ascii="方正仿宋_GB2312" w:hAnsi="方正仿宋_GB2312" w:eastAsia="方正仿宋_GB2312" w:cs="方正仿宋_GB2312"/>
          <w:bCs/>
          <w:sz w:val="30"/>
          <w:szCs w:val="30"/>
        </w:rPr>
        <w:t>年</w:t>
      </w:r>
      <w:r>
        <w:rPr>
          <w:rFonts w:hint="eastAsia" w:ascii="Times New Roman" w:hAnsi="Times New Roman" w:eastAsia="方正仿宋_GB2312" w:cs="方正仿宋_GB2312"/>
          <w:bCs/>
          <w:sz w:val="30"/>
          <w:szCs w:val="30"/>
        </w:rPr>
        <w:t>4</w:t>
      </w:r>
      <w:r>
        <w:rPr>
          <w:rFonts w:hint="eastAsia" w:ascii="方正仿宋_GB2312" w:hAnsi="方正仿宋_GB2312" w:eastAsia="方正仿宋_GB2312" w:cs="方正仿宋_GB2312"/>
          <w:bCs/>
          <w:sz w:val="30"/>
          <w:szCs w:val="30"/>
        </w:rPr>
        <w:t>月</w:t>
      </w:r>
      <w:r>
        <w:rPr>
          <w:rFonts w:hint="eastAsia" w:ascii="Times New Roman" w:hAnsi="Times New Roman" w:eastAsia="方正仿宋_GB2312" w:cs="方正仿宋_GB2312"/>
          <w:bCs/>
          <w:sz w:val="30"/>
          <w:szCs w:val="30"/>
        </w:rPr>
        <w:t>6</w:t>
      </w:r>
      <w:r>
        <w:rPr>
          <w:rFonts w:hint="eastAsia" w:ascii="方正仿宋_GB2312" w:hAnsi="方正仿宋_GB2312" w:eastAsia="方正仿宋_GB2312" w:cs="方正仿宋_GB2312"/>
          <w:bCs/>
          <w:sz w:val="30"/>
          <w:szCs w:val="30"/>
        </w:rPr>
        <w:t>号凭证，付云南招商差旅费</w:t>
      </w:r>
      <w:r>
        <w:rPr>
          <w:rFonts w:hint="eastAsia" w:ascii="Times New Roman" w:hAnsi="Times New Roman" w:eastAsia="方正仿宋_GB2312" w:cs="方正仿宋_GB2312"/>
          <w:bCs/>
          <w:sz w:val="30"/>
          <w:szCs w:val="30"/>
        </w:rPr>
        <w:t>74537</w:t>
      </w:r>
      <w:r>
        <w:rPr>
          <w:rFonts w:hint="eastAsia" w:ascii="方正仿宋_GB2312" w:hAnsi="方正仿宋_GB2312" w:eastAsia="方正仿宋_GB2312" w:cs="方正仿宋_GB2312"/>
          <w:bCs/>
          <w:sz w:val="30"/>
          <w:szCs w:val="30"/>
        </w:rPr>
        <w:t>元，原始凭证不齐全，部分餐饮支出无就餐明细，租车费也未见派车单，以及发票上无审批人签字记录 ，不符合《蓝山县科技和工业信息化局机关工作管理制度》第五点财务管理制度第八条规定“实行一支笔审批负责制，报销发票必须有经手人、证明人、审批人签字方可报销。重大支出集体研究”。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（三）资金支付依据不充分</w:t>
      </w:r>
    </w:p>
    <w:p>
      <w:pPr>
        <w:keepNext w:val="0"/>
        <w:keepLines w:val="0"/>
        <w:pageBreakBefore w:val="0"/>
        <w:kinsoku/>
        <w:wordWrap/>
        <w:overflowPunct/>
        <w:topLinePunct w:val="0"/>
        <w:autoSpaceDE/>
        <w:autoSpaceDN/>
        <w:bidi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bCs/>
          <w:sz w:val="30"/>
          <w:szCs w:val="30"/>
        </w:rPr>
      </w:pPr>
      <w:r>
        <w:rPr>
          <w:rFonts w:hint="eastAsia" w:ascii="Times New Roman" w:hAnsi="Times New Roman" w:eastAsia="方正仿宋_GB2312" w:cs="方正仿宋_GB2312"/>
          <w:bCs/>
          <w:sz w:val="30"/>
          <w:szCs w:val="30"/>
        </w:rPr>
        <w:t>2019</w:t>
      </w:r>
      <w:r>
        <w:rPr>
          <w:rFonts w:hint="eastAsia" w:ascii="方正仿宋_GB2312" w:hAnsi="方正仿宋_GB2312" w:eastAsia="方正仿宋_GB2312" w:cs="方正仿宋_GB2312"/>
          <w:bCs/>
          <w:sz w:val="30"/>
          <w:szCs w:val="30"/>
        </w:rPr>
        <w:t>年</w:t>
      </w:r>
      <w:r>
        <w:rPr>
          <w:rFonts w:hint="eastAsia" w:ascii="Times New Roman" w:hAnsi="Times New Roman" w:eastAsia="方正仿宋_GB2312" w:cs="方正仿宋_GB2312"/>
          <w:bCs/>
          <w:sz w:val="30"/>
          <w:szCs w:val="30"/>
        </w:rPr>
        <w:t>1</w:t>
      </w:r>
      <w:r>
        <w:rPr>
          <w:rFonts w:hint="eastAsia" w:ascii="方正仿宋_GB2312" w:hAnsi="方正仿宋_GB2312" w:eastAsia="方正仿宋_GB2312" w:cs="方正仿宋_GB2312"/>
          <w:bCs/>
          <w:sz w:val="30"/>
          <w:szCs w:val="30"/>
        </w:rPr>
        <w:t>月</w:t>
      </w:r>
      <w:r>
        <w:rPr>
          <w:rFonts w:hint="eastAsia" w:ascii="Times New Roman" w:hAnsi="Times New Roman" w:eastAsia="方正仿宋_GB2312" w:cs="方正仿宋_GB2312"/>
          <w:bCs/>
          <w:sz w:val="30"/>
          <w:szCs w:val="30"/>
        </w:rPr>
        <w:t>61</w:t>
      </w:r>
      <w:r>
        <w:rPr>
          <w:rFonts w:hint="eastAsia" w:ascii="方正仿宋_GB2312" w:hAnsi="方正仿宋_GB2312" w:eastAsia="方正仿宋_GB2312" w:cs="方正仿宋_GB2312"/>
          <w:bCs/>
          <w:sz w:val="30"/>
          <w:szCs w:val="30"/>
        </w:rPr>
        <w:t>号凭证，付香港招商引资出差费用</w:t>
      </w:r>
      <w:r>
        <w:rPr>
          <w:rFonts w:hint="eastAsia" w:ascii="Times New Roman" w:hAnsi="Times New Roman" w:eastAsia="方正仿宋_GB2312" w:cs="方正仿宋_GB2312"/>
          <w:bCs/>
          <w:sz w:val="30"/>
          <w:szCs w:val="30"/>
        </w:rPr>
        <w:t>35000</w:t>
      </w:r>
      <w:r>
        <w:rPr>
          <w:rFonts w:hint="eastAsia" w:ascii="方正仿宋_GB2312" w:hAnsi="方正仿宋_GB2312" w:eastAsia="方正仿宋_GB2312" w:cs="方正仿宋_GB2312"/>
          <w:bCs/>
          <w:sz w:val="30"/>
          <w:szCs w:val="30"/>
        </w:rPr>
        <w:t>元，部分报销发票无证明人及审批人签字，租车费未见派车单以及住宿费无入住明细。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七、相关建议</w:t>
      </w:r>
    </w:p>
    <w:p>
      <w:pPr>
        <w:pStyle w:val="2"/>
        <w:keepNext w:val="0"/>
        <w:keepLines w:val="0"/>
        <w:pageBreakBefore w:val="0"/>
        <w:kinsoku/>
        <w:wordWrap/>
        <w:overflowPunct/>
        <w:topLinePunct w:val="0"/>
        <w:autoSpaceDE/>
        <w:autoSpaceDN/>
        <w:bidi w:val="0"/>
        <w:spacing w:after="0" w:line="570" w:lineRule="exact"/>
        <w:ind w:left="0" w:leftChars="0" w:right="0" w:rightChars="0" w:firstLine="56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（一）规范专项资金管理，保持专项核算的独立性，设立专账对项目资金支出进行核算，确保专款专用。</w:t>
      </w:r>
    </w:p>
    <w:p>
      <w:pPr>
        <w:pStyle w:val="2"/>
        <w:keepNext w:val="0"/>
        <w:keepLines w:val="0"/>
        <w:pageBreakBefore w:val="0"/>
        <w:kinsoku/>
        <w:wordWrap/>
        <w:overflowPunct/>
        <w:topLinePunct w:val="0"/>
        <w:autoSpaceDE/>
        <w:autoSpaceDN/>
        <w:bidi w:val="0"/>
        <w:spacing w:after="0" w:line="570" w:lineRule="exact"/>
        <w:ind w:left="0" w:leftChars="0" w:right="0" w:rightChars="0" w:firstLine="560"/>
        <w:jc w:val="both"/>
        <w:textAlignment w:val="auto"/>
        <w:outlineLvl w:val="9"/>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（二）加强原始凭证的审核，完善财务核算与监管，单位会计人员应当严格按照《会计基础工作规范》的要求对原始凭证进行审核和监督，确保单据来源合法，内容真实、完整，审批手续齐全。</w:t>
      </w:r>
    </w:p>
    <w:p>
      <w:pPr>
        <w:pStyle w:val="2"/>
        <w:keepNext w:val="0"/>
        <w:keepLines w:val="0"/>
        <w:pageBreakBefore w:val="0"/>
        <w:kinsoku/>
        <w:wordWrap/>
        <w:overflowPunct/>
        <w:topLinePunct w:val="0"/>
        <w:autoSpaceDE/>
        <w:autoSpaceDN/>
        <w:bidi w:val="0"/>
        <w:spacing w:after="0" w:line="570" w:lineRule="exact"/>
        <w:ind w:left="0" w:leftChars="0" w:right="0" w:rightChars="0"/>
        <w:jc w:val="both"/>
        <w:textAlignment w:val="auto"/>
        <w:outlineLvl w:val="9"/>
        <w:rPr>
          <w:rFonts w:hint="eastAsia" w:ascii="方正仿宋_GB2312" w:hAnsi="方正仿宋_GB2312" w:eastAsia="方正仿宋_GB2312" w:cs="方正仿宋_GB2312"/>
          <w:sz w:val="30"/>
          <w:szCs w:val="30"/>
        </w:rPr>
      </w:pPr>
    </w:p>
    <w:p>
      <w:pPr>
        <w:keepNext w:val="0"/>
        <w:keepLines w:val="0"/>
        <w:pageBreakBefore w:val="0"/>
        <w:kinsoku/>
        <w:wordWrap/>
        <w:overflowPunct/>
        <w:topLinePunct w:val="0"/>
        <w:autoSpaceDE/>
        <w:autoSpaceDN/>
        <w:bidi w:val="0"/>
        <w:adjustRightInd w:val="0"/>
        <w:snapToGrid w:val="0"/>
        <w:spacing w:line="570" w:lineRule="exact"/>
        <w:ind w:left="0" w:leftChars="0" w:right="0" w:rightChars="0" w:firstLine="600" w:firstLineChars="200"/>
        <w:jc w:val="both"/>
        <w:textAlignment w:val="auto"/>
        <w:outlineLvl w:val="9"/>
        <w:rPr>
          <w:rFonts w:hint="eastAsia" w:ascii="方正仿宋_GB2312" w:hAnsi="方正仿宋_GB2312" w:eastAsia="方正仿宋_GB2312" w:cs="方正仿宋_GB2312"/>
          <w:kern w:val="0"/>
          <w:sz w:val="30"/>
          <w:szCs w:val="30"/>
          <w:highlight w:val="yellow"/>
        </w:rPr>
      </w:pPr>
      <w:r>
        <w:rPr>
          <w:rFonts w:hint="eastAsia" w:ascii="方正仿宋_GB2312" w:hAnsi="方正仿宋_GB2312" w:eastAsia="方正仿宋_GB2312" w:cs="方正仿宋_GB2312"/>
          <w:sz w:val="30"/>
          <w:szCs w:val="30"/>
        </w:rPr>
        <w:t>附表：蓝山县科工局</w:t>
      </w:r>
      <w:r>
        <w:rPr>
          <w:rFonts w:hint="eastAsia" w:ascii="Times New Roman" w:hAnsi="Times New Roman" w:eastAsia="方正仿宋_GB2312" w:cs="方正仿宋_GB2312"/>
          <w:sz w:val="30"/>
          <w:szCs w:val="30"/>
        </w:rPr>
        <w:t>2019</w:t>
      </w:r>
      <w:r>
        <w:rPr>
          <w:rFonts w:hint="eastAsia" w:ascii="方正仿宋_GB2312" w:hAnsi="方正仿宋_GB2312" w:eastAsia="方正仿宋_GB2312" w:cs="方正仿宋_GB2312"/>
          <w:sz w:val="30"/>
          <w:szCs w:val="30"/>
        </w:rPr>
        <w:t>年度支持引进三类</w:t>
      </w:r>
      <w:r>
        <w:rPr>
          <w:rFonts w:hint="eastAsia" w:ascii="Times New Roman" w:hAnsi="Times New Roman" w:eastAsia="方正仿宋_GB2312" w:cs="方正仿宋_GB2312"/>
          <w:sz w:val="30"/>
          <w:szCs w:val="30"/>
        </w:rPr>
        <w:t>500</w:t>
      </w:r>
      <w:r>
        <w:rPr>
          <w:rFonts w:hint="eastAsia" w:ascii="方正仿宋_GB2312" w:hAnsi="方正仿宋_GB2312" w:eastAsia="方正仿宋_GB2312" w:cs="方正仿宋_GB2312"/>
          <w:sz w:val="30"/>
          <w:szCs w:val="30"/>
        </w:rPr>
        <w:t>强资金绩效评价评分表</w:t>
      </w:r>
    </w:p>
    <w:p>
      <w:pPr>
        <w:snapToGrid w:val="0"/>
        <w:spacing w:line="570" w:lineRule="exact"/>
        <w:textAlignment w:val="baseline"/>
        <w:rPr>
          <w:rFonts w:ascii="仿宋_GB2312" w:hAnsi="宋体" w:eastAsia="仿宋_GB2312" w:cs="Arial"/>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ascii="仿宋_GB2312" w:eastAsia="仿宋_GB2312"/>
          <w:sz w:val="28"/>
          <w:szCs w:val="28"/>
          <w:shd w:val="clear" w:color="auto" w:fill="92D050"/>
        </w:rPr>
      </w:pPr>
    </w:p>
    <w:p>
      <w:pPr>
        <w:snapToGrid w:val="0"/>
        <w:spacing w:line="540" w:lineRule="exact"/>
        <w:textAlignment w:val="baseline"/>
        <w:rPr>
          <w:rFonts w:ascii="仿宋_GB2312" w:eastAsia="仿宋_GB2312"/>
          <w:sz w:val="28"/>
          <w:szCs w:val="28"/>
          <w:shd w:val="clear" w:color="auto" w:fill="92D050"/>
        </w:rPr>
      </w:pPr>
    </w:p>
    <w:p>
      <w:pPr>
        <w:snapToGrid w:val="0"/>
        <w:spacing w:line="570" w:lineRule="exact"/>
        <w:textAlignment w:val="baseline"/>
        <w:rPr>
          <w:rFonts w:ascii="仿宋_GB2312" w:eastAsia="仿宋_GB2312"/>
          <w:sz w:val="28"/>
          <w:szCs w:val="28"/>
          <w:shd w:val="clear" w:color="auto" w:fill="92D050"/>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ourier New">
    <w:panose1 w:val="02070309020205020404"/>
    <w:charset w:val="00"/>
    <w:family w:val="modern"/>
    <w:pitch w:val="default"/>
    <w:sig w:usb0="E0002AFF" w:usb1="C0007843" w:usb2="00000009" w:usb3="00000000" w:csb0="400001FF" w:csb1="FFFF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楷体简">
    <w:panose1 w:val="02010600000101010101"/>
    <w:charset w:val="86"/>
    <w:family w:val="auto"/>
    <w:pitch w:val="default"/>
    <w:sig w:usb0="00000001" w:usb1="080E0800" w:usb2="00000002"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hpgkvTAAAABQEAAA8AAAAAAAAAAQAgAAAAOAAAAGRycy9k&#10;b3ducmV2LnhtbFBLAQIUABQAAAAIAIdO4kAE4W+PuAEAAFUDAAAOAAAAAAAAAAEAIAAAADgBAABk&#10;cnMvZTJvRG9jLnhtbFBLBQYAAAAABgAGAFkBAABiBQAAAAA=&#10;">
              <v:fill on="f" focussize="0,0"/>
              <v:stroke on="f" weight="1.25pt"/>
              <v:imagedata o:title=""/>
              <o:lock v:ext="edit" aspectratio="f"/>
              <v:textbox inset="0mm,0mm,0mm,0mm" style="mso-fit-shape-to-text:t;">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4779"/>
    <w:rsid w:val="0002494A"/>
    <w:rsid w:val="000342DB"/>
    <w:rsid w:val="00034512"/>
    <w:rsid w:val="00035DFB"/>
    <w:rsid w:val="00036CB2"/>
    <w:rsid w:val="00037FD2"/>
    <w:rsid w:val="000426C9"/>
    <w:rsid w:val="0004404C"/>
    <w:rsid w:val="00047ABE"/>
    <w:rsid w:val="000505C9"/>
    <w:rsid w:val="0005070A"/>
    <w:rsid w:val="00053E5A"/>
    <w:rsid w:val="00057CA6"/>
    <w:rsid w:val="000602DC"/>
    <w:rsid w:val="00060616"/>
    <w:rsid w:val="00071A57"/>
    <w:rsid w:val="000720C9"/>
    <w:rsid w:val="00073027"/>
    <w:rsid w:val="0007353D"/>
    <w:rsid w:val="00074B48"/>
    <w:rsid w:val="0007681A"/>
    <w:rsid w:val="00081AB7"/>
    <w:rsid w:val="00086572"/>
    <w:rsid w:val="00092C44"/>
    <w:rsid w:val="00094CAC"/>
    <w:rsid w:val="000A1FFA"/>
    <w:rsid w:val="000A26A6"/>
    <w:rsid w:val="000A2BF9"/>
    <w:rsid w:val="000A3AE5"/>
    <w:rsid w:val="000A419C"/>
    <w:rsid w:val="000A7C57"/>
    <w:rsid w:val="000B2C45"/>
    <w:rsid w:val="000B3280"/>
    <w:rsid w:val="000B3AFE"/>
    <w:rsid w:val="000C1ACC"/>
    <w:rsid w:val="000C5D7F"/>
    <w:rsid w:val="000C5F3D"/>
    <w:rsid w:val="000D33DE"/>
    <w:rsid w:val="000D4170"/>
    <w:rsid w:val="000D7B9D"/>
    <w:rsid w:val="000E2646"/>
    <w:rsid w:val="000E4076"/>
    <w:rsid w:val="000F0529"/>
    <w:rsid w:val="000F05DD"/>
    <w:rsid w:val="000F0EF8"/>
    <w:rsid w:val="000F155A"/>
    <w:rsid w:val="00101D57"/>
    <w:rsid w:val="00101FBB"/>
    <w:rsid w:val="00104421"/>
    <w:rsid w:val="00104834"/>
    <w:rsid w:val="00106036"/>
    <w:rsid w:val="00111898"/>
    <w:rsid w:val="00117D0B"/>
    <w:rsid w:val="00122954"/>
    <w:rsid w:val="00122BB9"/>
    <w:rsid w:val="00122D3E"/>
    <w:rsid w:val="00125BDF"/>
    <w:rsid w:val="0013225E"/>
    <w:rsid w:val="00132C9B"/>
    <w:rsid w:val="00133AC0"/>
    <w:rsid w:val="00135387"/>
    <w:rsid w:val="00137B38"/>
    <w:rsid w:val="00142DDB"/>
    <w:rsid w:val="00143621"/>
    <w:rsid w:val="00144F96"/>
    <w:rsid w:val="0014526A"/>
    <w:rsid w:val="00146B26"/>
    <w:rsid w:val="00147033"/>
    <w:rsid w:val="001632BF"/>
    <w:rsid w:val="00163F90"/>
    <w:rsid w:val="001654E8"/>
    <w:rsid w:val="001721BB"/>
    <w:rsid w:val="00177326"/>
    <w:rsid w:val="00183ACC"/>
    <w:rsid w:val="00183FC6"/>
    <w:rsid w:val="001919C6"/>
    <w:rsid w:val="00192861"/>
    <w:rsid w:val="00193497"/>
    <w:rsid w:val="00194661"/>
    <w:rsid w:val="00194B64"/>
    <w:rsid w:val="001A1BA0"/>
    <w:rsid w:val="001A2843"/>
    <w:rsid w:val="001A55B3"/>
    <w:rsid w:val="001A6937"/>
    <w:rsid w:val="001B3326"/>
    <w:rsid w:val="001B44BE"/>
    <w:rsid w:val="001B6B89"/>
    <w:rsid w:val="001B7F00"/>
    <w:rsid w:val="001C18B8"/>
    <w:rsid w:val="001C283B"/>
    <w:rsid w:val="001C434E"/>
    <w:rsid w:val="001C5B91"/>
    <w:rsid w:val="001C676B"/>
    <w:rsid w:val="001C6967"/>
    <w:rsid w:val="001D0515"/>
    <w:rsid w:val="001D0F48"/>
    <w:rsid w:val="001D3742"/>
    <w:rsid w:val="001D38ED"/>
    <w:rsid w:val="001D5DF9"/>
    <w:rsid w:val="001F1E36"/>
    <w:rsid w:val="001F351B"/>
    <w:rsid w:val="001F39D8"/>
    <w:rsid w:val="00205041"/>
    <w:rsid w:val="00205095"/>
    <w:rsid w:val="00207034"/>
    <w:rsid w:val="0021424A"/>
    <w:rsid w:val="0021568F"/>
    <w:rsid w:val="0021573A"/>
    <w:rsid w:val="00215954"/>
    <w:rsid w:val="00215B57"/>
    <w:rsid w:val="002160D7"/>
    <w:rsid w:val="00217391"/>
    <w:rsid w:val="00217E01"/>
    <w:rsid w:val="00220D7E"/>
    <w:rsid w:val="00226347"/>
    <w:rsid w:val="0022774F"/>
    <w:rsid w:val="00235FCD"/>
    <w:rsid w:val="0023749D"/>
    <w:rsid w:val="00240400"/>
    <w:rsid w:val="00244580"/>
    <w:rsid w:val="00260631"/>
    <w:rsid w:val="00265206"/>
    <w:rsid w:val="002671E2"/>
    <w:rsid w:val="00270FC0"/>
    <w:rsid w:val="00271708"/>
    <w:rsid w:val="00273A49"/>
    <w:rsid w:val="00297667"/>
    <w:rsid w:val="002A4CB0"/>
    <w:rsid w:val="002B0162"/>
    <w:rsid w:val="002B0F6E"/>
    <w:rsid w:val="002B2884"/>
    <w:rsid w:val="002B53E4"/>
    <w:rsid w:val="002B61C5"/>
    <w:rsid w:val="002B6DD0"/>
    <w:rsid w:val="002C12E9"/>
    <w:rsid w:val="002C27A0"/>
    <w:rsid w:val="002C294C"/>
    <w:rsid w:val="002C51BC"/>
    <w:rsid w:val="002D2267"/>
    <w:rsid w:val="002D4123"/>
    <w:rsid w:val="002D5356"/>
    <w:rsid w:val="002E3981"/>
    <w:rsid w:val="002E3A95"/>
    <w:rsid w:val="002E7CAB"/>
    <w:rsid w:val="002F1315"/>
    <w:rsid w:val="002F240C"/>
    <w:rsid w:val="002F24B1"/>
    <w:rsid w:val="002F2DBD"/>
    <w:rsid w:val="002F37D5"/>
    <w:rsid w:val="002F71B4"/>
    <w:rsid w:val="002F7EAA"/>
    <w:rsid w:val="0030131D"/>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27D0A"/>
    <w:rsid w:val="0033055C"/>
    <w:rsid w:val="00330FC7"/>
    <w:rsid w:val="00331C21"/>
    <w:rsid w:val="00332168"/>
    <w:rsid w:val="00337270"/>
    <w:rsid w:val="00340FF6"/>
    <w:rsid w:val="0034112B"/>
    <w:rsid w:val="00343216"/>
    <w:rsid w:val="003470B0"/>
    <w:rsid w:val="0035070B"/>
    <w:rsid w:val="0035226A"/>
    <w:rsid w:val="00354748"/>
    <w:rsid w:val="00357267"/>
    <w:rsid w:val="00365874"/>
    <w:rsid w:val="00365CC5"/>
    <w:rsid w:val="00366055"/>
    <w:rsid w:val="003661A1"/>
    <w:rsid w:val="00374A03"/>
    <w:rsid w:val="003802D0"/>
    <w:rsid w:val="0038052A"/>
    <w:rsid w:val="00380F2D"/>
    <w:rsid w:val="00380F3D"/>
    <w:rsid w:val="00381030"/>
    <w:rsid w:val="00381805"/>
    <w:rsid w:val="003818A9"/>
    <w:rsid w:val="0038516E"/>
    <w:rsid w:val="00386E39"/>
    <w:rsid w:val="00392003"/>
    <w:rsid w:val="003A1093"/>
    <w:rsid w:val="003A3837"/>
    <w:rsid w:val="003B090C"/>
    <w:rsid w:val="003B16CF"/>
    <w:rsid w:val="003B6400"/>
    <w:rsid w:val="003C286E"/>
    <w:rsid w:val="003C3D5A"/>
    <w:rsid w:val="003C79F2"/>
    <w:rsid w:val="003C7DAD"/>
    <w:rsid w:val="003D1F7C"/>
    <w:rsid w:val="003D467C"/>
    <w:rsid w:val="003D678C"/>
    <w:rsid w:val="003E17D3"/>
    <w:rsid w:val="003E313E"/>
    <w:rsid w:val="003E5CE5"/>
    <w:rsid w:val="003E6854"/>
    <w:rsid w:val="003F1503"/>
    <w:rsid w:val="003F43FC"/>
    <w:rsid w:val="00402489"/>
    <w:rsid w:val="00413C41"/>
    <w:rsid w:val="00421A5F"/>
    <w:rsid w:val="004231FA"/>
    <w:rsid w:val="0042456E"/>
    <w:rsid w:val="00424A2B"/>
    <w:rsid w:val="004252B3"/>
    <w:rsid w:val="00430004"/>
    <w:rsid w:val="00430E0C"/>
    <w:rsid w:val="00434A6C"/>
    <w:rsid w:val="00435ADF"/>
    <w:rsid w:val="004363D2"/>
    <w:rsid w:val="00436D68"/>
    <w:rsid w:val="00436DA6"/>
    <w:rsid w:val="00442388"/>
    <w:rsid w:val="00443475"/>
    <w:rsid w:val="0044500B"/>
    <w:rsid w:val="00446A56"/>
    <w:rsid w:val="00450F92"/>
    <w:rsid w:val="0045619A"/>
    <w:rsid w:val="0045626D"/>
    <w:rsid w:val="004563A9"/>
    <w:rsid w:val="004640FD"/>
    <w:rsid w:val="0046540C"/>
    <w:rsid w:val="00470211"/>
    <w:rsid w:val="0047148C"/>
    <w:rsid w:val="00472B83"/>
    <w:rsid w:val="00482952"/>
    <w:rsid w:val="00483046"/>
    <w:rsid w:val="00483B67"/>
    <w:rsid w:val="004929BF"/>
    <w:rsid w:val="00492A63"/>
    <w:rsid w:val="0049519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93C"/>
    <w:rsid w:val="004C3EE1"/>
    <w:rsid w:val="004D0221"/>
    <w:rsid w:val="004D2C0E"/>
    <w:rsid w:val="004D3EB8"/>
    <w:rsid w:val="004E1BDB"/>
    <w:rsid w:val="004E62EA"/>
    <w:rsid w:val="004F1E8A"/>
    <w:rsid w:val="004F2598"/>
    <w:rsid w:val="004F53D5"/>
    <w:rsid w:val="004F794C"/>
    <w:rsid w:val="00500E50"/>
    <w:rsid w:val="00502B91"/>
    <w:rsid w:val="00505F10"/>
    <w:rsid w:val="00511F46"/>
    <w:rsid w:val="00512017"/>
    <w:rsid w:val="00512481"/>
    <w:rsid w:val="00515107"/>
    <w:rsid w:val="005170FE"/>
    <w:rsid w:val="0052021A"/>
    <w:rsid w:val="00526BD4"/>
    <w:rsid w:val="00530C91"/>
    <w:rsid w:val="0053212F"/>
    <w:rsid w:val="00532432"/>
    <w:rsid w:val="00536050"/>
    <w:rsid w:val="005367D5"/>
    <w:rsid w:val="00542D00"/>
    <w:rsid w:val="005437A1"/>
    <w:rsid w:val="00544DE7"/>
    <w:rsid w:val="00545497"/>
    <w:rsid w:val="005509BC"/>
    <w:rsid w:val="00550C64"/>
    <w:rsid w:val="00560EF6"/>
    <w:rsid w:val="005639BD"/>
    <w:rsid w:val="00563FBE"/>
    <w:rsid w:val="00566AFC"/>
    <w:rsid w:val="00572A81"/>
    <w:rsid w:val="005735CA"/>
    <w:rsid w:val="00573DC4"/>
    <w:rsid w:val="00577C88"/>
    <w:rsid w:val="005814BD"/>
    <w:rsid w:val="00585327"/>
    <w:rsid w:val="00593540"/>
    <w:rsid w:val="005973AD"/>
    <w:rsid w:val="005979A1"/>
    <w:rsid w:val="005A388C"/>
    <w:rsid w:val="005A5191"/>
    <w:rsid w:val="005B1328"/>
    <w:rsid w:val="005B1FEC"/>
    <w:rsid w:val="005B2174"/>
    <w:rsid w:val="005B23D8"/>
    <w:rsid w:val="005B550D"/>
    <w:rsid w:val="005B79D7"/>
    <w:rsid w:val="005B7D02"/>
    <w:rsid w:val="005C2A3B"/>
    <w:rsid w:val="005C6A78"/>
    <w:rsid w:val="005D0C36"/>
    <w:rsid w:val="005D173B"/>
    <w:rsid w:val="005D1B1E"/>
    <w:rsid w:val="005D39E2"/>
    <w:rsid w:val="005D50AC"/>
    <w:rsid w:val="005D6F4E"/>
    <w:rsid w:val="005D7AAF"/>
    <w:rsid w:val="005E5436"/>
    <w:rsid w:val="005E5E37"/>
    <w:rsid w:val="005F1377"/>
    <w:rsid w:val="0060134A"/>
    <w:rsid w:val="00603D10"/>
    <w:rsid w:val="00607F27"/>
    <w:rsid w:val="006102FC"/>
    <w:rsid w:val="00610935"/>
    <w:rsid w:val="00613C64"/>
    <w:rsid w:val="00620AD8"/>
    <w:rsid w:val="006244AE"/>
    <w:rsid w:val="00625B40"/>
    <w:rsid w:val="00626271"/>
    <w:rsid w:val="00626A2F"/>
    <w:rsid w:val="00627655"/>
    <w:rsid w:val="00631C9D"/>
    <w:rsid w:val="006322FA"/>
    <w:rsid w:val="0063258F"/>
    <w:rsid w:val="00632D86"/>
    <w:rsid w:val="006330AF"/>
    <w:rsid w:val="00634B9C"/>
    <w:rsid w:val="00642290"/>
    <w:rsid w:val="00643CF0"/>
    <w:rsid w:val="00650051"/>
    <w:rsid w:val="0065020B"/>
    <w:rsid w:val="00665AA0"/>
    <w:rsid w:val="00670ECB"/>
    <w:rsid w:val="00671711"/>
    <w:rsid w:val="00672416"/>
    <w:rsid w:val="00672FBE"/>
    <w:rsid w:val="00674335"/>
    <w:rsid w:val="006871C2"/>
    <w:rsid w:val="00694B93"/>
    <w:rsid w:val="006A6804"/>
    <w:rsid w:val="006B0FC0"/>
    <w:rsid w:val="006B629A"/>
    <w:rsid w:val="006C03B6"/>
    <w:rsid w:val="006C4DC9"/>
    <w:rsid w:val="006C6596"/>
    <w:rsid w:val="006C67E4"/>
    <w:rsid w:val="006D0318"/>
    <w:rsid w:val="006D1D73"/>
    <w:rsid w:val="006D1EF0"/>
    <w:rsid w:val="006D617F"/>
    <w:rsid w:val="006D794A"/>
    <w:rsid w:val="006E7879"/>
    <w:rsid w:val="006E7E6C"/>
    <w:rsid w:val="006F0663"/>
    <w:rsid w:val="006F2F14"/>
    <w:rsid w:val="006F2FA3"/>
    <w:rsid w:val="00701716"/>
    <w:rsid w:val="00702CF2"/>
    <w:rsid w:val="00706E01"/>
    <w:rsid w:val="00707188"/>
    <w:rsid w:val="0071252C"/>
    <w:rsid w:val="007132A5"/>
    <w:rsid w:val="007150A9"/>
    <w:rsid w:val="007204E5"/>
    <w:rsid w:val="00723933"/>
    <w:rsid w:val="00724571"/>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46D97"/>
    <w:rsid w:val="00750E23"/>
    <w:rsid w:val="00751706"/>
    <w:rsid w:val="007524DF"/>
    <w:rsid w:val="007608E2"/>
    <w:rsid w:val="00763FFB"/>
    <w:rsid w:val="007655F2"/>
    <w:rsid w:val="007658BB"/>
    <w:rsid w:val="00776108"/>
    <w:rsid w:val="00777B34"/>
    <w:rsid w:val="00780DBB"/>
    <w:rsid w:val="00782858"/>
    <w:rsid w:val="0078382C"/>
    <w:rsid w:val="007843E9"/>
    <w:rsid w:val="00784740"/>
    <w:rsid w:val="00791051"/>
    <w:rsid w:val="00793152"/>
    <w:rsid w:val="00796424"/>
    <w:rsid w:val="007A18C4"/>
    <w:rsid w:val="007A2BEE"/>
    <w:rsid w:val="007A59C1"/>
    <w:rsid w:val="007A5A87"/>
    <w:rsid w:val="007B0AB0"/>
    <w:rsid w:val="007B13E6"/>
    <w:rsid w:val="007B2642"/>
    <w:rsid w:val="007B56AC"/>
    <w:rsid w:val="007B73DE"/>
    <w:rsid w:val="007C1CBC"/>
    <w:rsid w:val="007C7D95"/>
    <w:rsid w:val="007D00A4"/>
    <w:rsid w:val="007D00EF"/>
    <w:rsid w:val="007D04B6"/>
    <w:rsid w:val="007D25B1"/>
    <w:rsid w:val="007D2E2E"/>
    <w:rsid w:val="007D3146"/>
    <w:rsid w:val="007D49C8"/>
    <w:rsid w:val="007D5F4E"/>
    <w:rsid w:val="007D668F"/>
    <w:rsid w:val="007D7400"/>
    <w:rsid w:val="007E390F"/>
    <w:rsid w:val="007E4248"/>
    <w:rsid w:val="007E4606"/>
    <w:rsid w:val="007E7881"/>
    <w:rsid w:val="008003A6"/>
    <w:rsid w:val="0080090A"/>
    <w:rsid w:val="00805FFA"/>
    <w:rsid w:val="00807734"/>
    <w:rsid w:val="00810EEC"/>
    <w:rsid w:val="008132F0"/>
    <w:rsid w:val="008147C9"/>
    <w:rsid w:val="00816A4D"/>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520B7"/>
    <w:rsid w:val="008565AE"/>
    <w:rsid w:val="00857A35"/>
    <w:rsid w:val="0086107A"/>
    <w:rsid w:val="008639CD"/>
    <w:rsid w:val="00865FFF"/>
    <w:rsid w:val="00866B94"/>
    <w:rsid w:val="00871085"/>
    <w:rsid w:val="00872385"/>
    <w:rsid w:val="00872599"/>
    <w:rsid w:val="008737F0"/>
    <w:rsid w:val="008742E8"/>
    <w:rsid w:val="00875C80"/>
    <w:rsid w:val="00877E62"/>
    <w:rsid w:val="0088556C"/>
    <w:rsid w:val="00886CAD"/>
    <w:rsid w:val="00886CE0"/>
    <w:rsid w:val="008877C4"/>
    <w:rsid w:val="008918C1"/>
    <w:rsid w:val="00891A2C"/>
    <w:rsid w:val="00891BC4"/>
    <w:rsid w:val="008952E3"/>
    <w:rsid w:val="008A014D"/>
    <w:rsid w:val="008A0DCB"/>
    <w:rsid w:val="008A1138"/>
    <w:rsid w:val="008A2991"/>
    <w:rsid w:val="008A4D78"/>
    <w:rsid w:val="008A5F93"/>
    <w:rsid w:val="008A710E"/>
    <w:rsid w:val="008C1078"/>
    <w:rsid w:val="008C2580"/>
    <w:rsid w:val="008C44CC"/>
    <w:rsid w:val="008C493E"/>
    <w:rsid w:val="008C55FF"/>
    <w:rsid w:val="008C6428"/>
    <w:rsid w:val="008C6BF3"/>
    <w:rsid w:val="008C7102"/>
    <w:rsid w:val="008D12E2"/>
    <w:rsid w:val="008D2224"/>
    <w:rsid w:val="008D407F"/>
    <w:rsid w:val="008D6236"/>
    <w:rsid w:val="008D623B"/>
    <w:rsid w:val="008E13CD"/>
    <w:rsid w:val="008E3D10"/>
    <w:rsid w:val="008F1853"/>
    <w:rsid w:val="008F1E1F"/>
    <w:rsid w:val="008F3343"/>
    <w:rsid w:val="008F5999"/>
    <w:rsid w:val="008F5EFD"/>
    <w:rsid w:val="008F74A1"/>
    <w:rsid w:val="008F7DDC"/>
    <w:rsid w:val="0090041E"/>
    <w:rsid w:val="00903399"/>
    <w:rsid w:val="00903DB0"/>
    <w:rsid w:val="009053B7"/>
    <w:rsid w:val="00905408"/>
    <w:rsid w:val="00906AD8"/>
    <w:rsid w:val="00907F73"/>
    <w:rsid w:val="00916037"/>
    <w:rsid w:val="00916226"/>
    <w:rsid w:val="009208F6"/>
    <w:rsid w:val="00921C65"/>
    <w:rsid w:val="009240EF"/>
    <w:rsid w:val="00924CD0"/>
    <w:rsid w:val="0092744D"/>
    <w:rsid w:val="00933E1B"/>
    <w:rsid w:val="00941EF7"/>
    <w:rsid w:val="00942E6E"/>
    <w:rsid w:val="00942E93"/>
    <w:rsid w:val="009538DF"/>
    <w:rsid w:val="009545C0"/>
    <w:rsid w:val="009552F4"/>
    <w:rsid w:val="00963621"/>
    <w:rsid w:val="00974228"/>
    <w:rsid w:val="009743E4"/>
    <w:rsid w:val="00981DE0"/>
    <w:rsid w:val="0098286F"/>
    <w:rsid w:val="00984F56"/>
    <w:rsid w:val="00985826"/>
    <w:rsid w:val="00991BC7"/>
    <w:rsid w:val="00992F15"/>
    <w:rsid w:val="00993E44"/>
    <w:rsid w:val="009A0DAE"/>
    <w:rsid w:val="009A35BA"/>
    <w:rsid w:val="009A50E1"/>
    <w:rsid w:val="009A5BC0"/>
    <w:rsid w:val="009A68A2"/>
    <w:rsid w:val="009A68EC"/>
    <w:rsid w:val="009B09DC"/>
    <w:rsid w:val="009B18D7"/>
    <w:rsid w:val="009B4149"/>
    <w:rsid w:val="009B7DD6"/>
    <w:rsid w:val="009B7F26"/>
    <w:rsid w:val="009C05FD"/>
    <w:rsid w:val="009C23DB"/>
    <w:rsid w:val="009C25F6"/>
    <w:rsid w:val="009C26D2"/>
    <w:rsid w:val="009C46D6"/>
    <w:rsid w:val="009C71AC"/>
    <w:rsid w:val="009D1A6F"/>
    <w:rsid w:val="009D5E5D"/>
    <w:rsid w:val="009E480E"/>
    <w:rsid w:val="009F1899"/>
    <w:rsid w:val="009F6D2E"/>
    <w:rsid w:val="009F748A"/>
    <w:rsid w:val="009F763E"/>
    <w:rsid w:val="00A00F76"/>
    <w:rsid w:val="00A02B8D"/>
    <w:rsid w:val="00A03968"/>
    <w:rsid w:val="00A05493"/>
    <w:rsid w:val="00A06ED2"/>
    <w:rsid w:val="00A10035"/>
    <w:rsid w:val="00A10ED0"/>
    <w:rsid w:val="00A12DD4"/>
    <w:rsid w:val="00A21BA1"/>
    <w:rsid w:val="00A21E61"/>
    <w:rsid w:val="00A253B7"/>
    <w:rsid w:val="00A25F0D"/>
    <w:rsid w:val="00A30301"/>
    <w:rsid w:val="00A32621"/>
    <w:rsid w:val="00A32C1D"/>
    <w:rsid w:val="00A336AE"/>
    <w:rsid w:val="00A33D06"/>
    <w:rsid w:val="00A42FF3"/>
    <w:rsid w:val="00A462B6"/>
    <w:rsid w:val="00A46B5C"/>
    <w:rsid w:val="00A47757"/>
    <w:rsid w:val="00A5544E"/>
    <w:rsid w:val="00A568B9"/>
    <w:rsid w:val="00A57992"/>
    <w:rsid w:val="00A60F61"/>
    <w:rsid w:val="00A60FC0"/>
    <w:rsid w:val="00A66601"/>
    <w:rsid w:val="00A66D12"/>
    <w:rsid w:val="00A70AC0"/>
    <w:rsid w:val="00A74A6D"/>
    <w:rsid w:val="00A8569E"/>
    <w:rsid w:val="00A85F54"/>
    <w:rsid w:val="00A87422"/>
    <w:rsid w:val="00A87775"/>
    <w:rsid w:val="00A91595"/>
    <w:rsid w:val="00A92CAA"/>
    <w:rsid w:val="00A932CD"/>
    <w:rsid w:val="00A937A4"/>
    <w:rsid w:val="00AA3D1E"/>
    <w:rsid w:val="00AA51B2"/>
    <w:rsid w:val="00AA77F6"/>
    <w:rsid w:val="00AB07B9"/>
    <w:rsid w:val="00AB1D60"/>
    <w:rsid w:val="00AB599C"/>
    <w:rsid w:val="00AB7471"/>
    <w:rsid w:val="00AB7507"/>
    <w:rsid w:val="00AB783C"/>
    <w:rsid w:val="00AC435F"/>
    <w:rsid w:val="00AC56FA"/>
    <w:rsid w:val="00AC5BD9"/>
    <w:rsid w:val="00AC78FA"/>
    <w:rsid w:val="00AC7A4A"/>
    <w:rsid w:val="00AC7FA7"/>
    <w:rsid w:val="00AD0FF5"/>
    <w:rsid w:val="00AD29CE"/>
    <w:rsid w:val="00AD4D6E"/>
    <w:rsid w:val="00AD5B27"/>
    <w:rsid w:val="00AD652F"/>
    <w:rsid w:val="00AE67D3"/>
    <w:rsid w:val="00AE741A"/>
    <w:rsid w:val="00AE7DDE"/>
    <w:rsid w:val="00AF0C17"/>
    <w:rsid w:val="00AF42A7"/>
    <w:rsid w:val="00AF4859"/>
    <w:rsid w:val="00AF4FEB"/>
    <w:rsid w:val="00B074FB"/>
    <w:rsid w:val="00B12940"/>
    <w:rsid w:val="00B131C5"/>
    <w:rsid w:val="00B1464B"/>
    <w:rsid w:val="00B159DB"/>
    <w:rsid w:val="00B16FCD"/>
    <w:rsid w:val="00B2115E"/>
    <w:rsid w:val="00B21592"/>
    <w:rsid w:val="00B21B62"/>
    <w:rsid w:val="00B230E0"/>
    <w:rsid w:val="00B2419A"/>
    <w:rsid w:val="00B24C95"/>
    <w:rsid w:val="00B258E5"/>
    <w:rsid w:val="00B26AFE"/>
    <w:rsid w:val="00B27CB3"/>
    <w:rsid w:val="00B300B4"/>
    <w:rsid w:val="00B30DE3"/>
    <w:rsid w:val="00B31060"/>
    <w:rsid w:val="00B3113B"/>
    <w:rsid w:val="00B31FDC"/>
    <w:rsid w:val="00B32E18"/>
    <w:rsid w:val="00B36974"/>
    <w:rsid w:val="00B369A3"/>
    <w:rsid w:val="00B378B1"/>
    <w:rsid w:val="00B45057"/>
    <w:rsid w:val="00B56BA8"/>
    <w:rsid w:val="00B60D37"/>
    <w:rsid w:val="00B63DB2"/>
    <w:rsid w:val="00B6732F"/>
    <w:rsid w:val="00B7631C"/>
    <w:rsid w:val="00B8045F"/>
    <w:rsid w:val="00B85395"/>
    <w:rsid w:val="00B85D26"/>
    <w:rsid w:val="00B860A2"/>
    <w:rsid w:val="00B870FE"/>
    <w:rsid w:val="00B87EC7"/>
    <w:rsid w:val="00B93D54"/>
    <w:rsid w:val="00B95ECA"/>
    <w:rsid w:val="00B962D3"/>
    <w:rsid w:val="00BA4099"/>
    <w:rsid w:val="00BA5220"/>
    <w:rsid w:val="00BB38C7"/>
    <w:rsid w:val="00BC047F"/>
    <w:rsid w:val="00BC36B4"/>
    <w:rsid w:val="00BC387E"/>
    <w:rsid w:val="00BC65E1"/>
    <w:rsid w:val="00BC6FD6"/>
    <w:rsid w:val="00BD2D65"/>
    <w:rsid w:val="00BD6D5F"/>
    <w:rsid w:val="00BD716D"/>
    <w:rsid w:val="00BD735A"/>
    <w:rsid w:val="00BE4F84"/>
    <w:rsid w:val="00BF65C2"/>
    <w:rsid w:val="00C005EA"/>
    <w:rsid w:val="00C03A8C"/>
    <w:rsid w:val="00C07422"/>
    <w:rsid w:val="00C10D54"/>
    <w:rsid w:val="00C11791"/>
    <w:rsid w:val="00C1433D"/>
    <w:rsid w:val="00C1554C"/>
    <w:rsid w:val="00C17B72"/>
    <w:rsid w:val="00C2101F"/>
    <w:rsid w:val="00C30664"/>
    <w:rsid w:val="00C306AC"/>
    <w:rsid w:val="00C30B7E"/>
    <w:rsid w:val="00C326AF"/>
    <w:rsid w:val="00C346E8"/>
    <w:rsid w:val="00C347B6"/>
    <w:rsid w:val="00C3709E"/>
    <w:rsid w:val="00C37C0E"/>
    <w:rsid w:val="00C406FC"/>
    <w:rsid w:val="00C437F1"/>
    <w:rsid w:val="00C45A66"/>
    <w:rsid w:val="00C45F34"/>
    <w:rsid w:val="00C50606"/>
    <w:rsid w:val="00C5362D"/>
    <w:rsid w:val="00C542DF"/>
    <w:rsid w:val="00C559BA"/>
    <w:rsid w:val="00C57259"/>
    <w:rsid w:val="00C60FD2"/>
    <w:rsid w:val="00C63264"/>
    <w:rsid w:val="00C63C12"/>
    <w:rsid w:val="00C649AF"/>
    <w:rsid w:val="00C667E0"/>
    <w:rsid w:val="00C66867"/>
    <w:rsid w:val="00C726A7"/>
    <w:rsid w:val="00C72D7E"/>
    <w:rsid w:val="00C7499E"/>
    <w:rsid w:val="00C80B90"/>
    <w:rsid w:val="00C835FF"/>
    <w:rsid w:val="00C83B1B"/>
    <w:rsid w:val="00C84A99"/>
    <w:rsid w:val="00C9070F"/>
    <w:rsid w:val="00C948DD"/>
    <w:rsid w:val="00CA4132"/>
    <w:rsid w:val="00CA734C"/>
    <w:rsid w:val="00CB0134"/>
    <w:rsid w:val="00CB0D7A"/>
    <w:rsid w:val="00CB4987"/>
    <w:rsid w:val="00CB6533"/>
    <w:rsid w:val="00CB7058"/>
    <w:rsid w:val="00CC508F"/>
    <w:rsid w:val="00CC6CCB"/>
    <w:rsid w:val="00CC7802"/>
    <w:rsid w:val="00CC7C7A"/>
    <w:rsid w:val="00CD0707"/>
    <w:rsid w:val="00CE0468"/>
    <w:rsid w:val="00CE319C"/>
    <w:rsid w:val="00CE4806"/>
    <w:rsid w:val="00CE4DF8"/>
    <w:rsid w:val="00CE5B56"/>
    <w:rsid w:val="00CF38AC"/>
    <w:rsid w:val="00CF434F"/>
    <w:rsid w:val="00CF4A67"/>
    <w:rsid w:val="00D03A21"/>
    <w:rsid w:val="00D05DA8"/>
    <w:rsid w:val="00D06AB9"/>
    <w:rsid w:val="00D10522"/>
    <w:rsid w:val="00D1070F"/>
    <w:rsid w:val="00D12138"/>
    <w:rsid w:val="00D14270"/>
    <w:rsid w:val="00D151BE"/>
    <w:rsid w:val="00D178DF"/>
    <w:rsid w:val="00D21632"/>
    <w:rsid w:val="00D26299"/>
    <w:rsid w:val="00D30822"/>
    <w:rsid w:val="00D31CAB"/>
    <w:rsid w:val="00D320CE"/>
    <w:rsid w:val="00D36462"/>
    <w:rsid w:val="00D3678E"/>
    <w:rsid w:val="00D403F7"/>
    <w:rsid w:val="00D423CF"/>
    <w:rsid w:val="00D46A68"/>
    <w:rsid w:val="00D47518"/>
    <w:rsid w:val="00D476A4"/>
    <w:rsid w:val="00D51A4C"/>
    <w:rsid w:val="00D54444"/>
    <w:rsid w:val="00D61ABC"/>
    <w:rsid w:val="00D70498"/>
    <w:rsid w:val="00D727E5"/>
    <w:rsid w:val="00D76239"/>
    <w:rsid w:val="00D80928"/>
    <w:rsid w:val="00D80D82"/>
    <w:rsid w:val="00D82BC3"/>
    <w:rsid w:val="00D90A95"/>
    <w:rsid w:val="00D9157B"/>
    <w:rsid w:val="00D91E06"/>
    <w:rsid w:val="00D927B8"/>
    <w:rsid w:val="00D96C5A"/>
    <w:rsid w:val="00DA2CE9"/>
    <w:rsid w:val="00DA3862"/>
    <w:rsid w:val="00DB1568"/>
    <w:rsid w:val="00DB186A"/>
    <w:rsid w:val="00DB61A6"/>
    <w:rsid w:val="00DC7FFC"/>
    <w:rsid w:val="00DD4C2E"/>
    <w:rsid w:val="00DD56CE"/>
    <w:rsid w:val="00DD5F3C"/>
    <w:rsid w:val="00DD6860"/>
    <w:rsid w:val="00DE04E9"/>
    <w:rsid w:val="00DE37A4"/>
    <w:rsid w:val="00DE5D15"/>
    <w:rsid w:val="00DF4E6C"/>
    <w:rsid w:val="00DF5D95"/>
    <w:rsid w:val="00DF7FB0"/>
    <w:rsid w:val="00E02CAA"/>
    <w:rsid w:val="00E03B28"/>
    <w:rsid w:val="00E1341F"/>
    <w:rsid w:val="00E136CD"/>
    <w:rsid w:val="00E14BFB"/>
    <w:rsid w:val="00E22BCD"/>
    <w:rsid w:val="00E2430C"/>
    <w:rsid w:val="00E26E21"/>
    <w:rsid w:val="00E33F39"/>
    <w:rsid w:val="00E35448"/>
    <w:rsid w:val="00E36334"/>
    <w:rsid w:val="00E36BFA"/>
    <w:rsid w:val="00E40F26"/>
    <w:rsid w:val="00E41E72"/>
    <w:rsid w:val="00E42F36"/>
    <w:rsid w:val="00E46A87"/>
    <w:rsid w:val="00E51096"/>
    <w:rsid w:val="00E518F5"/>
    <w:rsid w:val="00E51F64"/>
    <w:rsid w:val="00E53CE3"/>
    <w:rsid w:val="00E56089"/>
    <w:rsid w:val="00E57FE9"/>
    <w:rsid w:val="00E62DA9"/>
    <w:rsid w:val="00E6419A"/>
    <w:rsid w:val="00E6555D"/>
    <w:rsid w:val="00E7075F"/>
    <w:rsid w:val="00E71D36"/>
    <w:rsid w:val="00E72835"/>
    <w:rsid w:val="00E75C4F"/>
    <w:rsid w:val="00E76FF0"/>
    <w:rsid w:val="00E77331"/>
    <w:rsid w:val="00E9060D"/>
    <w:rsid w:val="00E95DEC"/>
    <w:rsid w:val="00E966FD"/>
    <w:rsid w:val="00E96B53"/>
    <w:rsid w:val="00E97DAC"/>
    <w:rsid w:val="00EA0662"/>
    <w:rsid w:val="00EA3188"/>
    <w:rsid w:val="00EA4C7B"/>
    <w:rsid w:val="00EA5237"/>
    <w:rsid w:val="00EA5993"/>
    <w:rsid w:val="00EA7465"/>
    <w:rsid w:val="00EB043B"/>
    <w:rsid w:val="00EB354B"/>
    <w:rsid w:val="00EB4EEA"/>
    <w:rsid w:val="00EB5A23"/>
    <w:rsid w:val="00EB622E"/>
    <w:rsid w:val="00EB6FC9"/>
    <w:rsid w:val="00EB7FA2"/>
    <w:rsid w:val="00EC1613"/>
    <w:rsid w:val="00EC21ED"/>
    <w:rsid w:val="00EC30B5"/>
    <w:rsid w:val="00EC43C3"/>
    <w:rsid w:val="00ED3BF2"/>
    <w:rsid w:val="00EE1EDB"/>
    <w:rsid w:val="00EE247F"/>
    <w:rsid w:val="00EE437A"/>
    <w:rsid w:val="00EE485F"/>
    <w:rsid w:val="00EE7E4B"/>
    <w:rsid w:val="00EF1423"/>
    <w:rsid w:val="00EF1F61"/>
    <w:rsid w:val="00EF1FEB"/>
    <w:rsid w:val="00EF2539"/>
    <w:rsid w:val="00EF3B71"/>
    <w:rsid w:val="00EF4831"/>
    <w:rsid w:val="00EF63BE"/>
    <w:rsid w:val="00F04102"/>
    <w:rsid w:val="00F04CAF"/>
    <w:rsid w:val="00F07C5C"/>
    <w:rsid w:val="00F116CB"/>
    <w:rsid w:val="00F11BFA"/>
    <w:rsid w:val="00F12058"/>
    <w:rsid w:val="00F12A5C"/>
    <w:rsid w:val="00F21141"/>
    <w:rsid w:val="00F22CE2"/>
    <w:rsid w:val="00F34066"/>
    <w:rsid w:val="00F35DFE"/>
    <w:rsid w:val="00F363E2"/>
    <w:rsid w:val="00F36755"/>
    <w:rsid w:val="00F36ABD"/>
    <w:rsid w:val="00F3725D"/>
    <w:rsid w:val="00F37CD8"/>
    <w:rsid w:val="00F37D95"/>
    <w:rsid w:val="00F37F61"/>
    <w:rsid w:val="00F41251"/>
    <w:rsid w:val="00F44038"/>
    <w:rsid w:val="00F46BB9"/>
    <w:rsid w:val="00F55A49"/>
    <w:rsid w:val="00F55ECF"/>
    <w:rsid w:val="00F61E02"/>
    <w:rsid w:val="00F6435E"/>
    <w:rsid w:val="00F64411"/>
    <w:rsid w:val="00F6533A"/>
    <w:rsid w:val="00F75C14"/>
    <w:rsid w:val="00F76092"/>
    <w:rsid w:val="00F85E54"/>
    <w:rsid w:val="00F866D2"/>
    <w:rsid w:val="00F92739"/>
    <w:rsid w:val="00F93B6C"/>
    <w:rsid w:val="00F93CFF"/>
    <w:rsid w:val="00F955B2"/>
    <w:rsid w:val="00FA0040"/>
    <w:rsid w:val="00FA09DF"/>
    <w:rsid w:val="00FA2F99"/>
    <w:rsid w:val="00FB0730"/>
    <w:rsid w:val="00FB0D89"/>
    <w:rsid w:val="00FB1F46"/>
    <w:rsid w:val="00FB5A22"/>
    <w:rsid w:val="00FB5C85"/>
    <w:rsid w:val="00FB785D"/>
    <w:rsid w:val="00FB7B0D"/>
    <w:rsid w:val="00FC1D4E"/>
    <w:rsid w:val="00FC26EC"/>
    <w:rsid w:val="00FD0923"/>
    <w:rsid w:val="00FD2E5F"/>
    <w:rsid w:val="00FD5F6D"/>
    <w:rsid w:val="00FD69CD"/>
    <w:rsid w:val="00FE3104"/>
    <w:rsid w:val="00FE37F0"/>
    <w:rsid w:val="00FE6B7E"/>
    <w:rsid w:val="00FF4DCC"/>
    <w:rsid w:val="00FF64A3"/>
    <w:rsid w:val="00FF67A7"/>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AA246C"/>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162209"/>
    <w:rsid w:val="0A2125CB"/>
    <w:rsid w:val="0A2355B2"/>
    <w:rsid w:val="0A281C2C"/>
    <w:rsid w:val="0A2F036C"/>
    <w:rsid w:val="0A77170C"/>
    <w:rsid w:val="0A83095B"/>
    <w:rsid w:val="0A986188"/>
    <w:rsid w:val="0A997FE7"/>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4F778DE"/>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8B47A4"/>
    <w:rsid w:val="32C631F4"/>
    <w:rsid w:val="32CF3012"/>
    <w:rsid w:val="32D0268B"/>
    <w:rsid w:val="32FE7A1B"/>
    <w:rsid w:val="330F6C99"/>
    <w:rsid w:val="331147A6"/>
    <w:rsid w:val="3325000B"/>
    <w:rsid w:val="33431189"/>
    <w:rsid w:val="335454E3"/>
    <w:rsid w:val="33781914"/>
    <w:rsid w:val="337C1382"/>
    <w:rsid w:val="339749C2"/>
    <w:rsid w:val="33D7204A"/>
    <w:rsid w:val="33D744EF"/>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7727C7"/>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C11850"/>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1E4B55"/>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56A8C"/>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1AA708E"/>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63634A"/>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5FB179C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0A3BB4"/>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B90599"/>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661FDD"/>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 w:val="EFFEC84B"/>
    <w:rsid w:val="F7EFA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unhideWhenUsed/>
    <w:qFormat/>
    <w:uiPriority w:val="0"/>
    <w:pPr>
      <w:jc w:val="left"/>
    </w:pPr>
  </w:style>
  <w:style w:type="paragraph" w:styleId="7">
    <w:name w:val="Plain Text"/>
    <w:basedOn w:val="1"/>
    <w:link w:val="32"/>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5"/>
    <w:qFormat/>
    <w:uiPriority w:val="0"/>
    <w:pPr>
      <w:tabs>
        <w:tab w:val="center" w:pos="4153"/>
        <w:tab w:val="right" w:pos="8306"/>
      </w:tabs>
      <w:snapToGrid w:val="0"/>
      <w:jc w:val="left"/>
    </w:pPr>
    <w:rPr>
      <w:sz w:val="18"/>
      <w:szCs w:val="18"/>
    </w:rPr>
  </w:style>
  <w:style w:type="paragraph" w:styleId="1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8"/>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annotation reference"/>
    <w:basedOn w:val="14"/>
    <w:unhideWhenUsed/>
    <w:qFormat/>
    <w:uiPriority w:val="0"/>
    <w:rPr>
      <w:sz w:val="21"/>
      <w:szCs w:val="21"/>
    </w:rPr>
  </w:style>
  <w:style w:type="character" w:styleId="24">
    <w:name w:val="HTML Cite"/>
    <w:basedOn w:val="14"/>
    <w:qFormat/>
    <w:uiPriority w:val="0"/>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4"/>
    <w:qFormat/>
    <w:uiPriority w:val="0"/>
    <w:rPr>
      <w:color w:val="C44949"/>
    </w:rPr>
  </w:style>
  <w:style w:type="character" w:customStyle="1" w:styleId="29">
    <w:name w:val="bds_more"/>
    <w:basedOn w:val="14"/>
    <w:qFormat/>
    <w:uiPriority w:val="0"/>
  </w:style>
  <w:style w:type="character" w:customStyle="1" w:styleId="30">
    <w:name w:val="bds_more3"/>
    <w:basedOn w:val="14"/>
    <w:qFormat/>
    <w:uiPriority w:val="0"/>
  </w:style>
  <w:style w:type="character" w:customStyle="1" w:styleId="31">
    <w:name w:val="current"/>
    <w:basedOn w:val="14"/>
    <w:qFormat/>
    <w:uiPriority w:val="0"/>
    <w:rPr>
      <w:b/>
      <w:color w:val="FFFFFF"/>
      <w:bdr w:val="single" w:color="A21C03" w:sz="6" w:space="0"/>
      <w:shd w:val="clear" w:color="auto" w:fill="A21C03"/>
    </w:rPr>
  </w:style>
  <w:style w:type="character" w:customStyle="1" w:styleId="32">
    <w:name w:val="纯文本 字符"/>
    <w:link w:val="7"/>
    <w:qFormat/>
    <w:uiPriority w:val="0"/>
    <w:rPr>
      <w:rFonts w:ascii="宋体" w:hAnsi="Courier New" w:cs="Courier New"/>
      <w:kern w:val="2"/>
      <w:sz w:val="21"/>
      <w:szCs w:val="21"/>
    </w:rPr>
  </w:style>
  <w:style w:type="character" w:customStyle="1" w:styleId="33">
    <w:name w:val="bds_nopic1"/>
    <w:basedOn w:val="14"/>
    <w:qFormat/>
    <w:uiPriority w:val="0"/>
  </w:style>
  <w:style w:type="character" w:customStyle="1" w:styleId="34">
    <w:name w:val="bds_nopic2"/>
    <w:basedOn w:val="14"/>
    <w:qFormat/>
    <w:uiPriority w:val="0"/>
  </w:style>
  <w:style w:type="character" w:customStyle="1" w:styleId="35">
    <w:name w:val="页眉 字符"/>
    <w:link w:val="11"/>
    <w:qFormat/>
    <w:uiPriority w:val="0"/>
    <w:rPr>
      <w:kern w:val="2"/>
      <w:sz w:val="18"/>
      <w:szCs w:val="18"/>
    </w:rPr>
  </w:style>
  <w:style w:type="character" w:customStyle="1" w:styleId="36">
    <w:name w:val="missing_data"/>
    <w:basedOn w:val="14"/>
    <w:qFormat/>
    <w:uiPriority w:val="0"/>
    <w:rPr>
      <w:color w:val="FF0000"/>
    </w:rPr>
  </w:style>
  <w:style w:type="character" w:customStyle="1" w:styleId="37">
    <w:name w:val="bds_nopic"/>
    <w:basedOn w:val="14"/>
    <w:qFormat/>
    <w:uiPriority w:val="0"/>
  </w:style>
  <w:style w:type="character" w:customStyle="1" w:styleId="38">
    <w:name w:val="标题 字符"/>
    <w:link w:val="13"/>
    <w:qFormat/>
    <w:uiPriority w:val="10"/>
    <w:rPr>
      <w:rFonts w:ascii="Cambria" w:hAnsi="Cambria" w:eastAsia="宋体"/>
      <w:b/>
      <w:bCs/>
      <w:kern w:val="2"/>
      <w:sz w:val="32"/>
      <w:szCs w:val="32"/>
      <w:lang w:val="en-US" w:eastAsia="zh-CN" w:bidi="ar-SA"/>
    </w:rPr>
  </w:style>
  <w:style w:type="character" w:customStyle="1" w:styleId="39">
    <w:name w:val="bds_more1"/>
    <w:basedOn w:val="14"/>
    <w:qFormat/>
    <w:uiPriority w:val="0"/>
    <w:rPr>
      <w:rFonts w:hint="eastAsia" w:ascii="宋体" w:hAnsi="宋体" w:eastAsia="宋体" w:cs="宋体"/>
    </w:rPr>
  </w:style>
  <w:style w:type="character" w:customStyle="1" w:styleId="40">
    <w:name w:val="bds_more4"/>
    <w:basedOn w:val="14"/>
    <w:qFormat/>
    <w:uiPriority w:val="0"/>
  </w:style>
  <w:style w:type="character" w:customStyle="1" w:styleId="41">
    <w:name w:val="tab"/>
    <w:basedOn w:val="14"/>
    <w:qFormat/>
    <w:uiPriority w:val="0"/>
    <w:rPr>
      <w:color w:val="A4BCD6"/>
    </w:rPr>
  </w:style>
  <w:style w:type="character" w:customStyle="1" w:styleId="42">
    <w:name w:val="标题 2 字符"/>
    <w:link w:val="4"/>
    <w:qFormat/>
    <w:uiPriority w:val="9"/>
    <w:rPr>
      <w:rFonts w:ascii="Cambria" w:hAnsi="Cambria" w:eastAsia="宋体"/>
      <w:b/>
      <w:bCs/>
      <w:kern w:val="2"/>
      <w:sz w:val="32"/>
      <w:szCs w:val="32"/>
      <w:lang w:val="en-US" w:eastAsia="zh-CN" w:bidi="ar-SA"/>
    </w:rPr>
  </w:style>
  <w:style w:type="character" w:customStyle="1" w:styleId="43">
    <w:name w:val="disabled"/>
    <w:basedOn w:val="14"/>
    <w:qFormat/>
    <w:uiPriority w:val="0"/>
    <w:rPr>
      <w:color w:val="999999"/>
      <w:bdr w:val="single" w:color="C5C5C5" w:sz="6" w:space="0"/>
    </w:rPr>
  </w:style>
  <w:style w:type="character" w:customStyle="1" w:styleId="44">
    <w:name w:val="now"/>
    <w:basedOn w:val="14"/>
    <w:qFormat/>
    <w:uiPriority w:val="0"/>
    <w:rPr>
      <w:color w:val="FFFFFF"/>
      <w:bdr w:val="single" w:color="5A85B2" w:sz="6" w:space="0"/>
      <w:shd w:val="clear" w:color="auto" w:fill="5A85B2"/>
    </w:rPr>
  </w:style>
  <w:style w:type="character" w:customStyle="1" w:styleId="45">
    <w:name w:val="页脚 字符"/>
    <w:link w:val="10"/>
    <w:qFormat/>
    <w:uiPriority w:val="0"/>
    <w:rPr>
      <w:kern w:val="2"/>
      <w:sz w:val="18"/>
      <w:szCs w:val="18"/>
    </w:rPr>
  </w:style>
  <w:style w:type="character" w:customStyle="1" w:styleId="46">
    <w:name w:val="bds_more2"/>
    <w:basedOn w:val="14"/>
    <w:qFormat/>
    <w:uiPriority w:val="0"/>
    <w:rPr>
      <w:rFonts w:ascii="宋体 ! important" w:hAnsi="宋体 ! important" w:eastAsia="宋体 ! important" w:cs="宋体 ! important"/>
      <w:color w:val="454545"/>
      <w:sz w:val="21"/>
      <w:szCs w:val="21"/>
    </w:rPr>
  </w:style>
  <w:style w:type="paragraph" w:customStyle="1" w:styleId="47">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433</Words>
  <Characters>2472</Characters>
  <Lines>20</Lines>
  <Paragraphs>5</Paragraphs>
  <ScaleCrop>false</ScaleCrop>
  <LinksUpToDate>false</LinksUpToDate>
  <CharactersWithSpaces>2900</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2018-10-17T04:43:00Z</dcterms:created>
  <dc:creator>微软用户</dc:creator>
  <cp:lastModifiedBy>silverwu</cp:lastModifiedBy>
  <cp:lastPrinted>2019-01-05T02:54:00Z</cp:lastPrinted>
  <dcterms:modified xsi:type="dcterms:W3CDTF">2021-01-05T20:35:01Z</dcterms:modified>
  <dc:title>******有限公司</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