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7233">
      <w:pPr>
        <w:shd w:val="clear" w:color="auto" w:fill="FFFFFF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蓝山县城市管理和综合执法局</w:t>
      </w:r>
    </w:p>
    <w:p w14:paraId="53F74DF2">
      <w:pPr>
        <w:shd w:val="clear" w:color="auto" w:fill="FFFFFF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年度部门整体支出</w:t>
      </w:r>
    </w:p>
    <w:p w14:paraId="73C87A99">
      <w:pPr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绩效评价情况报告</w:t>
      </w:r>
    </w:p>
    <w:p w14:paraId="5B17BA3E">
      <w:pPr>
        <w:shd w:val="clear" w:color="auto" w:fill="FFFFFF"/>
        <w:spacing w:line="560" w:lineRule="exact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</w:p>
    <w:p w14:paraId="650059DB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为进一步规范财政资金管理，牢固树立预算绩效理念，强化支出责任，提高财政资金使用效益，我们根据《蓝山县关于全面推进预算绩效管理的实施意见》，结合我局的具体情况，认真组织开展了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年度部门绩效自评工作，现将我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年度部门整体支出绩效评价情况报告如下：</w:t>
      </w:r>
    </w:p>
    <w:p w14:paraId="04B6DA1B">
      <w:pPr>
        <w:pStyle w:val="7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单位概况</w:t>
      </w:r>
    </w:p>
    <w:p w14:paraId="526E2071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蓝山县城市管理和综合执法局内设</w:t>
      </w:r>
      <w:r>
        <w:rPr>
          <w:rFonts w:eastAsia="仿宋_GB2312"/>
          <w:bCs/>
          <w:kern w:val="0"/>
          <w:sz w:val="32"/>
          <w:szCs w:val="32"/>
        </w:rPr>
        <w:t>机构包括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综合办公室、法制股、数字城管指挥中心、控违拆违办公室、广告管理办公室、渣土管理办公室、市政设施管理股、废弃物处置和给排水管理股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个职能股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E11DA4A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人，实际在职干部职工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人，退休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人。车辆编制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执勤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台（不占编制），高空作业车1台（用于路灯维修）。</w:t>
      </w:r>
    </w:p>
    <w:p w14:paraId="1877A3D0">
      <w:pPr>
        <w:pStyle w:val="7"/>
        <w:numPr>
          <w:ilvl w:val="0"/>
          <w:numId w:val="0"/>
        </w:numPr>
        <w:shd w:val="clear" w:color="auto" w:fill="FFFFFF"/>
        <w:spacing w:line="560" w:lineRule="exact"/>
        <w:ind w:left="64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（二）当年取得的主要事业成效</w:t>
      </w:r>
    </w:p>
    <w:p w14:paraId="0BB7EE82">
      <w:pPr>
        <w:ind w:left="359" w:leftChars="171" w:firstLine="617" w:firstLineChars="19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订组织实施全县城市管理和综合执法、市容市貌、环境卫生、园林绿化、城市照明、户外广告、城市道路、桥涵、供气、给排水（含二次供水）、热力燃气、公共停车场等市政公用设施的中长期规划和年度计划，为维护城市公用设施、城市市容市貌、美化环境卫生提供管理保障。</w:t>
      </w:r>
    </w:p>
    <w:p w14:paraId="44F4EB11">
      <w:pPr>
        <w:shd w:val="clear" w:color="auto" w:fill="FFFFFF"/>
        <w:spacing w:line="560" w:lineRule="exact"/>
        <w:ind w:left="17" w:leftChars="8" w:firstLine="617" w:firstLineChars="19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）部门整体收支出概况: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年部门收支完成情况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万元，安排预算支出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1690.68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733709E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收入：决算总收入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10857C9D">
      <w:p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支出：决算总支出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主要用于城乡社区（类）支出。</w:t>
      </w:r>
    </w:p>
    <w:p w14:paraId="70A9F143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二、整体支出管理及使用情况</w:t>
      </w:r>
    </w:p>
    <w:p w14:paraId="40EFA418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（一）基本支出管理情况</w:t>
      </w:r>
    </w:p>
    <w:p w14:paraId="09A410E2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文件批复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1690.68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1068.37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万元，对个人和家庭的补助支出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万元，“三公”经费支出控制数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万元，公务用车经费（公车运行维护费）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1E14FE4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2、基本支出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1690.68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1068.37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万元，对个人和家庭的补助支出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万元，“三公”经费支出控制数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万元，公务用车经费（公车运行维护费）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3E12DA0B">
      <w:pPr>
        <w:shd w:val="clear" w:color="auto" w:fill="FFFFFF"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（二）“三公经费”支出和使用情况</w:t>
      </w:r>
    </w:p>
    <w:p w14:paraId="6781AE5E">
      <w:pPr>
        <w:shd w:val="clear" w:color="auto" w:fill="FFFFFF"/>
        <w:spacing w:line="560" w:lineRule="exact"/>
        <w:ind w:firstLine="800" w:firstLineChars="250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17.50万元，公务用车购置费0万元，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 w14:paraId="5C53CEE5">
      <w:pPr>
        <w:shd w:val="clear" w:color="auto" w:fill="FFFFFF"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年“三公经费”执行情况：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</w:rPr>
        <w:t>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14.76万元，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 w14:paraId="7299DA62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严格控制“三公经费”支出，比上年度“三公”经费支出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有所增加，因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6辆</w:t>
      </w:r>
      <w:r>
        <w:rPr>
          <w:rFonts w:eastAsia="仿宋_GB2312"/>
          <w:kern w:val="0"/>
          <w:sz w:val="32"/>
          <w:szCs w:val="32"/>
        </w:rPr>
        <w:t>执法执勤用车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维修维护费增加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73F40A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（三）项目支出管理和使用情况</w:t>
      </w:r>
    </w:p>
    <w:p w14:paraId="4416BBF1">
      <w:pPr>
        <w:shd w:val="clear" w:color="auto" w:fill="FFFFFF"/>
        <w:spacing w:line="560" w:lineRule="exact"/>
        <w:ind w:firstLine="480" w:firstLineChars="1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部门项目绩效目标为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296.96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296.96万元，主要用于林荫路建设项目，市政维修，城内道路标识线重新补划等。</w:t>
      </w:r>
    </w:p>
    <w:p w14:paraId="3D9AE2AE">
      <w:pPr>
        <w:shd w:val="clear" w:color="auto" w:fill="FFFFFF"/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三、绩效评价工作组织实施情况</w:t>
      </w:r>
    </w:p>
    <w:p w14:paraId="0779C4FE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 w14:paraId="26C2B193">
      <w:pPr>
        <w:numPr>
          <w:ilvl w:val="0"/>
          <w:numId w:val="2"/>
        </w:num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整体支出绩效情况</w:t>
      </w:r>
    </w:p>
    <w:p w14:paraId="639D55DF">
      <w:pPr>
        <w:widowControl/>
        <w:spacing w:before="100" w:beforeAutospacing="1" w:after="100" w:afterAutospacing="1" w:line="408" w:lineRule="auto"/>
        <w:ind w:firstLine="64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实施全县城市管理和综合执法、市容市貌、环境卫生、园林绿化、城市照明、户外广告、城市道路、桥涵、供气、给排水（含二次供水）、热力燃气、公共停车场等市政公用设施的中长期规划和年度计划，为维护城市公用设施、城市市容市貌、美化环境卫生提供管理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2DA181CF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五、存在的主要问题</w:t>
      </w:r>
    </w:p>
    <w:p w14:paraId="06E29C94">
      <w:pPr>
        <w:widowControl/>
        <w:shd w:val="clear" w:color="auto" w:fill="FAFAFA"/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预算编制有待优化。预算编制与实际支出项目有的存在差异，预算编制的合理性需要提高。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固定资产管理方面还需进一步严格优化。</w:t>
      </w:r>
    </w:p>
    <w:p w14:paraId="58A3E2C0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BFF89B6">
      <w:pPr>
        <w:pStyle w:val="3"/>
        <w:ind w:left="0" w:leftChars="0" w:firstLine="0" w:firstLineChars="0"/>
        <w:rPr>
          <w:rFonts w:hint="eastAsia"/>
        </w:rPr>
      </w:pPr>
    </w:p>
    <w:p w14:paraId="279D95FA">
      <w:pPr>
        <w:shd w:val="clear" w:color="auto" w:fill="FFFFFF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6599F"/>
    <w:multiLevelType w:val="singleLevel"/>
    <w:tmpl w:val="95F659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D056B1"/>
    <w:multiLevelType w:val="multilevel"/>
    <w:tmpl w:val="7DD056B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Zjg2ZDFiNjRmOGE5MTQ5YjdmZTI4NjQwN2JiOTgifQ=="/>
  </w:docVars>
  <w:rsids>
    <w:rsidRoot w:val="00000000"/>
    <w:rsid w:val="07BD49F0"/>
    <w:rsid w:val="0BBB4A4F"/>
    <w:rsid w:val="0C4E4B43"/>
    <w:rsid w:val="11962228"/>
    <w:rsid w:val="13863DD8"/>
    <w:rsid w:val="232239D7"/>
    <w:rsid w:val="401E4513"/>
    <w:rsid w:val="44623723"/>
    <w:rsid w:val="47A2400A"/>
    <w:rsid w:val="6C672D6E"/>
    <w:rsid w:val="6E622EF3"/>
    <w:rsid w:val="74F6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index 5"/>
    <w:basedOn w:val="1"/>
    <w:next w:val="1"/>
    <w:unhideWhenUsed/>
    <w:qFormat/>
    <w:uiPriority w:val="99"/>
    <w:pPr>
      <w:keepNext w:val="0"/>
      <w:keepLines w:val="0"/>
      <w:pageBreakBefore w:val="0"/>
      <w:suppressLineNumbers w:val="0"/>
      <w:suppressAutoHyphens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1680" w:right="0" w:firstLine="0"/>
      <w:textAlignment w:val="auto"/>
      <w:outlineLvl w:val="9"/>
    </w:pPr>
    <w:rPr>
      <w:snapToGrid/>
      <w:spacing w:val="0"/>
      <w:w w:val="100"/>
      <w:position w:val="0"/>
      <w:szCs w:val="20"/>
      <w:u w:val="none"/>
      <w:vertAlign w:val="baseline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1401</Words>
  <Characters>1566</Characters>
  <Lines>0</Lines>
  <Paragraphs>0</Paragraphs>
  <TotalTime>3</TotalTime>
  <ScaleCrop>false</ScaleCrop>
  <LinksUpToDate>false</LinksUpToDate>
  <CharactersWithSpaces>1583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57469</dc:creator>
  <cp:lastModifiedBy>WPS_1653036330</cp:lastModifiedBy>
  <dcterms:modified xsi:type="dcterms:W3CDTF">2025-08-29T08:00:57Z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CB1AB19842664FB4AD7A4AA6B9F35154</vt:lpwstr>
  </property>
  <property fmtid="{D5CDD505-2E9C-101B-9397-08002B2CF9AE}" pid="4" name="KSOTemplateDocerSaveRecord">
    <vt:lpwstr>eyJoZGlkIjoiMDZiMzZmOTVkNjlmMDViZjhiYWY3NGVkNmQ5NWQ2NDgiLCJ1c2VySWQiOiIxMzc2NzkwODYxIn0=</vt:lpwstr>
  </property>
</Properties>
</file>