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13AAD7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40" w:beforeAutospacing="0" w:after="0" w:afterAutospacing="0" w:line="500" w:lineRule="exact"/>
        <w:ind w:right="0"/>
        <w:jc w:val="center"/>
        <w:textAlignment w:val="auto"/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3D3D3D"/>
          <w:spacing w:val="0"/>
          <w:sz w:val="36"/>
          <w:szCs w:val="36"/>
          <w:shd w:val="clear" w:color="auto" w:fill="FFFFFF"/>
        </w:rPr>
      </w:pPr>
      <w:bookmarkStart w:id="0" w:name="_GoBack"/>
      <w:bookmarkEnd w:id="0"/>
      <w:r>
        <w:rPr>
          <w:rFonts w:hint="eastAsia" w:ascii="Times New Roman" w:hAnsi="Times New Roman" w:cs="Times New Roman"/>
          <w:b/>
          <w:bCs/>
          <w:i w:val="0"/>
          <w:iCs w:val="0"/>
          <w:caps w:val="0"/>
          <w:color w:val="3D3D3D"/>
          <w:spacing w:val="0"/>
          <w:sz w:val="36"/>
          <w:szCs w:val="36"/>
          <w:shd w:val="clear" w:color="auto" w:fill="FFFFFF"/>
          <w:lang w:eastAsia="zh-CN"/>
        </w:rPr>
        <w:t>冷水滩区</w:t>
      </w: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3D3D3D"/>
          <w:spacing w:val="0"/>
          <w:sz w:val="36"/>
          <w:szCs w:val="36"/>
          <w:shd w:val="clear" w:color="auto" w:fill="FFFFFF"/>
        </w:rPr>
        <w:t>遴选202</w:t>
      </w:r>
      <w:r>
        <w:rPr>
          <w:rFonts w:hint="eastAsia" w:ascii="Times New Roman" w:hAnsi="Times New Roman" w:cs="Times New Roman"/>
          <w:b/>
          <w:bCs/>
          <w:i w:val="0"/>
          <w:iCs w:val="0"/>
          <w:caps w:val="0"/>
          <w:color w:val="3D3D3D"/>
          <w:spacing w:val="0"/>
          <w:sz w:val="36"/>
          <w:szCs w:val="36"/>
          <w:shd w:val="clear" w:color="auto" w:fill="FFFFFF"/>
          <w:lang w:val="en-US" w:eastAsia="zh-CN"/>
        </w:rPr>
        <w:t>6</w:t>
      </w: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3D3D3D"/>
          <w:spacing w:val="0"/>
          <w:sz w:val="36"/>
          <w:szCs w:val="36"/>
          <w:shd w:val="clear" w:color="auto" w:fill="FFFFFF"/>
        </w:rPr>
        <w:t>年基层农技人员培训机构</w:t>
      </w:r>
    </w:p>
    <w:p w14:paraId="2D49711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40" w:beforeAutospacing="0" w:after="0" w:afterAutospacing="0" w:line="500" w:lineRule="exact"/>
        <w:ind w:right="0"/>
        <w:jc w:val="center"/>
        <w:textAlignment w:val="auto"/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3D3D3D"/>
          <w:spacing w:val="0"/>
          <w:sz w:val="36"/>
          <w:szCs w:val="36"/>
          <w:shd w:val="clear" w:color="auto" w:fill="FFFFFF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3D3D3D"/>
          <w:spacing w:val="0"/>
          <w:sz w:val="36"/>
          <w:szCs w:val="36"/>
          <w:shd w:val="clear" w:color="auto" w:fill="FFFFFF"/>
        </w:rPr>
        <w:t>评分表</w:t>
      </w:r>
    </w:p>
    <w:tbl>
      <w:tblPr>
        <w:tblStyle w:val="3"/>
        <w:tblW w:w="8818" w:type="dxa"/>
        <w:jc w:val="center"/>
        <w:tblBorders>
          <w:top w:val="outset" w:color="000000" w:sz="6" w:space="0"/>
          <w:left w:val="outset" w:color="000000" w:sz="6" w:space="0"/>
          <w:bottom w:val="outset" w:color="000000" w:sz="6" w:space="0"/>
          <w:right w:val="outset" w:color="000000" w:sz="6" w:space="0"/>
          <w:insideH w:val="outset" w:color="000000" w:sz="6" w:space="0"/>
          <w:insideV w:val="outset" w:color="000000" w:sz="6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81"/>
        <w:gridCol w:w="1137"/>
        <w:gridCol w:w="1025"/>
        <w:gridCol w:w="5069"/>
        <w:gridCol w:w="1106"/>
      </w:tblGrid>
      <w:tr w14:paraId="0CDCD3A4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1304" w:hRule="atLeast"/>
          <w:jc w:val="center"/>
        </w:trPr>
        <w:tc>
          <w:tcPr>
            <w:tcW w:w="48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8BCE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 w:firstLine="0"/>
              <w:jc w:val="center"/>
              <w:rPr>
                <w:b/>
                <w:bCs/>
                <w:color w:val="3D3D3D"/>
                <w:sz w:val="24"/>
                <w:szCs w:val="24"/>
              </w:rPr>
            </w:pPr>
            <w:r>
              <w:rPr>
                <w:b/>
                <w:bCs/>
                <w:color w:val="3D3D3D"/>
                <w:sz w:val="24"/>
                <w:szCs w:val="24"/>
              </w:rPr>
              <w:t>序号</w:t>
            </w:r>
          </w:p>
        </w:tc>
        <w:tc>
          <w:tcPr>
            <w:tcW w:w="113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E0D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 w:firstLine="0"/>
              <w:jc w:val="center"/>
              <w:rPr>
                <w:b/>
                <w:bCs/>
                <w:color w:val="3D3D3D"/>
                <w:sz w:val="24"/>
                <w:szCs w:val="24"/>
              </w:rPr>
            </w:pPr>
            <w:r>
              <w:rPr>
                <w:b/>
                <w:bCs/>
                <w:color w:val="3D3D3D"/>
                <w:sz w:val="24"/>
                <w:szCs w:val="24"/>
              </w:rPr>
              <w:t>评审因素</w:t>
            </w:r>
          </w:p>
        </w:tc>
        <w:tc>
          <w:tcPr>
            <w:tcW w:w="10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E8AF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 w:firstLine="0"/>
              <w:jc w:val="center"/>
              <w:rPr>
                <w:b/>
                <w:bCs/>
                <w:color w:val="3D3D3D"/>
                <w:sz w:val="24"/>
                <w:szCs w:val="24"/>
              </w:rPr>
            </w:pPr>
            <w:r>
              <w:rPr>
                <w:b/>
                <w:bCs/>
                <w:color w:val="3D3D3D"/>
                <w:sz w:val="24"/>
                <w:szCs w:val="24"/>
              </w:rPr>
              <w:t>分值</w:t>
            </w:r>
          </w:p>
        </w:tc>
        <w:tc>
          <w:tcPr>
            <w:tcW w:w="506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EE5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 w:firstLine="0"/>
              <w:jc w:val="center"/>
              <w:rPr>
                <w:b/>
                <w:bCs/>
                <w:color w:val="3D3D3D"/>
                <w:sz w:val="24"/>
                <w:szCs w:val="24"/>
              </w:rPr>
            </w:pPr>
            <w:r>
              <w:rPr>
                <w:b/>
                <w:bCs/>
                <w:color w:val="3D3D3D"/>
                <w:sz w:val="24"/>
                <w:szCs w:val="24"/>
              </w:rPr>
              <w:t>评分标准</w:t>
            </w:r>
          </w:p>
        </w:tc>
        <w:tc>
          <w:tcPr>
            <w:tcW w:w="1106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D34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 w:firstLine="0"/>
              <w:jc w:val="center"/>
              <w:rPr>
                <w:rFonts w:hint="eastAsia"/>
                <w:b/>
                <w:bCs/>
                <w:color w:val="3D3D3D"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color w:val="3D3D3D"/>
                <w:sz w:val="24"/>
                <w:szCs w:val="24"/>
                <w:lang w:eastAsia="zh-CN"/>
              </w:rPr>
              <w:t>评比</w:t>
            </w:r>
          </w:p>
          <w:p w14:paraId="5D3F072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 w:firstLine="0"/>
              <w:jc w:val="center"/>
              <w:rPr>
                <w:rFonts w:hint="eastAsia" w:eastAsia="宋体"/>
                <w:b/>
                <w:bCs/>
                <w:color w:val="3D3D3D"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color w:val="3D3D3D"/>
                <w:sz w:val="24"/>
                <w:szCs w:val="24"/>
                <w:lang w:eastAsia="zh-CN"/>
              </w:rPr>
              <w:t>得分</w:t>
            </w:r>
          </w:p>
        </w:tc>
      </w:tr>
      <w:tr w14:paraId="622BC8EC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1702" w:hRule="atLeast"/>
          <w:jc w:val="center"/>
        </w:trPr>
        <w:tc>
          <w:tcPr>
            <w:tcW w:w="48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B73E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 w:firstLine="0"/>
              <w:jc w:val="center"/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  <w:t>1</w:t>
            </w:r>
          </w:p>
        </w:tc>
        <w:tc>
          <w:tcPr>
            <w:tcW w:w="113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1D3C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 w:firstLine="0"/>
              <w:jc w:val="center"/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  <w:t>培训资质</w:t>
            </w:r>
          </w:p>
        </w:tc>
        <w:tc>
          <w:tcPr>
            <w:tcW w:w="10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45A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 w:firstLine="0"/>
              <w:jc w:val="center"/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  <w:t>10 分</w:t>
            </w:r>
          </w:p>
        </w:tc>
        <w:tc>
          <w:tcPr>
            <w:tcW w:w="506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FEC9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both"/>
              <w:textAlignment w:val="auto"/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  <w:t>具有独立法人资格，具备此次培训要求所涉专业(种植业)培训资质的，计10 分，否则不计分。</w:t>
            </w:r>
          </w:p>
        </w:tc>
        <w:tc>
          <w:tcPr>
            <w:tcW w:w="1106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776D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both"/>
              <w:textAlignment w:val="auto"/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</w:pPr>
          </w:p>
        </w:tc>
      </w:tr>
      <w:tr w14:paraId="410E844C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2953" w:hRule="atLeast"/>
          <w:jc w:val="center"/>
        </w:trPr>
        <w:tc>
          <w:tcPr>
            <w:tcW w:w="48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5C1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 w:firstLine="0"/>
              <w:jc w:val="center"/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  <w:t>2</w:t>
            </w:r>
          </w:p>
        </w:tc>
        <w:tc>
          <w:tcPr>
            <w:tcW w:w="113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26DF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 w:firstLine="0"/>
              <w:jc w:val="center"/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  <w:t>培训师资</w:t>
            </w:r>
          </w:p>
        </w:tc>
        <w:tc>
          <w:tcPr>
            <w:tcW w:w="10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BD0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 w:firstLine="0"/>
              <w:jc w:val="center"/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  <w:t>20 分</w:t>
            </w:r>
          </w:p>
        </w:tc>
        <w:tc>
          <w:tcPr>
            <w:tcW w:w="506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3420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both"/>
              <w:textAlignment w:val="auto"/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  <w:t xml:space="preserve">按培训内容所涉专业(行业)师资职称比例评分。正高、副高职称占师资总人数 </w:t>
            </w:r>
            <w:r>
              <w:rPr>
                <w:rFonts w:hint="default" w:ascii="华文仿宋" w:hAnsi="华文仿宋" w:eastAsia="华文仿宋" w:cs="华文仿宋"/>
                <w:color w:val="3D3D3D"/>
                <w:sz w:val="24"/>
                <w:szCs w:val="24"/>
                <w:lang w:val="en-US"/>
              </w:rPr>
              <w:t>8</w:t>
            </w: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  <w:t>0%</w:t>
            </w: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  <w:lang w:eastAsia="zh-CN"/>
              </w:rPr>
              <w:t>且师资总人数</w:t>
            </w: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  <w:lang w:val="en-US" w:eastAsia="zh-CN"/>
              </w:rPr>
              <w:t>10人</w:t>
            </w: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  <w:t>以上(含)的，计 20 分;正高、副高职称占师资总人数60%</w:t>
            </w: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  <w:lang w:eastAsia="zh-CN"/>
              </w:rPr>
              <w:t>且师资总人数</w:t>
            </w: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  <w:lang w:val="en-US" w:eastAsia="zh-CN"/>
              </w:rPr>
              <w:t>8人</w:t>
            </w: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  <w:t>以上(含)的，计 16 分;正高、副高职称占师资总人数 50%</w:t>
            </w: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  <w:lang w:eastAsia="zh-CN"/>
              </w:rPr>
              <w:t>且师资总人数</w:t>
            </w: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  <w:lang w:val="en-US" w:eastAsia="zh-CN"/>
              </w:rPr>
              <w:t>5人</w:t>
            </w: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  <w:t>以上(含)的，计 12 分;</w:t>
            </w: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  <w:lang w:eastAsia="zh-CN"/>
              </w:rPr>
              <w:t>师资总人数少于</w:t>
            </w: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  <w:lang w:val="en-US" w:eastAsia="zh-CN"/>
              </w:rPr>
              <w:t>5人且</w:t>
            </w: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  <w:t>正高、副高职称占师资总人数</w:t>
            </w: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  <w:lang w:eastAsia="zh-CN"/>
              </w:rPr>
              <w:t>不足</w:t>
            </w: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  <w:t xml:space="preserve"> 50%的，计</w:t>
            </w: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  <w:t>分。</w:t>
            </w:r>
          </w:p>
        </w:tc>
        <w:tc>
          <w:tcPr>
            <w:tcW w:w="1106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84C3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both"/>
              <w:textAlignment w:val="auto"/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</w:pPr>
          </w:p>
        </w:tc>
      </w:tr>
      <w:tr w14:paraId="6A85A5E6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2980" w:hRule="atLeast"/>
          <w:jc w:val="center"/>
        </w:trPr>
        <w:tc>
          <w:tcPr>
            <w:tcW w:w="481" w:type="dxa"/>
            <w:vMerge w:val="restar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7F9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 w:firstLine="0"/>
              <w:jc w:val="center"/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  <w:t>3</w:t>
            </w:r>
          </w:p>
        </w:tc>
        <w:tc>
          <w:tcPr>
            <w:tcW w:w="1137" w:type="dxa"/>
            <w:vMerge w:val="restar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D4D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 w:firstLine="0"/>
              <w:jc w:val="center"/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  <w:t>培训条件</w:t>
            </w:r>
          </w:p>
        </w:tc>
        <w:tc>
          <w:tcPr>
            <w:tcW w:w="10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8C60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 w:firstLine="0"/>
              <w:jc w:val="center"/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</w:pPr>
            <w:r>
              <w:rPr>
                <w:rFonts w:hint="default" w:ascii="华文仿宋" w:hAnsi="华文仿宋" w:eastAsia="华文仿宋" w:cs="华文仿宋"/>
                <w:color w:val="3D3D3D"/>
                <w:sz w:val="24"/>
                <w:szCs w:val="24"/>
                <w:lang w:val="en-US"/>
              </w:rPr>
              <w:t>12</w:t>
            </w: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  <w:t xml:space="preserve"> 分</w:t>
            </w:r>
          </w:p>
        </w:tc>
        <w:tc>
          <w:tcPr>
            <w:tcW w:w="506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C018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both"/>
              <w:textAlignment w:val="auto"/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  <w:t>(1)有自建或长期合作培训实训实践省级基地(涉种植业)的，每个计</w:t>
            </w:r>
            <w:r>
              <w:rPr>
                <w:rFonts w:hint="default" w:ascii="华文仿宋" w:hAnsi="华文仿宋" w:eastAsia="华文仿宋" w:cs="华文仿宋"/>
                <w:color w:val="3D3D3D"/>
                <w:sz w:val="24"/>
                <w:szCs w:val="24"/>
                <w:lang w:val="en-US"/>
              </w:rPr>
              <w:t>4</w:t>
            </w: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  <w:t>分，本项目最高计</w:t>
            </w:r>
            <w:r>
              <w:rPr>
                <w:rFonts w:hint="default" w:ascii="华文仿宋" w:hAnsi="华文仿宋" w:eastAsia="华文仿宋" w:cs="华文仿宋"/>
                <w:color w:val="3D3D3D"/>
                <w:sz w:val="24"/>
                <w:szCs w:val="24"/>
                <w:lang w:val="en-US"/>
              </w:rPr>
              <w:t>8</w:t>
            </w: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  <w:t>分；</w:t>
            </w:r>
          </w:p>
          <w:p w14:paraId="3923963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both"/>
              <w:textAlignment w:val="auto"/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  <w:t>(2)有自建或长期合作培训实训实践省级以下基地(涉种植业)，每个计</w:t>
            </w: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  <w:t>分，本项目最高计</w:t>
            </w:r>
            <w:r>
              <w:rPr>
                <w:rFonts w:hint="default" w:ascii="华文仿宋" w:hAnsi="华文仿宋" w:eastAsia="华文仿宋" w:cs="华文仿宋"/>
                <w:color w:val="3D3D3D"/>
                <w:sz w:val="24"/>
                <w:szCs w:val="24"/>
                <w:lang w:val="en-US"/>
              </w:rPr>
              <w:t>4</w:t>
            </w: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  <w:t>分。 </w:t>
            </w:r>
          </w:p>
        </w:tc>
        <w:tc>
          <w:tcPr>
            <w:tcW w:w="1106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E9D9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both"/>
              <w:textAlignment w:val="auto"/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</w:pPr>
          </w:p>
        </w:tc>
      </w:tr>
      <w:tr w14:paraId="5EACC45A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2660" w:hRule="atLeast"/>
          <w:jc w:val="center"/>
        </w:trPr>
        <w:tc>
          <w:tcPr>
            <w:tcW w:w="481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0CCDA">
            <w:pPr>
              <w:jc w:val="center"/>
              <w:rPr>
                <w:rFonts w:hint="eastAsia" w:ascii="华文仿宋" w:hAnsi="华文仿宋" w:eastAsia="华文仿宋" w:cs="华文仿宋"/>
                <w:sz w:val="24"/>
                <w:szCs w:val="24"/>
              </w:rPr>
            </w:pPr>
          </w:p>
        </w:tc>
        <w:tc>
          <w:tcPr>
            <w:tcW w:w="1137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4BE12">
            <w:pPr>
              <w:jc w:val="center"/>
              <w:rPr>
                <w:rFonts w:hint="eastAsia" w:ascii="华文仿宋" w:hAnsi="华文仿宋" w:eastAsia="华文仿宋" w:cs="华文仿宋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D38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 w:firstLine="0"/>
              <w:jc w:val="center"/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</w:pPr>
            <w:r>
              <w:rPr>
                <w:rFonts w:hint="default" w:ascii="华文仿宋" w:hAnsi="华文仿宋" w:eastAsia="华文仿宋" w:cs="华文仿宋"/>
                <w:color w:val="3D3D3D"/>
                <w:sz w:val="24"/>
                <w:szCs w:val="24"/>
                <w:lang w:val="en-US"/>
              </w:rPr>
              <w:t>8</w:t>
            </w: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  <w:t>分</w:t>
            </w:r>
          </w:p>
        </w:tc>
        <w:tc>
          <w:tcPr>
            <w:tcW w:w="506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2E9C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both"/>
              <w:textAlignment w:val="auto"/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  <w:t>(1)培训机构具备提供</w:t>
            </w:r>
            <w:r>
              <w:rPr>
                <w:rFonts w:hint="default" w:ascii="华文仿宋" w:hAnsi="华文仿宋" w:eastAsia="华文仿宋" w:cs="华文仿宋"/>
                <w:color w:val="3D3D3D"/>
                <w:sz w:val="24"/>
                <w:szCs w:val="24"/>
                <w:lang w:val="en-US"/>
              </w:rPr>
              <w:t>8</w:t>
            </w: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  <w:t>0 人以上的培训场地(多媒体教室)的能力，具备的计</w:t>
            </w:r>
            <w:r>
              <w:rPr>
                <w:rFonts w:hint="default" w:ascii="华文仿宋" w:hAnsi="华文仿宋" w:eastAsia="华文仿宋" w:cs="华文仿宋"/>
                <w:color w:val="3D3D3D"/>
                <w:sz w:val="24"/>
                <w:szCs w:val="24"/>
                <w:lang w:val="en-US"/>
              </w:rPr>
              <w:t>4</w:t>
            </w: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  <w:t>分;</w:t>
            </w:r>
          </w:p>
          <w:p w14:paraId="3C28E69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both"/>
              <w:textAlignment w:val="auto"/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  <w:t>(2)培训机构具备提供食品安全标准的就餐要求和能力，且确保达到不低于100元/人/天的伙食标准，达到的计</w:t>
            </w:r>
            <w:r>
              <w:rPr>
                <w:rFonts w:hint="default" w:ascii="华文仿宋" w:hAnsi="华文仿宋" w:eastAsia="华文仿宋" w:cs="华文仿宋"/>
                <w:color w:val="3D3D3D"/>
                <w:sz w:val="24"/>
                <w:szCs w:val="24"/>
                <w:lang w:val="en-US"/>
              </w:rPr>
              <w:t>4</w:t>
            </w: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  <w:t>分。</w:t>
            </w:r>
          </w:p>
        </w:tc>
        <w:tc>
          <w:tcPr>
            <w:tcW w:w="1106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37A6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both"/>
              <w:textAlignment w:val="auto"/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</w:pPr>
          </w:p>
        </w:tc>
      </w:tr>
      <w:tr w14:paraId="72FFE1B2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2990" w:hRule="atLeast"/>
          <w:jc w:val="center"/>
        </w:trPr>
        <w:tc>
          <w:tcPr>
            <w:tcW w:w="48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F2A2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 w:firstLine="0"/>
              <w:jc w:val="center"/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  <w:t>4</w:t>
            </w:r>
          </w:p>
        </w:tc>
        <w:tc>
          <w:tcPr>
            <w:tcW w:w="113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91C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 w:firstLine="0"/>
              <w:jc w:val="center"/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  <w:t>培训方案</w:t>
            </w:r>
          </w:p>
        </w:tc>
        <w:tc>
          <w:tcPr>
            <w:tcW w:w="10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1F5A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 w:firstLine="0"/>
              <w:jc w:val="center"/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  <w:t>2</w:t>
            </w:r>
            <w:r>
              <w:rPr>
                <w:rFonts w:hint="default" w:ascii="华文仿宋" w:hAnsi="华文仿宋" w:eastAsia="华文仿宋" w:cs="华文仿宋"/>
                <w:color w:val="3D3D3D"/>
                <w:sz w:val="24"/>
                <w:szCs w:val="24"/>
                <w:lang w:val="en-US"/>
              </w:rPr>
              <w:t>0</w:t>
            </w: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  <w:t xml:space="preserve"> 分</w:t>
            </w:r>
          </w:p>
        </w:tc>
        <w:tc>
          <w:tcPr>
            <w:tcW w:w="506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B879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both"/>
              <w:textAlignment w:val="auto"/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  <w:t>培训方案应含6项内容(培训目标、培训内容、课程设计、授课师资、培训形式、教学评估、分工与管理措施，但不限于)的详细可行性培训方案参与综合评审;</w:t>
            </w:r>
          </w:p>
          <w:p w14:paraId="43C9E56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both"/>
              <w:textAlignment w:val="auto"/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  <w:lang w:eastAsia="zh-CN"/>
              </w:rPr>
            </w:pP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  <w:t>(1)培训方案完全满足要求、有行业内著名专家教授授课、且有创新举措的，计 2</w:t>
            </w:r>
            <w:r>
              <w:rPr>
                <w:rFonts w:hint="default" w:ascii="华文仿宋" w:hAnsi="华文仿宋" w:eastAsia="华文仿宋" w:cs="华文仿宋"/>
                <w:color w:val="3D3D3D"/>
                <w:sz w:val="24"/>
                <w:szCs w:val="24"/>
                <w:lang w:val="en-US"/>
              </w:rPr>
              <w:t>0</w:t>
            </w: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  <w:t xml:space="preserve"> 分</w:t>
            </w: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  <w:lang w:eastAsia="zh-CN"/>
              </w:rPr>
              <w:t>；</w:t>
            </w:r>
          </w:p>
          <w:p w14:paraId="79A74E2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both"/>
              <w:textAlignment w:val="auto"/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  <w:lang w:eastAsia="zh-CN"/>
              </w:rPr>
            </w:pP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  <w:t xml:space="preserve">(2)培训方案完全满足要求的，计 </w:t>
            </w:r>
            <w:r>
              <w:rPr>
                <w:rFonts w:hint="default" w:ascii="华文仿宋" w:hAnsi="华文仿宋" w:eastAsia="华文仿宋" w:cs="华文仿宋"/>
                <w:color w:val="3D3D3D"/>
                <w:sz w:val="24"/>
                <w:szCs w:val="24"/>
                <w:lang w:val="en-US"/>
              </w:rPr>
              <w:t>15</w:t>
            </w: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  <w:t>分</w:t>
            </w: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  <w:lang w:eastAsia="zh-CN"/>
              </w:rPr>
              <w:t>；</w:t>
            </w:r>
          </w:p>
          <w:p w14:paraId="51FBF00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both"/>
              <w:textAlignment w:val="auto"/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  <w:t>(3)培训方案不能完全满足要求的，酌情扣 1-4分/项;</w:t>
            </w:r>
          </w:p>
          <w:p w14:paraId="1C282F8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both"/>
              <w:textAlignment w:val="auto"/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  <w:t>(4)不提供的不计分。</w:t>
            </w:r>
          </w:p>
        </w:tc>
        <w:tc>
          <w:tcPr>
            <w:tcW w:w="1106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3594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both"/>
              <w:textAlignment w:val="auto"/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</w:pPr>
          </w:p>
        </w:tc>
      </w:tr>
      <w:tr w14:paraId="3B7E504C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2373" w:hRule="atLeast"/>
          <w:jc w:val="center"/>
        </w:trPr>
        <w:tc>
          <w:tcPr>
            <w:tcW w:w="48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973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 w:firstLine="0"/>
              <w:jc w:val="center"/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  <w:t>5</w:t>
            </w:r>
          </w:p>
        </w:tc>
        <w:tc>
          <w:tcPr>
            <w:tcW w:w="113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3A9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 w:firstLine="0"/>
              <w:jc w:val="center"/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  <w:t>组织管理</w:t>
            </w:r>
          </w:p>
        </w:tc>
        <w:tc>
          <w:tcPr>
            <w:tcW w:w="10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FC28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 w:firstLine="0"/>
              <w:jc w:val="center"/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  <w:t>10 分</w:t>
            </w:r>
          </w:p>
        </w:tc>
        <w:tc>
          <w:tcPr>
            <w:tcW w:w="506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A632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both"/>
              <w:textAlignment w:val="auto"/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  <w:t>培训机构应有较强的组织协调能力，有专职教学管理人员和丰富的农业农村人才培训管理经验，能按时保质保量完成培训任务。</w:t>
            </w:r>
          </w:p>
          <w:p w14:paraId="453108F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both"/>
              <w:textAlignment w:val="auto"/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  <w:t>(1)设有专门的培训管理部门，计5分</w:t>
            </w: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  <w:lang w:val="en-US" w:eastAsia="zh-CN"/>
              </w:rPr>
              <w:t>;</w:t>
            </w:r>
          </w:p>
          <w:p w14:paraId="3BFA15D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both"/>
              <w:textAlignment w:val="auto"/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  <w:t>(2)配有专职培训管理、跟踪服务及安全维护人员，人数≧6 人的计5分，人数&lt;6人的计2分。</w:t>
            </w:r>
          </w:p>
        </w:tc>
        <w:tc>
          <w:tcPr>
            <w:tcW w:w="1106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4AB8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both"/>
              <w:textAlignment w:val="auto"/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</w:pPr>
          </w:p>
        </w:tc>
      </w:tr>
      <w:tr w14:paraId="6FD0F578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2997" w:hRule="atLeast"/>
          <w:jc w:val="center"/>
        </w:trPr>
        <w:tc>
          <w:tcPr>
            <w:tcW w:w="48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93B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 w:firstLine="0"/>
              <w:jc w:val="center"/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  <w:t>6</w:t>
            </w:r>
          </w:p>
        </w:tc>
        <w:tc>
          <w:tcPr>
            <w:tcW w:w="113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D0BD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 w:firstLine="0"/>
              <w:jc w:val="center"/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  <w:t>培训业绩</w:t>
            </w:r>
          </w:p>
        </w:tc>
        <w:tc>
          <w:tcPr>
            <w:tcW w:w="10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9F01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 w:firstLine="0"/>
              <w:jc w:val="center"/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  <w:t>10分</w:t>
            </w:r>
          </w:p>
        </w:tc>
        <w:tc>
          <w:tcPr>
            <w:tcW w:w="506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5B68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both"/>
              <w:textAlignment w:val="auto"/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  <w:t>(1)近24个月内承办过省、市、区县级(含)组织的湖南省基层农技人员(种植业))培训班，培训人数≥80人的计</w:t>
            </w:r>
            <w:r>
              <w:rPr>
                <w:rFonts w:hint="default" w:ascii="华文仿宋" w:hAnsi="华文仿宋" w:eastAsia="华文仿宋" w:cs="华文仿宋"/>
                <w:color w:val="3D3D3D"/>
                <w:sz w:val="24"/>
                <w:szCs w:val="24"/>
                <w:lang w:val="en-US"/>
              </w:rPr>
              <w:t>8</w:t>
            </w: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  <w:t>分；50人≤培训人数&lt;80人以的，计5分；培训人数&lt;50人的，计2分。</w:t>
            </w:r>
          </w:p>
          <w:p w14:paraId="7CCD2FB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both"/>
              <w:textAlignment w:val="auto"/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  <w:t>(2)近24个月内承办过省、市、区县级(含)组织的高素质农民培训班≥80人，每个培训班计</w:t>
            </w:r>
            <w:r>
              <w:rPr>
                <w:rFonts w:hint="default" w:ascii="华文仿宋" w:hAnsi="华文仿宋" w:eastAsia="华文仿宋" w:cs="华文仿宋"/>
                <w:color w:val="3D3D3D"/>
                <w:sz w:val="24"/>
                <w:szCs w:val="24"/>
                <w:lang w:val="en-US"/>
              </w:rPr>
              <w:t>1</w:t>
            </w: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  <w:t>分，本项目最高计</w:t>
            </w:r>
            <w:r>
              <w:rPr>
                <w:rFonts w:hint="default" w:ascii="华文仿宋" w:hAnsi="华文仿宋" w:eastAsia="华文仿宋" w:cs="华文仿宋"/>
                <w:color w:val="3D3D3D"/>
                <w:sz w:val="24"/>
                <w:szCs w:val="24"/>
                <w:lang w:val="en-US"/>
              </w:rPr>
              <w:t>2</w:t>
            </w: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  <w:t>分。</w:t>
            </w:r>
          </w:p>
        </w:tc>
        <w:tc>
          <w:tcPr>
            <w:tcW w:w="1106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76F3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both"/>
              <w:textAlignment w:val="auto"/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</w:pPr>
          </w:p>
        </w:tc>
      </w:tr>
      <w:tr w14:paraId="25FEC018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2143" w:hRule="atLeast"/>
          <w:jc w:val="center"/>
        </w:trPr>
        <w:tc>
          <w:tcPr>
            <w:tcW w:w="48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BECE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 w:firstLine="0"/>
              <w:jc w:val="center"/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  <w:t>7</w:t>
            </w:r>
          </w:p>
        </w:tc>
        <w:tc>
          <w:tcPr>
            <w:tcW w:w="113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1F8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 w:firstLine="0"/>
              <w:jc w:val="center"/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  <w:t>应急保障方案</w:t>
            </w:r>
          </w:p>
          <w:p w14:paraId="63A49A0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 w:firstLine="0"/>
              <w:jc w:val="center"/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  <w:t> </w:t>
            </w:r>
          </w:p>
          <w:p w14:paraId="6A1EC5F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 w:firstLine="0"/>
              <w:jc w:val="center"/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  <w:t> </w:t>
            </w:r>
          </w:p>
        </w:tc>
        <w:tc>
          <w:tcPr>
            <w:tcW w:w="10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7DB6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 w:firstLine="0"/>
              <w:jc w:val="center"/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  <w:t>10分</w:t>
            </w:r>
          </w:p>
        </w:tc>
        <w:tc>
          <w:tcPr>
            <w:tcW w:w="506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A9BD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both"/>
              <w:textAlignment w:val="auto"/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  <w:t>(1)应急保障方案全面、具体、完全满足需求的计9-10分;</w:t>
            </w:r>
          </w:p>
          <w:p w14:paraId="17CF48B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both"/>
              <w:textAlignment w:val="auto"/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  <w:t>(2)应急保障方案基本满足需求的计6-8分;</w:t>
            </w:r>
          </w:p>
          <w:p w14:paraId="5AF49F8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both"/>
              <w:textAlignment w:val="auto"/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  <w:t>(3)应急保障方案不全面，不详细的计5分及以下;</w:t>
            </w:r>
          </w:p>
          <w:p w14:paraId="700919E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both"/>
              <w:textAlignment w:val="auto"/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  <w:t>(4)未提供应急保障方案的不计分。</w:t>
            </w:r>
          </w:p>
        </w:tc>
        <w:tc>
          <w:tcPr>
            <w:tcW w:w="1106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0295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0"/>
              <w:jc w:val="both"/>
              <w:textAlignment w:val="auto"/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</w:pPr>
          </w:p>
        </w:tc>
      </w:tr>
      <w:tr w14:paraId="2303B985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40" w:hRule="atLeast"/>
          <w:jc w:val="center"/>
        </w:trPr>
        <w:tc>
          <w:tcPr>
            <w:tcW w:w="1618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F4B4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 w:firstLine="0"/>
              <w:jc w:val="center"/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  <w:t> 合计</w:t>
            </w:r>
          </w:p>
        </w:tc>
        <w:tc>
          <w:tcPr>
            <w:tcW w:w="10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F9C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 w:firstLine="0"/>
              <w:jc w:val="center"/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color w:val="3D3D3D"/>
                <w:sz w:val="24"/>
                <w:szCs w:val="24"/>
              </w:rPr>
              <w:t>100分</w:t>
            </w:r>
          </w:p>
        </w:tc>
        <w:tc>
          <w:tcPr>
            <w:tcW w:w="506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D291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 w:firstLine="0"/>
              <w:jc w:val="both"/>
              <w:rPr>
                <w:color w:val="3D3D3D"/>
                <w:sz w:val="24"/>
                <w:szCs w:val="24"/>
              </w:rPr>
            </w:pPr>
            <w:r>
              <w:rPr>
                <w:color w:val="3D3D3D"/>
                <w:sz w:val="24"/>
                <w:szCs w:val="24"/>
              </w:rPr>
              <w:t> </w:t>
            </w:r>
          </w:p>
        </w:tc>
        <w:tc>
          <w:tcPr>
            <w:tcW w:w="1106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E84F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10" w:lineRule="atLeast"/>
              <w:ind w:left="0" w:right="0" w:firstLine="0"/>
              <w:jc w:val="both"/>
              <w:rPr>
                <w:color w:val="3D3D3D"/>
                <w:sz w:val="24"/>
                <w:szCs w:val="24"/>
              </w:rPr>
            </w:pPr>
          </w:p>
        </w:tc>
      </w:tr>
    </w:tbl>
    <w:p w14:paraId="4AE6F5D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0"/>
        <w:jc w:val="left"/>
        <w:textAlignment w:val="auto"/>
        <w:rPr>
          <w:rFonts w:hint="default" w:ascii="华文仿宋" w:hAnsi="华文仿宋" w:eastAsia="华文仿宋" w:cs="华文仿宋"/>
          <w:color w:val="3D3D3D"/>
          <w:sz w:val="24"/>
          <w:szCs w:val="24"/>
          <w:lang w:val="en-US" w:eastAsia="zh-CN"/>
        </w:rPr>
      </w:pPr>
      <w:r>
        <w:rPr>
          <w:rFonts w:hint="eastAsia" w:ascii="华文仿宋" w:hAnsi="华文仿宋" w:eastAsia="华文仿宋" w:cs="华文仿宋"/>
          <w:color w:val="3D3D3D"/>
          <w:sz w:val="24"/>
          <w:szCs w:val="24"/>
          <w:lang w:val="en-US" w:eastAsia="zh-CN"/>
        </w:rPr>
        <w:t>被评审机构：                                     评审日期：</w:t>
      </w:r>
    </w:p>
    <w:p w14:paraId="65C00CA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0"/>
        <w:jc w:val="both"/>
        <w:textAlignment w:val="auto"/>
        <w:rPr>
          <w:rFonts w:hint="eastAsia" w:ascii="华文仿宋" w:hAnsi="华文仿宋" w:eastAsia="华文仿宋" w:cs="华文仿宋"/>
          <w:color w:val="3D3D3D"/>
          <w:sz w:val="24"/>
          <w:szCs w:val="24"/>
          <w:lang w:val="en-US" w:eastAsia="zh-CN"/>
        </w:rPr>
      </w:pPr>
    </w:p>
    <w:p w14:paraId="09E18BF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 w:ascii="华文仿宋" w:hAnsi="华文仿宋" w:eastAsia="华文仿宋" w:cs="华文仿宋"/>
          <w:color w:val="3D3D3D"/>
          <w:sz w:val="24"/>
          <w:szCs w:val="24"/>
          <w:lang w:val="en-US" w:eastAsia="zh-CN"/>
        </w:rPr>
        <w:t>评审人员签字：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华文仿宋">
    <w:altName w:val="仿宋"/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0B7949D1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B1C24F"/>
    <w:rsid w:val="13ECD0C0"/>
    <w:rsid w:val="1DDE04AC"/>
    <w:rsid w:val="44402056"/>
    <w:rsid w:val="4FB1C24F"/>
    <w:rsid w:val="53EE8029"/>
    <w:rsid w:val="5D7EC51F"/>
    <w:rsid w:val="6DFF946B"/>
    <w:rsid w:val="78EF07C8"/>
    <w:rsid w:val="BF7C6606"/>
    <w:rsid w:val="DF7BC35A"/>
    <w:rsid w:val="FF676DD3"/>
    <w:rsid w:val="FF9FAC9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966</Words>
  <Characters>1047</Characters>
  <Lines>0</Lines>
  <Paragraphs>0</Paragraphs>
  <TotalTime>6</TotalTime>
  <ScaleCrop>false</ScaleCrop>
  <LinksUpToDate>false</LinksUpToDate>
  <CharactersWithSpaces>1104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2025-08-13T12:03:00Z</dcterms:created>
  <dc:creator>huawei</dc:creator>
  <cp:lastModifiedBy>白夜</cp:lastModifiedBy>
  <cp:lastPrinted>2025-09-03T23:40:03Z</cp:lastPrinted>
  <dcterms:modified xsi:type="dcterms:W3CDTF">2026-09-07T07:02:11Z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DB356947C2BE41138F3B61FC04E069AD_13</vt:lpwstr>
  </property>
</Properties>
</file>