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FD857">
      <w:pPr>
        <w:rPr>
          <w:rFonts w:ascii="方正小标宋_GBK" w:hAnsi="方正小标宋_GBK"/>
          <w:b/>
          <w:bCs/>
          <w:kern w:val="44"/>
          <w:sz w:val="32"/>
          <w:szCs w:val="32"/>
        </w:rPr>
      </w:pPr>
      <w:r>
        <w:rPr>
          <w:rFonts w:hint="eastAsia" w:ascii="方正小标宋_GBK" w:hAnsi="方正小标宋_GBK"/>
          <w:b/>
          <w:bCs/>
          <w:kern w:val="44"/>
          <w:sz w:val="32"/>
          <w:szCs w:val="32"/>
        </w:rPr>
        <w:t>附件1</w:t>
      </w:r>
    </w:p>
    <w:p w14:paraId="1847D70C">
      <w:pPr>
        <w:spacing w:beforeLines="25" w:afterLines="25" w:line="560" w:lineRule="exact"/>
        <w:contextualSpacing/>
        <w:jc w:val="center"/>
        <w:rPr>
          <w:rFonts w:hint="eastAsia" w:ascii="方正小标宋_GBK" w:hAnsi="方正小标宋_GBK" w:eastAsia="宋体"/>
          <w:b/>
          <w:bCs/>
          <w:kern w:val="44"/>
          <w:sz w:val="32"/>
          <w:szCs w:val="32"/>
        </w:rPr>
      </w:pPr>
      <w:r>
        <w:rPr>
          <w:rFonts w:hint="eastAsia" w:ascii="方正小标宋_GBK" w:hAnsi="方正小标宋_GBK"/>
          <w:bCs/>
          <w:kern w:val="44"/>
          <w:sz w:val="35"/>
          <w:szCs w:val="35"/>
        </w:rPr>
        <w:t xml:space="preserve"> </w:t>
      </w:r>
      <w:r>
        <w:rPr>
          <w:rFonts w:ascii="方正小标宋_GBK" w:hAnsi="方正小标宋_GBK"/>
          <w:b/>
          <w:bCs/>
          <w:kern w:val="44"/>
          <w:sz w:val="32"/>
          <w:szCs w:val="32"/>
        </w:rPr>
        <w:t>湖南省农产品产地冷藏保鲜设施建设补助标准参照表</w:t>
      </w:r>
    </w:p>
    <w:tbl>
      <w:tblPr>
        <w:tblStyle w:val="3"/>
        <w:tblW w:w="833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729"/>
        <w:gridCol w:w="3119"/>
      </w:tblGrid>
      <w:tr w14:paraId="0DCF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4CA66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62E2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设施类别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E5B3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指导价格</w:t>
            </w:r>
          </w:p>
        </w:tc>
      </w:tr>
      <w:tr w14:paraId="6286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96E5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22AB8"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B95F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元/立方米</w:t>
            </w:r>
          </w:p>
        </w:tc>
      </w:tr>
      <w:tr w14:paraId="0907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D290F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C0FF2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组装式通风库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451CC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≤50</w:t>
            </w:r>
          </w:p>
        </w:tc>
      </w:tr>
      <w:tr w14:paraId="2DAE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BA78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99BBA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预冷库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8ABDF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≤1200</w:t>
            </w:r>
          </w:p>
        </w:tc>
      </w:tr>
      <w:tr w14:paraId="7834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3556A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397A6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高温库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11A19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≤600</w:t>
            </w:r>
          </w:p>
        </w:tc>
      </w:tr>
      <w:tr w14:paraId="3C68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79422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BC316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低温库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259BF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≤800</w:t>
            </w:r>
          </w:p>
        </w:tc>
      </w:tr>
      <w:tr w14:paraId="6DEF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F1863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2EB7B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气调库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69FD8">
            <w:pPr>
              <w:spacing w:line="400" w:lineRule="exact"/>
              <w:contextualSpacing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≤1000</w:t>
            </w:r>
          </w:p>
        </w:tc>
      </w:tr>
    </w:tbl>
    <w:p w14:paraId="198D4463">
      <w:pPr>
        <w:spacing w:line="400" w:lineRule="exact"/>
        <w:ind w:firstLine="482"/>
        <w:jc w:val="left"/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说明：</w:t>
      </w:r>
    </w:p>
    <w:p w14:paraId="53981118">
      <w:pPr>
        <w:spacing w:line="400" w:lineRule="exact"/>
        <w:ind w:firstLine="482"/>
        <w:jc w:val="left"/>
        <w:rPr>
          <w:rFonts w:ascii="仿宋" w:hAnsi="仿宋" w:eastAsia="仿宋" w:cs="Times New Roman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（一）计算标准</w:t>
      </w:r>
    </w:p>
    <w:p w14:paraId="3BC52C43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1.总造价包含承建商库体合同造价(库体及保温、制冷系统等)和必要的辅助设施造价，不再包含“三通一平”造价.</w:t>
      </w:r>
    </w:p>
    <w:p w14:paraId="6EB4DCD8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2.补助资金按净库容x指导价格(或总造价，取两者较低者)x补助比例计算。补助比例按一般县≤30%、国家级脱贫县≤40%标准执行。</w:t>
      </w:r>
    </w:p>
    <w:p w14:paraId="2DB5609A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3.单个实施主体预冷库补助净库容最多不超过251立方米，超出部分按高温库指导单价补助;历年来累计享受补助的产地冷藏保鲜设施数量不超过4个，补助资金不超过100万元。</w:t>
      </w:r>
    </w:p>
    <w:p w14:paraId="18ED99CB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4.“库中库”按照大库减去小库容积计算，即同一容积内只计算一种补助。如在通风库中建设了高温库，高温库容积按照实际容积计算，通风库容积按照总库总容减去高温库容积。</w:t>
      </w:r>
    </w:p>
    <w:p w14:paraId="6FDDC578">
      <w:pPr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 xml:space="preserve"> (二)设施设备要求</w:t>
      </w:r>
    </w:p>
    <w:p w14:paraId="55105608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1.预冷库、高温库及气调库冷库门厚度须达到100mm，低温库冷库门厚度须达到150mm;</w:t>
      </w:r>
    </w:p>
    <w:p w14:paraId="464DAA59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2.预冷库、高温库、低温库及气调库保温材料(聚氨酯保温板)厚度须达到150mm;</w:t>
      </w:r>
    </w:p>
    <w:p w14:paraId="3DF08FD3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3.防火等级为B1 级阻燃;</w:t>
      </w:r>
    </w:p>
    <w:p w14:paraId="50CFEB6D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4.根据农业农村部要求，可配备必要辅助设施(称量、清洗、分级、检测等设备以及新建贮藏设施专用的供配电设备)，辅助设施造价不得高于总造价50%</w:t>
      </w:r>
    </w:p>
    <w:p w14:paraId="45A0DD95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 xml:space="preserve">    5.包含压缩机、冷风机在内的所有设施设备须为国内外正规厂家合格产品。</w:t>
      </w:r>
    </w:p>
    <w:p w14:paraId="31D3231A">
      <w:pPr>
        <w:rPr>
          <w:rFonts w:hint="eastAsia" w:ascii="仿宋" w:hAnsi="仿宋" w:eastAsia="仿宋"/>
          <w:color w:val="000000"/>
          <w:sz w:val="24"/>
          <w:szCs w:val="24"/>
        </w:rPr>
      </w:pPr>
    </w:p>
    <w:p w14:paraId="61DED03D">
      <w:pPr>
        <w:spacing w:beforeLines="25" w:afterLines="25" w:line="560" w:lineRule="exact"/>
        <w:contextualSpacing/>
        <w:rPr>
          <w:rFonts w:hint="eastAsia" w:ascii="方正小标宋_GBK" w:hAnsi="方正小标宋_GBK"/>
          <w:b/>
          <w:bCs/>
          <w:kern w:val="44"/>
          <w:sz w:val="32"/>
          <w:szCs w:val="32"/>
        </w:rPr>
      </w:pPr>
    </w:p>
    <w:p w14:paraId="28C8C6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3A1D7"/>
    <w:multiLevelType w:val="singleLevel"/>
    <w:tmpl w:val="76A3A1D7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00000000"/>
    <w:rsid w:val="4F6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2024-06-25T01:11:53Z</dcterms:created>
  <dc:creator>Administrator</dc:creator>
  <cp:lastModifiedBy>Administrator</cp:lastModifiedBy>
  <dcterms:modified xsi:type="dcterms:W3CDTF">2024-06-25T01:12:34Z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40468BFE396C445D8496F72F88D0FF8E_12</vt:lpwstr>
  </property>
</Properties>
</file>