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黑体" w:hAnsi="Calibri" w:eastAsia="黑体" w:cs="Times New Roman"/>
          <w:sz w:val="32"/>
          <w:szCs w:val="32"/>
        </w:rPr>
      </w:pPr>
      <w:bookmarkStart w:id="30" w:name="_GoBack"/>
      <w:bookmarkEnd w:id="30"/>
      <w:r>
        <w:rPr>
          <w:rFonts w:hint="eastAsia" w:ascii="黑体" w:hAnsi="Calibri" w:eastAsia="黑体" w:cs="Times New Roman"/>
          <w:sz w:val="32"/>
          <w:szCs w:val="32"/>
        </w:rPr>
        <w:t>LSTDR-2020-0100</w:t>
      </w:r>
      <w:r>
        <w:rPr>
          <w:rFonts w:hint="eastAsia" w:ascii="黑体" w:eastAsia="黑体"/>
          <w:sz w:val="32"/>
          <w:szCs w:val="32"/>
        </w:rPr>
        <w:t>2</w:t>
      </w:r>
    </w:p>
    <w:p>
      <w:pPr>
        <w:spacing w:line="580" w:lineRule="exact"/>
        <w:rPr>
          <w:rFonts w:ascii="黑体" w:hAnsi="Calibri" w:eastAsia="黑体" w:cs="Times New Roman"/>
          <w:sz w:val="32"/>
          <w:szCs w:val="32"/>
        </w:rPr>
      </w:pPr>
    </w:p>
    <w:p>
      <w:pPr>
        <w:spacing w:line="580" w:lineRule="exact"/>
        <w:ind w:firstLine="641"/>
        <w:rPr>
          <w:rFonts w:ascii="仿宋_GB2312" w:hAnsi="Calibri" w:eastAsia="仿宋_GB2312" w:cs="Times New Roman"/>
          <w:sz w:val="32"/>
          <w:szCs w:val="32"/>
        </w:rPr>
      </w:pPr>
    </w:p>
    <w:p>
      <w:pPr>
        <w:spacing w:line="580" w:lineRule="exact"/>
        <w:ind w:firstLine="641"/>
        <w:rPr>
          <w:rFonts w:ascii="仿宋_GB2312" w:hAnsi="Calibri" w:eastAsia="仿宋_GB2312" w:cs="Times New Roman"/>
          <w:sz w:val="32"/>
          <w:szCs w:val="32"/>
        </w:rPr>
      </w:pPr>
    </w:p>
    <w:p>
      <w:pPr>
        <w:spacing w:line="580" w:lineRule="exact"/>
        <w:rPr>
          <w:rFonts w:ascii="仿宋_GB2312" w:hAnsi="Calibri" w:eastAsia="仿宋_GB2312" w:cs="Times New Roman"/>
          <w:sz w:val="32"/>
          <w:szCs w:val="32"/>
        </w:rPr>
      </w:pPr>
    </w:p>
    <w:p>
      <w:pPr>
        <w:spacing w:line="580" w:lineRule="exact"/>
        <w:ind w:firstLine="641"/>
        <w:rPr>
          <w:rFonts w:ascii="仿宋_GB2312" w:hAnsi="Calibri" w:eastAsia="仿宋_GB2312" w:cs="Times New Roman"/>
          <w:sz w:val="32"/>
          <w:szCs w:val="32"/>
        </w:rPr>
      </w:pPr>
    </w:p>
    <w:p>
      <w:pPr>
        <w:tabs>
          <w:tab w:val="left" w:pos="2655"/>
          <w:tab w:val="center" w:pos="4365"/>
        </w:tabs>
        <w:spacing w:line="580" w:lineRule="exact"/>
        <w:ind w:firstLine="640"/>
        <w:jc w:val="center"/>
        <w:rPr>
          <w:rFonts w:ascii="仿宋_GB2312" w:hAnsi="Calibri" w:eastAsia="仿宋_GB2312" w:cs="Times New Roman"/>
          <w:sz w:val="32"/>
          <w:szCs w:val="32"/>
        </w:rPr>
      </w:pPr>
      <w:r>
        <w:rPr>
          <w:rFonts w:hint="eastAsia" w:ascii="仿宋_GB2312" w:hAnsi="Calibri" w:eastAsia="仿宋_GB2312" w:cs="Times New Roman"/>
          <w:sz w:val="32"/>
          <w:szCs w:val="32"/>
        </w:rPr>
        <w:t>冷政办发〔2020〕</w:t>
      </w:r>
      <w:r>
        <w:rPr>
          <w:rFonts w:hint="eastAsia" w:ascii="仿宋_GB2312" w:eastAsia="仿宋_GB2312"/>
          <w:sz w:val="32"/>
          <w:szCs w:val="32"/>
        </w:rPr>
        <w:t>2</w:t>
      </w:r>
      <w:r>
        <w:rPr>
          <w:rFonts w:hint="eastAsia" w:ascii="仿宋_GB2312" w:hAnsi="Calibri" w:eastAsia="仿宋_GB2312" w:cs="Times New Roman"/>
          <w:sz w:val="32"/>
          <w:szCs w:val="32"/>
        </w:rPr>
        <w:t>号</w:t>
      </w:r>
    </w:p>
    <w:p>
      <w:pPr>
        <w:spacing w:line="580" w:lineRule="exact"/>
        <w:ind w:firstLine="640"/>
        <w:jc w:val="center"/>
        <w:rPr>
          <w:rFonts w:ascii="仿宋_GB2312" w:hAnsi="Calibri" w:eastAsia="仿宋_GB2312" w:cs="Times New Roman"/>
          <w:sz w:val="32"/>
          <w:szCs w:val="32"/>
        </w:rPr>
      </w:pPr>
    </w:p>
    <w:p>
      <w:pPr>
        <w:spacing w:line="580" w:lineRule="exact"/>
        <w:ind w:firstLine="880"/>
        <w:rPr>
          <w:rFonts w:ascii="Calibri" w:hAnsi="Calibri" w:eastAsia="宋体" w:cs="Times New Roman"/>
          <w:sz w:val="44"/>
          <w:szCs w:val="44"/>
        </w:rPr>
      </w:pPr>
    </w:p>
    <w:p>
      <w:pPr>
        <w:spacing w:line="640" w:lineRule="exact"/>
        <w:jc w:val="center"/>
        <w:rPr>
          <w:rFonts w:cs="黑体" w:asciiTheme="majorEastAsia" w:hAnsiTheme="majorEastAsia" w:eastAsiaTheme="majorEastAsia"/>
          <w:sz w:val="44"/>
          <w:szCs w:val="44"/>
        </w:rPr>
      </w:pPr>
      <w:r>
        <w:rPr>
          <w:rFonts w:hint="eastAsia" w:cs="黑体" w:asciiTheme="majorEastAsia" w:hAnsiTheme="majorEastAsia" w:eastAsiaTheme="majorEastAsia"/>
          <w:sz w:val="44"/>
          <w:szCs w:val="44"/>
        </w:rPr>
        <w:t>永州市冷水滩区人民政府办公室</w:t>
      </w:r>
    </w:p>
    <w:p>
      <w:pPr>
        <w:spacing w:line="640" w:lineRule="exact"/>
        <w:jc w:val="center"/>
        <w:rPr>
          <w:rFonts w:cs="黑体" w:asciiTheme="majorEastAsia" w:hAnsiTheme="majorEastAsia" w:eastAsiaTheme="majorEastAsia"/>
          <w:sz w:val="44"/>
          <w:szCs w:val="44"/>
        </w:rPr>
      </w:pPr>
      <w:r>
        <w:rPr>
          <w:rFonts w:hint="eastAsia" w:cs="黑体" w:asciiTheme="majorEastAsia" w:hAnsiTheme="majorEastAsia" w:eastAsiaTheme="majorEastAsia"/>
          <w:sz w:val="44"/>
          <w:szCs w:val="44"/>
        </w:rPr>
        <w:t>关于印发《冷水滩区畜禽规模养殖“三区”划定方案》的通知</w:t>
      </w:r>
    </w:p>
    <w:p>
      <w:pPr>
        <w:pStyle w:val="6"/>
        <w:widowControl w:val="0"/>
        <w:spacing w:after="0" w:line="640" w:lineRule="exact"/>
        <w:ind w:firstLine="640"/>
        <w:rPr>
          <w:rFonts w:ascii="仿宋_GB2312" w:eastAsia="仿宋_GB2312"/>
          <w:szCs w:val="32"/>
        </w:rPr>
      </w:pPr>
    </w:p>
    <w:p>
      <w:pPr>
        <w:spacing w:line="640" w:lineRule="exact"/>
        <w:rPr>
          <w:rFonts w:ascii="仿宋_GB2312" w:hAnsi="仿宋" w:eastAsia="仿宋_GB2312" w:cs="仿宋"/>
          <w:sz w:val="32"/>
          <w:szCs w:val="32"/>
        </w:rPr>
      </w:pPr>
      <w:r>
        <w:rPr>
          <w:rFonts w:hint="eastAsia" w:ascii="仿宋_GB2312" w:hAnsi="仿宋" w:eastAsia="仿宋_GB2312" w:cs="仿宋"/>
          <w:sz w:val="32"/>
          <w:szCs w:val="32"/>
        </w:rPr>
        <w:t>各乡镇人民政府、街道办事处，工业园区、马坪农业开发区，区直相关单位：</w:t>
      </w:r>
    </w:p>
    <w:p>
      <w:pPr>
        <w:pStyle w:val="6"/>
        <w:widowControl w:val="0"/>
        <w:spacing w:after="0" w:line="640" w:lineRule="exact"/>
        <w:ind w:firstLine="640"/>
        <w:rPr>
          <w:rFonts w:ascii="仿宋_GB2312" w:hAnsi="仿宋" w:eastAsia="仿宋_GB2312" w:cs="仿宋"/>
          <w:szCs w:val="32"/>
        </w:rPr>
      </w:pPr>
      <w:r>
        <w:rPr>
          <w:rFonts w:hint="eastAsia" w:ascii="仿宋_GB2312" w:hAnsi="仿宋" w:eastAsia="仿宋_GB2312" w:cs="仿宋"/>
          <w:szCs w:val="32"/>
        </w:rPr>
        <w:t>《</w:t>
      </w:r>
      <w:r>
        <w:rPr>
          <w:rFonts w:hint="eastAsia" w:ascii="仿宋_GB2312" w:hAnsi="仿宋" w:eastAsia="仿宋_GB2312" w:cs="仿宋"/>
          <w:kern w:val="2"/>
          <w:szCs w:val="32"/>
        </w:rPr>
        <w:t>冷水滩区畜禽规模养殖“三区”划定方案</w:t>
      </w:r>
      <w:r>
        <w:rPr>
          <w:rFonts w:hint="eastAsia" w:ascii="仿宋_GB2312" w:hAnsi="仿宋" w:eastAsia="仿宋_GB2312" w:cs="仿宋"/>
          <w:szCs w:val="32"/>
        </w:rPr>
        <w:t>》已经区人民政府研究同意，现印发给你们，请认真遵照执行。</w:t>
      </w:r>
    </w:p>
    <w:p>
      <w:pPr>
        <w:pStyle w:val="6"/>
        <w:widowControl w:val="0"/>
        <w:spacing w:after="0" w:line="640" w:lineRule="exact"/>
        <w:ind w:firstLine="0" w:firstLineChars="0"/>
        <w:rPr>
          <w:rFonts w:ascii="仿宋_GB2312" w:hAnsi="仿宋" w:eastAsia="仿宋_GB2312" w:cs="仿宋"/>
          <w:szCs w:val="32"/>
        </w:rPr>
      </w:pPr>
    </w:p>
    <w:p>
      <w:pPr>
        <w:pStyle w:val="6"/>
        <w:widowControl w:val="0"/>
        <w:spacing w:after="0" w:line="640" w:lineRule="exact"/>
        <w:ind w:firstLine="0" w:firstLineChars="0"/>
        <w:rPr>
          <w:rFonts w:ascii="仿宋_GB2312" w:hAnsi="仿宋" w:eastAsia="仿宋_GB2312" w:cs="仿宋"/>
          <w:szCs w:val="32"/>
        </w:rPr>
      </w:pPr>
    </w:p>
    <w:p>
      <w:pPr>
        <w:pStyle w:val="6"/>
        <w:widowControl w:val="0"/>
        <w:wordWrap w:val="0"/>
        <w:spacing w:after="0" w:line="640" w:lineRule="exact"/>
        <w:ind w:firstLine="0" w:firstLineChars="0"/>
        <w:jc w:val="right"/>
        <w:rPr>
          <w:rFonts w:ascii="仿宋_GB2312" w:hAnsi="仿宋" w:eastAsia="仿宋_GB2312" w:cs="仿宋"/>
          <w:szCs w:val="32"/>
        </w:rPr>
      </w:pPr>
      <w:r>
        <w:rPr>
          <w:rFonts w:hint="eastAsia" w:ascii="仿宋_GB2312" w:hAnsi="仿宋" w:eastAsia="仿宋_GB2312" w:cs="仿宋"/>
          <w:szCs w:val="32"/>
        </w:rPr>
        <w:t xml:space="preserve">永州市冷水滩区人民政府办公室   </w:t>
      </w:r>
    </w:p>
    <w:p>
      <w:pPr>
        <w:pStyle w:val="6"/>
        <w:widowControl w:val="0"/>
        <w:wordWrap w:val="0"/>
        <w:spacing w:after="0" w:line="640" w:lineRule="exact"/>
        <w:ind w:firstLine="0" w:firstLineChars="0"/>
        <w:jc w:val="right"/>
        <w:rPr>
          <w:rFonts w:ascii="仿宋_GB2312" w:hAnsi="仿宋" w:eastAsia="仿宋_GB2312" w:cs="仿宋"/>
          <w:szCs w:val="32"/>
        </w:rPr>
      </w:pPr>
      <w:r>
        <w:rPr>
          <w:rFonts w:hint="eastAsia" w:ascii="仿宋_GB2312" w:hAnsi="仿宋" w:eastAsia="仿宋_GB2312" w:cs="仿宋"/>
          <w:szCs w:val="32"/>
        </w:rPr>
        <w:t xml:space="preserve">2020年2月13日          </w:t>
      </w:r>
    </w:p>
    <w:p>
      <w:pPr>
        <w:pStyle w:val="6"/>
        <w:widowControl w:val="0"/>
        <w:spacing w:after="0" w:line="640" w:lineRule="exact"/>
        <w:ind w:firstLine="0" w:firstLineChars="0"/>
        <w:rPr>
          <w:rFonts w:ascii="仿宋_GB2312" w:hAnsi="仿宋" w:eastAsia="仿宋_GB2312" w:cs="仿宋"/>
          <w:szCs w:val="32"/>
        </w:rPr>
        <w:sectPr>
          <w:headerReference r:id="rId3" w:type="default"/>
          <w:footerReference r:id="rId4" w:type="default"/>
          <w:pgSz w:w="11906" w:h="16838"/>
          <w:pgMar w:top="1985" w:right="1701" w:bottom="1701" w:left="1701" w:header="851" w:footer="992" w:gutter="0"/>
          <w:cols w:space="425" w:num="1"/>
          <w:docGrid w:type="lines" w:linePitch="312" w:charSpace="0"/>
        </w:sectPr>
      </w:pPr>
    </w:p>
    <w:p>
      <w:pPr>
        <w:shd w:val="clear" w:color="auto" w:fill="FFFFFF" w:themeFill="background1"/>
        <w:spacing w:line="640" w:lineRule="exact"/>
        <w:jc w:val="center"/>
        <w:rPr>
          <w:rFonts w:asciiTheme="majorEastAsia" w:hAnsiTheme="majorEastAsia" w:eastAsiaTheme="majorEastAsia"/>
          <w:sz w:val="44"/>
          <w:szCs w:val="44"/>
        </w:rPr>
      </w:pPr>
      <w:r>
        <w:rPr>
          <w:rFonts w:hint="eastAsia" w:cs="黑体" w:asciiTheme="majorEastAsia" w:hAnsiTheme="majorEastAsia" w:eastAsiaTheme="majorEastAsia"/>
          <w:sz w:val="44"/>
          <w:szCs w:val="44"/>
        </w:rPr>
        <w:t>冷水滩区畜禽规模养殖“三区”划定方案</w:t>
      </w:r>
    </w:p>
    <w:p>
      <w:pPr>
        <w:pStyle w:val="25"/>
        <w:widowControl w:val="0"/>
        <w:spacing w:line="640" w:lineRule="exact"/>
        <w:ind w:firstLine="640"/>
        <w:rPr>
          <w:rFonts w:ascii="仿宋_GB2312" w:eastAsia="仿宋_GB2312"/>
          <w:sz w:val="32"/>
          <w:szCs w:val="32"/>
        </w:rPr>
      </w:pP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为合理布局养殖区域，从源头上控制畜禽养殖的污染，促进畜禽养殖业持续健康发展，根据《中华人民共和国环境保护法》、《中华人民共和国畜牧法》、《畜禽规模养殖污染防治条例》、《湖南省畜禽规模养殖污染防治规定》，按照畜禽养殖“预防为主、防治结合”的布局原则，结合我区实际情况，特制订本方案。</w:t>
      </w:r>
      <w:bookmarkStart w:id="0" w:name="_Toc31935034"/>
    </w:p>
    <w:p>
      <w:pPr>
        <w:pStyle w:val="25"/>
        <w:widowControl w:val="0"/>
        <w:spacing w:line="640" w:lineRule="exact"/>
        <w:ind w:firstLine="640"/>
        <w:rPr>
          <w:rFonts w:ascii="黑体" w:hAnsi="黑体" w:eastAsia="黑体"/>
          <w:sz w:val="32"/>
          <w:szCs w:val="32"/>
        </w:rPr>
      </w:pPr>
      <w:r>
        <w:rPr>
          <w:rFonts w:hint="eastAsia" w:ascii="黑体" w:hAnsi="黑体" w:eastAsia="黑体"/>
          <w:sz w:val="32"/>
          <w:szCs w:val="32"/>
        </w:rPr>
        <w:t>1.指导思想</w:t>
      </w:r>
      <w:bookmarkEnd w:id="0"/>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坚持以科学发展观为指导，以富民强区、实现经济可持续发展、构建和谐社会为目标，以国家和地方环境保护法律、法规为依据，以畜禽养殖业可持续发展和改善农村生态环境质量为切入点，结合我区生态建设要求，调整优化全区畜禽养殖业的生产布局，开展畜禽养殖污染综合防治，改善生态环境质量，保障人民群众身体健康，实现畜禽养殖废物减量化、无害化、资源化和生态化，促进畜牧业生产与生态环境全面协调发展。</w:t>
      </w:r>
    </w:p>
    <w:p>
      <w:pPr>
        <w:pStyle w:val="25"/>
        <w:widowControl w:val="0"/>
        <w:spacing w:line="640" w:lineRule="exact"/>
        <w:ind w:firstLine="640"/>
        <w:rPr>
          <w:rFonts w:ascii="黑体" w:hAnsi="黑体" w:eastAsia="黑体"/>
          <w:sz w:val="32"/>
          <w:szCs w:val="32"/>
        </w:rPr>
      </w:pPr>
      <w:bookmarkStart w:id="1" w:name="_Toc31935035"/>
      <w:r>
        <w:rPr>
          <w:rFonts w:hint="eastAsia" w:ascii="黑体" w:hAnsi="黑体" w:eastAsia="黑体"/>
          <w:sz w:val="32"/>
          <w:szCs w:val="32"/>
        </w:rPr>
        <w:t>2.划定依据</w:t>
      </w:r>
      <w:bookmarkEnd w:id="1"/>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1）、相关法律、法规</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（1）《中华人民共和国环境保护法》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（2）《中华人民共和国畜牧法》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（3）《中华人民共和国水污染防治法》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（4）《中华人民共和国大气污染防治法》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（5）《中华人民共和国固体废物污染环境防治法》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（6）《中华人民共和国环境影响评价法》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（7）《中华人民共和国森林法》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（8）《畜禽规模养殖污染防治条例》</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（9）《湖南省畜禽规模养殖污染防治规定》（湘政办发〔2017〕29号）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2）、相关政策、技术规范及规范性文件</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（1）《国务院关于促进畜牧业持续健康发展的意见》（国发〔2007〕4号）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（2）《国务院关于印发水污染防治行动计划的通知》（国发〔2015〕17号）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（3）《动物防疫条件审查办法》（农业部令2010第7号）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（4）《建设项目环境保护分类管理名录》（生态环境部令第1号）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（5）《环境保护部农业部关于进一步加强畜禽养殖污染防治工作的通知》（环水体〔2016〕144号）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（6）《畜禽养殖禁养区划定技术指南》（环办水体〔2016〕99号）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（7）《饮用水水源保护区划分技术规范》（HJ338-2018）</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（8）《湖南省集中式饮用水水源保护区划分工作指南》（湘环函〔2016〕196号）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（9）湖南省人民政府《关于公布&lt;湖南省县级以上地表水集中式饮用水源保护区划定方案&gt;的通知》，湘政函【2016】176号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（10）《湖南省饮用水源保护条例》</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（11）生态环境部办公厅、农业农村部办公厅《关于进一步规范畜禽养殖禁养区划定和管理促进生猪生产发展的通知》，环办土壤【2019】55号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（12）《湖南省生态环境厅 湖南省农业农村厅 关于进一步规范我省畜禽养殖禁养区划定和管理工作的通知》，湘环函【2019】189号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（13）《湖南省生态环境厅 湖南省农业农村厅 关于印发&lt;湖南省畜禽养殖禁养区划定情况排查整治工作要点&gt;的通知》</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（14）《永州市城市总体规划（2001-2020）（2018年修改）》</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（15）冷水滩区畜牧水产局提供的其他相关资料</w:t>
      </w:r>
    </w:p>
    <w:p>
      <w:pPr>
        <w:pStyle w:val="25"/>
        <w:widowControl w:val="0"/>
        <w:spacing w:line="640" w:lineRule="exact"/>
        <w:ind w:firstLine="640"/>
        <w:rPr>
          <w:rFonts w:ascii="黑体" w:hAnsi="黑体" w:eastAsia="黑体"/>
          <w:sz w:val="32"/>
          <w:szCs w:val="32"/>
        </w:rPr>
      </w:pPr>
      <w:bookmarkStart w:id="2" w:name="_Toc31935036"/>
      <w:r>
        <w:rPr>
          <w:rFonts w:hint="eastAsia" w:ascii="黑体" w:hAnsi="黑体" w:eastAsia="黑体"/>
          <w:sz w:val="32"/>
          <w:szCs w:val="32"/>
        </w:rPr>
        <w:t>3.划定原则</w:t>
      </w:r>
      <w:bookmarkEnd w:id="2"/>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1）、统筹规划原则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统筹划定畜禽养殖禁养区、限养区和适养区，并根据不同养殖区逐步开展整治工作。</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2）、因地制宜原则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根据当地经济社会发展水平、技术水平、管理水平和环境保护的需要，因地制宜划定畜禽养殖禁养区、限养区以及适养区。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3）、可持续发展原则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养殖区划分应考虑环境容量和资源承载力，坚持发展与保护并重，实现资源环境效益、经济效益和社会效益的统一。</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4）、划定从严原则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同一区域属于不同畜禽养殖区域类型时，则按照要求较严者（禁养区严于限养区、限养区严于适养区）作为该区域的畜禽规模养殖划定类型。</w:t>
      </w:r>
    </w:p>
    <w:p>
      <w:pPr>
        <w:pStyle w:val="25"/>
        <w:widowControl w:val="0"/>
        <w:spacing w:line="640" w:lineRule="exact"/>
        <w:ind w:firstLine="640"/>
        <w:rPr>
          <w:rFonts w:ascii="黑体" w:hAnsi="黑体" w:eastAsia="黑体"/>
          <w:sz w:val="32"/>
          <w:szCs w:val="32"/>
        </w:rPr>
      </w:pPr>
      <w:bookmarkStart w:id="3" w:name="_Toc31935037"/>
      <w:r>
        <w:rPr>
          <w:rFonts w:hint="eastAsia" w:ascii="黑体" w:hAnsi="黑体" w:eastAsia="黑体"/>
          <w:sz w:val="32"/>
          <w:szCs w:val="32"/>
        </w:rPr>
        <w:t>4.划定类型</w:t>
      </w:r>
      <w:bookmarkEnd w:id="3"/>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实行畜禽养殖区域分类管理，划分为畜禽规模养殖禁养区（以下简称“禁养区”）、畜禽规模养殖限养区（以下简称“限养区”）和畜禽规模养殖适养区（以下简称“适养区”）三大类型。</w:t>
      </w:r>
    </w:p>
    <w:p>
      <w:pPr>
        <w:pStyle w:val="25"/>
        <w:widowControl w:val="0"/>
        <w:numPr>
          <w:ilvl w:val="0"/>
          <w:numId w:val="1"/>
        </w:numPr>
        <w:spacing w:line="640" w:lineRule="exact"/>
        <w:ind w:firstLine="640"/>
        <w:rPr>
          <w:rFonts w:ascii="仿宋_GB2312" w:eastAsia="仿宋_GB2312"/>
          <w:sz w:val="32"/>
          <w:szCs w:val="32"/>
        </w:rPr>
      </w:pPr>
      <w:r>
        <w:rPr>
          <w:rFonts w:hint="eastAsia" w:ascii="仿宋_GB2312" w:eastAsia="仿宋_GB2312"/>
          <w:sz w:val="32"/>
          <w:szCs w:val="32"/>
        </w:rPr>
        <w:t>禁养区：指区（县）级以上地方人民政府依法划定的禁止建设畜禽规模养殖场或禁止建设有污染物排放的规模养殖场区域。</w:t>
      </w:r>
    </w:p>
    <w:p>
      <w:pPr>
        <w:pStyle w:val="25"/>
        <w:widowControl w:val="0"/>
        <w:numPr>
          <w:ilvl w:val="0"/>
          <w:numId w:val="1"/>
        </w:numPr>
        <w:spacing w:line="640" w:lineRule="exact"/>
        <w:ind w:firstLine="640"/>
        <w:rPr>
          <w:rFonts w:ascii="仿宋_GB2312" w:eastAsia="仿宋_GB2312"/>
          <w:sz w:val="32"/>
          <w:szCs w:val="32"/>
        </w:rPr>
      </w:pPr>
      <w:r>
        <w:rPr>
          <w:rFonts w:hint="eastAsia" w:ascii="仿宋_GB2312" w:eastAsia="仿宋_GB2312"/>
          <w:sz w:val="32"/>
          <w:szCs w:val="32"/>
        </w:rPr>
        <w:t>限养区：指按照法律法规及相关文件规定，根据城乡发展规划和区域污染物排放总量控制要求，在一定区域内限定畜禽规模养殖数量和规模。在限养区域范围内新、扩建畜禽规模养殖场需经相关部门审批同意后方可建设。对超过规定排放标准或排放总量指标，排放污染物或造成周围环境严重污染的畜禽规模养殖场，区（县）级以上人民政府行政主管部门可提出限期治理建议，报同级人民政府批准实施。无法完成限期治理的，由辖区人民政府责令搬迁或关闭。</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适养区：指除禁养区、限养区以外的区域，均可作为畜禽规模养殖适养区。在畜禽规模养殖适养区内从事畜禽规模养殖的，应当遵守国家有关建设项目环境保护管理、土地利用规划和建设规划等规定，开展环境影响评价，其污染防治措施及畜禽排泄物综合利用措施必须与主体工程“三同时”建设，其污染物排放不得超过国家和地方规定的排放标准和总量控制要求。</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4、养殖规模划分标准</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畜禽养殖场、养殖小区是指达到省级人民政府确定的养殖规模标准的畜禽集中饲养场所（以下简称养殖场）。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根据《湖南省畜禽规模养殖污染防治规定》第一章第三条，单一品种畜禽养殖规模的划分标准如下：</w:t>
      </w:r>
    </w:p>
    <w:p>
      <w:pPr>
        <w:pStyle w:val="38"/>
        <w:widowControl w:val="0"/>
        <w:spacing w:line="640" w:lineRule="exact"/>
        <w:rPr>
          <w:rFonts w:ascii="仿宋_GB2312" w:eastAsia="仿宋_GB2312"/>
          <w:sz w:val="32"/>
          <w:szCs w:val="32"/>
        </w:rPr>
      </w:pPr>
    </w:p>
    <w:p>
      <w:pPr>
        <w:pStyle w:val="38"/>
        <w:widowControl w:val="0"/>
        <w:spacing w:line="640" w:lineRule="exact"/>
        <w:rPr>
          <w:rFonts w:ascii="仿宋_GB2312" w:eastAsia="仿宋_GB2312"/>
          <w:sz w:val="32"/>
          <w:szCs w:val="32"/>
        </w:rPr>
      </w:pPr>
      <w:r>
        <w:rPr>
          <w:rFonts w:hint="eastAsia" w:ascii="仿宋_GB2312" w:eastAsia="仿宋_GB2312"/>
          <w:sz w:val="32"/>
          <w:szCs w:val="32"/>
        </w:rPr>
        <w:t>表4-1  养殖规模划分标准</w:t>
      </w:r>
    </w:p>
    <w:tbl>
      <w:tblPr>
        <w:tblStyle w:val="15"/>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419"/>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类型</w:t>
            </w:r>
          </w:p>
        </w:tc>
        <w:tc>
          <w:tcPr>
            <w:tcW w:w="1419" w:type="dxa"/>
            <w:vMerge w:val="restart"/>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猪（头）</w:t>
            </w:r>
          </w:p>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（出栏）</w:t>
            </w:r>
          </w:p>
        </w:tc>
        <w:tc>
          <w:tcPr>
            <w:tcW w:w="2840" w:type="dxa"/>
            <w:gridSpan w:val="2"/>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牛（头）</w:t>
            </w:r>
          </w:p>
        </w:tc>
        <w:tc>
          <w:tcPr>
            <w:tcW w:w="2842" w:type="dxa"/>
            <w:gridSpan w:val="2"/>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鸡（羽）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419"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奶牛（存栏）</w:t>
            </w: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肉牛（出栏）</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蛋鸡（存栏）</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肉鸡（出栏）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小型养殖场、养殖小区</w:t>
            </w:r>
          </w:p>
        </w:tc>
        <w:tc>
          <w:tcPr>
            <w:tcW w:w="1419"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500（含）~4999</w:t>
            </w: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50（含）~499</w:t>
            </w: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100（含）~999</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15000（含）~149999</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30000（含）~299999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大型养殖场、养殖小区</w:t>
            </w:r>
          </w:p>
        </w:tc>
        <w:tc>
          <w:tcPr>
            <w:tcW w:w="1419"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≥5000</w:t>
            </w: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≥500</w:t>
            </w: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≥1000</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≥150000</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≥300000</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具有不同畜禽养殖种类的，可将其它畜禽养殖量折算为猪的养殖量，以猪的养殖量确定养殖规模。换算比例为30羽蛋鸡、30羽鸭、15羽鹅、60羽肉鸡、30只兔、3只羊折算为1头猪，1头奶牛折算为10头猪，1头肉牛折算为5头猪。</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本方案规模化畜禽养殖场（小区）指：生猪（年出栏）≥500头、奶牛（年存栏）≥50头、肉牛（年出栏）≥100头、蛋鸡（年存栏）≥15000只、肉鸡（年出栏）≥30000只，其它畜禽养殖量折算为猪的养殖量。</w:t>
      </w:r>
    </w:p>
    <w:p>
      <w:pPr>
        <w:pStyle w:val="25"/>
        <w:widowControl w:val="0"/>
        <w:spacing w:line="640" w:lineRule="exact"/>
        <w:ind w:firstLine="640"/>
        <w:rPr>
          <w:rFonts w:ascii="黑体" w:hAnsi="黑体" w:eastAsia="黑体"/>
          <w:sz w:val="32"/>
          <w:szCs w:val="32"/>
        </w:rPr>
      </w:pPr>
      <w:bookmarkStart w:id="4" w:name="_Toc31935038"/>
      <w:r>
        <w:rPr>
          <w:rFonts w:hint="eastAsia" w:ascii="黑体" w:hAnsi="黑体" w:eastAsia="黑体"/>
          <w:sz w:val="32"/>
          <w:szCs w:val="32"/>
        </w:rPr>
        <w:t>5.划定区域</w:t>
      </w:r>
      <w:bookmarkEnd w:id="4"/>
      <w:bookmarkStart w:id="5" w:name="_Toc31935039"/>
    </w:p>
    <w:p>
      <w:pPr>
        <w:pStyle w:val="25"/>
        <w:widowControl w:val="0"/>
        <w:spacing w:line="640" w:lineRule="exact"/>
        <w:ind w:firstLine="640"/>
        <w:rPr>
          <w:rFonts w:ascii="楷体_GB2312" w:eastAsia="楷体_GB2312"/>
          <w:sz w:val="32"/>
          <w:szCs w:val="32"/>
        </w:rPr>
      </w:pPr>
      <w:r>
        <w:rPr>
          <w:rFonts w:hint="eastAsia" w:ascii="楷体_GB2312" w:hAnsi="黑体" w:eastAsia="楷体_GB2312"/>
          <w:sz w:val="32"/>
          <w:szCs w:val="32"/>
        </w:rPr>
        <w:t>5.1</w:t>
      </w:r>
      <w:r>
        <w:rPr>
          <w:rFonts w:hint="eastAsia" w:ascii="楷体_GB2312" w:eastAsia="楷体_GB2312"/>
          <w:sz w:val="32"/>
          <w:szCs w:val="32"/>
        </w:rPr>
        <w:t>禁养区范围</w:t>
      </w:r>
      <w:bookmarkEnd w:id="5"/>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按照法律、法规、行政规章等规定，禁养区内严禁新建、改扩建养殖场，禁养区内现有不符合要求的养殖场应由当地人民政府在国家规定时限内依法关停或搬迁。结合我区实际情况，畜禽规模养殖禁养区范围如下。</w:t>
      </w:r>
      <w:bookmarkStart w:id="6" w:name="_Toc18056810"/>
      <w:bookmarkStart w:id="7" w:name="_Toc31935040"/>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5.1.1饮用水水源保护区</w:t>
      </w:r>
      <w:bookmarkEnd w:id="6"/>
      <w:bookmarkEnd w:id="7"/>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包括饮用水水源一级保护区和二级保护区的陆域范围。已经完成饮用水水源保护区划分的，按照现有陆域边界范围执行；未完成饮用水水源保护区划分的，参照《饮用水水源保护区划分技术规范》（HJ/T 338-2007）中各类型饮用水水源保护区划分方法确定。</w:t>
      </w:r>
    </w:p>
    <w:p>
      <w:pPr>
        <w:pStyle w:val="42"/>
        <w:widowControl w:val="0"/>
        <w:spacing w:line="640" w:lineRule="exact"/>
        <w:ind w:firstLine="640"/>
        <w:rPr>
          <w:rFonts w:ascii="仿宋_GB2312" w:eastAsia="仿宋_GB2312"/>
          <w:sz w:val="32"/>
          <w:szCs w:val="32"/>
        </w:rPr>
      </w:pPr>
      <w:r>
        <w:rPr>
          <w:rFonts w:hint="eastAsia" w:ascii="仿宋_GB2312" w:eastAsia="仿宋_GB2312"/>
          <w:sz w:val="32"/>
          <w:szCs w:val="32"/>
        </w:rPr>
        <w:t>1、中心城区水厂饮用水源保护区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冷水滩区中心城区曲河、荷叶岭、菱角山水厂三个水厂取水口均位于湘江冷水滩河段，根据《永州市冷水滩区曲河、荷叶岭、菱角山水厂湘江取水口河段饮用水水源保护区划定技术报告》，曲河、荷叶岭、菱角山水厂湘江取水口河段饮用水水源</w:t>
      </w:r>
      <w:bookmarkStart w:id="8" w:name="OLE_LINK38"/>
      <w:r>
        <w:rPr>
          <w:rFonts w:hint="eastAsia" w:ascii="仿宋_GB2312" w:eastAsia="仿宋_GB2312"/>
          <w:sz w:val="32"/>
          <w:szCs w:val="32"/>
        </w:rPr>
        <w:t>保护区总面积7.57km</w:t>
      </w:r>
      <w:r>
        <w:rPr>
          <w:rFonts w:hint="eastAsia" w:ascii="仿宋_GB2312" w:eastAsia="仿宋_GB2312"/>
          <w:sz w:val="32"/>
          <w:szCs w:val="32"/>
          <w:vertAlign w:val="superscript"/>
        </w:rPr>
        <w:t>2</w:t>
      </w:r>
      <w:r>
        <w:rPr>
          <w:rFonts w:hint="eastAsia" w:ascii="仿宋_GB2312" w:eastAsia="仿宋_GB2312"/>
          <w:sz w:val="32"/>
          <w:szCs w:val="32"/>
        </w:rPr>
        <w:t>，其中：一级保护区面积1.6838km</w:t>
      </w:r>
      <w:r>
        <w:rPr>
          <w:rFonts w:hint="eastAsia" w:ascii="仿宋_GB2312" w:eastAsia="仿宋_GB2312"/>
          <w:sz w:val="32"/>
          <w:szCs w:val="32"/>
          <w:vertAlign w:val="superscript"/>
        </w:rPr>
        <w:t>2</w:t>
      </w:r>
      <w:r>
        <w:rPr>
          <w:rFonts w:hint="eastAsia" w:ascii="仿宋_GB2312" w:eastAsia="仿宋_GB2312"/>
          <w:sz w:val="32"/>
          <w:szCs w:val="32"/>
        </w:rPr>
        <w:t>（</w:t>
      </w:r>
      <w:bookmarkEnd w:id="8"/>
      <w:r>
        <w:rPr>
          <w:rFonts w:hint="eastAsia" w:ascii="仿宋_GB2312" w:eastAsia="仿宋_GB2312"/>
          <w:sz w:val="32"/>
          <w:szCs w:val="32"/>
        </w:rPr>
        <w:t>水域面积1.68km</w:t>
      </w:r>
      <w:r>
        <w:rPr>
          <w:rFonts w:hint="eastAsia" w:ascii="仿宋_GB2312" w:eastAsia="仿宋_GB2312"/>
          <w:sz w:val="32"/>
          <w:szCs w:val="32"/>
          <w:vertAlign w:val="superscript"/>
        </w:rPr>
        <w:t>2</w:t>
      </w:r>
      <w:r>
        <w:rPr>
          <w:rFonts w:hint="eastAsia" w:ascii="仿宋_GB2312" w:eastAsia="仿宋_GB2312"/>
          <w:sz w:val="32"/>
          <w:szCs w:val="32"/>
        </w:rPr>
        <w:t>，陆域面积0.0038km</w:t>
      </w:r>
      <w:r>
        <w:rPr>
          <w:rFonts w:hint="eastAsia" w:ascii="仿宋_GB2312" w:eastAsia="仿宋_GB2312"/>
          <w:sz w:val="32"/>
          <w:szCs w:val="32"/>
          <w:vertAlign w:val="superscript"/>
        </w:rPr>
        <w:t>2</w:t>
      </w:r>
      <w:r>
        <w:rPr>
          <w:rFonts w:hint="eastAsia" w:ascii="仿宋_GB2312" w:eastAsia="仿宋_GB2312"/>
          <w:sz w:val="32"/>
          <w:szCs w:val="32"/>
        </w:rPr>
        <w:t>），二级保护区面积5.883km</w:t>
      </w:r>
      <w:r>
        <w:rPr>
          <w:rFonts w:hint="eastAsia" w:ascii="仿宋_GB2312" w:eastAsia="仿宋_GB2312"/>
          <w:sz w:val="32"/>
          <w:szCs w:val="32"/>
          <w:vertAlign w:val="superscript"/>
        </w:rPr>
        <w:t>2</w:t>
      </w:r>
      <w:r>
        <w:rPr>
          <w:rFonts w:hint="eastAsia" w:ascii="仿宋_GB2312" w:eastAsia="仿宋_GB2312"/>
          <w:sz w:val="32"/>
          <w:szCs w:val="32"/>
        </w:rPr>
        <w:t>（水域面积2.463km</w:t>
      </w:r>
      <w:r>
        <w:rPr>
          <w:rFonts w:hint="eastAsia" w:ascii="仿宋_GB2312" w:eastAsia="仿宋_GB2312"/>
          <w:sz w:val="32"/>
          <w:szCs w:val="32"/>
          <w:vertAlign w:val="superscript"/>
        </w:rPr>
        <w:t>2</w:t>
      </w:r>
      <w:r>
        <w:rPr>
          <w:rFonts w:hint="eastAsia" w:ascii="仿宋_GB2312" w:eastAsia="仿宋_GB2312"/>
          <w:sz w:val="32"/>
          <w:szCs w:val="32"/>
        </w:rPr>
        <w:t>，陆域面积3.42km</w:t>
      </w:r>
      <w:r>
        <w:rPr>
          <w:rFonts w:hint="eastAsia" w:ascii="仿宋_GB2312" w:eastAsia="仿宋_GB2312"/>
          <w:sz w:val="32"/>
          <w:szCs w:val="32"/>
          <w:vertAlign w:val="superscript"/>
        </w:rPr>
        <w:t>2</w:t>
      </w:r>
      <w:r>
        <w:rPr>
          <w:rFonts w:hint="eastAsia" w:ascii="仿宋_GB2312" w:eastAsia="仿宋_GB2312"/>
          <w:sz w:val="32"/>
          <w:szCs w:val="32"/>
        </w:rPr>
        <w:t>）。饮用水水源保护区涉及的行政区域主要为：冷水滩区的曲河街道、仁湾镇、梅湾街道、杨家桥街道、肖家园街道和菱角山街道。</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三个水厂饮用水源保护区划定结果依《湖南省人民政府 关于公布湖南省县级以上地表水集中式饮用水水源保护区划定方案的通知》（湘政函</w:t>
      </w:r>
      <w:r>
        <w:rPr>
          <w:rFonts w:hint="eastAsia" w:ascii="仿宋_GB2312" w:hAnsi="宋体" w:eastAsia="仿宋_GB2312" w:cs="宋体"/>
          <w:sz w:val="32"/>
          <w:szCs w:val="32"/>
        </w:rPr>
        <w:t>〔</w:t>
      </w:r>
      <w:r>
        <w:rPr>
          <w:rFonts w:hint="eastAsia" w:ascii="仿宋_GB2312" w:eastAsia="仿宋_GB2312"/>
          <w:sz w:val="32"/>
          <w:szCs w:val="32"/>
        </w:rPr>
        <w:t>2016</w:t>
      </w:r>
      <w:r>
        <w:rPr>
          <w:rFonts w:hint="eastAsia" w:ascii="仿宋_GB2312" w:hAnsi="宋体" w:eastAsia="仿宋_GB2312" w:cs="宋体"/>
          <w:sz w:val="32"/>
          <w:szCs w:val="32"/>
        </w:rPr>
        <w:t>〕</w:t>
      </w:r>
      <w:r>
        <w:rPr>
          <w:rFonts w:hint="eastAsia" w:ascii="仿宋_GB2312" w:eastAsia="仿宋_GB2312"/>
          <w:sz w:val="32"/>
          <w:szCs w:val="32"/>
        </w:rPr>
        <w:t>176号）予以公布，并遵照执行。</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（1）一级保护区</w:t>
      </w:r>
    </w:p>
    <w:p>
      <w:pPr>
        <w:pStyle w:val="25"/>
        <w:widowControl w:val="0"/>
        <w:spacing w:line="640" w:lineRule="exact"/>
        <w:ind w:firstLine="640"/>
        <w:rPr>
          <w:rFonts w:ascii="仿宋_GB2312" w:eastAsia="仿宋_GB2312"/>
          <w:sz w:val="32"/>
          <w:szCs w:val="32"/>
        </w:rPr>
      </w:pPr>
      <w:bookmarkStart w:id="9" w:name="OLE_LINK15"/>
      <w:r>
        <w:rPr>
          <w:rFonts w:hint="eastAsia" w:ascii="仿宋_GB2312" w:eastAsia="仿宋_GB2312"/>
          <w:sz w:val="32"/>
          <w:szCs w:val="32"/>
        </w:rPr>
        <w:t>A、一级水域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一级保护区水域范围为曲河水厂取水口上游1000米至下游100米，荷叶岭水厂取水口上游1000米至下游100米，菱角山水厂取水口上游1000米至下游100米，水域宽度为三级航道外边界至取水口一侧5年一遇洪水所能淹没的区域，水域面积为1.68km</w:t>
      </w:r>
      <w:r>
        <w:rPr>
          <w:rFonts w:hint="eastAsia" w:ascii="仿宋_GB2312" w:eastAsia="仿宋_GB2312"/>
          <w:sz w:val="32"/>
          <w:szCs w:val="32"/>
          <w:vertAlign w:val="superscript"/>
        </w:rPr>
        <w:t>2</w:t>
      </w:r>
      <w:r>
        <w:rPr>
          <w:rFonts w:hint="eastAsia" w:ascii="仿宋_GB2312" w:eastAsia="仿宋_GB2312"/>
          <w:sz w:val="32"/>
          <w:szCs w:val="32"/>
        </w:rPr>
        <w:t>，行政区划隶属菱角山街道、肖家园街道、梅湾街道、曲河街道。</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B、一级陆域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一级保护区陆域范围为一级保护区水域边界向陆域纵深50米，有防洪堤以防洪堤迎水侧堤肩为界。根据现场调查，一级保护区河段范围内，湘江东岸为新城区，已建有防洪堤和沿江风光带，湘江西岸老城区曲河大桥上游防洪堤和沿江风光带正在进行改扩建，因此一级保护区陆域均以防洪堤堤肩为界，一级陆域面积为0.0038km</w:t>
      </w:r>
      <w:r>
        <w:rPr>
          <w:rFonts w:hint="eastAsia" w:ascii="仿宋_GB2312" w:eastAsia="仿宋_GB2312"/>
          <w:sz w:val="32"/>
          <w:szCs w:val="32"/>
          <w:vertAlign w:val="superscript"/>
        </w:rPr>
        <w:t>2</w:t>
      </w:r>
      <w:r>
        <w:rPr>
          <w:rFonts w:hint="eastAsia" w:ascii="仿宋_GB2312" w:eastAsia="仿宋_GB2312"/>
          <w:sz w:val="32"/>
          <w:szCs w:val="32"/>
        </w:rPr>
        <w:t>。</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（2）二级保护区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A、二级水域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二级保护区水域范围为曲河取水口上游3000米至菱角山取水口下游300米之间的水域（一级保护区水域除外）。二级保护区水域面积为2.463km</w:t>
      </w:r>
      <w:r>
        <w:rPr>
          <w:rFonts w:hint="eastAsia" w:ascii="仿宋_GB2312" w:eastAsia="仿宋_GB2312"/>
          <w:sz w:val="32"/>
          <w:szCs w:val="32"/>
          <w:vertAlign w:val="superscript"/>
        </w:rPr>
        <w:t>2</w:t>
      </w:r>
      <w:r>
        <w:rPr>
          <w:rFonts w:hint="eastAsia" w:ascii="仿宋_GB2312" w:eastAsia="仿宋_GB2312"/>
          <w:sz w:val="32"/>
          <w:szCs w:val="32"/>
        </w:rPr>
        <w:t>。行政区划隶属杨家桥街道、曲河街道、仁湾镇。</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B、二级陆域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一、二级保护区陆域以干流及支流水域长度范围，纵深1000米以内，有防洪堤。城市道路的河段以不超过防洪堤背侧堤脚、城市道路路肩为界（一级保护区陆域除外），同时保护区内江心洲陆域划为二级陆域，因此该二级保护区陆域面积为3.42km</w:t>
      </w:r>
      <w:r>
        <w:rPr>
          <w:rFonts w:hint="eastAsia" w:ascii="仿宋_GB2312" w:eastAsia="仿宋_GB2312"/>
          <w:sz w:val="32"/>
          <w:szCs w:val="32"/>
          <w:vertAlign w:val="superscript"/>
        </w:rPr>
        <w:t>2</w:t>
      </w:r>
      <w:r>
        <w:rPr>
          <w:rFonts w:hint="eastAsia" w:ascii="仿宋_GB2312" w:eastAsia="仿宋_GB2312"/>
          <w:sz w:val="32"/>
          <w:szCs w:val="32"/>
        </w:rPr>
        <w:t>。</w:t>
      </w:r>
    </w:p>
    <w:bookmarkEnd w:id="9"/>
    <w:p>
      <w:pPr>
        <w:pStyle w:val="25"/>
        <w:widowControl w:val="0"/>
        <w:spacing w:line="640" w:lineRule="exact"/>
        <w:ind w:firstLine="640"/>
        <w:rPr>
          <w:rFonts w:ascii="仿宋_GB2312" w:eastAsia="仿宋_GB2312"/>
          <w:sz w:val="32"/>
          <w:szCs w:val="32"/>
        </w:rPr>
      </w:pPr>
      <w:bookmarkStart w:id="10" w:name="OLE_LINK37"/>
      <w:r>
        <w:rPr>
          <w:rFonts w:hint="eastAsia" w:ascii="仿宋_GB2312" w:eastAsia="仿宋_GB2312"/>
          <w:sz w:val="32"/>
          <w:szCs w:val="32"/>
        </w:rPr>
        <w:t>（3）准保护区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根据《饮用水水源保护区划分技术规范》（HJ/T338—2007）要求，结合曲河、荷叶岭、菱角山水厂湘江取水口河段饮用水水源地实际情况，征求相关部门意见后，本次该河段保护区划定不设准保护区。</w:t>
      </w:r>
      <w:bookmarkEnd w:id="10"/>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曲河、荷叶岭、菱角山水厂湘江取水口河段饮用水水源保护区划定方案及拐点坐标如下表5-1、5-2所示。</w:t>
      </w:r>
    </w:p>
    <w:p>
      <w:pPr>
        <w:pStyle w:val="38"/>
        <w:widowControl w:val="0"/>
        <w:spacing w:line="640" w:lineRule="exact"/>
        <w:ind w:firstLine="640" w:firstLineChars="200"/>
        <w:jc w:val="both"/>
        <w:rPr>
          <w:rFonts w:ascii="仿宋_GB2312" w:eastAsia="仿宋_GB2312"/>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w:t>
      </w:r>
      <w:r>
        <w:rPr>
          <w:rFonts w:hint="eastAsia" w:ascii="仿宋_GB2312" w:eastAsia="仿宋_GB2312"/>
          <w:sz w:val="32"/>
          <w:szCs w:val="32"/>
          <w:lang w:val="en-GB"/>
        </w:rPr>
        <w:t>-1 曲河、荷叶岭、菱角山水厂湘江取水口河段饮用水水源地保护区划定方案</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731"/>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6731" w:type="dxa"/>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975" w:type="dxa"/>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Merge w:val="restart"/>
            <w:vAlign w:val="center"/>
          </w:tcPr>
          <w:p>
            <w:pPr>
              <w:spacing w:line="440" w:lineRule="exact"/>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6731" w:type="dxa"/>
            <w:vAlign w:val="center"/>
          </w:tcPr>
          <w:p>
            <w:pPr>
              <w:spacing w:line="440" w:lineRule="exact"/>
              <w:rPr>
                <w:rStyle w:val="41"/>
                <w:rFonts w:ascii="仿宋_GB2312" w:eastAsia="仿宋_GB2312"/>
                <w:sz w:val="24"/>
                <w:szCs w:val="24"/>
                <w:lang w:val="en-GB"/>
              </w:rPr>
            </w:pPr>
            <w:r>
              <w:rPr>
                <w:rStyle w:val="41"/>
                <w:rFonts w:hint="eastAsia" w:ascii="仿宋_GB2312" w:eastAsia="仿宋_GB2312"/>
                <w:sz w:val="24"/>
                <w:szCs w:val="24"/>
              </w:rPr>
              <w:t>水域：曲河水厂取水口上游1000米至下游100米，荷叶岭水厂取水口上游1000米至下游100米，菱角山水厂取水口上游1000米至下游100米</w:t>
            </w:r>
          </w:p>
        </w:tc>
        <w:tc>
          <w:tcPr>
            <w:tcW w:w="975" w:type="dxa"/>
            <w:vAlign w:val="center"/>
          </w:tcPr>
          <w:p>
            <w:pPr>
              <w:spacing w:line="440" w:lineRule="exact"/>
              <w:jc w:val="center"/>
              <w:rPr>
                <w:rStyle w:val="41"/>
                <w:rFonts w:ascii="仿宋_GB2312" w:eastAsia="仿宋_GB2312"/>
                <w:sz w:val="24"/>
                <w:szCs w:val="24"/>
              </w:rPr>
            </w:pPr>
            <w:r>
              <w:rPr>
                <w:rStyle w:val="41"/>
                <w:rFonts w:hint="eastAsia" w:ascii="仿宋_GB2312" w:eastAsia="仿宋_GB2312"/>
                <w:sz w:val="24"/>
                <w:szCs w:val="24"/>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Merge w:val="continue"/>
            <w:vAlign w:val="center"/>
          </w:tcPr>
          <w:p>
            <w:pPr>
              <w:spacing w:line="440" w:lineRule="exact"/>
              <w:jc w:val="left"/>
              <w:rPr>
                <w:rStyle w:val="41"/>
                <w:rFonts w:ascii="仿宋_GB2312" w:eastAsia="仿宋_GB2312"/>
                <w:sz w:val="24"/>
                <w:szCs w:val="24"/>
              </w:rPr>
            </w:pPr>
          </w:p>
        </w:tc>
        <w:tc>
          <w:tcPr>
            <w:tcW w:w="6731" w:type="dxa"/>
            <w:vAlign w:val="center"/>
          </w:tcPr>
          <w:p>
            <w:pPr>
              <w:spacing w:line="440" w:lineRule="exact"/>
              <w:rPr>
                <w:rStyle w:val="41"/>
                <w:rFonts w:ascii="仿宋_GB2312" w:eastAsia="仿宋_GB2312"/>
                <w:sz w:val="24"/>
                <w:szCs w:val="24"/>
                <w:lang w:val="en-GB"/>
              </w:rPr>
            </w:pPr>
            <w:r>
              <w:rPr>
                <w:rStyle w:val="41"/>
                <w:rFonts w:hint="eastAsia" w:ascii="仿宋_GB2312" w:eastAsia="仿宋_GB2312"/>
                <w:sz w:val="24"/>
                <w:szCs w:val="24"/>
              </w:rPr>
              <w:t>陆域：一级保护区水域边界向陆域纵深50米，有防洪堤以防洪堤迎水侧堤肩为界</w:t>
            </w:r>
          </w:p>
        </w:tc>
        <w:tc>
          <w:tcPr>
            <w:tcW w:w="975" w:type="dxa"/>
            <w:vAlign w:val="center"/>
          </w:tcPr>
          <w:p>
            <w:pPr>
              <w:spacing w:line="440" w:lineRule="exact"/>
              <w:jc w:val="center"/>
              <w:rPr>
                <w:rStyle w:val="41"/>
                <w:rFonts w:ascii="仿宋_GB2312" w:eastAsia="仿宋_GB2312"/>
                <w:sz w:val="24"/>
                <w:szCs w:val="24"/>
              </w:rPr>
            </w:pPr>
            <w:r>
              <w:rPr>
                <w:rStyle w:val="41"/>
                <w:rFonts w:hint="eastAsia" w:ascii="仿宋_GB2312" w:eastAsia="仿宋_GB2312"/>
                <w:sz w:val="24"/>
                <w:szCs w:val="24"/>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Merge w:val="restart"/>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二级保护区</w:t>
            </w:r>
          </w:p>
        </w:tc>
        <w:tc>
          <w:tcPr>
            <w:tcW w:w="6731" w:type="dxa"/>
            <w:vAlign w:val="center"/>
          </w:tcPr>
          <w:p>
            <w:pPr>
              <w:spacing w:line="440" w:lineRule="exact"/>
              <w:rPr>
                <w:rStyle w:val="41"/>
                <w:rFonts w:ascii="仿宋_GB2312" w:eastAsia="仿宋_GB2312"/>
                <w:sz w:val="24"/>
                <w:szCs w:val="24"/>
                <w:lang w:val="en-GB"/>
              </w:rPr>
            </w:pPr>
            <w:r>
              <w:rPr>
                <w:rStyle w:val="41"/>
                <w:rFonts w:hint="eastAsia" w:ascii="仿宋_GB2312" w:eastAsia="仿宋_GB2312"/>
                <w:sz w:val="24"/>
                <w:szCs w:val="24"/>
              </w:rPr>
              <w:t>水域：曲河取水口上游3000米至菱角山取水口下游300米之间的水域（一级保护区水域除外）。</w:t>
            </w:r>
          </w:p>
        </w:tc>
        <w:tc>
          <w:tcPr>
            <w:tcW w:w="975" w:type="dxa"/>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2.463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Merge w:val="continue"/>
            <w:vAlign w:val="center"/>
          </w:tcPr>
          <w:p>
            <w:pPr>
              <w:spacing w:line="440" w:lineRule="exact"/>
              <w:jc w:val="left"/>
              <w:rPr>
                <w:rStyle w:val="41"/>
                <w:rFonts w:ascii="仿宋_GB2312" w:eastAsia="仿宋_GB2312"/>
                <w:sz w:val="24"/>
                <w:szCs w:val="24"/>
                <w:lang w:val="en-GB"/>
              </w:rPr>
            </w:pPr>
          </w:p>
        </w:tc>
        <w:tc>
          <w:tcPr>
            <w:tcW w:w="6731" w:type="dxa"/>
            <w:vAlign w:val="center"/>
          </w:tcPr>
          <w:p>
            <w:pPr>
              <w:spacing w:line="440" w:lineRule="exact"/>
              <w:rPr>
                <w:rStyle w:val="41"/>
                <w:rFonts w:ascii="仿宋_GB2312" w:eastAsia="仿宋_GB2312"/>
                <w:sz w:val="24"/>
                <w:szCs w:val="24"/>
                <w:lang w:val="en-GB"/>
              </w:rPr>
            </w:pPr>
            <w:r>
              <w:rPr>
                <w:rStyle w:val="41"/>
                <w:rFonts w:hint="eastAsia" w:ascii="仿宋_GB2312" w:eastAsia="仿宋_GB2312"/>
                <w:sz w:val="24"/>
                <w:szCs w:val="24"/>
              </w:rPr>
              <w:t>陆域：一、二级保护区水域边界向陆域纵深1000米以内，不超过防洪堤背书侧堤脚、城市道路路肩，</w:t>
            </w:r>
          </w:p>
        </w:tc>
        <w:tc>
          <w:tcPr>
            <w:tcW w:w="975" w:type="dxa"/>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3.42</w:t>
            </w:r>
          </w:p>
        </w:tc>
      </w:tr>
    </w:tbl>
    <w:p>
      <w:pPr>
        <w:pStyle w:val="38"/>
        <w:widowControl w:val="0"/>
        <w:spacing w:line="640" w:lineRule="exact"/>
        <w:ind w:firstLine="640" w:firstLineChars="200"/>
        <w:jc w:val="both"/>
        <w:rPr>
          <w:rFonts w:ascii="仿宋_GB2312" w:eastAsia="仿宋_GB2312"/>
          <w:sz w:val="32"/>
          <w:szCs w:val="32"/>
          <w:lang w:val="en-GB"/>
        </w:rPr>
      </w:pPr>
      <w:r>
        <w:rPr>
          <w:rFonts w:hint="eastAsia" w:ascii="仿宋_GB2312" w:eastAsia="仿宋_GB2312"/>
          <w:sz w:val="32"/>
          <w:szCs w:val="32"/>
          <w:lang w:val="en-GB"/>
        </w:rPr>
        <w:t>表5-2  曲河、荷叶岭、菱角山水厂湘江取水口河段饮用水水源地保护区拐点坐标一览表</w:t>
      </w:r>
    </w:p>
    <w:tbl>
      <w:tblPr>
        <w:tblStyle w:val="15"/>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758"/>
        <w:gridCol w:w="2875"/>
        <w:gridCol w:w="2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restart"/>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名称</w:t>
            </w:r>
          </w:p>
        </w:tc>
        <w:tc>
          <w:tcPr>
            <w:tcW w:w="1758" w:type="dxa"/>
            <w:vMerge w:val="restart"/>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序号</w:t>
            </w:r>
          </w:p>
        </w:tc>
        <w:tc>
          <w:tcPr>
            <w:tcW w:w="5751" w:type="dxa"/>
            <w:gridSpan w:val="2"/>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Merge w:val="continue"/>
            <w:vAlign w:val="center"/>
          </w:tcPr>
          <w:p>
            <w:pPr>
              <w:jc w:val="left"/>
              <w:rPr>
                <w:rStyle w:val="41"/>
                <w:rFonts w:ascii="仿宋_GB2312" w:eastAsia="仿宋_GB2312"/>
                <w:sz w:val="24"/>
                <w:szCs w:val="24"/>
              </w:rPr>
            </w:pP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经度（东经）</w:t>
            </w:r>
          </w:p>
        </w:tc>
        <w:tc>
          <w:tcPr>
            <w:tcW w:w="2876"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纬度（北纬）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restart"/>
            <w:vAlign w:val="center"/>
          </w:tcPr>
          <w:p>
            <w:pPr>
              <w:adjustRightInd w:val="0"/>
              <w:snapToGrid w:val="0"/>
              <w:jc w:val="center"/>
              <w:textAlignment w:val="center"/>
              <w:rPr>
                <w:rStyle w:val="41"/>
                <w:rFonts w:ascii="仿宋_GB2312" w:eastAsia="仿宋_GB2312"/>
                <w:sz w:val="24"/>
                <w:szCs w:val="24"/>
              </w:rPr>
            </w:pPr>
            <w:bookmarkStart w:id="11" w:name="OLE_LINK43" w:colFirst="2" w:colLast="3"/>
            <w:r>
              <w:rPr>
                <w:rStyle w:val="41"/>
                <w:rFonts w:hint="eastAsia" w:ascii="仿宋_GB2312" w:eastAsia="仿宋_GB2312"/>
                <w:sz w:val="24"/>
                <w:szCs w:val="24"/>
              </w:rPr>
              <w:t>取水口</w:t>
            </w: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曲河取水口</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111°36'44.28"</w:t>
            </w:r>
          </w:p>
        </w:tc>
        <w:tc>
          <w:tcPr>
            <w:tcW w:w="2876"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26°24'44.02"</w:t>
            </w:r>
          </w:p>
        </w:tc>
      </w:tr>
      <w:bookmarkEnd w:id="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bookmarkStart w:id="12" w:name="OLE_LINK44" w:colFirst="2" w:colLast="3"/>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荷叶岭取水口</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111°36'6.91"</w:t>
            </w:r>
          </w:p>
        </w:tc>
        <w:tc>
          <w:tcPr>
            <w:tcW w:w="2876"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26°25'45.66"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菱角山取水口</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111°35'52.86"</w:t>
            </w:r>
          </w:p>
        </w:tc>
        <w:tc>
          <w:tcPr>
            <w:tcW w:w="2876"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26°26'54.23"</w:t>
            </w:r>
          </w:p>
        </w:tc>
      </w:tr>
      <w:bookmarkEnd w:id="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restart"/>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A1</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111°36′55.91522″</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26°24′11.88951″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A2</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111°37′5.41668″</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26°24′18.61005″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A3</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111°36′32.72162″</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26°24′40.71600″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A4</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111°36′42.14583″</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26°24′48.17040″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A5</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111°36′1.72094″</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26°25′2.99743″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A6</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111°36′26.36293″</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26°25′16.12952″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A7</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111°35′28.96795″</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26°25′21.45961″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A8</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111°36′4.27011″</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26°25′48.41903″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A9</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111°35′22.98126″</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26°26′29.16715″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A10</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111°35′37.46519″</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26°26′26.07724″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A11</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111°35′56.46810″</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26°26′55.63218″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A12</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111°35′58.55379″</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26°26′47.79155″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restart"/>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B1</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111°36′34.28839″</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26°23′20.09089″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B2</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111°36′52.82782″</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26°23′11.82539″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B3</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111°36′2.95690″</w:t>
            </w:r>
          </w:p>
        </w:tc>
        <w:tc>
          <w:tcPr>
            <w:tcW w:w="2876"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26°26′57.29301″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B4</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111°36′6.16268″</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26°26′47.55980″</w:t>
            </w:r>
          </w:p>
        </w:tc>
      </w:tr>
    </w:tbl>
    <w:p>
      <w:pPr>
        <w:pStyle w:val="42"/>
        <w:widowControl w:val="0"/>
        <w:spacing w:line="640" w:lineRule="exact"/>
        <w:ind w:firstLine="640"/>
        <w:rPr>
          <w:rFonts w:ascii="仿宋_GB2312" w:eastAsia="仿宋_GB2312"/>
          <w:sz w:val="32"/>
          <w:szCs w:val="32"/>
        </w:rPr>
      </w:pPr>
      <w:r>
        <w:rPr>
          <w:rFonts w:hint="eastAsia" w:ascii="仿宋_GB2312" w:eastAsia="仿宋_GB2312"/>
          <w:sz w:val="32"/>
          <w:szCs w:val="32"/>
        </w:rPr>
        <w:t>2、乡镇水厂饮用水源保护区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（1）黄阳司水厂湘江取水口河段饮用水水源保护区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根据《永州市冷水滩区黄阳司水厂湘江取水口河段饮用水水源保护区划定技术报告》，黄阳司水厂湘江取水口河段饮用水水源保护区总面积3.9km</w:t>
      </w:r>
      <w:r>
        <w:rPr>
          <w:rFonts w:hint="eastAsia" w:ascii="仿宋_GB2312" w:eastAsia="仿宋_GB2312"/>
          <w:sz w:val="32"/>
          <w:szCs w:val="32"/>
          <w:vertAlign w:val="superscript"/>
        </w:rPr>
        <w:t>2</w:t>
      </w:r>
      <w:r>
        <w:rPr>
          <w:rFonts w:hint="eastAsia" w:ascii="仿宋_GB2312" w:eastAsia="仿宋_GB2312"/>
          <w:sz w:val="32"/>
          <w:szCs w:val="32"/>
        </w:rPr>
        <w:t>，一级保护区面积0.54km</w:t>
      </w:r>
      <w:r>
        <w:rPr>
          <w:rFonts w:hint="eastAsia" w:ascii="仿宋_GB2312" w:eastAsia="仿宋_GB2312"/>
          <w:sz w:val="32"/>
          <w:szCs w:val="32"/>
          <w:vertAlign w:val="superscript"/>
        </w:rPr>
        <w:t>2</w:t>
      </w:r>
      <w:r>
        <w:rPr>
          <w:rFonts w:hint="eastAsia" w:ascii="仿宋_GB2312" w:eastAsia="仿宋_GB2312"/>
          <w:sz w:val="32"/>
          <w:szCs w:val="32"/>
        </w:rPr>
        <w:t>（水域0.44 km</w:t>
      </w:r>
      <w:r>
        <w:rPr>
          <w:rFonts w:hint="eastAsia" w:ascii="仿宋_GB2312" w:eastAsia="仿宋_GB2312"/>
          <w:sz w:val="32"/>
          <w:szCs w:val="32"/>
          <w:vertAlign w:val="superscript"/>
        </w:rPr>
        <w:t>2</w:t>
      </w:r>
      <w:r>
        <w:rPr>
          <w:rFonts w:hint="eastAsia" w:ascii="仿宋_GB2312" w:eastAsia="仿宋_GB2312"/>
          <w:sz w:val="32"/>
          <w:szCs w:val="32"/>
        </w:rPr>
        <w:t>，陆域0.1km</w:t>
      </w:r>
      <w:r>
        <w:rPr>
          <w:rFonts w:hint="eastAsia" w:ascii="仿宋_GB2312" w:eastAsia="仿宋_GB2312"/>
          <w:sz w:val="32"/>
          <w:szCs w:val="32"/>
          <w:vertAlign w:val="superscript"/>
        </w:rPr>
        <w:t>2</w:t>
      </w:r>
      <w:r>
        <w:rPr>
          <w:rFonts w:hint="eastAsia" w:ascii="仿宋_GB2312" w:eastAsia="仿宋_GB2312"/>
          <w:sz w:val="32"/>
          <w:szCs w:val="32"/>
        </w:rPr>
        <w:t>），二级保护区面积3.36km</w:t>
      </w:r>
      <w:r>
        <w:rPr>
          <w:rFonts w:hint="eastAsia" w:ascii="仿宋_GB2312" w:eastAsia="仿宋_GB2312"/>
          <w:sz w:val="32"/>
          <w:szCs w:val="32"/>
          <w:vertAlign w:val="superscript"/>
        </w:rPr>
        <w:t>2</w:t>
      </w:r>
      <w:r>
        <w:rPr>
          <w:rFonts w:hint="eastAsia" w:ascii="仿宋_GB2312" w:eastAsia="仿宋_GB2312"/>
          <w:sz w:val="32"/>
          <w:szCs w:val="32"/>
        </w:rPr>
        <w:t>（水域1.25km</w:t>
      </w:r>
      <w:r>
        <w:rPr>
          <w:rFonts w:hint="eastAsia" w:ascii="仿宋_GB2312" w:eastAsia="仿宋_GB2312"/>
          <w:sz w:val="32"/>
          <w:szCs w:val="32"/>
          <w:vertAlign w:val="superscript"/>
        </w:rPr>
        <w:t>2</w:t>
      </w:r>
      <w:r>
        <w:rPr>
          <w:rFonts w:hint="eastAsia" w:ascii="仿宋_GB2312" w:eastAsia="仿宋_GB2312"/>
          <w:sz w:val="32"/>
          <w:szCs w:val="32"/>
        </w:rPr>
        <w:t>，陆域2.11km</w:t>
      </w:r>
      <w:r>
        <w:rPr>
          <w:rFonts w:hint="eastAsia" w:ascii="仿宋_GB2312" w:eastAsia="仿宋_GB2312"/>
          <w:sz w:val="32"/>
          <w:szCs w:val="32"/>
          <w:vertAlign w:val="superscript"/>
        </w:rPr>
        <w:t>2</w:t>
      </w:r>
      <w:r>
        <w:rPr>
          <w:rFonts w:hint="eastAsia" w:ascii="仿宋_GB2312" w:eastAsia="仿宋_GB2312"/>
          <w:sz w:val="32"/>
          <w:szCs w:val="32"/>
        </w:rPr>
        <w:t>），不设准保护区。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饮用水水源地保护区的范围见表5-3、表5-4。</w:t>
      </w:r>
    </w:p>
    <w:p>
      <w:pPr>
        <w:pStyle w:val="38"/>
        <w:widowControl w:val="0"/>
        <w:ind w:firstLine="640" w:firstLineChars="200"/>
        <w:jc w:val="both"/>
        <w:rPr>
          <w:rFonts w:ascii="仿宋_GB2312" w:eastAsia="仿宋_GB2312"/>
          <w:sz w:val="32"/>
          <w:szCs w:val="32"/>
        </w:rPr>
      </w:pPr>
      <w:r>
        <w:rPr>
          <w:rFonts w:hint="eastAsia" w:ascii="仿宋_GB2312" w:eastAsia="仿宋_GB2312"/>
          <w:sz w:val="32"/>
          <w:szCs w:val="32"/>
        </w:rPr>
        <w:t>表5-3 黄阳司水厂湘江取水口河段集中式生活饮用水水源</w:t>
      </w:r>
      <w:r>
        <w:rPr>
          <w:rFonts w:hint="eastAsia" w:ascii="仿宋_GB2312" w:eastAsia="仿宋_GB2312"/>
          <w:sz w:val="32"/>
          <w:szCs w:val="32"/>
          <w:lang w:val="en-GB"/>
        </w:rPr>
        <w:t>地保护区划定方案</w:t>
      </w:r>
    </w:p>
    <w:tbl>
      <w:tblPr>
        <w:tblStyle w:val="15"/>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2"/>
        <w:gridCol w:w="673"/>
        <w:gridCol w:w="5528"/>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2"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保护区级别</w:t>
            </w:r>
          </w:p>
        </w:tc>
        <w:tc>
          <w:tcPr>
            <w:tcW w:w="6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长度（m）</w:t>
            </w:r>
          </w:p>
        </w:tc>
        <w:tc>
          <w:tcPr>
            <w:tcW w:w="552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范围</w:t>
            </w:r>
          </w:p>
        </w:tc>
        <w:tc>
          <w:tcPr>
            <w:tcW w:w="803" w:type="dxa"/>
            <w:tcMar>
              <w:top w:w="15" w:type="dxa"/>
              <w:left w:w="15" w:type="dxa"/>
              <w:bottom w:w="0" w:type="dxa"/>
              <w:right w:w="15" w:type="dxa"/>
            </w:tcMar>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2"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67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1100</w:t>
            </w:r>
          </w:p>
        </w:tc>
        <w:tc>
          <w:tcPr>
            <w:tcW w:w="5528" w:type="dxa"/>
            <w:vAlign w:val="center"/>
          </w:tcPr>
          <w:p>
            <w:pPr>
              <w:adjustRightInd w:val="0"/>
              <w:snapToGrid w:val="0"/>
              <w:rPr>
                <w:rStyle w:val="41"/>
                <w:rFonts w:ascii="仿宋_GB2312" w:eastAsia="仿宋_GB2312"/>
                <w:sz w:val="24"/>
                <w:szCs w:val="24"/>
              </w:rPr>
            </w:pPr>
            <w:r>
              <w:rPr>
                <w:rStyle w:val="41"/>
                <w:rFonts w:hint="eastAsia" w:ascii="仿宋_GB2312" w:eastAsia="仿宋_GB2312"/>
                <w:sz w:val="24"/>
                <w:szCs w:val="24"/>
              </w:rPr>
              <w:t>水域：一级保护区干流水域长1100m，一级保护区水域的上边界在取水口上游1000m周家坝处，下游边界在取水口下游100m处，为5年一遇洪水淹没线以内区域。</w:t>
            </w:r>
          </w:p>
        </w:tc>
        <w:tc>
          <w:tcPr>
            <w:tcW w:w="803" w:type="dxa"/>
            <w:tcMar>
              <w:top w:w="15" w:type="dxa"/>
              <w:left w:w="15" w:type="dxa"/>
              <w:bottom w:w="0" w:type="dxa"/>
              <w:right w:w="15" w:type="dxa"/>
            </w:tcMar>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2" w:type="dxa"/>
            <w:vMerge w:val="continue"/>
            <w:vAlign w:val="center"/>
          </w:tcPr>
          <w:p>
            <w:pPr>
              <w:jc w:val="left"/>
              <w:rPr>
                <w:rStyle w:val="41"/>
                <w:rFonts w:ascii="仿宋_GB2312" w:eastAsia="仿宋_GB2312"/>
                <w:sz w:val="24"/>
                <w:szCs w:val="24"/>
              </w:rPr>
            </w:pPr>
          </w:p>
        </w:tc>
        <w:tc>
          <w:tcPr>
            <w:tcW w:w="673" w:type="dxa"/>
            <w:vMerge w:val="continue"/>
            <w:vAlign w:val="center"/>
          </w:tcPr>
          <w:p>
            <w:pPr>
              <w:jc w:val="left"/>
              <w:rPr>
                <w:rStyle w:val="41"/>
                <w:rFonts w:ascii="仿宋_GB2312" w:eastAsia="仿宋_GB2312"/>
                <w:sz w:val="24"/>
                <w:szCs w:val="24"/>
              </w:rPr>
            </w:pPr>
          </w:p>
        </w:tc>
        <w:tc>
          <w:tcPr>
            <w:tcW w:w="5528" w:type="dxa"/>
            <w:vAlign w:val="center"/>
          </w:tcPr>
          <w:p>
            <w:pPr>
              <w:adjustRightInd w:val="0"/>
              <w:snapToGrid w:val="0"/>
              <w:rPr>
                <w:rStyle w:val="41"/>
                <w:rFonts w:ascii="仿宋_GB2312" w:eastAsia="仿宋_GB2312"/>
                <w:sz w:val="24"/>
                <w:szCs w:val="24"/>
              </w:rPr>
            </w:pPr>
            <w:r>
              <w:rPr>
                <w:rStyle w:val="41"/>
                <w:rFonts w:hint="eastAsia" w:ascii="仿宋_GB2312" w:eastAsia="仿宋_GB2312"/>
                <w:sz w:val="24"/>
                <w:szCs w:val="24"/>
              </w:rPr>
              <w:t>陆域：为5年一遇洪水淹没线至纵深50米区域。</w:t>
            </w:r>
          </w:p>
        </w:tc>
        <w:tc>
          <w:tcPr>
            <w:tcW w:w="803" w:type="dxa"/>
            <w:tcMar>
              <w:top w:w="15" w:type="dxa"/>
              <w:left w:w="15" w:type="dxa"/>
              <w:bottom w:w="0" w:type="dxa"/>
              <w:right w:w="15" w:type="dxa"/>
            </w:tcMar>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2"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67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2200</w:t>
            </w:r>
          </w:p>
        </w:tc>
        <w:tc>
          <w:tcPr>
            <w:tcW w:w="5528" w:type="dxa"/>
            <w:vAlign w:val="center"/>
          </w:tcPr>
          <w:p>
            <w:pPr>
              <w:adjustRightInd w:val="0"/>
              <w:snapToGrid w:val="0"/>
              <w:rPr>
                <w:rStyle w:val="41"/>
                <w:rFonts w:ascii="仿宋_GB2312" w:eastAsia="仿宋_GB2312"/>
                <w:sz w:val="24"/>
                <w:szCs w:val="24"/>
              </w:rPr>
            </w:pPr>
            <w:r>
              <w:rPr>
                <w:rStyle w:val="41"/>
                <w:rFonts w:hint="eastAsia" w:ascii="仿宋_GB2312" w:eastAsia="仿宋_GB2312"/>
                <w:sz w:val="24"/>
                <w:szCs w:val="24"/>
              </w:rPr>
              <w:t>水域：二级保护区干流水域长2200m，由一级水保护区水域上边界向湘江上游延伸2000m，保护区的下游边界为取水口下游300m处，为10年一遇洪水淹没线以内区域。</w:t>
            </w:r>
          </w:p>
        </w:tc>
        <w:tc>
          <w:tcPr>
            <w:tcW w:w="803" w:type="dxa"/>
            <w:tcMar>
              <w:top w:w="15" w:type="dxa"/>
              <w:left w:w="15" w:type="dxa"/>
              <w:bottom w:w="0" w:type="dxa"/>
              <w:right w:w="15" w:type="dxa"/>
            </w:tcMar>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2" w:type="dxa"/>
            <w:vMerge w:val="continue"/>
            <w:vAlign w:val="center"/>
          </w:tcPr>
          <w:p>
            <w:pPr>
              <w:jc w:val="left"/>
              <w:rPr>
                <w:rStyle w:val="41"/>
                <w:rFonts w:ascii="仿宋_GB2312" w:eastAsia="仿宋_GB2312"/>
                <w:sz w:val="24"/>
                <w:szCs w:val="24"/>
              </w:rPr>
            </w:pPr>
          </w:p>
        </w:tc>
        <w:tc>
          <w:tcPr>
            <w:tcW w:w="673" w:type="dxa"/>
            <w:vMerge w:val="continue"/>
            <w:vAlign w:val="center"/>
          </w:tcPr>
          <w:p>
            <w:pPr>
              <w:jc w:val="left"/>
              <w:rPr>
                <w:rStyle w:val="41"/>
                <w:rFonts w:ascii="仿宋_GB2312" w:eastAsia="仿宋_GB2312"/>
                <w:sz w:val="24"/>
                <w:szCs w:val="24"/>
              </w:rPr>
            </w:pPr>
          </w:p>
        </w:tc>
        <w:tc>
          <w:tcPr>
            <w:tcW w:w="5528" w:type="dxa"/>
            <w:vAlign w:val="center"/>
          </w:tcPr>
          <w:p>
            <w:pPr>
              <w:adjustRightInd w:val="0"/>
              <w:snapToGrid w:val="0"/>
              <w:rPr>
                <w:rStyle w:val="41"/>
                <w:rFonts w:ascii="仿宋_GB2312" w:eastAsia="仿宋_GB2312"/>
                <w:sz w:val="24"/>
                <w:szCs w:val="24"/>
              </w:rPr>
            </w:pPr>
            <w:r>
              <w:rPr>
                <w:rStyle w:val="41"/>
                <w:rFonts w:hint="eastAsia" w:ascii="仿宋_GB2312" w:eastAsia="仿宋_GB2312"/>
                <w:sz w:val="24"/>
                <w:szCs w:val="24"/>
              </w:rPr>
              <w:t>陆域：陆域沿岸长度为相应的保护区水域长度，宽度为10年一遇洪水淹没线至乡道公路沿线，西侧至11县道，东侧至010县道。</w:t>
            </w:r>
          </w:p>
        </w:tc>
        <w:tc>
          <w:tcPr>
            <w:tcW w:w="803" w:type="dxa"/>
            <w:tcMar>
              <w:top w:w="15" w:type="dxa"/>
              <w:left w:w="15" w:type="dxa"/>
              <w:bottom w:w="0" w:type="dxa"/>
              <w:right w:w="15" w:type="dxa"/>
            </w:tcMar>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2.11</w:t>
            </w:r>
          </w:p>
        </w:tc>
      </w:tr>
    </w:tbl>
    <w:p>
      <w:pPr>
        <w:pStyle w:val="38"/>
        <w:widowControl w:val="0"/>
        <w:ind w:firstLine="640" w:firstLineChars="200"/>
        <w:jc w:val="both"/>
        <w:rPr>
          <w:rFonts w:ascii="仿宋_GB2312" w:eastAsia="仿宋_GB2312"/>
          <w:sz w:val="32"/>
          <w:szCs w:val="32"/>
        </w:rPr>
      </w:pPr>
      <w:r>
        <w:rPr>
          <w:rFonts w:hint="eastAsia" w:ascii="仿宋_GB2312" w:eastAsia="仿宋_GB2312"/>
          <w:sz w:val="32"/>
          <w:szCs w:val="32"/>
          <w:lang w:val="en-GB"/>
        </w:rPr>
        <w:t>表</w:t>
      </w:r>
      <w:r>
        <w:rPr>
          <w:rFonts w:hint="eastAsia" w:ascii="仿宋_GB2312" w:eastAsia="仿宋_GB2312"/>
          <w:sz w:val="32"/>
          <w:szCs w:val="32"/>
        </w:rPr>
        <w:t>5-4黄阳司水厂湘江取水口河段</w:t>
      </w:r>
      <w:r>
        <w:rPr>
          <w:rFonts w:hint="eastAsia" w:ascii="仿宋_GB2312" w:eastAsia="仿宋_GB2312"/>
          <w:sz w:val="32"/>
          <w:szCs w:val="32"/>
          <w:lang w:val="en-GB"/>
        </w:rPr>
        <w:t>集中式生活饮用水水源地保护区拐点坐标一览表</w:t>
      </w:r>
    </w:p>
    <w:tbl>
      <w:tblPr>
        <w:tblStyle w:val="15"/>
        <w:tblW w:w="84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850"/>
        <w:gridCol w:w="709"/>
        <w:gridCol w:w="2838"/>
        <w:gridCol w:w="752"/>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8" w:type="dxa"/>
            <w:gridSpan w:val="2"/>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283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c>
          <w:tcPr>
            <w:tcW w:w="752"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283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8" w:type="dxa"/>
            <w:gridSpan w:val="2"/>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取水口</w:t>
            </w:r>
          </w:p>
        </w:tc>
        <w:tc>
          <w:tcPr>
            <w:tcW w:w="709" w:type="dxa"/>
            <w:vAlign w:val="center"/>
          </w:tcPr>
          <w:p>
            <w:pPr>
              <w:adjustRightInd w:val="0"/>
              <w:snapToGrid w:val="0"/>
              <w:jc w:val="center"/>
              <w:rPr>
                <w:rStyle w:val="41"/>
                <w:rFonts w:ascii="仿宋_GB2312" w:eastAsia="仿宋_GB2312"/>
                <w:sz w:val="24"/>
                <w:szCs w:val="24"/>
              </w:rPr>
            </w:pP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N26°35'10.91",E111°42'13.73"</w:t>
            </w:r>
          </w:p>
        </w:tc>
        <w:tc>
          <w:tcPr>
            <w:tcW w:w="752" w:type="dxa"/>
            <w:vAlign w:val="center"/>
          </w:tcPr>
          <w:p>
            <w:pPr>
              <w:adjustRightInd w:val="0"/>
              <w:snapToGrid w:val="0"/>
              <w:jc w:val="center"/>
              <w:rPr>
                <w:rStyle w:val="41"/>
                <w:rFonts w:ascii="仿宋_GB2312" w:eastAsia="仿宋_GB2312"/>
                <w:sz w:val="24"/>
                <w:szCs w:val="24"/>
              </w:rPr>
            </w:pPr>
          </w:p>
        </w:tc>
        <w:tc>
          <w:tcPr>
            <w:tcW w:w="2838" w:type="dxa"/>
            <w:vAlign w:val="center"/>
          </w:tcPr>
          <w:p>
            <w:pPr>
              <w:adjustRightInd w:val="0"/>
              <w:snapToGrid w:val="0"/>
              <w:jc w:val="center"/>
              <w:rPr>
                <w:rStyle w:val="41"/>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水域</w:t>
            </w:r>
          </w:p>
          <w:p>
            <w:pPr>
              <w:adjustRightInd w:val="0"/>
              <w:snapToGrid w:val="0"/>
              <w:jc w:val="center"/>
              <w:rPr>
                <w:rStyle w:val="41"/>
                <w:rFonts w:ascii="仿宋_GB2312" w:eastAsia="仿宋_GB2312"/>
                <w:sz w:val="24"/>
                <w:szCs w:val="24"/>
              </w:rPr>
            </w:pP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A1</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N26°34'42.67",E111°42'28.90"</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A2</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N26°34'53.49",E111°42'52.77"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A3</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N26°35'14.31"E111°42'12.24"</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A4</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N26°35'14.48",E111°42'30.03"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C1</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N26°34'23.71",E111°43'37.83"</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C2</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N26°34'24.60",E111°43'52.93"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C3</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N26°35'21.26",E111°42'13.66"</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C4</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N26°35'20.70",E111°42'29.43"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陆域</w:t>
            </w: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N26°34'42.29",E111°42'27.23"</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B2</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N26°34'55.18",E111°42'53.44"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B3</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N26°34'58.24",E111°42'21.32"</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B4</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N26°34'58.48",E111°42'39.98"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B5</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N26°35'14.39",E111°42'10.34"</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B6</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N26°35'14.51",E111°42'31.89"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D1</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N26°34'9.23",E111°43'40.40"</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D2</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N26°34'24.39",E111°43'59.22"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D3</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N26°34'15.10",E111°42'45.12"</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D4</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N26°34'58.69",E111°43'23.05"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D5</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N26°35'21.61",E111°42'1.50"</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D6</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N26°35'20.57",E111°42'48.14"</w:t>
            </w:r>
          </w:p>
        </w:tc>
      </w:tr>
    </w:tbl>
    <w:p>
      <w:pPr>
        <w:pStyle w:val="38"/>
        <w:widowControl w:val="0"/>
        <w:spacing w:line="640" w:lineRule="exact"/>
        <w:rPr>
          <w:rFonts w:ascii="仿宋_GB2312" w:eastAsia="仿宋_GB2312"/>
          <w:sz w:val="32"/>
          <w:szCs w:val="32"/>
          <w:lang w:val="en-GB"/>
        </w:rPr>
      </w:pP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（2）马坪水厂芦洪江取水口河段饮用水水源保护区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根据《永州市冷水滩区马坪水厂芦洪江取水口河段饮用水水源保护区划定技术报告》，</w:t>
      </w:r>
      <w:r>
        <w:rPr>
          <w:rFonts w:hint="eastAsia" w:ascii="仿宋_GB2312" w:eastAsia="仿宋_GB2312" w:cs="Times New Roman"/>
          <w:sz w:val="32"/>
          <w:szCs w:val="32"/>
        </w:rPr>
        <w:t>马坪水厂芦洪江取水口河段饮用水水源保护区总面积1.630km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，其中：一级保护区面积0.190km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（水域面积0.043km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，陆域面积0.147km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），二级保护区面积1.440km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（水域面积0.120km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，陆域面积1.320km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），不设准保护区。饮用水水源保护区涉及的行政区划主要为：马坪开发区集镇的龙家岭村，珊瑚乡的水汲江村、车游村。</w:t>
      </w:r>
    </w:p>
    <w:p>
      <w:pPr>
        <w:pStyle w:val="25"/>
        <w:widowControl w:val="0"/>
        <w:spacing w:line="640" w:lineRule="exact"/>
        <w:ind w:firstLine="640"/>
        <w:rPr>
          <w:rFonts w:ascii="仿宋_GB2312" w:eastAsia="仿宋_GB2312" w:cs="Times New Roman"/>
          <w:sz w:val="32"/>
          <w:szCs w:val="32"/>
          <w:lang w:val="en-GB"/>
        </w:rPr>
      </w:pPr>
      <w:r>
        <w:rPr>
          <w:rFonts w:hint="eastAsia" w:ascii="仿宋_GB2312" w:eastAsia="仿宋_GB2312" w:cs="Times New Roman"/>
          <w:sz w:val="32"/>
          <w:szCs w:val="32"/>
          <w:lang w:val="en-GB"/>
        </w:rPr>
        <w:t>饮用水水源地保护区的范围见表</w:t>
      </w:r>
      <w:r>
        <w:rPr>
          <w:rFonts w:hint="eastAsia" w:ascii="仿宋_GB2312" w:eastAsia="仿宋_GB2312" w:cs="Times New Roman"/>
          <w:sz w:val="32"/>
          <w:szCs w:val="32"/>
        </w:rPr>
        <w:t>5-5</w:t>
      </w:r>
      <w:r>
        <w:rPr>
          <w:rFonts w:hint="eastAsia" w:ascii="仿宋_GB2312" w:eastAsia="仿宋_GB2312" w:cs="Times New Roman"/>
          <w:sz w:val="32"/>
          <w:szCs w:val="32"/>
          <w:lang w:val="en-GB"/>
        </w:rPr>
        <w:t>、表</w:t>
      </w:r>
      <w:r>
        <w:rPr>
          <w:rFonts w:hint="eastAsia" w:ascii="仿宋_GB2312" w:eastAsia="仿宋_GB2312" w:cs="Times New Roman"/>
          <w:sz w:val="32"/>
          <w:szCs w:val="32"/>
        </w:rPr>
        <w:t>5-6</w:t>
      </w:r>
      <w:r>
        <w:rPr>
          <w:rFonts w:hint="eastAsia" w:ascii="仿宋_GB2312" w:eastAsia="仿宋_GB2312" w:cs="Times New Roman"/>
          <w:sz w:val="32"/>
          <w:szCs w:val="32"/>
          <w:lang w:val="en-GB"/>
        </w:rPr>
        <w:t>。</w:t>
      </w:r>
    </w:p>
    <w:p>
      <w:pPr>
        <w:pStyle w:val="38"/>
        <w:widowControl w:val="0"/>
        <w:ind w:firstLine="640" w:firstLineChars="200"/>
        <w:jc w:val="both"/>
        <w:rPr>
          <w:rFonts w:ascii="仿宋_GB2312" w:eastAsia="仿宋_GB2312"/>
          <w:sz w:val="32"/>
          <w:szCs w:val="32"/>
          <w:lang w:val="en-GB"/>
        </w:rPr>
      </w:pPr>
      <w:r>
        <w:rPr>
          <w:rFonts w:hint="eastAsia" w:ascii="仿宋_GB2312" w:eastAsia="仿宋_GB2312"/>
          <w:sz w:val="32"/>
          <w:szCs w:val="32"/>
          <w:lang w:val="en-GB"/>
        </w:rPr>
        <w:t>表5-5   马坪水厂芦洪江取水口河段饮用水水源地保护区划定方案</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509"/>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6509"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97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dxa"/>
            <w:vMerge w:val="restart"/>
            <w:vAlign w:val="center"/>
          </w:tcPr>
          <w:p>
            <w:pPr>
              <w:jc w:val="center"/>
              <w:rPr>
                <w:rStyle w:val="41"/>
                <w:rFonts w:ascii="仿宋_GB2312" w:eastAsia="仿宋_GB2312"/>
                <w:sz w:val="24"/>
                <w:szCs w:val="24"/>
              </w:rPr>
            </w:pPr>
            <w:r>
              <w:rPr>
                <w:rStyle w:val="41"/>
                <w:rFonts w:hint="eastAsia" w:ascii="仿宋_GB2312" w:eastAsia="仿宋_GB2312"/>
                <w:sz w:val="24"/>
                <w:szCs w:val="24"/>
              </w:rPr>
              <w:t>保护区（一级）</w:t>
            </w:r>
          </w:p>
        </w:tc>
        <w:tc>
          <w:tcPr>
            <w:tcW w:w="6509"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水域：取水口上游1000米，下游100米，水域宽度为河道内5年一遇洪水所能淹没的区域。</w:t>
            </w:r>
          </w:p>
        </w:tc>
        <w:tc>
          <w:tcPr>
            <w:tcW w:w="975"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dxa"/>
            <w:vMerge w:val="continue"/>
            <w:vAlign w:val="center"/>
          </w:tcPr>
          <w:p>
            <w:pPr>
              <w:jc w:val="left"/>
              <w:rPr>
                <w:rStyle w:val="41"/>
                <w:rFonts w:ascii="仿宋_GB2312" w:eastAsia="仿宋_GB2312"/>
                <w:sz w:val="24"/>
                <w:szCs w:val="24"/>
              </w:rPr>
            </w:pPr>
          </w:p>
        </w:tc>
        <w:tc>
          <w:tcPr>
            <w:tcW w:w="6509"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陆域：一级保护区水域长度范围，纵深50米以内，有公路的河段以公路靠近河道的一侧为界，有防洪堤（或规划修建）的河段一河堤为界，有山岭的不超过第一重山脊线，其它情况以纵深50米为界。</w:t>
            </w:r>
          </w:p>
        </w:tc>
        <w:tc>
          <w:tcPr>
            <w:tcW w:w="975"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dxa"/>
            <w:vMerge w:val="restart"/>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保护区（二级）</w:t>
            </w:r>
          </w:p>
        </w:tc>
        <w:tc>
          <w:tcPr>
            <w:tcW w:w="6509"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水域：取水口上游1000米至上游2000米、取水口下游100米至200米，水面宽度为防洪堤内10年一遇洪水所能淹没的区域。</w:t>
            </w:r>
          </w:p>
        </w:tc>
        <w:tc>
          <w:tcPr>
            <w:tcW w:w="97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038" w:type="dxa"/>
            <w:vMerge w:val="continue"/>
            <w:vAlign w:val="center"/>
          </w:tcPr>
          <w:p>
            <w:pPr>
              <w:jc w:val="left"/>
              <w:rPr>
                <w:rStyle w:val="41"/>
                <w:rFonts w:ascii="仿宋_GB2312" w:eastAsia="仿宋_GB2312"/>
                <w:sz w:val="24"/>
                <w:szCs w:val="24"/>
                <w:lang w:val="en-GB"/>
              </w:rPr>
            </w:pPr>
          </w:p>
        </w:tc>
        <w:tc>
          <w:tcPr>
            <w:tcW w:w="6509"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陆域：二级保护区干流水域长度范围，纵深1000米以内，有公路或铁路的河段以公路或铁路靠近河道的一侧为界，有防洪堤（或规划修建）的河段以河堤为界，有山岭的不超过第一重山脊线，其它情况以纵深1000米为界。</w:t>
            </w:r>
          </w:p>
        </w:tc>
        <w:tc>
          <w:tcPr>
            <w:tcW w:w="97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1.320</w:t>
            </w:r>
          </w:p>
        </w:tc>
      </w:tr>
    </w:tbl>
    <w:p>
      <w:pPr>
        <w:pStyle w:val="38"/>
        <w:widowControl w:val="0"/>
        <w:ind w:firstLine="640" w:firstLineChars="200"/>
        <w:jc w:val="both"/>
        <w:rPr>
          <w:rFonts w:ascii="仿宋_GB2312" w:eastAsia="仿宋_GB2312" w:cs="Times New Roman"/>
          <w:kern w:val="2"/>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5-6</w:t>
      </w:r>
      <w:r>
        <w:rPr>
          <w:rFonts w:hint="eastAsia" w:ascii="仿宋_GB2312" w:eastAsia="仿宋_GB2312"/>
          <w:sz w:val="32"/>
          <w:szCs w:val="32"/>
          <w:lang w:val="en-GB"/>
        </w:rPr>
        <w:t xml:space="preserve">  马坪水厂芦洪江取水口河段饮用水水源地保护区拐点坐标一览表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796"/>
        <w:gridCol w:w="2831"/>
        <w:gridCol w:w="2349"/>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restart"/>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名称</w:t>
            </w:r>
          </w:p>
        </w:tc>
        <w:tc>
          <w:tcPr>
            <w:tcW w:w="796" w:type="dxa"/>
            <w:vMerge w:val="restart"/>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序号</w:t>
            </w:r>
          </w:p>
        </w:tc>
        <w:tc>
          <w:tcPr>
            <w:tcW w:w="6704" w:type="dxa"/>
            <w:gridSpan w:val="3"/>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Merge w:val="continue"/>
            <w:vAlign w:val="center"/>
          </w:tcPr>
          <w:p>
            <w:pPr>
              <w:jc w:val="left"/>
              <w:rPr>
                <w:rFonts w:ascii="仿宋_GB2312" w:hAnsi="Times New Roman" w:eastAsia="仿宋_GB2312" w:cs="Times New Roman"/>
                <w:sz w:val="24"/>
                <w:szCs w:val="24"/>
              </w:rPr>
            </w:pPr>
          </w:p>
        </w:tc>
        <w:tc>
          <w:tcPr>
            <w:tcW w:w="2831" w:type="dxa"/>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经度（东经）</w:t>
            </w:r>
          </w:p>
        </w:tc>
        <w:tc>
          <w:tcPr>
            <w:tcW w:w="2349" w:type="dxa"/>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纬度（北纬）</w:t>
            </w:r>
          </w:p>
        </w:tc>
        <w:tc>
          <w:tcPr>
            <w:tcW w:w="1524" w:type="dxa"/>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高程（</w:t>
            </w:r>
            <w:r>
              <w:rPr>
                <w:rFonts w:hint="eastAsia" w:ascii="仿宋_GB2312" w:hAnsi="Times New Roman" w:eastAsia="仿宋_GB2312" w:cs="Times New Roman"/>
                <w:sz w:val="24"/>
                <w:szCs w:val="24"/>
              </w:rPr>
              <w:t>m</w:t>
            </w:r>
            <w:r>
              <w:rPr>
                <w:rFonts w:hint="eastAsia" w:ascii="仿宋_GB2312"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取水口</w:t>
            </w: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E111°34′2.16″</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N26°30′41.19″</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restart"/>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保护区（一级）</w:t>
            </w: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B1</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E111°34′6.09″</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N26°30′41.31″</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B2</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E111°34′6.13″</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N26°30′40.63″</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B3</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E111°33′32.62″</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N26°30′49.12″</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B4</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E111°33′34.65″</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N26°30′50.16″</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B5</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E111°33′36.30″</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N26°30′50.97″</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B6</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E111°34′6.22″</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N26°30′42.90″</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B7</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E111°34′6.31″</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N26°30′39.04″</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B8</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E111°33′31.10″</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N26°30′48.38″</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restart"/>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保护区（二级）</w:t>
            </w: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E111°34′13.21″</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N26°30′39.04″</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C2</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E111°34′12.50″</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N26°30′38.41″</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C3</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E111°33′19.38″</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N26°31′34.06″</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C4</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E111°33′20.96″</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N26°31′33.31″</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C5</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E111°33′27.57″</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N26°31′32.43″</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C6</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E111°33′40.80″</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N26°31′7.17″</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C7</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E111°34′0.53″</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N26°31′15.96″</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C8</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E111°34′15.72″</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N26°30′59.06″</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C9</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E111°34′23.56″</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N26°30′56.48″</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C10</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E111°34′9.44″</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N26°30′28.60″</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C11</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E111°34′10.86″</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N26°30′24.24″</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C12</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E111°34′8.55″</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N26°30′21.01″</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C13</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E111°34′14.16″</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N26°30′7.69″</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C14</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E111°33′18.30″</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N26°30′20.54″</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170.93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C15</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E111°33′6.13″</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N26°30′55.36″</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171.73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C16</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E111°32′55.91″</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N26°31′24.24″</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125.99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C17</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E111°33′3.71″</w:t>
            </w:r>
          </w:p>
        </w:tc>
        <w:tc>
          <w:tcPr>
            <w:tcW w:w="2349"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N26°31′37.10″</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121.85</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（3）岚角山水厂、蔡市镇水厂集中供水工程</w:t>
      </w:r>
    </w:p>
    <w:p>
      <w:pPr>
        <w:spacing w:line="640" w:lineRule="exact"/>
        <w:ind w:firstLine="480"/>
        <w:rPr>
          <w:rFonts w:ascii="仿宋_GB2312" w:eastAsia="仿宋_GB2312" w:hAnsiTheme="minorEastAsia" w:cstheme="minorEastAsia"/>
          <w:kern w:val="0"/>
          <w:sz w:val="32"/>
          <w:szCs w:val="32"/>
        </w:rPr>
      </w:pPr>
      <w:r>
        <w:rPr>
          <w:rFonts w:hint="eastAsia" w:ascii="仿宋_GB2312" w:eastAsia="仿宋_GB2312" w:hAnsiTheme="minorEastAsia" w:cstheme="minorEastAsia"/>
          <w:sz w:val="32"/>
          <w:szCs w:val="32"/>
        </w:rPr>
        <w:t>根据《永州市冷水滩区岚角山水厂、蔡市镇水厂湘江取水口河段饮用水水源保护区划定技术报告》，</w:t>
      </w:r>
      <w:r>
        <w:rPr>
          <w:rFonts w:hint="eastAsia" w:ascii="仿宋_GB2312" w:eastAsia="仿宋_GB2312" w:hAnsiTheme="minorEastAsia" w:cstheme="minorEastAsia"/>
          <w:kern w:val="0"/>
          <w:sz w:val="32"/>
          <w:szCs w:val="32"/>
        </w:rPr>
        <w:t>岚角山水厂湘江取水口河段饮用水水源保护区总面积0.8642km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，其中：一级保护区面积0.3866km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（水域面积0.3703km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，陆域面积0.016km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），二级保护区面积0.4776km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（水域面积0.3443km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，陆域面积0.1333km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w:t>
      </w:r>
    </w:p>
    <w:p>
      <w:pPr>
        <w:spacing w:line="640" w:lineRule="exact"/>
        <w:ind w:firstLine="480"/>
        <w:jc w:val="left"/>
        <w:rPr>
          <w:rFonts w:ascii="仿宋_GB2312" w:eastAsia="仿宋_GB2312" w:hAnsiTheme="minorEastAsia" w:cstheme="minorEastAsia"/>
          <w:kern w:val="0"/>
          <w:sz w:val="32"/>
          <w:szCs w:val="32"/>
        </w:rPr>
      </w:pPr>
      <w:r>
        <w:rPr>
          <w:rFonts w:hint="eastAsia" w:ascii="仿宋_GB2312" w:eastAsia="仿宋_GB2312" w:hAnsiTheme="minorEastAsia" w:cstheme="minorEastAsia"/>
          <w:kern w:val="0"/>
          <w:sz w:val="32"/>
          <w:szCs w:val="32"/>
        </w:rPr>
        <w:t>饮用水水源保护区涉及的行政区域主要为：</w:t>
      </w:r>
      <w:r>
        <w:rPr>
          <w:rFonts w:hint="eastAsia" w:ascii="仿宋_GB2312" w:eastAsia="仿宋_GB2312" w:hAnsiTheme="minorEastAsia" w:cstheme="minorEastAsia"/>
          <w:sz w:val="32"/>
          <w:szCs w:val="32"/>
        </w:rPr>
        <w:t>岚角山镇的千世头村</w:t>
      </w:r>
      <w:r>
        <w:rPr>
          <w:rFonts w:hint="eastAsia" w:ascii="仿宋_GB2312" w:eastAsia="仿宋_GB2312" w:hAnsiTheme="minorEastAsia" w:cstheme="minorEastAsia"/>
          <w:kern w:val="0"/>
          <w:sz w:val="32"/>
          <w:szCs w:val="32"/>
        </w:rPr>
        <w:t>和蔡市镇的邓家铺村。</w:t>
      </w:r>
    </w:p>
    <w:p>
      <w:pPr>
        <w:spacing w:line="640" w:lineRule="exact"/>
        <w:ind w:firstLine="480"/>
        <w:rPr>
          <w:rFonts w:ascii="仿宋_GB2312" w:eastAsia="仿宋_GB2312" w:hAnsiTheme="minorEastAsia" w:cstheme="minorEastAsia"/>
          <w:sz w:val="32"/>
          <w:szCs w:val="32"/>
          <w:lang w:val="en-GB"/>
        </w:rPr>
      </w:pPr>
      <w:r>
        <w:rPr>
          <w:rFonts w:hint="eastAsia" w:ascii="仿宋_GB2312" w:eastAsia="仿宋_GB2312" w:hAnsiTheme="minorEastAsia" w:cstheme="minorEastAsia"/>
          <w:sz w:val="32"/>
          <w:szCs w:val="32"/>
          <w:lang w:val="en-GB"/>
        </w:rPr>
        <w:t>饮用水水源地保护区的范围见表</w:t>
      </w:r>
      <w:r>
        <w:rPr>
          <w:rFonts w:hint="eastAsia" w:ascii="仿宋_GB2312" w:eastAsia="仿宋_GB2312" w:hAnsiTheme="minorEastAsia" w:cstheme="minorEastAsia"/>
          <w:sz w:val="32"/>
          <w:szCs w:val="32"/>
        </w:rPr>
        <w:t>5-7</w:t>
      </w:r>
      <w:r>
        <w:rPr>
          <w:rFonts w:hint="eastAsia" w:ascii="仿宋_GB2312" w:eastAsia="仿宋_GB2312" w:hAnsiTheme="minorEastAsia" w:cstheme="minorEastAsia"/>
          <w:sz w:val="32"/>
          <w:szCs w:val="32"/>
          <w:lang w:val="en-GB"/>
        </w:rPr>
        <w:t>、表</w:t>
      </w:r>
      <w:r>
        <w:rPr>
          <w:rFonts w:hint="eastAsia" w:ascii="仿宋_GB2312" w:eastAsia="仿宋_GB2312" w:hAnsiTheme="minorEastAsia" w:cstheme="minorEastAsia"/>
          <w:sz w:val="32"/>
          <w:szCs w:val="32"/>
        </w:rPr>
        <w:t>5-8</w:t>
      </w:r>
      <w:r>
        <w:rPr>
          <w:rFonts w:hint="eastAsia" w:ascii="仿宋_GB2312" w:eastAsia="仿宋_GB2312" w:hAnsiTheme="minorEastAsia" w:cstheme="minorEastAsia"/>
          <w:sz w:val="32"/>
          <w:szCs w:val="32"/>
          <w:lang w:val="en-GB"/>
        </w:rPr>
        <w:t>。</w:t>
      </w:r>
    </w:p>
    <w:p>
      <w:pPr>
        <w:pStyle w:val="38"/>
        <w:widowControl w:val="0"/>
        <w:ind w:firstLine="640" w:firstLineChars="200"/>
        <w:jc w:val="both"/>
        <w:rPr>
          <w:rFonts w:ascii="仿宋_GB2312" w:eastAsia="仿宋_GB2312"/>
          <w:sz w:val="32"/>
          <w:szCs w:val="32"/>
          <w:lang w:val="en-GB"/>
        </w:rPr>
      </w:pPr>
      <w:r>
        <w:rPr>
          <w:rFonts w:hint="eastAsia" w:ascii="仿宋_GB2312" w:eastAsia="仿宋_GB2312"/>
          <w:sz w:val="32"/>
          <w:szCs w:val="32"/>
          <w:lang w:val="en-GB"/>
        </w:rPr>
        <w:t>表5-7  岚角山水厂和蔡市镇水厂湘江取水口河段饮用水水源地保护区划定方案</w:t>
      </w:r>
    </w:p>
    <w:tbl>
      <w:tblPr>
        <w:tblStyle w:val="15"/>
        <w:tblW w:w="851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53"/>
        <w:gridCol w:w="966"/>
        <w:gridCol w:w="6045"/>
        <w:gridCol w:w="9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3" w:type="dxa"/>
            <w:vAlign w:val="center"/>
          </w:tcPr>
          <w:p>
            <w:pPr>
              <w:adjustRightInd w:val="0"/>
              <w:snapToGrid w:val="0"/>
              <w:jc w:val="center"/>
              <w:rPr>
                <w:rFonts w:ascii="仿宋_GB2312" w:eastAsia="仿宋_GB2312"/>
                <w:bCs/>
                <w:sz w:val="24"/>
                <w:szCs w:val="24"/>
                <w:lang w:val="en-GB"/>
              </w:rPr>
            </w:pPr>
            <w:r>
              <w:rPr>
                <w:rFonts w:hint="eastAsia" w:ascii="仿宋_GB2312" w:eastAsia="仿宋_GB2312"/>
                <w:bCs/>
                <w:sz w:val="24"/>
                <w:szCs w:val="24"/>
                <w:lang w:val="en-GB"/>
              </w:rPr>
              <w:t>名称</w:t>
            </w:r>
          </w:p>
        </w:tc>
        <w:tc>
          <w:tcPr>
            <w:tcW w:w="966" w:type="dxa"/>
            <w:vAlign w:val="center"/>
          </w:tcPr>
          <w:p>
            <w:pPr>
              <w:adjustRightInd w:val="0"/>
              <w:snapToGrid w:val="0"/>
              <w:jc w:val="center"/>
              <w:rPr>
                <w:rFonts w:ascii="仿宋_GB2312" w:eastAsia="仿宋_GB2312"/>
                <w:bCs/>
                <w:sz w:val="24"/>
                <w:szCs w:val="24"/>
                <w:lang w:val="en-GB"/>
              </w:rPr>
            </w:pPr>
            <w:r>
              <w:rPr>
                <w:rFonts w:hint="eastAsia" w:ascii="仿宋_GB2312" w:eastAsia="仿宋_GB2312"/>
                <w:bCs/>
                <w:sz w:val="24"/>
                <w:szCs w:val="24"/>
                <w:lang w:val="en-GB"/>
              </w:rPr>
              <w:t>长度（km）</w:t>
            </w:r>
          </w:p>
        </w:tc>
        <w:tc>
          <w:tcPr>
            <w:tcW w:w="6045" w:type="dxa"/>
            <w:vAlign w:val="center"/>
          </w:tcPr>
          <w:p>
            <w:pPr>
              <w:adjustRightInd w:val="0"/>
              <w:snapToGrid w:val="0"/>
              <w:jc w:val="center"/>
              <w:rPr>
                <w:rFonts w:ascii="仿宋_GB2312" w:eastAsia="仿宋_GB2312"/>
                <w:bCs/>
                <w:sz w:val="24"/>
                <w:szCs w:val="24"/>
                <w:lang w:val="en-GB"/>
              </w:rPr>
            </w:pPr>
            <w:r>
              <w:rPr>
                <w:rFonts w:hint="eastAsia" w:ascii="仿宋_GB2312" w:eastAsia="仿宋_GB2312"/>
                <w:bCs/>
                <w:sz w:val="24"/>
                <w:szCs w:val="24"/>
                <w:lang w:val="en-GB"/>
              </w:rPr>
              <w:t>范围</w:t>
            </w:r>
          </w:p>
        </w:tc>
        <w:tc>
          <w:tcPr>
            <w:tcW w:w="949" w:type="dxa"/>
            <w:vAlign w:val="center"/>
          </w:tcPr>
          <w:p>
            <w:pPr>
              <w:adjustRightInd w:val="0"/>
              <w:snapToGrid w:val="0"/>
              <w:jc w:val="center"/>
              <w:rPr>
                <w:rFonts w:ascii="仿宋_GB2312" w:eastAsia="仿宋_GB2312"/>
                <w:bCs/>
                <w:sz w:val="24"/>
                <w:szCs w:val="24"/>
                <w:lang w:val="en-GB"/>
              </w:rPr>
            </w:pPr>
            <w:r>
              <w:rPr>
                <w:rFonts w:hint="eastAsia" w:ascii="仿宋_GB2312" w:eastAsia="仿宋_GB2312"/>
                <w:bCs/>
                <w:sz w:val="24"/>
                <w:szCs w:val="24"/>
                <w:lang w:val="en-GB"/>
              </w:rPr>
              <w:t>面积（km</w:t>
            </w:r>
            <w:r>
              <w:rPr>
                <w:rFonts w:hint="eastAsia" w:ascii="仿宋_GB2312" w:eastAsia="仿宋_GB2312"/>
                <w:bCs/>
                <w:sz w:val="24"/>
                <w:szCs w:val="24"/>
                <w:vertAlign w:val="superscript"/>
                <w:lang w:val="en-GB"/>
              </w:rPr>
              <w:t>2</w:t>
            </w:r>
            <w:r>
              <w:rPr>
                <w:rFonts w:hint="eastAsia" w:ascii="仿宋_GB2312" w:eastAsia="仿宋_GB2312"/>
                <w:bCs/>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3" w:type="dxa"/>
            <w:vMerge w:val="restart"/>
            <w:vAlign w:val="center"/>
          </w:tcPr>
          <w:p>
            <w:pPr>
              <w:adjustRightInd w:val="0"/>
              <w:snapToGrid w:val="0"/>
              <w:jc w:val="center"/>
              <w:rPr>
                <w:rFonts w:ascii="仿宋_GB2312" w:eastAsia="仿宋_GB2312"/>
                <w:sz w:val="24"/>
                <w:szCs w:val="24"/>
                <w:lang w:val="en-GB"/>
              </w:rPr>
            </w:pPr>
            <w:r>
              <w:rPr>
                <w:rFonts w:hint="eastAsia" w:ascii="仿宋_GB2312" w:eastAsia="仿宋_GB2312"/>
                <w:sz w:val="24"/>
                <w:szCs w:val="24"/>
                <w:lang w:val="en-GB"/>
              </w:rPr>
              <w:t>一级保护区</w:t>
            </w:r>
          </w:p>
        </w:tc>
        <w:tc>
          <w:tcPr>
            <w:tcW w:w="966"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0.33</w:t>
            </w:r>
          </w:p>
        </w:tc>
        <w:tc>
          <w:tcPr>
            <w:tcW w:w="6045" w:type="dxa"/>
            <w:vAlign w:val="center"/>
          </w:tcPr>
          <w:p>
            <w:pPr>
              <w:adjustRightInd w:val="0"/>
              <w:snapToGrid w:val="0"/>
              <w:jc w:val="left"/>
              <w:rPr>
                <w:rFonts w:ascii="仿宋_GB2312" w:eastAsia="仿宋_GB2312"/>
                <w:sz w:val="24"/>
                <w:szCs w:val="24"/>
                <w:lang w:val="en-GB"/>
              </w:rPr>
            </w:pPr>
            <w:r>
              <w:rPr>
                <w:rFonts w:hint="eastAsia" w:ascii="仿宋_GB2312" w:eastAsia="仿宋_GB2312"/>
                <w:sz w:val="24"/>
                <w:szCs w:val="24"/>
                <w:lang w:val="en-GB"/>
              </w:rPr>
              <w:t>水域：岚角山取水口上游300米至蔡市镇取水口下游30米，水面宽度为多年平均水位对应的高程线下的水域。</w:t>
            </w:r>
          </w:p>
        </w:tc>
        <w:tc>
          <w:tcPr>
            <w:tcW w:w="949"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0.3703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3" w:type="dxa"/>
            <w:vMerge w:val="continue"/>
            <w:vAlign w:val="center"/>
          </w:tcPr>
          <w:p>
            <w:pPr>
              <w:adjustRightInd w:val="0"/>
              <w:snapToGrid w:val="0"/>
              <w:jc w:val="center"/>
              <w:rPr>
                <w:rFonts w:ascii="仿宋_GB2312" w:eastAsia="仿宋_GB2312"/>
                <w:sz w:val="24"/>
                <w:szCs w:val="24"/>
                <w:lang w:val="en-GB"/>
              </w:rPr>
            </w:pPr>
          </w:p>
        </w:tc>
        <w:tc>
          <w:tcPr>
            <w:tcW w:w="966" w:type="dxa"/>
            <w:vMerge w:val="continue"/>
            <w:vAlign w:val="center"/>
          </w:tcPr>
          <w:p>
            <w:pPr>
              <w:adjustRightInd w:val="0"/>
              <w:snapToGrid w:val="0"/>
              <w:jc w:val="center"/>
              <w:rPr>
                <w:rFonts w:ascii="仿宋_GB2312" w:eastAsia="仿宋_GB2312"/>
                <w:sz w:val="24"/>
                <w:szCs w:val="24"/>
                <w:lang w:val="en-GB"/>
              </w:rPr>
            </w:pPr>
          </w:p>
        </w:tc>
        <w:tc>
          <w:tcPr>
            <w:tcW w:w="6045" w:type="dxa"/>
            <w:vAlign w:val="center"/>
          </w:tcPr>
          <w:p>
            <w:pPr>
              <w:adjustRightInd w:val="0"/>
              <w:snapToGrid w:val="0"/>
              <w:jc w:val="left"/>
              <w:rPr>
                <w:rFonts w:ascii="仿宋_GB2312" w:eastAsia="仿宋_GB2312"/>
                <w:sz w:val="24"/>
                <w:szCs w:val="24"/>
                <w:lang w:val="en-GB"/>
              </w:rPr>
            </w:pPr>
            <w:r>
              <w:rPr>
                <w:rFonts w:hint="eastAsia" w:ascii="仿宋_GB2312" w:eastAsia="仿宋_GB2312"/>
                <w:sz w:val="24"/>
                <w:szCs w:val="24"/>
                <w:lang w:val="en-GB"/>
              </w:rPr>
              <w:t>陆域：一级保护区水域边界纵深10米的陆域</w:t>
            </w:r>
          </w:p>
        </w:tc>
        <w:tc>
          <w:tcPr>
            <w:tcW w:w="949"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0.0163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3" w:type="dxa"/>
            <w:vMerge w:val="restart"/>
            <w:vAlign w:val="center"/>
          </w:tcPr>
          <w:p>
            <w:pPr>
              <w:adjustRightInd w:val="0"/>
              <w:snapToGrid w:val="0"/>
              <w:jc w:val="center"/>
              <w:rPr>
                <w:rFonts w:ascii="仿宋_GB2312" w:eastAsia="仿宋_GB2312"/>
                <w:sz w:val="24"/>
                <w:szCs w:val="24"/>
                <w:lang w:val="en-GB"/>
              </w:rPr>
            </w:pPr>
            <w:r>
              <w:rPr>
                <w:rFonts w:hint="eastAsia" w:ascii="仿宋_GB2312" w:eastAsia="仿宋_GB2312"/>
                <w:sz w:val="24"/>
                <w:szCs w:val="24"/>
                <w:lang w:val="en-GB"/>
              </w:rPr>
              <w:t>二级保护区</w:t>
            </w:r>
          </w:p>
        </w:tc>
        <w:tc>
          <w:tcPr>
            <w:tcW w:w="966"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0.77</w:t>
            </w:r>
          </w:p>
        </w:tc>
        <w:tc>
          <w:tcPr>
            <w:tcW w:w="6045" w:type="dxa"/>
            <w:vAlign w:val="center"/>
          </w:tcPr>
          <w:p>
            <w:pPr>
              <w:adjustRightInd w:val="0"/>
              <w:snapToGrid w:val="0"/>
              <w:jc w:val="left"/>
              <w:rPr>
                <w:rFonts w:ascii="仿宋_GB2312" w:eastAsia="仿宋_GB2312"/>
                <w:sz w:val="24"/>
                <w:szCs w:val="24"/>
                <w:lang w:val="en-GB"/>
              </w:rPr>
            </w:pPr>
            <w:r>
              <w:rPr>
                <w:rFonts w:hint="eastAsia" w:ascii="仿宋_GB2312" w:eastAsia="仿宋_GB2312"/>
                <w:sz w:val="24"/>
                <w:szCs w:val="24"/>
                <w:lang w:val="en-GB"/>
              </w:rPr>
              <w:t>水域：岚角山取水口上游300米边界向上游延伸700米，蔡市镇取水口下游30米边界向下游延伸70米的水域。</w:t>
            </w:r>
          </w:p>
        </w:tc>
        <w:tc>
          <w:tcPr>
            <w:tcW w:w="949"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0.3443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3" w:type="dxa"/>
            <w:vMerge w:val="continue"/>
            <w:vAlign w:val="center"/>
          </w:tcPr>
          <w:p>
            <w:pPr>
              <w:adjustRightInd w:val="0"/>
              <w:snapToGrid w:val="0"/>
              <w:jc w:val="center"/>
              <w:rPr>
                <w:rFonts w:ascii="仿宋_GB2312" w:eastAsia="仿宋_GB2312"/>
                <w:sz w:val="24"/>
                <w:szCs w:val="24"/>
                <w:lang w:val="en-GB"/>
              </w:rPr>
            </w:pPr>
          </w:p>
        </w:tc>
        <w:tc>
          <w:tcPr>
            <w:tcW w:w="966" w:type="dxa"/>
            <w:vMerge w:val="continue"/>
            <w:vAlign w:val="center"/>
          </w:tcPr>
          <w:p>
            <w:pPr>
              <w:adjustRightInd w:val="0"/>
              <w:snapToGrid w:val="0"/>
              <w:jc w:val="center"/>
              <w:rPr>
                <w:rFonts w:ascii="仿宋_GB2312" w:eastAsia="仿宋_GB2312"/>
                <w:kern w:val="0"/>
                <w:sz w:val="24"/>
                <w:szCs w:val="24"/>
              </w:rPr>
            </w:pPr>
          </w:p>
        </w:tc>
        <w:tc>
          <w:tcPr>
            <w:tcW w:w="6045" w:type="dxa"/>
            <w:vAlign w:val="center"/>
          </w:tcPr>
          <w:p>
            <w:pPr>
              <w:adjustRightInd w:val="0"/>
              <w:snapToGrid w:val="0"/>
              <w:jc w:val="left"/>
              <w:rPr>
                <w:rFonts w:ascii="仿宋_GB2312" w:eastAsia="仿宋_GB2312"/>
                <w:sz w:val="24"/>
                <w:szCs w:val="24"/>
                <w:lang w:val="en-GB"/>
              </w:rPr>
            </w:pPr>
            <w:r>
              <w:rPr>
                <w:rFonts w:hint="eastAsia" w:ascii="仿宋_GB2312" w:eastAsia="仿宋_GB2312"/>
                <w:sz w:val="24"/>
                <w:szCs w:val="24"/>
                <w:lang w:val="en-GB"/>
              </w:rPr>
              <w:t>陆域：一、二级保护区水域长度纵深50米的范围（一级保护区除外）</w:t>
            </w:r>
          </w:p>
        </w:tc>
        <w:tc>
          <w:tcPr>
            <w:tcW w:w="949"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0.1333</w:t>
            </w:r>
          </w:p>
        </w:tc>
      </w:tr>
    </w:tbl>
    <w:p>
      <w:pPr>
        <w:pStyle w:val="38"/>
        <w:widowControl w:val="0"/>
        <w:ind w:firstLine="640" w:firstLineChars="200"/>
        <w:jc w:val="both"/>
        <w:rPr>
          <w:rFonts w:ascii="仿宋_GB2312" w:eastAsia="仿宋_GB2312"/>
          <w:sz w:val="32"/>
          <w:szCs w:val="32"/>
          <w:lang w:val="en-GB"/>
        </w:rPr>
      </w:pPr>
      <w:r>
        <w:rPr>
          <w:rFonts w:hint="eastAsia" w:ascii="仿宋_GB2312" w:eastAsia="仿宋_GB2312"/>
          <w:sz w:val="32"/>
          <w:szCs w:val="32"/>
          <w:lang w:val="en-GB"/>
        </w:rPr>
        <w:t>表5-8  岚角山水厂和蔡市镇水厂湘江取水口河段饮用水水源地保护区拐点坐标一览表</w:t>
      </w:r>
    </w:p>
    <w:tbl>
      <w:tblPr>
        <w:tblStyle w:val="15"/>
        <w:tblW w:w="932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3"/>
        <w:gridCol w:w="931"/>
        <w:gridCol w:w="2635"/>
        <w:gridCol w:w="2635"/>
        <w:gridCol w:w="161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restart"/>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名称</w:t>
            </w:r>
          </w:p>
        </w:tc>
        <w:tc>
          <w:tcPr>
            <w:tcW w:w="931" w:type="dxa"/>
            <w:vMerge w:val="restart"/>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序号</w:t>
            </w:r>
          </w:p>
        </w:tc>
        <w:tc>
          <w:tcPr>
            <w:tcW w:w="6883" w:type="dxa"/>
            <w:gridSpan w:val="3"/>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continue"/>
            <w:vAlign w:val="center"/>
          </w:tcPr>
          <w:p>
            <w:pPr>
              <w:adjustRightInd w:val="0"/>
              <w:snapToGrid w:val="0"/>
              <w:jc w:val="center"/>
              <w:rPr>
                <w:rFonts w:ascii="仿宋_GB2312" w:eastAsia="仿宋_GB2312"/>
                <w:bCs/>
                <w:sz w:val="24"/>
                <w:szCs w:val="24"/>
              </w:rPr>
            </w:pPr>
          </w:p>
        </w:tc>
        <w:tc>
          <w:tcPr>
            <w:tcW w:w="931" w:type="dxa"/>
            <w:vMerge w:val="continue"/>
            <w:vAlign w:val="center"/>
          </w:tcPr>
          <w:p>
            <w:pPr>
              <w:adjustRightInd w:val="0"/>
              <w:snapToGrid w:val="0"/>
              <w:jc w:val="center"/>
              <w:rPr>
                <w:rFonts w:ascii="仿宋_GB2312" w:eastAsia="仿宋_GB2312"/>
                <w:bCs/>
                <w:sz w:val="24"/>
                <w:szCs w:val="24"/>
              </w:rPr>
            </w:pPr>
          </w:p>
        </w:tc>
        <w:tc>
          <w:tcPr>
            <w:tcW w:w="2635" w:type="dxa"/>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经度（东经）</w:t>
            </w:r>
          </w:p>
        </w:tc>
        <w:tc>
          <w:tcPr>
            <w:tcW w:w="2635" w:type="dxa"/>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纬度（北纬）</w:t>
            </w:r>
          </w:p>
        </w:tc>
        <w:tc>
          <w:tcPr>
            <w:tcW w:w="1612" w:type="dxa"/>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高程（m）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取水口</w:t>
            </w:r>
          </w:p>
        </w:tc>
        <w:tc>
          <w:tcPr>
            <w:tcW w:w="931"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岚角山</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E111°36′29.82000″</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N26°19′18.07000″</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97.820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取水口</w:t>
            </w:r>
          </w:p>
        </w:tc>
        <w:tc>
          <w:tcPr>
            <w:tcW w:w="931"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蔡市镇</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E111°36′6.79227″</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N26°19′25.32749″</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96.907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 w:hRule="atLeast"/>
          <w:jc w:val="center"/>
        </w:trPr>
        <w:tc>
          <w:tcPr>
            <w:tcW w:w="1513"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一级保护区</w:t>
            </w: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A1</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E111°36′51.91253″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N26°19′26.20656″</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96.932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A2</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E111°36′26.13692″</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N26°19′32.08703″</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99.214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A3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E111°36′36.23705″</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N26°19′09.11070″</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95.810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A4</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E111°36′21.45378″</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N26°19′02.53983″</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98.181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二级保护区</w:t>
            </w: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B1</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E111°36′03.81719″</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N26°19′27.99774″</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97.502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B2</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E111°36′26.67283″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N26°19′34.64587″</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101.215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二级保护区</w:t>
            </w: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E111°36′37.73373″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N26°19′09.12518″</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96.852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B4</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E111°36′48.30903″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N26°18′01.43040″</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100.221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B5</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E111°36′28.87642″</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N26°18′39.91567″</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102.345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B6</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E111°36′22.50833″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N26°18′55.39900″</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97.451</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（4）牛角坝镇集中供水工程</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根据《永州市冷水滩区牛角坝镇石溪江饮用水水源保护区划定技术报告》，牛角坝镇石溪江饮用水水源保护区总面积0.129km</w:t>
      </w:r>
      <w:r>
        <w:rPr>
          <w:rFonts w:hint="eastAsia" w:ascii="仿宋_GB2312" w:eastAsia="仿宋_GB2312"/>
          <w:sz w:val="32"/>
          <w:szCs w:val="32"/>
          <w:vertAlign w:val="superscript"/>
        </w:rPr>
        <w:t>2</w:t>
      </w:r>
      <w:r>
        <w:rPr>
          <w:rFonts w:hint="eastAsia" w:ascii="仿宋_GB2312" w:eastAsia="仿宋_GB2312"/>
          <w:sz w:val="32"/>
          <w:szCs w:val="32"/>
        </w:rPr>
        <w:t>，其中：一级保护区面积0.017km</w:t>
      </w:r>
      <w:r>
        <w:rPr>
          <w:rFonts w:hint="eastAsia" w:ascii="仿宋_GB2312" w:eastAsia="仿宋_GB2312"/>
          <w:sz w:val="32"/>
          <w:szCs w:val="32"/>
          <w:vertAlign w:val="superscript"/>
        </w:rPr>
        <w:t>2</w:t>
      </w:r>
      <w:r>
        <w:rPr>
          <w:rFonts w:hint="eastAsia" w:ascii="仿宋_GB2312" w:eastAsia="仿宋_GB2312"/>
          <w:sz w:val="32"/>
          <w:szCs w:val="32"/>
        </w:rPr>
        <w:t>（水域面积0.01km</w:t>
      </w:r>
      <w:r>
        <w:rPr>
          <w:rFonts w:hint="eastAsia" w:ascii="仿宋_GB2312" w:eastAsia="仿宋_GB2312"/>
          <w:sz w:val="32"/>
          <w:szCs w:val="32"/>
          <w:vertAlign w:val="superscript"/>
        </w:rPr>
        <w:t>2</w:t>
      </w:r>
      <w:r>
        <w:rPr>
          <w:rFonts w:hint="eastAsia" w:ascii="仿宋_GB2312" w:eastAsia="仿宋_GB2312"/>
          <w:sz w:val="32"/>
          <w:szCs w:val="32"/>
        </w:rPr>
        <w:t>，陆域面积0.007km</w:t>
      </w:r>
      <w:r>
        <w:rPr>
          <w:rFonts w:hint="eastAsia" w:ascii="仿宋_GB2312" w:eastAsia="仿宋_GB2312"/>
          <w:sz w:val="32"/>
          <w:szCs w:val="32"/>
          <w:vertAlign w:val="superscript"/>
        </w:rPr>
        <w:t>2</w:t>
      </w:r>
      <w:r>
        <w:rPr>
          <w:rFonts w:hint="eastAsia" w:ascii="仿宋_GB2312" w:eastAsia="仿宋_GB2312"/>
          <w:sz w:val="32"/>
          <w:szCs w:val="32"/>
        </w:rPr>
        <w:t>），二级保护区面积0.112km</w:t>
      </w:r>
      <w:r>
        <w:rPr>
          <w:rFonts w:hint="eastAsia" w:ascii="仿宋_GB2312" w:eastAsia="仿宋_GB2312"/>
          <w:sz w:val="32"/>
          <w:szCs w:val="32"/>
          <w:vertAlign w:val="superscript"/>
        </w:rPr>
        <w:t>2</w:t>
      </w:r>
      <w:r>
        <w:rPr>
          <w:rFonts w:hint="eastAsia" w:ascii="仿宋_GB2312" w:eastAsia="仿宋_GB2312"/>
          <w:sz w:val="32"/>
          <w:szCs w:val="32"/>
        </w:rPr>
        <w:t>（水域面积0.028km²，陆域面积0.084km</w:t>
      </w:r>
      <w:r>
        <w:rPr>
          <w:rFonts w:hint="eastAsia" w:ascii="仿宋_GB2312" w:eastAsia="仿宋_GB2312"/>
          <w:sz w:val="32"/>
          <w:szCs w:val="32"/>
          <w:vertAlign w:val="superscript"/>
        </w:rPr>
        <w:t>2</w:t>
      </w:r>
      <w:r>
        <w:rPr>
          <w:rFonts w:hint="eastAsia" w:ascii="仿宋_GB2312" w:eastAsia="仿宋_GB2312"/>
          <w:sz w:val="32"/>
          <w:szCs w:val="32"/>
        </w:rPr>
        <w:t>），不设准保护区。</w:t>
      </w:r>
    </w:p>
    <w:p>
      <w:pPr>
        <w:pStyle w:val="25"/>
        <w:widowControl w:val="0"/>
        <w:spacing w:line="640" w:lineRule="exact"/>
        <w:ind w:firstLine="640"/>
        <w:rPr>
          <w:rFonts w:ascii="仿宋_GB2312" w:eastAsia="仿宋_GB2312"/>
          <w:kern w:val="2"/>
          <w:sz w:val="32"/>
          <w:szCs w:val="32"/>
          <w:lang w:val="en-GB"/>
        </w:rPr>
      </w:pPr>
      <w:r>
        <w:rPr>
          <w:rFonts w:hint="eastAsia" w:ascii="仿宋_GB2312" w:eastAsia="仿宋_GB2312"/>
          <w:sz w:val="32"/>
          <w:szCs w:val="32"/>
          <w:lang w:val="en-GB"/>
        </w:rPr>
        <w:t>饮用水水源地保护区的范围见表</w:t>
      </w:r>
      <w:r>
        <w:rPr>
          <w:rFonts w:hint="eastAsia" w:ascii="仿宋_GB2312" w:eastAsia="仿宋_GB2312"/>
          <w:sz w:val="32"/>
          <w:szCs w:val="32"/>
        </w:rPr>
        <w:t>5-9</w:t>
      </w:r>
      <w:r>
        <w:rPr>
          <w:rFonts w:hint="eastAsia" w:ascii="仿宋_GB2312" w:eastAsia="仿宋_GB2312"/>
          <w:sz w:val="32"/>
          <w:szCs w:val="32"/>
          <w:lang w:val="en-GB"/>
        </w:rPr>
        <w:t>、表</w:t>
      </w:r>
      <w:r>
        <w:rPr>
          <w:rFonts w:hint="eastAsia" w:ascii="仿宋_GB2312" w:eastAsia="仿宋_GB2312"/>
          <w:sz w:val="32"/>
          <w:szCs w:val="32"/>
        </w:rPr>
        <w:t>5-10</w:t>
      </w:r>
      <w:r>
        <w:rPr>
          <w:rFonts w:hint="eastAsia" w:ascii="仿宋_GB2312" w:eastAsia="仿宋_GB2312"/>
          <w:sz w:val="32"/>
          <w:szCs w:val="32"/>
          <w:lang w:val="en-GB"/>
        </w:rPr>
        <w:t>。</w:t>
      </w:r>
    </w:p>
    <w:p>
      <w:pPr>
        <w:pStyle w:val="38"/>
        <w:widowControl w:val="0"/>
        <w:spacing w:line="640" w:lineRule="exact"/>
        <w:rPr>
          <w:rFonts w:ascii="仿宋_GB2312" w:eastAsia="仿宋_GB2312"/>
          <w:sz w:val="32"/>
          <w:szCs w:val="32"/>
          <w:lang w:val="en-GB"/>
        </w:rPr>
      </w:pPr>
      <w:r>
        <w:rPr>
          <w:rFonts w:hint="eastAsia" w:ascii="仿宋_GB2312" w:eastAsia="仿宋_GB2312"/>
          <w:sz w:val="32"/>
          <w:szCs w:val="32"/>
          <w:lang w:val="en-GB"/>
        </w:rPr>
        <w:t>表5-9 牛角坝镇石溪江饮用水水源保护区划定方案</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5793"/>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5793"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1727"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restart"/>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一级保护区</w:t>
            </w:r>
          </w:p>
        </w:tc>
        <w:tc>
          <w:tcPr>
            <w:tcW w:w="5793"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水域：取水口上游300米至下游30米河道水域。</w:t>
            </w:r>
          </w:p>
        </w:tc>
        <w:tc>
          <w:tcPr>
            <w:tcW w:w="1727"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jc w:val="left"/>
              <w:rPr>
                <w:rStyle w:val="41"/>
                <w:rFonts w:ascii="仿宋_GB2312" w:eastAsia="仿宋_GB2312"/>
                <w:sz w:val="24"/>
                <w:szCs w:val="24"/>
                <w:lang w:val="en-GB"/>
              </w:rPr>
            </w:pPr>
          </w:p>
        </w:tc>
        <w:tc>
          <w:tcPr>
            <w:tcW w:w="5793"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陆域：一级保护区水域边界沿岸纵深10米的陆域。</w:t>
            </w:r>
          </w:p>
        </w:tc>
        <w:tc>
          <w:tcPr>
            <w:tcW w:w="1727"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restart"/>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二级保护区</w:t>
            </w:r>
          </w:p>
        </w:tc>
        <w:tc>
          <w:tcPr>
            <w:tcW w:w="5793" w:type="dxa"/>
            <w:vAlign w:val="center"/>
          </w:tcPr>
          <w:p>
            <w:pPr>
              <w:adjustRightInd w:val="0"/>
              <w:snapToGrid w:val="0"/>
              <w:jc w:val="left"/>
              <w:rPr>
                <w:rStyle w:val="41"/>
                <w:rFonts w:ascii="仿宋_GB2312" w:eastAsia="仿宋_GB2312"/>
                <w:sz w:val="24"/>
                <w:szCs w:val="24"/>
                <w:lang w:val="en-GB"/>
              </w:rPr>
            </w:pPr>
            <w:r>
              <w:rPr>
                <w:rStyle w:val="41"/>
                <w:rFonts w:hint="eastAsia" w:ascii="仿宋_GB2312" w:eastAsia="仿宋_GB2312"/>
                <w:sz w:val="24"/>
                <w:szCs w:val="24"/>
              </w:rPr>
              <w:t>水域：一级保护区水域上边界上溯700米，下边界下延70米河道水域。</w:t>
            </w:r>
          </w:p>
        </w:tc>
        <w:tc>
          <w:tcPr>
            <w:tcW w:w="1727"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jc w:val="left"/>
              <w:rPr>
                <w:rStyle w:val="41"/>
                <w:rFonts w:ascii="仿宋_GB2312" w:eastAsia="仿宋_GB2312"/>
                <w:sz w:val="24"/>
                <w:szCs w:val="24"/>
                <w:lang w:val="en-GB"/>
              </w:rPr>
            </w:pPr>
          </w:p>
        </w:tc>
        <w:tc>
          <w:tcPr>
            <w:tcW w:w="5793" w:type="dxa"/>
            <w:vAlign w:val="center"/>
          </w:tcPr>
          <w:p>
            <w:pPr>
              <w:adjustRightInd w:val="0"/>
              <w:snapToGrid w:val="0"/>
              <w:jc w:val="left"/>
              <w:rPr>
                <w:rStyle w:val="41"/>
                <w:rFonts w:ascii="仿宋_GB2312" w:eastAsia="仿宋_GB2312"/>
                <w:sz w:val="24"/>
                <w:szCs w:val="24"/>
                <w:lang w:val="en-GB"/>
              </w:rPr>
            </w:pPr>
            <w:r>
              <w:rPr>
                <w:rStyle w:val="41"/>
                <w:rFonts w:hint="eastAsia" w:ascii="仿宋_GB2312" w:eastAsia="仿宋_GB2312"/>
                <w:sz w:val="24"/>
                <w:szCs w:val="24"/>
              </w:rPr>
              <w:t>陆域：一、二级保护区水域边界沿岸纵深50米，不超过道路背水侧路肩（一级保护区除外）。</w:t>
            </w:r>
          </w:p>
        </w:tc>
        <w:tc>
          <w:tcPr>
            <w:tcW w:w="1727"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0.084</w:t>
            </w:r>
          </w:p>
        </w:tc>
      </w:tr>
    </w:tbl>
    <w:p>
      <w:pPr>
        <w:pStyle w:val="38"/>
        <w:widowControl w:val="0"/>
        <w:spacing w:line="640" w:lineRule="exact"/>
        <w:rPr>
          <w:rFonts w:ascii="仿宋_GB2312" w:eastAsia="仿宋_GB2312" w:cs="Times New Roman"/>
          <w:kern w:val="2"/>
          <w:sz w:val="32"/>
          <w:szCs w:val="32"/>
          <w:lang w:val="en-GB"/>
        </w:rPr>
      </w:pPr>
      <w:r>
        <w:rPr>
          <w:rFonts w:hint="eastAsia" w:ascii="仿宋_GB2312" w:eastAsia="仿宋_GB2312"/>
          <w:sz w:val="32"/>
          <w:szCs w:val="32"/>
          <w:lang w:val="en-GB"/>
        </w:rPr>
        <w:t>表5-10 牛角坝镇石溪江饮用水水源保护区拐点坐标一览表</w:t>
      </w:r>
    </w:p>
    <w:tbl>
      <w:tblPr>
        <w:tblStyle w:val="15"/>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72"/>
        <w:gridCol w:w="1195"/>
        <w:gridCol w:w="2487"/>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restart"/>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名称</w:t>
            </w:r>
          </w:p>
        </w:tc>
        <w:tc>
          <w:tcPr>
            <w:tcW w:w="1195" w:type="dxa"/>
            <w:vMerge w:val="restart"/>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序号</w:t>
            </w:r>
          </w:p>
        </w:tc>
        <w:tc>
          <w:tcPr>
            <w:tcW w:w="4869" w:type="dxa"/>
            <w:gridSpan w:val="2"/>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vMerge w:val="continue"/>
            <w:vAlign w:val="center"/>
          </w:tcPr>
          <w:p>
            <w:pPr>
              <w:jc w:val="left"/>
              <w:rPr>
                <w:rStyle w:val="41"/>
                <w:rFonts w:ascii="仿宋_GB2312" w:eastAsia="仿宋_GB2312"/>
                <w:sz w:val="24"/>
                <w:szCs w:val="24"/>
              </w:rPr>
            </w:pP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东经</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北纬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牛角坝水厂取水口</w:t>
            </w: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Q1</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111°36'11.58"</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restart"/>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A1</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111°36′3.16″</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A2</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111°36′3.78″</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26°37′0.71″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A3</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111°36′11.41″</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A4</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111°36′12.30″</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restart"/>
            <w:vAlign w:val="center"/>
          </w:tcPr>
          <w:p>
            <w:pPr>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A5</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111°36′12.61″</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A6</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111°36′3.97″</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26°37′1.04″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A7</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111°36′3.06″</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A8</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111°36′11.05″</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restart"/>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B1</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111°35′44.90″</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B2</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111°35′45.97″</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B3</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111°36′11.62″</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B4</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111°36′12.93″</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B5</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111°36′14.72″</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72" w:type="dxa"/>
            <w:vMerge w:val="restart"/>
            <w:vAlign w:val="center"/>
          </w:tcPr>
          <w:p>
            <w:pPr>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B6</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111°36′11.21″</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B7</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111°36′7.03″</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26°37′0.42″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B8</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111°35′47.63″</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B9</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111°35′43.83″</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B10</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111°35′53.55″</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B11</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111°35′54.70″</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B12</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111°36′10.02″</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26°36′51.06″</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（5）杨村甸集中供水工程</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根据《永州市冷水滩区杨村甸水厂饮用水水源保护区划定技术报告》，杨村甸水厂饮用水水源保护区全长3.3km，总面积3.126km</w:t>
      </w:r>
      <w:r>
        <w:rPr>
          <w:rFonts w:hint="eastAsia" w:ascii="仿宋_GB2312" w:eastAsia="仿宋_GB2312"/>
          <w:sz w:val="32"/>
          <w:szCs w:val="32"/>
          <w:vertAlign w:val="superscript"/>
        </w:rPr>
        <w:t>2</w:t>
      </w:r>
      <w:r>
        <w:rPr>
          <w:rFonts w:hint="eastAsia" w:ascii="仿宋_GB2312" w:eastAsia="仿宋_GB2312"/>
          <w:sz w:val="32"/>
          <w:szCs w:val="32"/>
        </w:rPr>
        <w:t>，其中：一级保护区面积0.0927km</w:t>
      </w:r>
      <w:r>
        <w:rPr>
          <w:rFonts w:hint="eastAsia" w:ascii="仿宋_GB2312" w:eastAsia="仿宋_GB2312"/>
          <w:sz w:val="32"/>
          <w:szCs w:val="32"/>
          <w:vertAlign w:val="superscript"/>
        </w:rPr>
        <w:t>2</w:t>
      </w:r>
      <w:r>
        <w:rPr>
          <w:rFonts w:hint="eastAsia" w:ascii="仿宋_GB2312" w:eastAsia="仿宋_GB2312"/>
          <w:sz w:val="32"/>
          <w:szCs w:val="32"/>
        </w:rPr>
        <w:t>（水域面积0.0027km</w:t>
      </w:r>
      <w:r>
        <w:rPr>
          <w:rFonts w:hint="eastAsia" w:ascii="仿宋_GB2312" w:eastAsia="仿宋_GB2312"/>
          <w:sz w:val="32"/>
          <w:szCs w:val="32"/>
          <w:vertAlign w:val="superscript"/>
        </w:rPr>
        <w:t>2</w:t>
      </w:r>
      <w:r>
        <w:rPr>
          <w:rFonts w:hint="eastAsia" w:ascii="仿宋_GB2312" w:eastAsia="仿宋_GB2312"/>
          <w:sz w:val="32"/>
          <w:szCs w:val="32"/>
        </w:rPr>
        <w:t>，陆域面积0.0817km</w:t>
      </w:r>
      <w:r>
        <w:rPr>
          <w:rFonts w:hint="eastAsia" w:ascii="仿宋_GB2312" w:eastAsia="仿宋_GB2312"/>
          <w:sz w:val="32"/>
          <w:szCs w:val="32"/>
          <w:vertAlign w:val="superscript"/>
        </w:rPr>
        <w:t>2</w:t>
      </w:r>
      <w:r>
        <w:rPr>
          <w:rFonts w:hint="eastAsia" w:ascii="仿宋_GB2312" w:eastAsia="仿宋_GB2312"/>
          <w:sz w:val="32"/>
          <w:szCs w:val="32"/>
        </w:rPr>
        <w:t>），二级保护区面积3.0620km</w:t>
      </w:r>
      <w:r>
        <w:rPr>
          <w:rFonts w:hint="eastAsia" w:ascii="仿宋_GB2312" w:eastAsia="仿宋_GB2312"/>
          <w:sz w:val="32"/>
          <w:szCs w:val="32"/>
          <w:vertAlign w:val="superscript"/>
        </w:rPr>
        <w:t>2</w:t>
      </w:r>
      <w:r>
        <w:rPr>
          <w:rFonts w:hint="eastAsia" w:ascii="仿宋_GB2312" w:eastAsia="仿宋_GB2312"/>
          <w:sz w:val="32"/>
          <w:szCs w:val="32"/>
        </w:rPr>
        <w:t>（水域面积0.0055km</w:t>
      </w:r>
      <w:r>
        <w:rPr>
          <w:rFonts w:hint="eastAsia" w:ascii="仿宋_GB2312" w:eastAsia="仿宋_GB2312"/>
          <w:sz w:val="32"/>
          <w:szCs w:val="32"/>
          <w:vertAlign w:val="superscript"/>
        </w:rPr>
        <w:t>2</w:t>
      </w:r>
      <w:r>
        <w:rPr>
          <w:rFonts w:hint="eastAsia" w:ascii="仿宋_GB2312" w:eastAsia="仿宋_GB2312"/>
          <w:sz w:val="32"/>
          <w:szCs w:val="32"/>
        </w:rPr>
        <w:t>，陆域面积3.0565km</w:t>
      </w:r>
      <w:r>
        <w:rPr>
          <w:rFonts w:hint="eastAsia" w:ascii="仿宋_GB2312" w:eastAsia="仿宋_GB2312"/>
          <w:sz w:val="32"/>
          <w:szCs w:val="32"/>
          <w:vertAlign w:val="superscript"/>
        </w:rPr>
        <w:t>2</w:t>
      </w:r>
      <w:r>
        <w:rPr>
          <w:rFonts w:hint="eastAsia" w:ascii="仿宋_GB2312" w:eastAsia="仿宋_GB2312"/>
          <w:sz w:val="32"/>
          <w:szCs w:val="32"/>
        </w:rPr>
        <w:t>），不设准保护区。</w:t>
      </w:r>
    </w:p>
    <w:p>
      <w:pPr>
        <w:pStyle w:val="25"/>
        <w:widowControl w:val="0"/>
        <w:spacing w:line="640" w:lineRule="exact"/>
        <w:ind w:firstLine="640"/>
        <w:rPr>
          <w:rFonts w:ascii="仿宋_GB2312" w:eastAsia="仿宋_GB2312"/>
          <w:kern w:val="2"/>
          <w:sz w:val="32"/>
          <w:szCs w:val="32"/>
        </w:rPr>
      </w:pPr>
      <w:r>
        <w:rPr>
          <w:rFonts w:hint="eastAsia" w:ascii="仿宋_GB2312" w:eastAsia="仿宋_GB2312"/>
          <w:sz w:val="32"/>
          <w:szCs w:val="32"/>
        </w:rPr>
        <w:t>饮用水水源保护区涉及的行政区域主要为：杨村甸乡保方村。</w:t>
      </w:r>
    </w:p>
    <w:p>
      <w:pPr>
        <w:pStyle w:val="25"/>
        <w:widowControl w:val="0"/>
        <w:spacing w:line="640" w:lineRule="exact"/>
        <w:ind w:firstLine="640"/>
        <w:rPr>
          <w:rFonts w:ascii="仿宋_GB2312" w:eastAsia="仿宋_GB2312"/>
          <w:sz w:val="32"/>
          <w:szCs w:val="32"/>
          <w:lang w:val="en-GB"/>
        </w:rPr>
      </w:pPr>
      <w:r>
        <w:rPr>
          <w:rFonts w:hint="eastAsia" w:ascii="仿宋_GB2312" w:eastAsia="仿宋_GB2312"/>
          <w:sz w:val="32"/>
          <w:szCs w:val="32"/>
          <w:lang w:val="en-GB"/>
        </w:rPr>
        <w:t>饮用水水源地保护区的范围见表</w:t>
      </w:r>
      <w:r>
        <w:rPr>
          <w:rFonts w:hint="eastAsia" w:ascii="仿宋_GB2312" w:eastAsia="仿宋_GB2312"/>
          <w:sz w:val="32"/>
          <w:szCs w:val="32"/>
        </w:rPr>
        <w:t>5-11</w:t>
      </w:r>
      <w:r>
        <w:rPr>
          <w:rFonts w:hint="eastAsia" w:ascii="仿宋_GB2312" w:eastAsia="仿宋_GB2312"/>
          <w:sz w:val="32"/>
          <w:szCs w:val="32"/>
          <w:lang w:val="en-GB"/>
        </w:rPr>
        <w:t>、表</w:t>
      </w:r>
      <w:r>
        <w:rPr>
          <w:rFonts w:hint="eastAsia" w:ascii="仿宋_GB2312" w:eastAsia="仿宋_GB2312"/>
          <w:sz w:val="32"/>
          <w:szCs w:val="32"/>
        </w:rPr>
        <w:t>5-12</w:t>
      </w:r>
      <w:r>
        <w:rPr>
          <w:rFonts w:hint="eastAsia" w:ascii="仿宋_GB2312" w:eastAsia="仿宋_GB2312"/>
          <w:sz w:val="32"/>
          <w:szCs w:val="32"/>
          <w:lang w:val="en-GB"/>
        </w:rPr>
        <w:t>。</w:t>
      </w:r>
    </w:p>
    <w:p>
      <w:pPr>
        <w:pStyle w:val="38"/>
        <w:widowControl w:val="0"/>
        <w:spacing w:line="640" w:lineRule="exact"/>
        <w:rPr>
          <w:rFonts w:ascii="仿宋_GB2312" w:eastAsia="仿宋_GB2312"/>
          <w:sz w:val="32"/>
          <w:szCs w:val="32"/>
          <w:lang w:val="en-GB"/>
        </w:rPr>
      </w:pPr>
      <w:r>
        <w:rPr>
          <w:rFonts w:hint="eastAsia" w:ascii="仿宋_GB2312" w:eastAsia="仿宋_GB2312"/>
          <w:sz w:val="32"/>
          <w:szCs w:val="32"/>
          <w:lang w:val="en-GB"/>
        </w:rPr>
        <w:t>表5-11</w:t>
      </w:r>
      <w:r>
        <w:rPr>
          <w:rFonts w:hint="eastAsia" w:ascii="仿宋_GB2312" w:eastAsia="仿宋_GB2312"/>
          <w:sz w:val="32"/>
          <w:szCs w:val="32"/>
        </w:rPr>
        <w:t xml:space="preserve">  杨村甸水厂</w:t>
      </w:r>
      <w:r>
        <w:rPr>
          <w:rFonts w:hint="eastAsia" w:ascii="仿宋_GB2312" w:eastAsia="仿宋_GB2312"/>
          <w:sz w:val="32"/>
          <w:szCs w:val="32"/>
          <w:lang w:val="en-GB"/>
        </w:rPr>
        <w:t>饮用水水源地保护区划定方案</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5670"/>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adjustRightInd w:val="0"/>
              <w:snapToGrid w:val="0"/>
              <w:spacing w:line="480" w:lineRule="exact"/>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5670" w:type="dxa"/>
            <w:vAlign w:val="center"/>
          </w:tcPr>
          <w:p>
            <w:pPr>
              <w:adjustRightInd w:val="0"/>
              <w:snapToGrid w:val="0"/>
              <w:spacing w:line="480" w:lineRule="exact"/>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1468" w:type="dxa"/>
            <w:vAlign w:val="center"/>
          </w:tcPr>
          <w:p>
            <w:pPr>
              <w:adjustRightInd w:val="0"/>
              <w:snapToGrid w:val="0"/>
              <w:spacing w:line="480" w:lineRule="exact"/>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restart"/>
            <w:vAlign w:val="center"/>
          </w:tcPr>
          <w:p>
            <w:pPr>
              <w:adjustRightInd w:val="0"/>
              <w:snapToGrid w:val="0"/>
              <w:spacing w:line="480" w:lineRule="exact"/>
              <w:jc w:val="center"/>
              <w:rPr>
                <w:rStyle w:val="41"/>
                <w:rFonts w:ascii="仿宋_GB2312" w:eastAsia="仿宋_GB2312"/>
                <w:sz w:val="24"/>
                <w:szCs w:val="24"/>
                <w:lang w:val="en-GB"/>
              </w:rPr>
            </w:pPr>
            <w:r>
              <w:rPr>
                <w:rStyle w:val="41"/>
                <w:rFonts w:hint="eastAsia" w:ascii="仿宋_GB2312" w:eastAsia="仿宋_GB2312"/>
                <w:sz w:val="24"/>
                <w:szCs w:val="24"/>
              </w:rPr>
              <w:t>一级保护区</w:t>
            </w:r>
          </w:p>
        </w:tc>
        <w:tc>
          <w:tcPr>
            <w:tcW w:w="5670" w:type="dxa"/>
            <w:vAlign w:val="center"/>
          </w:tcPr>
          <w:p>
            <w:pPr>
              <w:adjustRightInd w:val="0"/>
              <w:snapToGrid w:val="0"/>
              <w:spacing w:line="480" w:lineRule="exact"/>
              <w:jc w:val="left"/>
              <w:rPr>
                <w:rStyle w:val="41"/>
                <w:rFonts w:ascii="仿宋_GB2312" w:eastAsia="仿宋_GB2312"/>
                <w:sz w:val="24"/>
                <w:szCs w:val="24"/>
                <w:lang w:val="en-GB"/>
              </w:rPr>
            </w:pPr>
            <w:r>
              <w:rPr>
                <w:rStyle w:val="41"/>
                <w:rFonts w:hint="eastAsia" w:ascii="仿宋_GB2312" w:eastAsia="仿宋_GB2312"/>
                <w:sz w:val="24"/>
                <w:szCs w:val="24"/>
              </w:rPr>
              <w:t>水域：取水口上游1000米至下游100米河道水域。</w:t>
            </w:r>
          </w:p>
        </w:tc>
        <w:tc>
          <w:tcPr>
            <w:tcW w:w="1468" w:type="dxa"/>
            <w:vAlign w:val="center"/>
          </w:tcPr>
          <w:p>
            <w:pPr>
              <w:adjustRightInd w:val="0"/>
              <w:snapToGrid w:val="0"/>
              <w:spacing w:line="480" w:lineRule="exact"/>
              <w:jc w:val="center"/>
              <w:rPr>
                <w:rStyle w:val="41"/>
                <w:rFonts w:ascii="仿宋_GB2312" w:eastAsia="仿宋_GB2312"/>
                <w:sz w:val="24"/>
                <w:szCs w:val="24"/>
              </w:rPr>
            </w:pPr>
            <w:r>
              <w:rPr>
                <w:rStyle w:val="41"/>
                <w:rFonts w:hint="eastAsia" w:ascii="仿宋_GB2312" w:eastAsia="仿宋_GB2312"/>
                <w:sz w:val="24"/>
                <w:szCs w:val="24"/>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vAlign w:val="center"/>
          </w:tcPr>
          <w:p>
            <w:pPr>
              <w:spacing w:line="480" w:lineRule="exact"/>
              <w:jc w:val="left"/>
              <w:rPr>
                <w:rStyle w:val="41"/>
                <w:rFonts w:ascii="仿宋_GB2312" w:eastAsia="仿宋_GB2312"/>
                <w:sz w:val="24"/>
                <w:szCs w:val="24"/>
                <w:lang w:val="en-GB"/>
              </w:rPr>
            </w:pPr>
          </w:p>
        </w:tc>
        <w:tc>
          <w:tcPr>
            <w:tcW w:w="5670" w:type="dxa"/>
            <w:vAlign w:val="center"/>
          </w:tcPr>
          <w:p>
            <w:pPr>
              <w:adjustRightInd w:val="0"/>
              <w:snapToGrid w:val="0"/>
              <w:spacing w:line="480" w:lineRule="exact"/>
              <w:jc w:val="left"/>
              <w:rPr>
                <w:rStyle w:val="41"/>
                <w:rFonts w:ascii="仿宋_GB2312" w:eastAsia="仿宋_GB2312"/>
                <w:sz w:val="24"/>
                <w:szCs w:val="24"/>
                <w:lang w:val="en-GB"/>
              </w:rPr>
            </w:pPr>
            <w:r>
              <w:rPr>
                <w:rStyle w:val="41"/>
                <w:rFonts w:hint="eastAsia" w:ascii="仿宋_GB2312" w:eastAsia="仿宋_GB2312"/>
                <w:sz w:val="24"/>
                <w:szCs w:val="24"/>
              </w:rPr>
              <w:t>陆域：一级保护区水域边界纵深50米。</w:t>
            </w:r>
          </w:p>
        </w:tc>
        <w:tc>
          <w:tcPr>
            <w:tcW w:w="1468" w:type="dxa"/>
            <w:vAlign w:val="center"/>
          </w:tcPr>
          <w:p>
            <w:pPr>
              <w:adjustRightInd w:val="0"/>
              <w:snapToGrid w:val="0"/>
              <w:spacing w:line="480" w:lineRule="exact"/>
              <w:jc w:val="center"/>
              <w:rPr>
                <w:rStyle w:val="41"/>
                <w:rFonts w:ascii="仿宋_GB2312" w:eastAsia="仿宋_GB2312"/>
                <w:sz w:val="24"/>
                <w:szCs w:val="24"/>
              </w:rPr>
            </w:pPr>
            <w:r>
              <w:rPr>
                <w:rStyle w:val="41"/>
                <w:rFonts w:hint="eastAsia" w:ascii="仿宋_GB2312" w:eastAsia="仿宋_GB2312"/>
                <w:sz w:val="24"/>
                <w:szCs w:val="24"/>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restart"/>
            <w:vAlign w:val="center"/>
          </w:tcPr>
          <w:p>
            <w:pPr>
              <w:adjustRightInd w:val="0"/>
              <w:snapToGrid w:val="0"/>
              <w:spacing w:line="480" w:lineRule="exact"/>
              <w:jc w:val="center"/>
              <w:rPr>
                <w:rStyle w:val="41"/>
                <w:rFonts w:ascii="仿宋_GB2312" w:eastAsia="仿宋_GB2312"/>
                <w:sz w:val="24"/>
                <w:szCs w:val="24"/>
                <w:lang w:val="en-GB"/>
              </w:rPr>
            </w:pPr>
            <w:r>
              <w:rPr>
                <w:rStyle w:val="41"/>
                <w:rFonts w:hint="eastAsia" w:ascii="仿宋_GB2312" w:eastAsia="仿宋_GB2312"/>
                <w:sz w:val="24"/>
                <w:szCs w:val="24"/>
              </w:rPr>
              <w:t>二级保护区</w:t>
            </w:r>
          </w:p>
        </w:tc>
        <w:tc>
          <w:tcPr>
            <w:tcW w:w="5670" w:type="dxa"/>
            <w:vAlign w:val="center"/>
          </w:tcPr>
          <w:p>
            <w:pPr>
              <w:adjustRightInd w:val="0"/>
              <w:snapToGrid w:val="0"/>
              <w:spacing w:line="480" w:lineRule="exact"/>
              <w:jc w:val="left"/>
              <w:rPr>
                <w:rStyle w:val="41"/>
                <w:rFonts w:ascii="仿宋_GB2312" w:eastAsia="仿宋_GB2312"/>
                <w:sz w:val="24"/>
                <w:szCs w:val="24"/>
                <w:lang w:val="en-GB"/>
              </w:rPr>
            </w:pPr>
            <w:r>
              <w:rPr>
                <w:rStyle w:val="41"/>
                <w:rFonts w:hint="eastAsia" w:ascii="仿宋_GB2312" w:eastAsia="仿宋_GB2312"/>
                <w:sz w:val="24"/>
                <w:szCs w:val="24"/>
              </w:rPr>
              <w:t>水域：一级保护区水域上边界上溯2000米、下边界下延200米河道水域。</w:t>
            </w:r>
          </w:p>
        </w:tc>
        <w:tc>
          <w:tcPr>
            <w:tcW w:w="1468" w:type="dxa"/>
            <w:vAlign w:val="center"/>
          </w:tcPr>
          <w:p>
            <w:pPr>
              <w:adjustRightInd w:val="0"/>
              <w:snapToGrid w:val="0"/>
              <w:spacing w:line="480" w:lineRule="exact"/>
              <w:jc w:val="center"/>
              <w:rPr>
                <w:rStyle w:val="41"/>
                <w:rFonts w:ascii="仿宋_GB2312" w:eastAsia="仿宋_GB2312"/>
                <w:sz w:val="24"/>
                <w:szCs w:val="24"/>
              </w:rPr>
            </w:pPr>
            <w:r>
              <w:rPr>
                <w:rStyle w:val="41"/>
                <w:rFonts w:hint="eastAsia" w:ascii="仿宋_GB2312" w:eastAsia="仿宋_GB2312"/>
                <w:sz w:val="24"/>
                <w:szCs w:val="24"/>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vAlign w:val="center"/>
          </w:tcPr>
          <w:p>
            <w:pPr>
              <w:spacing w:line="480" w:lineRule="exact"/>
              <w:jc w:val="left"/>
              <w:rPr>
                <w:rStyle w:val="41"/>
                <w:rFonts w:ascii="仿宋_GB2312" w:eastAsia="仿宋_GB2312"/>
                <w:sz w:val="24"/>
                <w:szCs w:val="24"/>
                <w:lang w:val="en-GB"/>
              </w:rPr>
            </w:pPr>
          </w:p>
        </w:tc>
        <w:tc>
          <w:tcPr>
            <w:tcW w:w="5670" w:type="dxa"/>
            <w:vAlign w:val="center"/>
          </w:tcPr>
          <w:p>
            <w:pPr>
              <w:adjustRightInd w:val="0"/>
              <w:snapToGrid w:val="0"/>
              <w:spacing w:line="480" w:lineRule="exact"/>
              <w:jc w:val="left"/>
              <w:rPr>
                <w:rStyle w:val="41"/>
                <w:rFonts w:ascii="仿宋_GB2312" w:eastAsia="仿宋_GB2312"/>
                <w:sz w:val="24"/>
                <w:szCs w:val="24"/>
                <w:lang w:val="en-GB"/>
              </w:rPr>
            </w:pPr>
            <w:r>
              <w:rPr>
                <w:rStyle w:val="41"/>
                <w:rFonts w:hint="eastAsia" w:ascii="仿宋_GB2312" w:eastAsia="仿宋_GB2312"/>
                <w:sz w:val="24"/>
                <w:szCs w:val="24"/>
              </w:rPr>
              <w:t>陆域：一、二级保护区水域边界沿岸纵深1000米，不超过第一重山脊线（一级保护区除外）。</w:t>
            </w:r>
          </w:p>
        </w:tc>
        <w:tc>
          <w:tcPr>
            <w:tcW w:w="1468" w:type="dxa"/>
            <w:vAlign w:val="center"/>
          </w:tcPr>
          <w:p>
            <w:pPr>
              <w:adjustRightInd w:val="0"/>
              <w:snapToGrid w:val="0"/>
              <w:spacing w:line="480" w:lineRule="exact"/>
              <w:jc w:val="center"/>
              <w:rPr>
                <w:rStyle w:val="41"/>
                <w:rFonts w:ascii="仿宋_GB2312" w:eastAsia="仿宋_GB2312"/>
                <w:sz w:val="24"/>
                <w:szCs w:val="24"/>
              </w:rPr>
            </w:pPr>
            <w:r>
              <w:rPr>
                <w:rStyle w:val="41"/>
                <w:rFonts w:hint="eastAsia" w:ascii="仿宋_GB2312" w:eastAsia="仿宋_GB2312"/>
                <w:sz w:val="24"/>
                <w:szCs w:val="24"/>
              </w:rPr>
              <w:t>3.010</w:t>
            </w:r>
          </w:p>
        </w:tc>
      </w:tr>
    </w:tbl>
    <w:p>
      <w:pPr>
        <w:pStyle w:val="38"/>
        <w:widowControl w:val="0"/>
        <w:spacing w:line="640" w:lineRule="exact"/>
        <w:rPr>
          <w:rFonts w:ascii="仿宋_GB2312" w:eastAsia="仿宋_GB2312"/>
          <w:sz w:val="32"/>
          <w:szCs w:val="32"/>
          <w:lang w:val="en-GB"/>
        </w:rPr>
      </w:pPr>
    </w:p>
    <w:p>
      <w:pPr>
        <w:pStyle w:val="38"/>
        <w:widowControl w:val="0"/>
        <w:spacing w:line="640" w:lineRule="exact"/>
        <w:rPr>
          <w:rFonts w:ascii="仿宋_GB2312" w:eastAsia="仿宋_GB2312" w:cs="Times New Roman"/>
          <w:kern w:val="2"/>
          <w:sz w:val="32"/>
          <w:szCs w:val="32"/>
          <w:lang w:val="en-GB"/>
        </w:rPr>
      </w:pPr>
      <w:r>
        <w:rPr>
          <w:rFonts w:hint="eastAsia" w:ascii="仿宋_GB2312" w:eastAsia="仿宋_GB2312"/>
          <w:sz w:val="32"/>
          <w:szCs w:val="32"/>
          <w:lang w:val="en-GB"/>
        </w:rPr>
        <w:t>表5-12  杨村甸水厂饮用水水源地保护区拐点坐标一览表</w:t>
      </w:r>
    </w:p>
    <w:tbl>
      <w:tblPr>
        <w:tblStyle w:val="15"/>
        <w:tblW w:w="9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8"/>
        <w:gridCol w:w="957"/>
        <w:gridCol w:w="2315"/>
        <w:gridCol w:w="2318"/>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957"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6294" w:type="dxa"/>
            <w:gridSpan w:val="3"/>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Merge w:val="continue"/>
            <w:vAlign w:val="center"/>
          </w:tcPr>
          <w:p>
            <w:pPr>
              <w:jc w:val="left"/>
              <w:rPr>
                <w:rStyle w:val="41"/>
                <w:rFonts w:ascii="仿宋_GB2312" w:eastAsia="仿宋_GB2312"/>
                <w:sz w:val="24"/>
                <w:szCs w:val="24"/>
              </w:rPr>
            </w:pP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东经</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北纬</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取水口</w:t>
            </w: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Q1</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111°34′1.22489″</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26°47′3.15922″</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291.055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A1</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111°33′40.00144″</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26°46′55.75224″</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340.767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A2</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111°33′40.28146″</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26°46′57.50961″</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312.535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A3</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111°33′40.65321″</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26°46′59.19941″</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308.912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A4</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111°33′46.87648″</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26°47′1.06783″</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324.238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A5</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111°33′59.80579″</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26°46′57.60617″</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300.404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A6</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111°34′4.73999″</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26°47′4.45225″</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298.228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A7</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111°34′4.42617″</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26°47′2.73590″</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286.297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A8</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111°34′3.97716″</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26°47′1.05818″</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290.562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A9</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111°33′51.66582″</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26°46′54.08658″</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111°33′4.09577″</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26°47′37.29697″</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544.743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B2</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111°33′16.48437″</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26°47′38.91434″</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443.929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B3</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111°33′24.74986″</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26°47′46.33977″</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565.923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B4</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111°33′37.62125″</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26°47′27.32237″</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608.86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B5</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111°34′11.20948″</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26°47′12.86741″</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410.206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B6</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111°34′11.00428″</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26°47′2.15413″</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276.678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B7</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111°34′4.19443″</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26°46′41.59178″</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499.506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B8</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111°33′16.60989″</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26°46′28.54176″</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534.45</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冷水滩区中心城区曲河、荷叶岭、菱角山水厂三个水厂饮用水源保护区划定结果依据《湖南省人民政府 关于公布湖南省县级以上地表水集中式饮用水水源保护区划定方案的通知》（湘政函</w:t>
      </w:r>
      <w:r>
        <w:rPr>
          <w:rFonts w:hint="eastAsia" w:ascii="仿宋_GB2312" w:hAnsi="宋体" w:eastAsia="仿宋_GB2312" w:cs="宋体"/>
          <w:sz w:val="32"/>
          <w:szCs w:val="32"/>
        </w:rPr>
        <w:t>〔</w:t>
      </w:r>
      <w:r>
        <w:rPr>
          <w:rFonts w:hint="eastAsia" w:ascii="仿宋_GB2312" w:eastAsia="仿宋_GB2312"/>
          <w:sz w:val="32"/>
          <w:szCs w:val="32"/>
        </w:rPr>
        <w:t>2016</w:t>
      </w:r>
      <w:r>
        <w:rPr>
          <w:rFonts w:hint="eastAsia" w:ascii="仿宋_GB2312" w:hAnsi="宋体" w:eastAsia="仿宋_GB2312" w:cs="宋体"/>
          <w:sz w:val="32"/>
          <w:szCs w:val="32"/>
        </w:rPr>
        <w:t>〕</w:t>
      </w:r>
      <w:r>
        <w:rPr>
          <w:rFonts w:hint="eastAsia" w:ascii="仿宋_GB2312" w:eastAsia="仿宋_GB2312"/>
          <w:sz w:val="32"/>
          <w:szCs w:val="32"/>
        </w:rPr>
        <w:t>176号）予以公布，并遵照执行。黄阳司水厂湘江取水口河段饮用水水源保护区、马坪水厂芦洪江取水口河段饮用水水源保护区划定结果依据《湖南省环境保护厅关于对&lt;关于批准永州市地表水集中式饮用水水源保护区划定方案的请示&gt;的批复予以公布，并遵照执行。永州市冷水滩区岚角山水厂、蔡市镇水厂湘江饮用水水源保护区、牛角坝镇石溪江饮用水水源保护区、杨村甸水厂饮用水水源保护区划定结果依据《湖南省生态环境厅&lt;关于划定长沙等14个市州第二批乡镇级“千吨万人”集中式饮用水水源保护区的函&gt;》（湘环函</w:t>
      </w:r>
      <w:r>
        <w:rPr>
          <w:rFonts w:hint="eastAsia" w:ascii="仿宋_GB2312" w:hAnsi="宋体" w:eastAsia="仿宋_GB2312" w:cs="宋体"/>
          <w:sz w:val="32"/>
          <w:szCs w:val="32"/>
        </w:rPr>
        <w:t>〔</w:t>
      </w:r>
      <w:r>
        <w:rPr>
          <w:rFonts w:hint="eastAsia" w:ascii="仿宋_GB2312" w:eastAsia="仿宋_GB2312"/>
          <w:sz w:val="32"/>
          <w:szCs w:val="32"/>
        </w:rPr>
        <w:t>2019</w:t>
      </w:r>
      <w:r>
        <w:rPr>
          <w:rFonts w:hint="eastAsia" w:ascii="仿宋_GB2312" w:hAnsi="宋体" w:eastAsia="仿宋_GB2312" w:cs="宋体"/>
          <w:sz w:val="32"/>
          <w:szCs w:val="32"/>
        </w:rPr>
        <w:t>〕</w:t>
      </w:r>
      <w:r>
        <w:rPr>
          <w:rFonts w:hint="eastAsia" w:ascii="仿宋_GB2312" w:eastAsia="仿宋_GB2312"/>
          <w:sz w:val="32"/>
          <w:szCs w:val="32"/>
        </w:rPr>
        <w:t>231号）予以公布，并遵照执行。</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饮用水水源保护区一、二级保护区保护范围以相关部门划定结果为准。根据《水污染防治法》第六十五条“禁止在饮用水水源一级保护区内新建、改建、扩建与供水设施和保护水源无关的建设项目，已建成的与供水设施和保护水源无关的建设项目，由县级以上人民政府责令拆除或者关闭”、第六十六条“禁止在饮用水水源二级保护区内新建、改建、 扩建排放污染物的建设项目，已建成的排放污染物的建设项目，由县级以上人民政府责令拆除或者关闭”、《湖南省饮用水水源保护条例》第十九条“在饮用水源二级保护区内，除第十八条规定的禁止行为外，还禁止下列行为：（一）设置排污口；（二）新建、改建、扩建排放污染物的建设项目；（三）设置畜禽养殖场、养殖小区”等相关条款约定，冷水滩区饮用水水源保护区一、二级保护区范围内禁止建设养殖场。</w:t>
      </w:r>
      <w:bookmarkStart w:id="13" w:name="_Toc31935041"/>
      <w:bookmarkStart w:id="14" w:name="_Toc18056811"/>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5.1.2自然保护区</w:t>
      </w:r>
      <w:bookmarkEnd w:id="13"/>
      <w:bookmarkEnd w:id="14"/>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包括国家级和地方级自然保护区的核心区和缓冲区，按照各级人民政府公布的自然保护区范围执行。自然保护区核心区和缓冲区范围内，禁止建设养殖场。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湖南冷水滩湘江省级湿地公园位于永州市冷水滩区，湿地公园南起湘江干流冷水滩区与零陵区交界处，北至石溪江上游与湖南永州四明山省级森林公园交界处，西起山口水库西侧库尾，东至湘江干流高溪市镇铁路大桥。湿地公园地理坐标介于东经</w:t>
      </w:r>
      <w:r>
        <w:rPr>
          <w:rFonts w:hint="eastAsia" w:ascii="仿宋_GB2312" w:eastAsia="仿宋_GB2312" w:cs="Times New Roman"/>
          <w:sz w:val="32"/>
          <w:szCs w:val="32"/>
        </w:rPr>
        <w:t>111°31′35″-111°41′19″，北纬26°15′22″-26°44′33″之</w:t>
      </w:r>
      <w:r>
        <w:rPr>
          <w:rFonts w:hint="eastAsia" w:ascii="仿宋_GB2312" w:eastAsia="仿宋_GB2312"/>
          <w:sz w:val="32"/>
          <w:szCs w:val="32"/>
        </w:rPr>
        <w:t>间，公园总面积2531.34公顷，其中湿地面积2331.2公顷。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根据湖南省林业厅《关于同意建立湖南冷水滩湘江等3处省级湿地公园的批复》湘林护【2018】6号文件，文件中同意建立湖南冷水滩湘江、新田河、回龙圩高尚湖3处省级湿地公园。</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湖南冷水滩湘江省级湿地公园范围内禁止建设养殖场。</w:t>
      </w:r>
      <w:bookmarkStart w:id="15" w:name="_Toc18056812"/>
      <w:bookmarkStart w:id="16" w:name="_Toc31935042"/>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5.1.3风景名胜区</w:t>
      </w:r>
      <w:bookmarkEnd w:id="15"/>
      <w:bookmarkEnd w:id="16"/>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包括国家级和省级风景名胜区，以国务院及省级人民政府批准公布的名单为准，范围按照其规划确定的范围执行。其中，风景名胜区的核心景区禁止建设养殖场；其他区域禁止建设有污染物排放的养殖场。冷水滩区无国家级、省级风景名胜区。</w:t>
      </w:r>
      <w:bookmarkStart w:id="17" w:name="_Toc31935043"/>
      <w:bookmarkStart w:id="18" w:name="_Toc18056813"/>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5.1.4城镇居民区、文化教育科学研究区</w:t>
      </w:r>
      <w:bookmarkEnd w:id="17"/>
      <w:bookmarkEnd w:id="18"/>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根据城镇现行总体规划、动物防疫条件、卫生防护和环境保护要求等，因地制宜，兼顾城镇发展，科学设置边界范围，将城市、乡镇建成区及规划区禁止建设区域划定为禁养区，禁止建设规模养殖场。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（1）冷水滩区中心城区建成区及规划区禁止建设区域范围</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冷水滩区中心城区包括梅湾、菱角山、肖家园、杨家桥、梧桐街道、凤凰街道、珊瑚街道、曲河街道、岚角山9个街道，这9个街道建成区及规划区禁止建设区域范围内禁止建设规模养殖场。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（2）乡、镇建成区及规划区禁止建设区域范围</w:t>
      </w:r>
    </w:p>
    <w:p>
      <w:pPr>
        <w:pStyle w:val="25"/>
        <w:widowControl w:val="0"/>
        <w:spacing w:line="640" w:lineRule="exact"/>
        <w:ind w:firstLine="640"/>
        <w:rPr>
          <w:rFonts w:ascii="仿宋_GB2312" w:eastAsia="仿宋_GB2312"/>
          <w:sz w:val="32"/>
          <w:szCs w:val="32"/>
        </w:rPr>
      </w:pPr>
      <w:bookmarkStart w:id="19" w:name="_Toc18056814"/>
      <w:r>
        <w:rPr>
          <w:rFonts w:hint="eastAsia" w:ascii="仿宋_GB2312" w:eastAsia="仿宋_GB2312"/>
          <w:sz w:val="32"/>
          <w:szCs w:val="32"/>
        </w:rPr>
        <w:t>冷水滩区辖区内包括花桥街镇、普利桥镇、牛角坝镇、高溪市镇、黄阳司镇、上岭桥镇、伊塘镇、蔡市镇、杨村甸乡9个乡镇，这9个乡镇政府所在地建成区区及规划区禁止建设区域范围内禁止建设规模养殖场。</w:t>
      </w:r>
      <w:bookmarkStart w:id="20" w:name="_Toc31935044"/>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5.1.5依照法律法规规定应当划定的区域</w:t>
      </w:r>
      <w:bookmarkEnd w:id="19"/>
      <w:bookmarkEnd w:id="20"/>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法律法规规定的其他禁止建设养殖场的区域。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1、国家级、省市县级公益林</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根据《国家林业局 财政部关于印发&lt;国家级公益林区划界定办法&gt;和&lt;国家级公益林管理办法&gt;的通知》（林资发</w:t>
      </w:r>
      <w:r>
        <w:rPr>
          <w:rFonts w:hint="eastAsia" w:ascii="仿宋_GB2312" w:hAnsi="宋体" w:eastAsia="仿宋_GB2312" w:cs="宋体"/>
          <w:sz w:val="32"/>
          <w:szCs w:val="32"/>
        </w:rPr>
        <w:t>〔</w:t>
      </w:r>
      <w:r>
        <w:rPr>
          <w:rFonts w:hint="eastAsia" w:ascii="仿宋_GB2312" w:eastAsia="仿宋_GB2312" w:cs="Times New Roman"/>
          <w:sz w:val="32"/>
          <w:szCs w:val="32"/>
        </w:rPr>
        <w:t>2017</w:t>
      </w:r>
      <w:r>
        <w:rPr>
          <w:rFonts w:hint="eastAsia" w:ascii="仿宋_GB2312" w:hAnsi="宋体" w:eastAsia="仿宋_GB2312" w:cs="宋体"/>
          <w:sz w:val="32"/>
          <w:szCs w:val="32"/>
        </w:rPr>
        <w:t>〕</w:t>
      </w:r>
      <w:r>
        <w:rPr>
          <w:rFonts w:hint="eastAsia" w:ascii="仿宋_GB2312" w:eastAsia="仿宋_GB2312"/>
          <w:sz w:val="32"/>
          <w:szCs w:val="32"/>
        </w:rPr>
        <w:t>34号）中“附件2 国家级公益林管理办法”“第十二条  一级国家级公益林原则上不得开展生产经营活动，严禁打枝、采脂、割漆、剥树皮、掘根等行为。国有一级国家级公益林，不得开展任何形式的生产经营活动”之规定，公益林范围内禁止建设养殖场。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2、湘江干流两岸禁养区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湖南省人民政府办公厅&lt;关于印发湘江干流两岸养殖污染防治工作实施方案&gt;的通知》（湘政办函〔2014〕87号）“湘江长沙综合枢纽库区湘江干流两岸1000米、城镇集中式饮用水水源陆域保护区和湘江长沙综合枢纽库区以外湘江干流两岸500米范围内的陆域应划定为畜禽养殖禁养区，禁止新建畜禽规模养殖场（小区）。湘江长沙综合枢纽库区湘江干流两岸1000－1500米和湘江长沙综合枢纽库区以外湘江干流两岸500－1000米内陆域应划定为限养区”之规定，冷水滩区内湘江干流河道两侧500米范围内陆域禁止建设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根据《基本农田保护条例》第十五条、第十七条“基本农田保护区经依法划定后，任何单位和个人不得改变或者占用”和“禁止任何单位和个人占用基本农田发展林果业和挖塘养鱼”之规定，基本农田保护区范围内禁止建设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4、法律法规规定的其他禁止建设养殖场的区域，按照相关法律法规执行。</w:t>
      </w:r>
      <w:bookmarkStart w:id="21" w:name="_Toc31935045"/>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5.2限养区范围</w:t>
      </w:r>
      <w:bookmarkEnd w:id="21"/>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按照法律、法规、行政规章等规定，在一定区域内限定畜禽养殖数量，区内现有的畜禽养殖场需达到排放总量控制的要求。</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5.2.1.饮用水源保护区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（1）各饮用水水源保护区二级保护区外延500米以内区域。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（2）乡镇申报待批的饮用水源保护区域。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1）普利桥石溪江饮用水水源保护区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根据《永州市冷水滩区石溪江饮用水水源保护区划定技术报告》，</w:t>
      </w:r>
      <w:r>
        <w:rPr>
          <w:rFonts w:hint="eastAsia" w:ascii="仿宋_GB2312" w:eastAsia="仿宋_GB2312"/>
          <w:bCs/>
          <w:sz w:val="32"/>
          <w:szCs w:val="32"/>
        </w:rPr>
        <w:t>普利桥镇石溪江饮用水水源保护区</w:t>
      </w:r>
      <w:r>
        <w:rPr>
          <w:rFonts w:hint="eastAsia" w:ascii="仿宋_GB2312" w:eastAsia="仿宋_GB2312"/>
          <w:sz w:val="32"/>
          <w:szCs w:val="32"/>
        </w:rPr>
        <w:t>总面积1.468km</w:t>
      </w:r>
      <w:r>
        <w:rPr>
          <w:rFonts w:hint="eastAsia" w:ascii="仿宋_GB2312" w:eastAsia="仿宋_GB2312"/>
          <w:sz w:val="32"/>
          <w:szCs w:val="32"/>
          <w:vertAlign w:val="superscript"/>
        </w:rPr>
        <w:t>2</w:t>
      </w:r>
      <w:r>
        <w:rPr>
          <w:rFonts w:hint="eastAsia" w:ascii="仿宋_GB2312" w:eastAsia="仿宋_GB2312"/>
          <w:sz w:val="32"/>
          <w:szCs w:val="32"/>
        </w:rPr>
        <w:t>，其中：一级保护区面积0.1321km</w:t>
      </w:r>
      <w:r>
        <w:rPr>
          <w:rFonts w:hint="eastAsia" w:ascii="仿宋_GB2312" w:eastAsia="仿宋_GB2312"/>
          <w:sz w:val="32"/>
          <w:szCs w:val="32"/>
          <w:vertAlign w:val="superscript"/>
        </w:rPr>
        <w:t>2</w:t>
      </w:r>
      <w:r>
        <w:rPr>
          <w:rFonts w:hint="eastAsia" w:ascii="仿宋_GB2312" w:eastAsia="仿宋_GB2312"/>
          <w:sz w:val="32"/>
          <w:szCs w:val="32"/>
        </w:rPr>
        <w:t>（水域面积0.0255km</w:t>
      </w:r>
      <w:r>
        <w:rPr>
          <w:rFonts w:hint="eastAsia" w:ascii="仿宋_GB2312" w:eastAsia="仿宋_GB2312"/>
          <w:sz w:val="32"/>
          <w:szCs w:val="32"/>
          <w:vertAlign w:val="superscript"/>
        </w:rPr>
        <w:t>2</w:t>
      </w:r>
      <w:r>
        <w:rPr>
          <w:rFonts w:hint="eastAsia" w:ascii="仿宋_GB2312" w:eastAsia="仿宋_GB2312"/>
          <w:sz w:val="32"/>
          <w:szCs w:val="32"/>
        </w:rPr>
        <w:t>，陆域面积0.1066km</w:t>
      </w:r>
      <w:r>
        <w:rPr>
          <w:rFonts w:hint="eastAsia" w:ascii="仿宋_GB2312" w:eastAsia="仿宋_GB2312"/>
          <w:sz w:val="32"/>
          <w:szCs w:val="32"/>
          <w:vertAlign w:val="superscript"/>
        </w:rPr>
        <w:t>2</w:t>
      </w:r>
      <w:r>
        <w:rPr>
          <w:rFonts w:hint="eastAsia" w:ascii="仿宋_GB2312" w:eastAsia="仿宋_GB2312"/>
          <w:sz w:val="32"/>
          <w:szCs w:val="32"/>
        </w:rPr>
        <w:t>），二级保护区面积1.3359km</w:t>
      </w:r>
      <w:r>
        <w:rPr>
          <w:rFonts w:hint="eastAsia" w:ascii="仿宋_GB2312" w:eastAsia="仿宋_GB2312"/>
          <w:sz w:val="32"/>
          <w:szCs w:val="32"/>
          <w:vertAlign w:val="superscript"/>
        </w:rPr>
        <w:t>2</w:t>
      </w:r>
      <w:r>
        <w:rPr>
          <w:rFonts w:hint="eastAsia" w:ascii="仿宋_GB2312" w:eastAsia="仿宋_GB2312"/>
          <w:sz w:val="32"/>
          <w:szCs w:val="32"/>
        </w:rPr>
        <w:t>（水域面积0.0631km²，陆域面积1.2728km</w:t>
      </w:r>
      <w:r>
        <w:rPr>
          <w:rFonts w:hint="eastAsia" w:ascii="仿宋_GB2312" w:eastAsia="仿宋_GB2312"/>
          <w:sz w:val="32"/>
          <w:szCs w:val="32"/>
          <w:vertAlign w:val="superscript"/>
        </w:rPr>
        <w:t>2</w:t>
      </w:r>
      <w:r>
        <w:rPr>
          <w:rFonts w:hint="eastAsia" w:ascii="仿宋_GB2312" w:eastAsia="仿宋_GB2312"/>
          <w:sz w:val="32"/>
          <w:szCs w:val="32"/>
        </w:rPr>
        <w:t>），不设准保护区。</w:t>
      </w:r>
      <w:r>
        <w:rPr>
          <w:rFonts w:hint="eastAsia" w:ascii="仿宋_GB2312" w:eastAsia="仿宋_GB2312"/>
          <w:sz w:val="32"/>
          <w:szCs w:val="32"/>
          <w:lang w:val="en-GB"/>
        </w:rPr>
        <w:t>饮用水水源地保护区的范围见表</w:t>
      </w:r>
      <w:r>
        <w:rPr>
          <w:rFonts w:hint="eastAsia" w:ascii="仿宋_GB2312" w:eastAsia="仿宋_GB2312"/>
          <w:sz w:val="32"/>
          <w:szCs w:val="32"/>
        </w:rPr>
        <w:t>5-13</w:t>
      </w:r>
      <w:r>
        <w:rPr>
          <w:rFonts w:hint="eastAsia" w:ascii="仿宋_GB2312" w:eastAsia="仿宋_GB2312"/>
          <w:sz w:val="32"/>
          <w:szCs w:val="32"/>
          <w:lang w:val="en-GB"/>
        </w:rPr>
        <w:t>、表5-</w:t>
      </w:r>
      <w:r>
        <w:rPr>
          <w:rFonts w:hint="eastAsia" w:ascii="仿宋_GB2312" w:eastAsia="仿宋_GB2312"/>
          <w:sz w:val="32"/>
          <w:szCs w:val="32"/>
        </w:rPr>
        <w:t>14</w:t>
      </w:r>
      <w:r>
        <w:rPr>
          <w:rFonts w:hint="eastAsia" w:ascii="仿宋_GB2312" w:eastAsia="仿宋_GB2312"/>
          <w:sz w:val="32"/>
          <w:szCs w:val="32"/>
          <w:lang w:val="en-GB"/>
        </w:rPr>
        <w:t>。</w:t>
      </w:r>
    </w:p>
    <w:p>
      <w:pPr>
        <w:pStyle w:val="38"/>
        <w:widowControl w:val="0"/>
        <w:spacing w:line="640" w:lineRule="exact"/>
        <w:rPr>
          <w:rFonts w:ascii="仿宋_GB2312" w:eastAsia="仿宋_GB2312"/>
          <w:sz w:val="32"/>
          <w:szCs w:val="32"/>
          <w:lang w:val="en-GB"/>
        </w:rPr>
      </w:pPr>
      <w:r>
        <w:rPr>
          <w:rFonts w:hint="eastAsia" w:ascii="仿宋_GB2312" w:eastAsia="仿宋_GB2312"/>
          <w:sz w:val="32"/>
          <w:szCs w:val="32"/>
          <w:lang w:val="en-GB"/>
        </w:rPr>
        <w:t>表5-13  普利桥镇石溪江饮用水水源保护区划定方案</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4835"/>
        <w:gridCol w:w="1365"/>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483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136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行政区域</w:t>
            </w:r>
          </w:p>
        </w:tc>
        <w:tc>
          <w:tcPr>
            <w:tcW w:w="1398"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dxa"/>
            <w:vMerge w:val="restart"/>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一级保护区</w:t>
            </w:r>
          </w:p>
        </w:tc>
        <w:tc>
          <w:tcPr>
            <w:tcW w:w="483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水域：取水口上游1000米至下游拦河坝，全长1.05km，水域宽度为河道内5年一遇洪水所能淹没的区域。</w:t>
            </w:r>
          </w:p>
        </w:tc>
        <w:tc>
          <w:tcPr>
            <w:tcW w:w="136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岚江社区</w:t>
            </w:r>
          </w:p>
        </w:tc>
        <w:tc>
          <w:tcPr>
            <w:tcW w:w="1398" w:type="dxa"/>
            <w:vAlign w:val="center"/>
          </w:tcPr>
          <w:p>
            <w:pPr>
              <w:jc w:val="center"/>
              <w:textAlignment w:val="center"/>
              <w:rPr>
                <w:rStyle w:val="41"/>
                <w:rFonts w:ascii="仿宋_GB2312" w:eastAsia="仿宋_GB2312"/>
                <w:sz w:val="24"/>
                <w:szCs w:val="24"/>
                <w:lang w:val="en-GB"/>
              </w:rPr>
            </w:pPr>
            <w:r>
              <w:rPr>
                <w:rStyle w:val="41"/>
                <w:rFonts w:hint="eastAsia" w:ascii="仿宋_GB2312" w:eastAsia="仿宋_GB2312"/>
                <w:sz w:val="24"/>
                <w:szCs w:val="24"/>
              </w:rPr>
              <w:t>0.0255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dxa"/>
            <w:vMerge w:val="continue"/>
            <w:vAlign w:val="center"/>
          </w:tcPr>
          <w:p>
            <w:pPr>
              <w:jc w:val="left"/>
              <w:rPr>
                <w:rStyle w:val="41"/>
                <w:rFonts w:ascii="仿宋_GB2312" w:eastAsia="仿宋_GB2312"/>
                <w:sz w:val="24"/>
                <w:szCs w:val="24"/>
                <w:lang w:val="en-GB"/>
              </w:rPr>
            </w:pPr>
          </w:p>
        </w:tc>
        <w:tc>
          <w:tcPr>
            <w:tcW w:w="483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陆域：在一级保护区水域长度范围，水域边界向外延伸纵深50m为界。</w:t>
            </w:r>
          </w:p>
        </w:tc>
        <w:tc>
          <w:tcPr>
            <w:tcW w:w="136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岚江社区</w:t>
            </w:r>
          </w:p>
        </w:tc>
        <w:tc>
          <w:tcPr>
            <w:tcW w:w="1398"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0.1066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dxa"/>
            <w:vMerge w:val="restart"/>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二级保护区</w:t>
            </w:r>
          </w:p>
        </w:tc>
        <w:tc>
          <w:tcPr>
            <w:tcW w:w="483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水域：普利桥水厂取水口上游1000m至上游3000m，以及小溪自汇入处上溯700m的水域。水面宽度为防洪堤内10年一遇洪水所能淹没的区域。</w:t>
            </w:r>
          </w:p>
        </w:tc>
        <w:tc>
          <w:tcPr>
            <w:tcW w:w="136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岚江社区、盐目桥村</w:t>
            </w:r>
          </w:p>
        </w:tc>
        <w:tc>
          <w:tcPr>
            <w:tcW w:w="1398" w:type="dxa"/>
            <w:vAlign w:val="center"/>
          </w:tcPr>
          <w:p>
            <w:pPr>
              <w:jc w:val="center"/>
              <w:textAlignment w:val="center"/>
              <w:rPr>
                <w:rStyle w:val="41"/>
                <w:rFonts w:ascii="仿宋_GB2312" w:eastAsia="仿宋_GB2312"/>
                <w:sz w:val="24"/>
                <w:szCs w:val="24"/>
                <w:lang w:val="en-GB"/>
              </w:rPr>
            </w:pPr>
            <w:r>
              <w:rPr>
                <w:rStyle w:val="41"/>
                <w:rFonts w:hint="eastAsia" w:ascii="仿宋_GB2312" w:eastAsia="仿宋_GB2312"/>
                <w:sz w:val="24"/>
                <w:szCs w:val="24"/>
              </w:rPr>
              <w:t>0.0631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dxa"/>
            <w:vMerge w:val="continue"/>
            <w:vAlign w:val="center"/>
          </w:tcPr>
          <w:p>
            <w:pPr>
              <w:jc w:val="left"/>
              <w:rPr>
                <w:rStyle w:val="41"/>
                <w:rFonts w:ascii="仿宋_GB2312" w:eastAsia="仿宋_GB2312"/>
                <w:sz w:val="24"/>
                <w:szCs w:val="24"/>
                <w:lang w:val="en-GB"/>
              </w:rPr>
            </w:pPr>
          </w:p>
        </w:tc>
        <w:tc>
          <w:tcPr>
            <w:tcW w:w="483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陆域：一、二级保护区水域长度范围内，东、西水域边界向外延伸1000m，有道路或山脊则以道路或山脊为界的全部陆域（一级保护区除外）。</w:t>
            </w:r>
          </w:p>
        </w:tc>
        <w:tc>
          <w:tcPr>
            <w:tcW w:w="136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岚江社区、盐目桥村</w:t>
            </w:r>
          </w:p>
        </w:tc>
        <w:tc>
          <w:tcPr>
            <w:tcW w:w="1398" w:type="dxa"/>
            <w:vAlign w:val="center"/>
          </w:tcPr>
          <w:p>
            <w:pPr>
              <w:jc w:val="center"/>
              <w:textAlignment w:val="center"/>
              <w:rPr>
                <w:rStyle w:val="41"/>
                <w:rFonts w:ascii="仿宋_GB2312" w:eastAsia="仿宋_GB2312"/>
                <w:sz w:val="24"/>
                <w:szCs w:val="24"/>
                <w:lang w:val="en-GB"/>
              </w:rPr>
            </w:pPr>
            <w:r>
              <w:rPr>
                <w:rStyle w:val="41"/>
                <w:rFonts w:hint="eastAsia" w:ascii="仿宋_GB2312" w:eastAsia="仿宋_GB2312"/>
                <w:sz w:val="24"/>
                <w:szCs w:val="24"/>
              </w:rPr>
              <w:t>1.2728</w:t>
            </w:r>
          </w:p>
        </w:tc>
      </w:tr>
    </w:tbl>
    <w:p>
      <w:pPr>
        <w:pStyle w:val="38"/>
        <w:widowControl w:val="0"/>
        <w:jc w:val="both"/>
        <w:rPr>
          <w:rFonts w:ascii="仿宋_GB2312" w:eastAsia="仿宋_GB2312" w:cs="Times New Roman"/>
          <w:kern w:val="2"/>
          <w:sz w:val="32"/>
          <w:szCs w:val="32"/>
          <w:lang w:val="en-GB"/>
        </w:rPr>
      </w:pPr>
      <w:r>
        <w:rPr>
          <w:rFonts w:hint="eastAsia" w:ascii="仿宋_GB2312" w:eastAsia="仿宋_GB2312"/>
          <w:sz w:val="32"/>
          <w:szCs w:val="32"/>
          <w:lang w:val="en-GB"/>
        </w:rPr>
        <w:t>表5-14  普利桥镇石溪江饮用水水源保护区拐点坐标一览表</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983"/>
        <w:gridCol w:w="832"/>
        <w:gridCol w:w="2144"/>
        <w:gridCol w:w="2144"/>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5" w:type="dxa"/>
            <w:gridSpan w:val="2"/>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832"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5725" w:type="dxa"/>
            <w:gridSpan w:val="3"/>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5" w:type="dxa"/>
            <w:gridSpan w:val="2"/>
            <w:vMerge w:val="continue"/>
            <w:vAlign w:val="center"/>
          </w:tcPr>
          <w:p>
            <w:pPr>
              <w:jc w:val="left"/>
              <w:rPr>
                <w:rStyle w:val="41"/>
                <w:rFonts w:ascii="仿宋_GB2312" w:eastAsia="仿宋_GB2312"/>
                <w:sz w:val="24"/>
                <w:szCs w:val="24"/>
              </w:rPr>
            </w:pPr>
          </w:p>
        </w:tc>
        <w:tc>
          <w:tcPr>
            <w:tcW w:w="832" w:type="dxa"/>
            <w:vMerge w:val="continue"/>
            <w:vAlign w:val="center"/>
          </w:tcPr>
          <w:p>
            <w:pPr>
              <w:jc w:val="left"/>
              <w:rPr>
                <w:rStyle w:val="41"/>
                <w:rFonts w:ascii="仿宋_GB2312" w:eastAsia="仿宋_GB2312"/>
                <w:sz w:val="24"/>
                <w:szCs w:val="24"/>
              </w:rPr>
            </w:pPr>
          </w:p>
        </w:tc>
        <w:tc>
          <w:tcPr>
            <w:tcW w:w="4288" w:type="dxa"/>
            <w:gridSpan w:val="2"/>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经纬度</w:t>
            </w:r>
          </w:p>
        </w:tc>
        <w:tc>
          <w:tcPr>
            <w:tcW w:w="143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5" w:type="dxa"/>
            <w:gridSpan w:val="2"/>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普利桥水厂取水口</w:t>
            </w: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Q1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111°35′0.08000″</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26°39′56.13000″</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9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水域</w:t>
            </w: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111°34′59.38302″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26°39′55.31758″</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111°34′58.54295″</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26°39′56.15765″</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A3</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111°34′57.04627″</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26°40′14.92399″</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A4</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111°34′57.77047″</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26°40′14.53293″</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陆域</w:t>
            </w: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111°35′0.70588″</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26°39′54.01886″</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111°34′57.19111″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26°39′57.39361″</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B3</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111°34′55.50132″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26°40′15.78337″</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B4</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111°34′59.33956″</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26°40′13.66389″</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9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水域</w:t>
            </w: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C1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111°34′44.02039″</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26°41′12.29001″</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C2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111°34′59.36370″</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26°41′11.88446″</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C3</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111°34′57.32147″</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26°40′50.19719″</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C4</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111°35′14.01986″</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26°40′36.61468″</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陆域</w:t>
            </w: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111°35′1.70528″</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26°39′53.13534″</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111°34′42.93410″</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26°40′9.04835″</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D3</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111°34′42.77961″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26°41′12.31415″</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D4</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111°35′15.70641″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26°41′10.01603″</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D5</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111°35′17.44448″</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26°40′33.51653″</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D6</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111°35′8.09751″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26°39′54.39061″</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138</w:t>
            </w:r>
          </w:p>
        </w:tc>
      </w:tr>
    </w:tbl>
    <w:p>
      <w:pPr>
        <w:pStyle w:val="25"/>
        <w:widowControl w:val="0"/>
        <w:spacing w:line="240" w:lineRule="auto"/>
        <w:ind w:firstLine="640"/>
        <w:rPr>
          <w:rFonts w:ascii="仿宋_GB2312" w:eastAsia="仿宋_GB2312"/>
          <w:sz w:val="32"/>
          <w:szCs w:val="32"/>
        </w:rPr>
      </w:pPr>
      <w:r>
        <w:rPr>
          <w:rFonts w:hint="eastAsia" w:ascii="仿宋_GB2312" w:eastAsia="仿宋_GB2312"/>
          <w:sz w:val="32"/>
          <w:szCs w:val="32"/>
        </w:rPr>
        <w:t>2）高溪市集中供水工程</w:t>
      </w:r>
    </w:p>
    <w:p>
      <w:pPr>
        <w:pStyle w:val="25"/>
        <w:widowControl w:val="0"/>
        <w:spacing w:line="240" w:lineRule="auto"/>
        <w:ind w:firstLine="640"/>
        <w:rPr>
          <w:rFonts w:ascii="仿宋_GB2312" w:eastAsia="仿宋_GB2312"/>
          <w:sz w:val="32"/>
          <w:szCs w:val="32"/>
        </w:rPr>
      </w:pPr>
      <w:r>
        <w:rPr>
          <w:rFonts w:hint="eastAsia" w:ascii="仿宋_GB2312" w:eastAsia="仿宋_GB2312"/>
          <w:sz w:val="32"/>
          <w:szCs w:val="32"/>
        </w:rPr>
        <w:t>根据《永州市冷水滩区高溪市水厂湘江取水口河段饮用水水源保护区划定技术报告》，高溪市水厂湘江取水口河段饮用水水源保护区总面积7.469km</w:t>
      </w:r>
      <w:r>
        <w:rPr>
          <w:rFonts w:hint="eastAsia" w:ascii="仿宋_GB2312" w:eastAsia="仿宋_GB2312"/>
          <w:sz w:val="32"/>
          <w:szCs w:val="32"/>
          <w:vertAlign w:val="superscript"/>
        </w:rPr>
        <w:t>2</w:t>
      </w:r>
      <w:r>
        <w:rPr>
          <w:rFonts w:hint="eastAsia" w:ascii="仿宋_GB2312" w:eastAsia="仿宋_GB2312"/>
          <w:sz w:val="32"/>
          <w:szCs w:val="32"/>
        </w:rPr>
        <w:t>，其中：一级保护区面积0.509km</w:t>
      </w:r>
      <w:r>
        <w:rPr>
          <w:rFonts w:hint="eastAsia" w:ascii="仿宋_GB2312" w:eastAsia="仿宋_GB2312"/>
          <w:sz w:val="32"/>
          <w:szCs w:val="32"/>
          <w:vertAlign w:val="superscript"/>
        </w:rPr>
        <w:t>2</w:t>
      </w:r>
      <w:r>
        <w:rPr>
          <w:rFonts w:hint="eastAsia" w:ascii="仿宋_GB2312" w:eastAsia="仿宋_GB2312"/>
          <w:sz w:val="32"/>
          <w:szCs w:val="32"/>
        </w:rPr>
        <w:t>（水域面积0.42km</w:t>
      </w:r>
      <w:r>
        <w:rPr>
          <w:rFonts w:hint="eastAsia" w:ascii="仿宋_GB2312" w:eastAsia="仿宋_GB2312"/>
          <w:sz w:val="32"/>
          <w:szCs w:val="32"/>
          <w:vertAlign w:val="superscript"/>
        </w:rPr>
        <w:t>2</w:t>
      </w:r>
      <w:r>
        <w:rPr>
          <w:rFonts w:hint="eastAsia" w:ascii="仿宋_GB2312" w:eastAsia="仿宋_GB2312"/>
          <w:sz w:val="32"/>
          <w:szCs w:val="32"/>
        </w:rPr>
        <w:t>，陆域面积0.089km</w:t>
      </w:r>
      <w:r>
        <w:rPr>
          <w:rFonts w:hint="eastAsia" w:ascii="仿宋_GB2312" w:eastAsia="仿宋_GB2312"/>
          <w:sz w:val="32"/>
          <w:szCs w:val="32"/>
          <w:vertAlign w:val="superscript"/>
        </w:rPr>
        <w:t>2</w:t>
      </w:r>
      <w:r>
        <w:rPr>
          <w:rFonts w:hint="eastAsia" w:ascii="仿宋_GB2312" w:eastAsia="仿宋_GB2312"/>
          <w:sz w:val="32"/>
          <w:szCs w:val="32"/>
        </w:rPr>
        <w:t>），二级保护区面积6.96km</w:t>
      </w:r>
      <w:r>
        <w:rPr>
          <w:rFonts w:hint="eastAsia" w:ascii="仿宋_GB2312" w:eastAsia="仿宋_GB2312"/>
          <w:sz w:val="32"/>
          <w:szCs w:val="32"/>
          <w:vertAlign w:val="superscript"/>
        </w:rPr>
        <w:t>2</w:t>
      </w:r>
      <w:r>
        <w:rPr>
          <w:rFonts w:hint="eastAsia" w:ascii="仿宋_GB2312" w:eastAsia="仿宋_GB2312"/>
          <w:sz w:val="32"/>
          <w:szCs w:val="32"/>
        </w:rPr>
        <w:t>（水域面积1.28km</w:t>
      </w:r>
      <w:r>
        <w:rPr>
          <w:rFonts w:hint="eastAsia" w:ascii="仿宋_GB2312" w:eastAsia="仿宋_GB2312"/>
          <w:sz w:val="32"/>
          <w:szCs w:val="32"/>
          <w:vertAlign w:val="superscript"/>
        </w:rPr>
        <w:t>2</w:t>
      </w:r>
      <w:r>
        <w:rPr>
          <w:rFonts w:hint="eastAsia" w:ascii="仿宋_GB2312" w:eastAsia="仿宋_GB2312"/>
          <w:sz w:val="32"/>
          <w:szCs w:val="32"/>
        </w:rPr>
        <w:t>，陆域面积5.68km</w:t>
      </w:r>
      <w:r>
        <w:rPr>
          <w:rFonts w:hint="eastAsia" w:ascii="仿宋_GB2312" w:eastAsia="仿宋_GB2312"/>
          <w:sz w:val="32"/>
          <w:szCs w:val="32"/>
          <w:vertAlign w:val="superscript"/>
        </w:rPr>
        <w:t>2</w:t>
      </w:r>
      <w:r>
        <w:rPr>
          <w:rFonts w:hint="eastAsia" w:ascii="仿宋_GB2312" w:eastAsia="仿宋_GB2312"/>
          <w:sz w:val="32"/>
          <w:szCs w:val="32"/>
        </w:rPr>
        <w:t>），不设准保护区。</w:t>
      </w:r>
    </w:p>
    <w:p>
      <w:pPr>
        <w:pStyle w:val="25"/>
        <w:widowControl w:val="0"/>
        <w:spacing w:line="240" w:lineRule="auto"/>
        <w:ind w:firstLine="640"/>
        <w:rPr>
          <w:rFonts w:ascii="仿宋_GB2312" w:eastAsia="仿宋_GB2312"/>
          <w:sz w:val="32"/>
          <w:szCs w:val="32"/>
          <w:lang w:val="en-GB"/>
        </w:rPr>
      </w:pPr>
      <w:r>
        <w:rPr>
          <w:rFonts w:hint="eastAsia" w:ascii="仿宋_GB2312" w:eastAsia="仿宋_GB2312"/>
          <w:sz w:val="32"/>
          <w:szCs w:val="32"/>
          <w:lang w:val="en-GB"/>
        </w:rPr>
        <w:t>饮用水水源地保护区的范围见表</w:t>
      </w:r>
      <w:r>
        <w:rPr>
          <w:rFonts w:hint="eastAsia" w:ascii="仿宋_GB2312" w:eastAsia="仿宋_GB2312"/>
          <w:sz w:val="32"/>
          <w:szCs w:val="32"/>
        </w:rPr>
        <w:t>5-15</w:t>
      </w:r>
      <w:r>
        <w:rPr>
          <w:rFonts w:hint="eastAsia" w:ascii="仿宋_GB2312" w:eastAsia="仿宋_GB2312"/>
          <w:sz w:val="32"/>
          <w:szCs w:val="32"/>
          <w:lang w:val="en-GB"/>
        </w:rPr>
        <w:t>、表</w:t>
      </w:r>
      <w:r>
        <w:rPr>
          <w:rFonts w:hint="eastAsia" w:ascii="仿宋_GB2312" w:eastAsia="仿宋_GB2312"/>
          <w:sz w:val="32"/>
          <w:szCs w:val="32"/>
        </w:rPr>
        <w:t>5-16</w:t>
      </w:r>
      <w:r>
        <w:rPr>
          <w:rFonts w:hint="eastAsia" w:ascii="仿宋_GB2312" w:eastAsia="仿宋_GB2312"/>
          <w:sz w:val="32"/>
          <w:szCs w:val="32"/>
          <w:lang w:val="en-GB"/>
        </w:rPr>
        <w:t>。</w:t>
      </w:r>
    </w:p>
    <w:p>
      <w:pPr>
        <w:pStyle w:val="38"/>
        <w:widowControl w:val="0"/>
        <w:jc w:val="both"/>
        <w:rPr>
          <w:rFonts w:ascii="仿宋_GB2312" w:eastAsia="仿宋_GB2312"/>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5-15</w:t>
      </w:r>
      <w:r>
        <w:rPr>
          <w:rFonts w:hint="eastAsia" w:ascii="仿宋_GB2312" w:eastAsia="仿宋_GB2312"/>
          <w:sz w:val="32"/>
          <w:szCs w:val="32"/>
          <w:lang w:val="en-GB"/>
        </w:rPr>
        <w:t xml:space="preserve">  高溪市水厂湘江取水口河段饮用水水源地保护区划定方案</w:t>
      </w:r>
    </w:p>
    <w:tbl>
      <w:tblPr>
        <w:tblStyle w:val="15"/>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242"/>
        <w:gridCol w:w="6311"/>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1242" w:type="dxa"/>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长度（km）</w:t>
            </w:r>
          </w:p>
        </w:tc>
        <w:tc>
          <w:tcPr>
            <w:tcW w:w="6311" w:type="dxa"/>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1357" w:type="dxa"/>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Merge w:val="restart"/>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一级保护区</w:t>
            </w:r>
          </w:p>
        </w:tc>
        <w:tc>
          <w:tcPr>
            <w:tcW w:w="1242" w:type="dxa"/>
            <w:vMerge w:val="restart"/>
            <w:vAlign w:val="center"/>
          </w:tcPr>
          <w:p>
            <w:pPr>
              <w:adjustRightInd w:val="0"/>
              <w:snapToGrid w:val="0"/>
              <w:spacing w:line="260" w:lineRule="exact"/>
              <w:jc w:val="center"/>
              <w:rPr>
                <w:rStyle w:val="41"/>
                <w:rFonts w:ascii="仿宋_GB2312" w:eastAsia="仿宋_GB2312"/>
                <w:sz w:val="24"/>
                <w:szCs w:val="24"/>
              </w:rPr>
            </w:pPr>
            <w:r>
              <w:rPr>
                <w:rStyle w:val="41"/>
                <w:rFonts w:hint="eastAsia" w:ascii="仿宋_GB2312" w:eastAsia="仿宋_GB2312"/>
                <w:sz w:val="24"/>
                <w:szCs w:val="24"/>
              </w:rPr>
              <w:t>1.1</w:t>
            </w:r>
          </w:p>
        </w:tc>
        <w:tc>
          <w:tcPr>
            <w:tcW w:w="6311" w:type="dxa"/>
            <w:vAlign w:val="center"/>
          </w:tcPr>
          <w:p>
            <w:pPr>
              <w:adjustRightInd w:val="0"/>
              <w:snapToGrid w:val="0"/>
              <w:spacing w:line="260" w:lineRule="exact"/>
              <w:rPr>
                <w:rStyle w:val="41"/>
                <w:rFonts w:ascii="仿宋_GB2312" w:eastAsia="仿宋_GB2312"/>
                <w:sz w:val="24"/>
                <w:szCs w:val="24"/>
                <w:lang w:val="en-GB"/>
              </w:rPr>
            </w:pPr>
            <w:r>
              <w:rPr>
                <w:rStyle w:val="41"/>
                <w:rFonts w:hint="eastAsia" w:ascii="仿宋_GB2312" w:eastAsia="仿宋_GB2312"/>
                <w:sz w:val="24"/>
                <w:szCs w:val="24"/>
              </w:rPr>
              <w:t>水域：高溪市水厂湘江取水口处上游1000米至下游100米，水面宽度为防洪堤内5年一遇洪水所能淹没的区域。</w:t>
            </w:r>
          </w:p>
        </w:tc>
        <w:tc>
          <w:tcPr>
            <w:tcW w:w="1357" w:type="dxa"/>
            <w:vAlign w:val="center"/>
          </w:tcPr>
          <w:p>
            <w:pPr>
              <w:adjustRightInd w:val="0"/>
              <w:snapToGrid w:val="0"/>
              <w:spacing w:line="260" w:lineRule="exact"/>
              <w:jc w:val="center"/>
              <w:rPr>
                <w:rStyle w:val="41"/>
                <w:rFonts w:ascii="仿宋_GB2312" w:eastAsia="仿宋_GB2312"/>
                <w:sz w:val="24"/>
                <w:szCs w:val="24"/>
              </w:rPr>
            </w:pPr>
            <w:r>
              <w:rPr>
                <w:rStyle w:val="41"/>
                <w:rFonts w:hint="eastAsia" w:ascii="仿宋_GB2312" w:eastAsia="仿宋_GB2312"/>
                <w:sz w:val="24"/>
                <w:szCs w:val="24"/>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Merge w:val="continue"/>
            <w:vAlign w:val="center"/>
          </w:tcPr>
          <w:p>
            <w:pPr>
              <w:spacing w:line="260" w:lineRule="exact"/>
              <w:jc w:val="left"/>
              <w:rPr>
                <w:rStyle w:val="41"/>
                <w:rFonts w:ascii="仿宋_GB2312" w:eastAsia="仿宋_GB2312"/>
                <w:sz w:val="24"/>
                <w:szCs w:val="24"/>
                <w:lang w:val="en-GB"/>
              </w:rPr>
            </w:pPr>
          </w:p>
        </w:tc>
        <w:tc>
          <w:tcPr>
            <w:tcW w:w="1242" w:type="dxa"/>
            <w:vMerge w:val="continue"/>
            <w:vAlign w:val="center"/>
          </w:tcPr>
          <w:p>
            <w:pPr>
              <w:spacing w:line="260" w:lineRule="exact"/>
              <w:jc w:val="left"/>
              <w:rPr>
                <w:rStyle w:val="41"/>
                <w:rFonts w:ascii="仿宋_GB2312" w:eastAsia="仿宋_GB2312"/>
                <w:sz w:val="24"/>
                <w:szCs w:val="24"/>
              </w:rPr>
            </w:pPr>
          </w:p>
        </w:tc>
        <w:tc>
          <w:tcPr>
            <w:tcW w:w="6311" w:type="dxa"/>
            <w:vAlign w:val="center"/>
          </w:tcPr>
          <w:p>
            <w:pPr>
              <w:adjustRightInd w:val="0"/>
              <w:snapToGrid w:val="0"/>
              <w:spacing w:line="260" w:lineRule="exact"/>
              <w:rPr>
                <w:rStyle w:val="41"/>
                <w:rFonts w:ascii="仿宋_GB2312" w:eastAsia="仿宋_GB2312"/>
                <w:sz w:val="24"/>
                <w:szCs w:val="24"/>
                <w:lang w:val="en-GB"/>
              </w:rPr>
            </w:pPr>
            <w:r>
              <w:rPr>
                <w:rStyle w:val="41"/>
                <w:rFonts w:hint="eastAsia" w:ascii="仿宋_GB2312" w:eastAsia="仿宋_GB2312"/>
                <w:sz w:val="24"/>
                <w:szCs w:val="24"/>
              </w:rPr>
              <w:t>陆域：一级保护区水域长度，纵深范围不小于50米，取水口以北岸以防洪堤为界。</w:t>
            </w:r>
          </w:p>
        </w:tc>
        <w:tc>
          <w:tcPr>
            <w:tcW w:w="1357" w:type="dxa"/>
            <w:vAlign w:val="center"/>
          </w:tcPr>
          <w:p>
            <w:pPr>
              <w:adjustRightInd w:val="0"/>
              <w:snapToGrid w:val="0"/>
              <w:spacing w:line="260" w:lineRule="exact"/>
              <w:jc w:val="center"/>
              <w:rPr>
                <w:rStyle w:val="41"/>
                <w:rFonts w:ascii="仿宋_GB2312" w:eastAsia="仿宋_GB2312"/>
                <w:sz w:val="24"/>
                <w:szCs w:val="24"/>
              </w:rPr>
            </w:pPr>
            <w:r>
              <w:rPr>
                <w:rStyle w:val="41"/>
                <w:rFonts w:hint="eastAsia" w:ascii="仿宋_GB2312" w:eastAsia="仿宋_GB2312"/>
                <w:sz w:val="24"/>
                <w:szCs w:val="24"/>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Merge w:val="restart"/>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二级保护区</w:t>
            </w:r>
          </w:p>
        </w:tc>
        <w:tc>
          <w:tcPr>
            <w:tcW w:w="1242" w:type="dxa"/>
            <w:vMerge w:val="restart"/>
            <w:vAlign w:val="center"/>
          </w:tcPr>
          <w:p>
            <w:pPr>
              <w:adjustRightInd w:val="0"/>
              <w:snapToGrid w:val="0"/>
              <w:spacing w:line="260" w:lineRule="exact"/>
              <w:jc w:val="center"/>
              <w:rPr>
                <w:rStyle w:val="41"/>
                <w:rFonts w:ascii="仿宋_GB2312" w:eastAsia="仿宋_GB2312"/>
                <w:sz w:val="24"/>
                <w:szCs w:val="24"/>
              </w:rPr>
            </w:pPr>
            <w:r>
              <w:rPr>
                <w:rStyle w:val="41"/>
                <w:rFonts w:hint="eastAsia" w:ascii="仿宋_GB2312" w:eastAsia="仿宋_GB2312"/>
                <w:sz w:val="24"/>
                <w:szCs w:val="24"/>
              </w:rPr>
              <w:t>4.2</w:t>
            </w:r>
          </w:p>
        </w:tc>
        <w:tc>
          <w:tcPr>
            <w:tcW w:w="6311" w:type="dxa"/>
            <w:vAlign w:val="center"/>
          </w:tcPr>
          <w:p>
            <w:pPr>
              <w:adjustRightInd w:val="0"/>
              <w:snapToGrid w:val="0"/>
              <w:spacing w:line="260" w:lineRule="exact"/>
              <w:rPr>
                <w:rStyle w:val="41"/>
                <w:rFonts w:ascii="仿宋_GB2312" w:eastAsia="仿宋_GB2312"/>
                <w:sz w:val="24"/>
                <w:szCs w:val="24"/>
                <w:lang w:val="en-GB"/>
              </w:rPr>
            </w:pPr>
            <w:r>
              <w:rPr>
                <w:rStyle w:val="41"/>
                <w:rFonts w:hint="eastAsia" w:ascii="仿宋_GB2312" w:eastAsia="仿宋_GB2312"/>
                <w:sz w:val="24"/>
                <w:szCs w:val="24"/>
              </w:rPr>
              <w:t>水域：取水口上游1000米边界处沿上游水域延伸2千米，下游100米边界处沿下游水域延伸200米，水面宽度为防洪堤内10年一遇洪水所能淹没的区域，由于上游一公里有一支流汇入，支流上游2千米水域也设为二级保护区。</w:t>
            </w:r>
          </w:p>
        </w:tc>
        <w:tc>
          <w:tcPr>
            <w:tcW w:w="1357" w:type="dxa"/>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Merge w:val="continue"/>
            <w:vAlign w:val="center"/>
          </w:tcPr>
          <w:p>
            <w:pPr>
              <w:spacing w:line="260" w:lineRule="exact"/>
              <w:jc w:val="left"/>
              <w:rPr>
                <w:rStyle w:val="41"/>
                <w:rFonts w:ascii="仿宋_GB2312" w:eastAsia="仿宋_GB2312"/>
                <w:sz w:val="24"/>
                <w:szCs w:val="24"/>
                <w:lang w:val="en-GB"/>
              </w:rPr>
            </w:pPr>
          </w:p>
        </w:tc>
        <w:tc>
          <w:tcPr>
            <w:tcW w:w="1242" w:type="dxa"/>
            <w:vMerge w:val="continue"/>
            <w:vAlign w:val="center"/>
          </w:tcPr>
          <w:p>
            <w:pPr>
              <w:spacing w:line="260" w:lineRule="exact"/>
              <w:jc w:val="left"/>
              <w:rPr>
                <w:rStyle w:val="41"/>
                <w:rFonts w:ascii="仿宋_GB2312" w:eastAsia="仿宋_GB2312"/>
                <w:sz w:val="24"/>
                <w:szCs w:val="24"/>
              </w:rPr>
            </w:pPr>
          </w:p>
        </w:tc>
        <w:tc>
          <w:tcPr>
            <w:tcW w:w="6311" w:type="dxa"/>
            <w:vAlign w:val="center"/>
          </w:tcPr>
          <w:p>
            <w:pPr>
              <w:adjustRightInd w:val="0"/>
              <w:snapToGrid w:val="0"/>
              <w:spacing w:line="260" w:lineRule="exact"/>
              <w:rPr>
                <w:rStyle w:val="41"/>
                <w:rFonts w:ascii="仿宋_GB2312" w:eastAsia="仿宋_GB2312"/>
                <w:sz w:val="24"/>
                <w:szCs w:val="24"/>
                <w:lang w:val="en-GB"/>
              </w:rPr>
            </w:pPr>
            <w:r>
              <w:rPr>
                <w:rStyle w:val="41"/>
                <w:rFonts w:hint="eastAsia" w:ascii="仿宋_GB2312" w:eastAsia="仿宋_GB2312"/>
                <w:sz w:val="24"/>
                <w:szCs w:val="24"/>
              </w:rPr>
              <w:t>陆域：以保护区水域两岸山脊线及道路为界除一级保护区陆域范围的所有区域。</w:t>
            </w:r>
          </w:p>
        </w:tc>
        <w:tc>
          <w:tcPr>
            <w:tcW w:w="1357" w:type="dxa"/>
            <w:vAlign w:val="center"/>
          </w:tcPr>
          <w:p>
            <w:pPr>
              <w:adjustRightInd w:val="0"/>
              <w:snapToGrid w:val="0"/>
              <w:spacing w:line="260" w:lineRule="exact"/>
              <w:jc w:val="center"/>
              <w:rPr>
                <w:rStyle w:val="41"/>
                <w:rFonts w:ascii="仿宋_GB2312" w:eastAsia="仿宋_GB2312"/>
                <w:sz w:val="24"/>
                <w:szCs w:val="24"/>
              </w:rPr>
            </w:pPr>
            <w:r>
              <w:rPr>
                <w:rStyle w:val="41"/>
                <w:rFonts w:hint="eastAsia" w:ascii="仿宋_GB2312" w:eastAsia="仿宋_GB2312"/>
                <w:sz w:val="24"/>
                <w:szCs w:val="24"/>
              </w:rPr>
              <w:t>5.68</w:t>
            </w:r>
          </w:p>
        </w:tc>
      </w:tr>
    </w:tbl>
    <w:p>
      <w:pPr>
        <w:pStyle w:val="38"/>
        <w:widowControl w:val="0"/>
        <w:jc w:val="both"/>
        <w:rPr>
          <w:rFonts w:ascii="仿宋_GB2312" w:eastAsia="仿宋_GB2312" w:cs="Times New Roman"/>
          <w:kern w:val="2"/>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5-16</w:t>
      </w:r>
      <w:r>
        <w:rPr>
          <w:rFonts w:hint="eastAsia" w:ascii="仿宋_GB2312" w:eastAsia="仿宋_GB2312"/>
          <w:sz w:val="32"/>
          <w:szCs w:val="32"/>
          <w:lang w:val="en-GB"/>
        </w:rPr>
        <w:t xml:space="preserve">  高溪市水厂湘江取水口河段饮用水水源地保护区拐点坐标一览表</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850"/>
        <w:gridCol w:w="2408"/>
        <w:gridCol w:w="2408"/>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6289" w:type="dxa"/>
            <w:gridSpan w:val="3"/>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经度（东经）</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纬度（北纬）</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取水口</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高溪市</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111°38′55.26″</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26°31′4.62″</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bookmarkStart w:id="22" w:name="OLE_LINK33" w:colFirst="2" w:colLast="3"/>
            <w:r>
              <w:rPr>
                <w:rStyle w:val="41"/>
                <w:rFonts w:hint="eastAsia" w:ascii="仿宋_GB2312" w:eastAsia="仿宋_GB2312"/>
                <w:sz w:val="24"/>
                <w:szCs w:val="24"/>
              </w:rPr>
              <w:t>一级保护区</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A1</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111°38′58.62″</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26°31′5.84″</w:t>
            </w:r>
          </w:p>
        </w:tc>
        <w:tc>
          <w:tcPr>
            <w:tcW w:w="1473"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93.15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A2</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111°39′6.319″</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26°30′57.83″</w:t>
            </w:r>
          </w:p>
        </w:tc>
        <w:tc>
          <w:tcPr>
            <w:tcW w:w="1473"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A3</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111°38′47.25″</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26°30′31.60″</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89.69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A4</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111°38′30.95″</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26°30′40.63″</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87.54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A5</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111°39′7.39″</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26°30′56.52″</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A6</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111°38′48.91″</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26°30′30.87″</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A7</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111°38′29.77″</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26°30′41.91″</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A8</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111°38′58.22″</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26°31′6.43″</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96.16</w:t>
            </w:r>
          </w:p>
        </w:tc>
      </w:tr>
      <w:bookmarkEnd w:id="2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bookmarkStart w:id="23" w:name="OLE_LINK34" w:colFirst="2" w:colLast="3"/>
            <w:r>
              <w:rPr>
                <w:rStyle w:val="41"/>
                <w:rFonts w:hint="eastAsia" w:ascii="仿宋_GB2312" w:eastAsia="仿宋_GB2312"/>
                <w:sz w:val="24"/>
                <w:szCs w:val="24"/>
              </w:rPr>
              <w:t>二级保护区</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111°39′4.61″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26°31′12.46″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B2</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111°39′5.77″</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26°31′8.06″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B3</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111°39′11.21″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26°31′0.63″</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B4</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111°39′19.02″</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26°30′55.00″</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B5</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111°38′29.99″</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26°29′38.84″</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B6</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111°38′23.81″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26°29′41.62″</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B7</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111°38′3.57″</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26°29′46.10″</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B8</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111°37′56.79″</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26°29′48.46″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B9</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111°38′29.68″</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26°30′35.38″</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B10</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111°38′3.36″</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26°30′18.36″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111°37′59.93″</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26°31′31.51″</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B12</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111°37′23.52″</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26°31′37.06″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126.42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B13</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111°38′2.15″</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26°31′30.96″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B14</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111°38′26.80″</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26°31′31.02″</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143.40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B15</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111°38′21.51″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26°30′58.98″</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B16</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111°37′22.99″</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26°30′35.67″</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170.99</w:t>
            </w:r>
          </w:p>
        </w:tc>
      </w:tr>
      <w:bookmarkEnd w:id="23"/>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3）花桥街集中供水工程</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根据《永州市冷水滩区花桥街水厂冷冲小溪取水口河段饮用水水源保护区划定技术报告》，花桥街水厂冷冲小溪取水口河段饮用水水源保护区总面积2.78km</w:t>
      </w:r>
      <w:r>
        <w:rPr>
          <w:rFonts w:hint="eastAsia" w:ascii="仿宋_GB2312" w:eastAsia="仿宋_GB2312"/>
          <w:sz w:val="32"/>
          <w:szCs w:val="32"/>
          <w:vertAlign w:val="superscript"/>
        </w:rPr>
        <w:t>2</w:t>
      </w:r>
      <w:r>
        <w:rPr>
          <w:rFonts w:hint="eastAsia" w:ascii="仿宋_GB2312" w:eastAsia="仿宋_GB2312"/>
          <w:sz w:val="32"/>
          <w:szCs w:val="32"/>
        </w:rPr>
        <w:t>，其中：一级保护区面积0.67km</w:t>
      </w:r>
      <w:r>
        <w:rPr>
          <w:rFonts w:hint="eastAsia" w:ascii="仿宋_GB2312" w:eastAsia="仿宋_GB2312"/>
          <w:sz w:val="32"/>
          <w:szCs w:val="32"/>
          <w:vertAlign w:val="superscript"/>
        </w:rPr>
        <w:t>2</w:t>
      </w:r>
      <w:r>
        <w:rPr>
          <w:rFonts w:hint="eastAsia" w:ascii="仿宋_GB2312" w:eastAsia="仿宋_GB2312"/>
          <w:sz w:val="32"/>
          <w:szCs w:val="32"/>
        </w:rPr>
        <w:t>（水域面积0.001km</w:t>
      </w:r>
      <w:r>
        <w:rPr>
          <w:rFonts w:hint="eastAsia" w:ascii="仿宋_GB2312" w:eastAsia="仿宋_GB2312"/>
          <w:sz w:val="32"/>
          <w:szCs w:val="32"/>
          <w:vertAlign w:val="superscript"/>
        </w:rPr>
        <w:t>2</w:t>
      </w:r>
      <w:r>
        <w:rPr>
          <w:rFonts w:hint="eastAsia" w:ascii="仿宋_GB2312" w:eastAsia="仿宋_GB2312"/>
          <w:sz w:val="32"/>
          <w:szCs w:val="32"/>
        </w:rPr>
        <w:t>，陆域面积0.777km</w:t>
      </w:r>
      <w:r>
        <w:rPr>
          <w:rFonts w:hint="eastAsia" w:ascii="仿宋_GB2312" w:eastAsia="仿宋_GB2312"/>
          <w:sz w:val="32"/>
          <w:szCs w:val="32"/>
          <w:vertAlign w:val="superscript"/>
        </w:rPr>
        <w:t>2</w:t>
      </w:r>
      <w:r>
        <w:rPr>
          <w:rFonts w:hint="eastAsia" w:ascii="仿宋_GB2312" w:eastAsia="仿宋_GB2312"/>
          <w:sz w:val="32"/>
          <w:szCs w:val="32"/>
        </w:rPr>
        <w:t>），二级保护区面积2.53km</w:t>
      </w:r>
      <w:r>
        <w:rPr>
          <w:rFonts w:hint="eastAsia" w:ascii="仿宋_GB2312" w:eastAsia="仿宋_GB2312"/>
          <w:sz w:val="32"/>
          <w:szCs w:val="32"/>
          <w:vertAlign w:val="superscript"/>
        </w:rPr>
        <w:t>2</w:t>
      </w:r>
      <w:r>
        <w:rPr>
          <w:rFonts w:hint="eastAsia" w:ascii="仿宋_GB2312" w:eastAsia="仿宋_GB2312"/>
          <w:sz w:val="32"/>
          <w:szCs w:val="32"/>
        </w:rPr>
        <w:t>（水域面积0.001km</w:t>
      </w:r>
      <w:r>
        <w:rPr>
          <w:rFonts w:hint="eastAsia" w:ascii="仿宋_GB2312" w:eastAsia="仿宋_GB2312"/>
          <w:sz w:val="32"/>
          <w:szCs w:val="32"/>
          <w:vertAlign w:val="superscript"/>
        </w:rPr>
        <w:t>2</w:t>
      </w:r>
      <w:r>
        <w:rPr>
          <w:rFonts w:hint="eastAsia" w:ascii="仿宋_GB2312" w:eastAsia="仿宋_GB2312"/>
          <w:sz w:val="32"/>
          <w:szCs w:val="32"/>
        </w:rPr>
        <w:t>，陆域面积1.892km</w:t>
      </w:r>
      <w:r>
        <w:rPr>
          <w:rFonts w:hint="eastAsia" w:ascii="仿宋_GB2312" w:eastAsia="仿宋_GB2312"/>
          <w:sz w:val="32"/>
          <w:szCs w:val="32"/>
          <w:vertAlign w:val="superscript"/>
        </w:rPr>
        <w:t>2</w:t>
      </w:r>
      <w:r>
        <w:rPr>
          <w:rFonts w:hint="eastAsia" w:ascii="仿宋_GB2312" w:eastAsia="仿宋_GB2312"/>
          <w:sz w:val="32"/>
          <w:szCs w:val="32"/>
        </w:rPr>
        <w:t>），不设准保护区。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饮用水水源地保护区的范围见表5-17、表5-18。</w:t>
      </w:r>
    </w:p>
    <w:p>
      <w:pPr>
        <w:pStyle w:val="38"/>
        <w:widowControl w:val="0"/>
        <w:spacing w:line="640" w:lineRule="exact"/>
        <w:jc w:val="both"/>
        <w:rPr>
          <w:rFonts w:ascii="仿宋_GB2312" w:eastAsia="仿宋_GB2312"/>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5-17</w:t>
      </w:r>
      <w:r>
        <w:rPr>
          <w:rFonts w:hint="eastAsia" w:ascii="仿宋_GB2312" w:eastAsia="仿宋_GB2312"/>
          <w:sz w:val="32"/>
          <w:szCs w:val="32"/>
          <w:lang w:val="en-GB"/>
        </w:rPr>
        <w:t xml:space="preserve">  花桥街水厂冷冲小溪取水口河段饮用水水源地保护区划定方案</w:t>
      </w:r>
    </w:p>
    <w:tbl>
      <w:tblPr>
        <w:tblStyle w:val="15"/>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945"/>
        <w:gridCol w:w="6032"/>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94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长度（km）</w:t>
            </w:r>
          </w:p>
        </w:tc>
        <w:tc>
          <w:tcPr>
            <w:tcW w:w="6032"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范围</w:t>
            </w:r>
          </w:p>
        </w:tc>
        <w:tc>
          <w:tcPr>
            <w:tcW w:w="101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945"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w:t>
            </w:r>
          </w:p>
        </w:tc>
        <w:tc>
          <w:tcPr>
            <w:tcW w:w="6032" w:type="dxa"/>
            <w:vAlign w:val="center"/>
          </w:tcPr>
          <w:p>
            <w:pPr>
              <w:adjustRightInd w:val="0"/>
              <w:snapToGrid w:val="0"/>
              <w:jc w:val="left"/>
              <w:rPr>
                <w:rStyle w:val="41"/>
                <w:rFonts w:ascii="仿宋_GB2312" w:eastAsia="仿宋_GB2312"/>
                <w:sz w:val="24"/>
                <w:szCs w:val="24"/>
              </w:rPr>
            </w:pPr>
            <w:r>
              <w:rPr>
                <w:rStyle w:val="41"/>
                <w:rFonts w:hint="eastAsia" w:ascii="仿宋_GB2312" w:eastAsia="仿宋_GB2312"/>
                <w:sz w:val="24"/>
                <w:szCs w:val="24"/>
              </w:rPr>
              <w:t>水域：花桥街水厂冷冲小溪取水口处上游1000米，水面宽度为防洪堤内5年一遇洪水所能淹没的区域，由于下游蛇油拦截坝，下游不设保护区。</w:t>
            </w:r>
          </w:p>
        </w:tc>
        <w:tc>
          <w:tcPr>
            <w:tcW w:w="101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419" w:type="dxa"/>
            <w:vMerge w:val="continue"/>
            <w:vAlign w:val="center"/>
          </w:tcPr>
          <w:p>
            <w:pPr>
              <w:jc w:val="left"/>
              <w:rPr>
                <w:rStyle w:val="41"/>
                <w:rFonts w:ascii="仿宋_GB2312" w:eastAsia="仿宋_GB2312"/>
                <w:sz w:val="24"/>
                <w:szCs w:val="24"/>
              </w:rPr>
            </w:pPr>
          </w:p>
        </w:tc>
        <w:tc>
          <w:tcPr>
            <w:tcW w:w="945" w:type="dxa"/>
            <w:vMerge w:val="continue"/>
            <w:vAlign w:val="center"/>
          </w:tcPr>
          <w:p>
            <w:pPr>
              <w:jc w:val="left"/>
              <w:rPr>
                <w:rStyle w:val="41"/>
                <w:rFonts w:ascii="仿宋_GB2312" w:eastAsia="仿宋_GB2312"/>
                <w:sz w:val="24"/>
                <w:szCs w:val="24"/>
              </w:rPr>
            </w:pPr>
          </w:p>
        </w:tc>
        <w:tc>
          <w:tcPr>
            <w:tcW w:w="6032" w:type="dxa"/>
            <w:vAlign w:val="center"/>
          </w:tcPr>
          <w:p>
            <w:pPr>
              <w:adjustRightInd w:val="0"/>
              <w:snapToGrid w:val="0"/>
              <w:jc w:val="left"/>
              <w:rPr>
                <w:rStyle w:val="41"/>
                <w:rFonts w:ascii="仿宋_GB2312" w:eastAsia="仿宋_GB2312"/>
                <w:sz w:val="24"/>
                <w:szCs w:val="24"/>
              </w:rPr>
            </w:pPr>
            <w:r>
              <w:rPr>
                <w:rStyle w:val="41"/>
                <w:rFonts w:hint="eastAsia" w:ascii="仿宋_GB2312" w:eastAsia="仿宋_GB2312"/>
                <w:sz w:val="24"/>
                <w:szCs w:val="24"/>
              </w:rPr>
              <w:t>陆域：一级保护区水域长度，纵深范围不小于50米，取水口以北岸以防洪堤为界。</w:t>
            </w:r>
          </w:p>
        </w:tc>
        <w:tc>
          <w:tcPr>
            <w:tcW w:w="101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419"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945"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w:t>
            </w:r>
          </w:p>
        </w:tc>
        <w:tc>
          <w:tcPr>
            <w:tcW w:w="6032" w:type="dxa"/>
            <w:vAlign w:val="center"/>
          </w:tcPr>
          <w:p>
            <w:pPr>
              <w:adjustRightInd w:val="0"/>
              <w:snapToGrid w:val="0"/>
              <w:jc w:val="left"/>
              <w:rPr>
                <w:rStyle w:val="41"/>
                <w:rFonts w:ascii="仿宋_GB2312" w:eastAsia="仿宋_GB2312"/>
                <w:sz w:val="24"/>
                <w:szCs w:val="24"/>
              </w:rPr>
            </w:pPr>
            <w:r>
              <w:rPr>
                <w:rStyle w:val="41"/>
                <w:rFonts w:hint="eastAsia" w:ascii="仿宋_GB2312" w:eastAsia="仿宋_GB2312"/>
                <w:sz w:val="24"/>
                <w:szCs w:val="24"/>
              </w:rPr>
              <w:t>水域：取水口上游1000米边界处沿上游水域延伸至小溪发源地，水面宽度为防洪堤内10年一遇洪水所能淹没的区域。</w:t>
            </w:r>
          </w:p>
        </w:tc>
        <w:tc>
          <w:tcPr>
            <w:tcW w:w="101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Merge w:val="continue"/>
            <w:vAlign w:val="center"/>
          </w:tcPr>
          <w:p>
            <w:pPr>
              <w:jc w:val="left"/>
              <w:rPr>
                <w:rStyle w:val="41"/>
                <w:rFonts w:ascii="仿宋_GB2312" w:eastAsia="仿宋_GB2312"/>
                <w:sz w:val="24"/>
                <w:szCs w:val="24"/>
              </w:rPr>
            </w:pPr>
          </w:p>
        </w:tc>
        <w:tc>
          <w:tcPr>
            <w:tcW w:w="945" w:type="dxa"/>
            <w:vMerge w:val="continue"/>
            <w:vAlign w:val="center"/>
          </w:tcPr>
          <w:p>
            <w:pPr>
              <w:jc w:val="left"/>
              <w:rPr>
                <w:rStyle w:val="41"/>
                <w:rFonts w:ascii="仿宋_GB2312" w:eastAsia="仿宋_GB2312"/>
                <w:sz w:val="24"/>
                <w:szCs w:val="24"/>
              </w:rPr>
            </w:pPr>
          </w:p>
        </w:tc>
        <w:tc>
          <w:tcPr>
            <w:tcW w:w="6032" w:type="dxa"/>
            <w:vAlign w:val="center"/>
          </w:tcPr>
          <w:p>
            <w:pPr>
              <w:adjustRightInd w:val="0"/>
              <w:snapToGrid w:val="0"/>
              <w:jc w:val="left"/>
              <w:rPr>
                <w:rStyle w:val="41"/>
                <w:rFonts w:ascii="仿宋_GB2312" w:eastAsia="仿宋_GB2312"/>
                <w:sz w:val="24"/>
                <w:szCs w:val="24"/>
              </w:rPr>
            </w:pPr>
            <w:r>
              <w:rPr>
                <w:rStyle w:val="41"/>
                <w:rFonts w:hint="eastAsia" w:ascii="仿宋_GB2312" w:eastAsia="仿宋_GB2312"/>
                <w:sz w:val="24"/>
                <w:szCs w:val="24"/>
              </w:rPr>
              <w:t>陆域：以保护区水域两岸山脊线为界除一级保护区陆域范围的所有区域。</w:t>
            </w:r>
          </w:p>
        </w:tc>
        <w:tc>
          <w:tcPr>
            <w:tcW w:w="101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1.892</w:t>
            </w:r>
          </w:p>
        </w:tc>
      </w:tr>
    </w:tbl>
    <w:p>
      <w:pPr>
        <w:pStyle w:val="38"/>
        <w:widowControl w:val="0"/>
        <w:jc w:val="both"/>
        <w:rPr>
          <w:rFonts w:ascii="仿宋_GB2312" w:eastAsia="仿宋_GB2312" w:cs="Times New Roman"/>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w:t>
      </w:r>
      <w:r>
        <w:rPr>
          <w:rFonts w:hint="eastAsia" w:ascii="仿宋_GB2312" w:eastAsia="仿宋_GB2312"/>
          <w:sz w:val="32"/>
          <w:szCs w:val="32"/>
          <w:lang w:val="en-GB"/>
        </w:rPr>
        <w:t>-18  花桥街水厂冷冲小溪取水口河段饮用水水源地保护区拐点坐标一览表</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850"/>
        <w:gridCol w:w="2408"/>
        <w:gridCol w:w="2408"/>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6289" w:type="dxa"/>
            <w:gridSpan w:val="3"/>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经度（东经）</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纬度（北纬）</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取水口</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花桥街</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111°29′42.87″</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26°46′34.32″</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430.324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A1</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111°29′42.64″</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26°47′04.78″</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497.555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A2</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111°29′45.09″</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26°47′04.64″</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500.777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A3</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111°29′46.83″</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26°46′30.53″</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430.111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A4</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111°29′44.75″</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26°46′30.56″</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420.921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111°30′01.21″</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26°47′31.74″</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582.633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B2</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111°30′12.81″</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26°47′11.35″</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620.804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B3</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111°30′0.61″</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26°46′31.26″</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529.111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B4</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111°29′32.64″</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26°46′31.19″</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524.679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B5</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111°29′31.37″</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26°47′20.62″</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478.857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B6</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111°29′45.00″</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26°47′36.35″</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572.673</w:t>
            </w:r>
          </w:p>
        </w:tc>
      </w:tr>
    </w:tbl>
    <w:p>
      <w:pPr>
        <w:pStyle w:val="25"/>
        <w:widowControl w:val="0"/>
        <w:spacing w:line="600" w:lineRule="exact"/>
        <w:ind w:firstLine="640"/>
        <w:rPr>
          <w:rFonts w:ascii="仿宋_GB2312" w:eastAsia="仿宋_GB2312"/>
          <w:sz w:val="32"/>
          <w:szCs w:val="32"/>
        </w:rPr>
      </w:pPr>
      <w:r>
        <w:rPr>
          <w:rFonts w:hint="eastAsia" w:ascii="仿宋_GB2312" w:eastAsia="仿宋_GB2312"/>
          <w:sz w:val="32"/>
          <w:szCs w:val="32"/>
        </w:rPr>
        <w:t>永州市冷水滩区普利桥石溪江饮用水水源保护区，高溪市水厂湘江取水口河段饮用水水源保护区，花桥街水厂冷冲小溪取水口河段饮用水水源保护区，这3个饮用水水源保护区方案已制订，永州市冷水滩区人民政府已向市人民政府提交《关于批准我区供水1000人以上集中式饮用水地表水源保护区的请示》，冷政</w:t>
      </w:r>
      <w:r>
        <w:rPr>
          <w:rFonts w:hint="eastAsia" w:ascii="仿宋_GB2312" w:hAnsi="宋体" w:eastAsia="仿宋_GB2312" w:cs="宋体"/>
          <w:sz w:val="32"/>
          <w:szCs w:val="32"/>
        </w:rPr>
        <w:t>〔</w:t>
      </w:r>
      <w:r>
        <w:rPr>
          <w:rFonts w:hint="eastAsia" w:ascii="仿宋_GB2312" w:eastAsia="仿宋_GB2312"/>
          <w:sz w:val="32"/>
          <w:szCs w:val="32"/>
        </w:rPr>
        <w:t>2017</w:t>
      </w:r>
      <w:r>
        <w:rPr>
          <w:rFonts w:hint="eastAsia" w:ascii="仿宋_GB2312" w:hAnsi="宋体" w:eastAsia="仿宋_GB2312" w:cs="宋体"/>
          <w:sz w:val="32"/>
          <w:szCs w:val="32"/>
        </w:rPr>
        <w:t>〕</w:t>
      </w:r>
      <w:r>
        <w:rPr>
          <w:rFonts w:hint="eastAsia" w:ascii="仿宋_GB2312" w:eastAsia="仿宋_GB2312"/>
          <w:sz w:val="32"/>
          <w:szCs w:val="32"/>
        </w:rPr>
        <w:t>158号文件，目前申报审批中。</w:t>
      </w:r>
    </w:p>
    <w:p>
      <w:pPr>
        <w:pStyle w:val="42"/>
        <w:widowControl w:val="0"/>
        <w:spacing w:line="600" w:lineRule="exact"/>
        <w:ind w:firstLine="640"/>
        <w:rPr>
          <w:rFonts w:ascii="仿宋_GB2312" w:eastAsia="仿宋_GB2312"/>
          <w:sz w:val="32"/>
          <w:szCs w:val="32"/>
        </w:rPr>
      </w:pPr>
      <w:r>
        <w:rPr>
          <w:rFonts w:hint="eastAsia" w:ascii="仿宋_GB2312" w:eastAsia="仿宋_GB2312"/>
          <w:sz w:val="32"/>
          <w:szCs w:val="32"/>
        </w:rPr>
        <w:t>（3）农村集中式饮用水水源保护区</w:t>
      </w:r>
    </w:p>
    <w:p>
      <w:pPr>
        <w:pStyle w:val="25"/>
        <w:widowControl w:val="0"/>
        <w:spacing w:line="600" w:lineRule="exact"/>
        <w:ind w:firstLine="640"/>
        <w:rPr>
          <w:rFonts w:ascii="仿宋_GB2312" w:eastAsia="仿宋_GB2312"/>
          <w:sz w:val="32"/>
          <w:szCs w:val="32"/>
        </w:rPr>
      </w:pPr>
      <w:r>
        <w:rPr>
          <w:rFonts w:hint="eastAsia" w:ascii="仿宋_GB2312" w:eastAsia="仿宋_GB2312"/>
          <w:sz w:val="32"/>
          <w:szCs w:val="32"/>
        </w:rPr>
        <w:t>农村集中式饮用水水源保护区范围详见下表。</w:t>
      </w:r>
    </w:p>
    <w:p>
      <w:pPr>
        <w:pStyle w:val="38"/>
        <w:widowControl w:val="0"/>
        <w:spacing w:line="600" w:lineRule="exact"/>
        <w:rPr>
          <w:rFonts w:ascii="仿宋_GB2312" w:eastAsia="仿宋_GB2312" w:cs="Times New Roman"/>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w:t>
      </w:r>
      <w:r>
        <w:rPr>
          <w:rFonts w:hint="eastAsia" w:ascii="仿宋_GB2312" w:eastAsia="仿宋_GB2312"/>
          <w:sz w:val="32"/>
          <w:szCs w:val="32"/>
          <w:lang w:val="en-GB"/>
        </w:rPr>
        <w:t xml:space="preserve">-19  </w:t>
      </w:r>
      <w:r>
        <w:rPr>
          <w:rFonts w:hint="eastAsia" w:ascii="仿宋_GB2312" w:eastAsia="仿宋_GB2312"/>
          <w:sz w:val="32"/>
          <w:szCs w:val="32"/>
        </w:rPr>
        <w:t>农村集中式饮用水源保护区基本情况表</w:t>
      </w:r>
    </w:p>
    <w:tbl>
      <w:tblPr>
        <w:tblStyle w:val="15"/>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270"/>
        <w:gridCol w:w="708"/>
        <w:gridCol w:w="851"/>
        <w:gridCol w:w="4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noWrap/>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取水工程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取水点</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水源形式</w:t>
            </w:r>
          </w:p>
        </w:tc>
        <w:tc>
          <w:tcPr>
            <w:tcW w:w="4251" w:type="dxa"/>
            <w:shd w:val="clear" w:color="auto" w:fill="auto"/>
            <w:noWrap/>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饮用水水源保护区范围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花桥街镇敏村供水工程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普利桥麻田村供水工程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花桥街镇叉路口村供水工程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花桥街镇枫木井村供水工程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竹山桥镇大塘乾村供水工程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竹山桥镇瓦厂坪村供水工程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牛角坝澄塘村供水工程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蔡市镇三联村陡公脚供水工程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普利桥镇双合村双龙片供水工程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普利桥双合村供水工程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伊塘镇畔塘村供水工程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香花坝村群勇片供水工程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东村8-10组供水工程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东村片供水工程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大坪塘村供水工程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八宝岭村供水工程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高溪市镇甄家冲片供水工程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高溪市水厂</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杨村甸乡保方村画眉山片供水工程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坝</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杨村甸乡保方村胜泥坑片供水工程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坝</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杨村甸乡保方村亭子片供水工程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坝</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黄阳司镇大湾村万福亭片供水工程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高溪市镇樟木凼村供水工程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高溪市镇戈底凼村供水工程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上岭桥镇群勇村香花坝片供水工程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岚角山楚江圩水厂</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伊塘镇柑桔示范场供水工程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伊塘镇曾家村供水工程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伊塘镇新圩村供水工程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蔡市镇水厂</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牛角坝麦子园村供水工程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牛角坝严塘村供水工程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牛角坝柘刺塘村供水工程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岚角山庆桥村供水工程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岚角山寅已塘村供水工程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花桥街秀井头村定塘片供水工程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黄阳司董安桥村供水工程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蔡市镇虾塘村供水工程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花桥街石坝村供水工程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高溪市王家排村供水工程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杨村甸麻风病村供水工程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伊塘堰塘村集中供水工程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孟公山水厂</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普利桥镇荷塘村板塘片供水工程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上岭桥双水村供水工程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伊塘镇山门口村丁塘片供水工程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珊瑚乡桃李坪村供水工程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上岭桥镇上岭桥村堰井片供水工程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伊塘镇堰塘村北塘岭村供水工程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蔡市镇伍家岭村农村饮水工程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岚角山五口井村供水工程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岚角山镇春光村春光片供水工程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上岭桥镇东村华里片供水工程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高溪市香馥坝村供水工程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高溪市欧家村供水工程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高溪市扶桥坝村供水工程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高溪市王家冲村供水工程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高溪市普口村供水工程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杨村甸岭口村供水工程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杨村甸张家排村供水工程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杨村甸黄茶园村供水工程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杨村甸沙子坳村供水工程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花桥街镇集中供水工程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坝</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牛角坝镇集中供水工程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普利桥镇集中供水工程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普利桥镇杉木桥村集中供水工程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杨村甸乡贯子头村供水工程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杨村甸乡集中供水工程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坝</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杨村甸堆子头村供水工程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花桥街秀井头村供水工程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花桥街新铺村供水工程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伊塘镇堰塘村左家片供水工程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伊塘镇堰塘村新仓头片供水工程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牛角圩水厂</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伊塘山门口村供水工程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伊塘茶花村供水工程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上岭桥明塘村供水工程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上岭桥三大桥村供水工程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普利桥宽公村供水工程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普利桥荷塘村供水工程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普利桥拱桥村供水工程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普利桥八井村供水工程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牛角坝杉树园村供水工程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牛角坝牛角圩村供水工程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黄阳司天里坪村供水工程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黄阳司大湾村供水工程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黄阳司周家巷村供水工程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黄阳司严家村供水工程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黄阳司田坝塘村供水工程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黄阳司社湾村供水工程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黄阳司坪湖塘村供水工程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黄阳司菱角塘村供水工程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黄阳司何家亭村供水工程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黄阳司冯干岭村供水工程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黄阳司郝皮桥村供水工程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蔡市镇伍家岭村皂脚头片供水工程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蔡市镇三联村村委片供水工程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蔡市镇三联村油铺里片腊门组供水工程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蔡市镇三联村油铺里片陡公脚组供水工程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蔡市沙坪里村供水工程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蔡市三龙塘村供水工程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蔡市镇三联村油铺里片供水工程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蔡市伍家岭村供水工程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蔡市灯牙塘村供水工程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蔡市镇全福村供水工程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蔡市零东圩村供水工程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蔡市池塘铺村供水工程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竹山桥古塘村供水工程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竹山桥楼子房村供水工程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上岭桥龙门寺村供水工程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竹山桥潮水学校供水工程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上岭桥万喜登农科园区供水工程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竹山桥八角塘村供水工程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花桥街金山岭村供水工程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花桥街高龙村供水工程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花桥街温水塘村供水工程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花桥街坪塘村供水工程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普利桥石马村供水工程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上岭桥镇阳山观村江边片供水工程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上岭桥枫木塘村供水工程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上岭桥芹菜塘村供水工程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上岭桥镇东村供水工程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普利桥落刀塘村供水工程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普利桥企塘冲村供水工程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普利桥竹家冲村供水工程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普利桥雨塘村供水工程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普利桥盐目桥村供水工程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普利桥江子塘村供水工程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伊塘镇庙山村供水工程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马坪供水公司供水工程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岚角山水厂供水工程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黄阳司水厂供水工程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bl>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5.2.2.湖南冷水滩湘江省级湿地公园边界外延500米以内区域。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5.2.3.湖南腾云岭国家森林公园、永州森林植物园、敏村景区区域。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（1）湖南腾云岭国家森林公园</w:t>
      </w:r>
    </w:p>
    <w:p>
      <w:pPr>
        <w:pStyle w:val="25"/>
        <w:widowControl w:val="0"/>
        <w:spacing w:line="680" w:lineRule="exact"/>
        <w:ind w:firstLine="640"/>
        <w:rPr>
          <w:rFonts w:ascii="仿宋_GB2312" w:eastAsia="仿宋_GB2312" w:cs="Times New Roman"/>
          <w:sz w:val="32"/>
          <w:szCs w:val="32"/>
        </w:rPr>
      </w:pPr>
      <w:r>
        <w:rPr>
          <w:rFonts w:hint="eastAsia" w:ascii="仿宋_GB2312" w:eastAsia="仿宋_GB2312"/>
          <w:sz w:val="32"/>
          <w:szCs w:val="32"/>
        </w:rPr>
        <w:t>湖南腾云岭国家森林公园位于永州市冷水滩区，公园总面积3744.73公顷，其中林地面积3434.16公顷。地理坐标介于东经</w:t>
      </w:r>
      <w:r>
        <w:rPr>
          <w:rFonts w:hint="eastAsia" w:ascii="仿宋_GB2312" w:eastAsia="仿宋_GB2312" w:cs="Times New Roman"/>
          <w:sz w:val="32"/>
          <w:szCs w:val="32"/>
        </w:rPr>
        <w:t>111°29′45″-111°32′46″，北纬26°44′05″-26°49′36″之</w:t>
      </w:r>
      <w:r>
        <w:rPr>
          <w:rFonts w:hint="eastAsia" w:ascii="仿宋_GB2312" w:eastAsia="仿宋_GB2312"/>
          <w:sz w:val="32"/>
          <w:szCs w:val="32"/>
        </w:rPr>
        <w:t>间。森林公园四至范围：岭口水库大坝（沿公路至）唐家台（沿岭口水库左干渠至）岭口水库左干渠与禁山岭小路交汇点（沿禁山岭小路至）小池塘（沿林缘至）海拔290米等高线（沿等高线至）清水庵小路（沿林缘至）清水阉（沿山脊至）寨子岭（沿马坪国有林场至）桌子岭（沿山脊，经海拔655.8米山顶至）三岐岭（沿山脊，经海拔694.2米山顶至）海拔614.2米山顶（沿山脊至）岩鹰窝山沟（沿山脊至）海拔659.6米山顶（沿山脊，经海拔574.8米山顶、海拔613.8米山顶、海拔6958米山顶至)海拔750.2米山顶（沿山脊至）东经</w:t>
      </w:r>
      <w:r>
        <w:rPr>
          <w:rFonts w:hint="eastAsia" w:ascii="仿宋_GB2312" w:eastAsia="仿宋_GB2312" w:cs="Times New Roman"/>
          <w:sz w:val="32"/>
          <w:szCs w:val="32"/>
        </w:rPr>
        <w:t>111°34′14″、北纬26°48′07″</w:t>
      </w:r>
      <w:r>
        <w:rPr>
          <w:rFonts w:hint="eastAsia" w:ascii="仿宋_GB2312" w:eastAsia="仿宋_GB2312"/>
          <w:sz w:val="32"/>
          <w:szCs w:val="32"/>
        </w:rPr>
        <w:t>坐标点（沿杨村甸乡保方村山边界至）雷家岭山沟（沿山沟至）海拔928.8米山顶（沿山脊防火线至）腾云岭（沿县界至）海拔923.8米山顶（沿山脊，经海拔890.2米山顶、海拔860.4米山顶至）沙子坑（沿山脊，经海拔932.0米山顶至）杨村甸乡黄茶园村分</w:t>
      </w:r>
      <w:r>
        <w:rPr>
          <w:rFonts w:hint="eastAsia" w:ascii="仿宋_GB2312" w:eastAsia="仿宋_GB2312" w:cs="Times New Roman"/>
          <w:sz w:val="32"/>
          <w:szCs w:val="32"/>
        </w:rPr>
        <w:t>水岭（沿县界至）海拔841.8米山顶（沿县界，经海拔954.8米山顶至）龙骨脑（沿县界，经海拔7772米山顶至）海拔534.0米山顶（沿山脊，经海拔452.2米山顶至）阳家院子山沟（沿杨村甸乡张家排村界至）东经111°30′45″、北纬26°45′59″坐标点（沿山脊至）海拔569.4米山顶（沿县界至）海拔716.8米山顶（沿县界至）东经111°29′54″、北纬26°46′41″坐标点（沿山脊至）唐家院子（沿山沟小路，跨油榨山沟至）花桥街镇江西甸村公路（沿山脊至）山顶（沿山脊，经海拔488.0米山顶至）海拔437.6米山顶（沿山脊至）海拔556.2米山顶（沿山脊，经海拔564.8米山顶、海拔584.0米山顶、海拔628.2米山顶、海拔582.2米山顶、海拔622.8米山顶至）海拔616.0米山顶（沿山脊，经海拔533.6米山顶至）东经111°31′16″、北纬26°45′05″坐标点（沿山脊，经海拔347.0米山顶至）东经111°31′34″、北纬26°44′56″坐标点（沿山脊至）东经111°31′42″北纬26°44′05″坐标点（沿山脊至）海拔624.3米山顶（沿山脊，经海拔653.3米山顶、海拔682.2米山顶、海拔684.6米山顶至）鸡公坪（沿电岐壑山脊至）海拨393.4米山谷（沿山沟至）岭口水库右干渠（沿渠道至）岭口水库大坝。</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2019年1月25日，国家林业和草原局下达《关于准予设立湖南腾云岭国家森林公园的行政许可决定》（林场许准</w:t>
      </w:r>
      <w:r>
        <w:rPr>
          <w:rFonts w:hint="eastAsia" w:ascii="仿宋_GB2312" w:hAnsi="宋体" w:eastAsia="仿宋_GB2312" w:cs="宋体"/>
          <w:sz w:val="32"/>
          <w:szCs w:val="32"/>
        </w:rPr>
        <w:t>〔</w:t>
      </w:r>
      <w:r>
        <w:rPr>
          <w:rFonts w:hint="eastAsia" w:ascii="仿宋_GB2312" w:eastAsia="仿宋_GB2312"/>
          <w:sz w:val="32"/>
          <w:szCs w:val="32"/>
        </w:rPr>
        <w:t>2019</w:t>
      </w:r>
      <w:r>
        <w:rPr>
          <w:rFonts w:hint="eastAsia" w:ascii="仿宋_GB2312" w:hAnsi="宋体" w:eastAsia="仿宋_GB2312" w:cs="宋体"/>
          <w:sz w:val="32"/>
          <w:szCs w:val="32"/>
        </w:rPr>
        <w:t>〕</w:t>
      </w:r>
      <w:r>
        <w:rPr>
          <w:rFonts w:hint="eastAsia" w:ascii="仿宋_GB2312" w:eastAsia="仿宋_GB2312"/>
          <w:sz w:val="32"/>
          <w:szCs w:val="32"/>
        </w:rPr>
        <w:t>139号）文件，批准设立“湖南腾云岭国家森林公园”。</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（2）永州森林植物园</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永州森林植物园地处永州中心城区冷水滩区东郊的伊塘镇，距中心城区12公里，处于冷水滩区、零陵区和祁阳县三个县区的结合部，北距省会长沙380公里，南离广西桂林180公里，毗邻九嶷山、舜皇山、阳明山、金洞等著名风景区，地理位置十分优越。</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永州森林植物园于2012年经永州市人民政府批准、在市林科所基础上设立的，与市林科所、市孟公山林场、省林科院永州分院实行四块牌子一套人马，是集林业科研科普、苗木生产、森林旅游等于一体的公益性一类事业单位，现有干部职工92人。永州森林植物园总面积合计达7800亩（520公顷）园内有各类植物2000多种，其中国家重点保护植物76种，森林覆盖率达94.5%。</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（3）敏村景区</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根据《湖南省旅游景区质量等级管理办法》规定，依照中华人民共和国国家标准《旅游景区质量等级的划分与评定》，冷水滩区敏村景区等11家景区达到国家3A级旅游景区质量标准要求，被批准为国家3A级旅游景区。</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敏村位于冷水滩区花桥街镇东面，与腾云岭相连，系冷水滩区、祁阳县、东安县三地交界之处，全村总占地面积5.68平方公里，分为14个村民小组，408户1622人，耕地面积1113亩，林地面积5898亩，地理位置优越，生态环境保持完好，2018年被确定为省级美丽乡村建设重点村。</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5.2.4.城镇居民区、文化教育科学研究区等人口集中区禁养区外延500米以内区域。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5.2.5.永州机场边界外延500米以内区域。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5.2.6.主要交通主干道两侧区域：衡枣高速G72、邵永高速G55、322国道、永州大道、湘桂铁道冷水滩段两侧500米以内区域。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5.2.7.重要河流、水库区域：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（1）湘江干流两岸，500米至1000米范围内区域。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（2）湘江一级支流石溪江、芦洪江、烟江、楚江两侧500米以内区域。</w:t>
      </w:r>
    </w:p>
    <w:p>
      <w:pPr>
        <w:pStyle w:val="25"/>
        <w:widowControl w:val="0"/>
        <w:spacing w:line="680" w:lineRule="exact"/>
        <w:ind w:firstLine="640"/>
        <w:rPr>
          <w:rFonts w:ascii="仿宋_GB2312" w:eastAsia="仿宋_GB2312" w:cs="Times New Roman"/>
          <w:sz w:val="32"/>
          <w:szCs w:val="32"/>
        </w:rPr>
      </w:pPr>
      <w:r>
        <w:rPr>
          <w:rFonts w:hint="eastAsia" w:ascii="仿宋_GB2312" w:eastAsia="仿宋_GB2312"/>
          <w:sz w:val="32"/>
          <w:szCs w:val="32"/>
        </w:rPr>
        <w:t>（3）冷水滩区</w:t>
      </w:r>
      <w:r>
        <w:rPr>
          <w:rFonts w:hint="eastAsia" w:ascii="仿宋_GB2312" w:eastAsia="仿宋_GB2312" w:cs="Times New Roman"/>
          <w:sz w:val="32"/>
          <w:szCs w:val="32"/>
        </w:rPr>
        <w:t>中型水库（1座）设计洪水位以外水平延伸500米以内的陆域；小（</w:t>
      </w:r>
      <w:r>
        <w:rPr>
          <w:rFonts w:hint="eastAsia" w:ascii="仿宋_GB2312" w:hAnsi="仿宋" w:eastAsia="仿宋_GB2312" w:cs="Times New Roman"/>
          <w:sz w:val="32"/>
          <w:szCs w:val="32"/>
        </w:rPr>
        <w:t>I</w:t>
      </w:r>
      <w:r>
        <w:rPr>
          <w:rFonts w:hint="eastAsia" w:ascii="仿宋_GB2312" w:eastAsia="仿宋_GB2312" w:cs="Times New Roman"/>
          <w:sz w:val="32"/>
          <w:szCs w:val="32"/>
        </w:rPr>
        <w:t>）型水库（9座）设计洪水位以外水平延伸200米以内的陆域。</w:t>
      </w:r>
    </w:p>
    <w:p>
      <w:pPr>
        <w:pStyle w:val="38"/>
        <w:widowControl w:val="0"/>
        <w:spacing w:line="640" w:lineRule="exact"/>
        <w:ind w:firstLine="640" w:firstLineChars="200"/>
        <w:jc w:val="both"/>
        <w:rPr>
          <w:rFonts w:ascii="仿宋_GB2312" w:eastAsia="仿宋_GB2312"/>
          <w:sz w:val="32"/>
          <w:szCs w:val="32"/>
        </w:rPr>
      </w:pPr>
      <w:r>
        <w:rPr>
          <w:rFonts w:hint="eastAsia" w:ascii="仿宋_GB2312" w:eastAsia="仿宋_GB2312"/>
          <w:sz w:val="32"/>
          <w:szCs w:val="32"/>
        </w:rPr>
        <w:t>表5-20   冷水滩区水库基本情况表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273"/>
        <w:gridCol w:w="1558"/>
        <w:gridCol w:w="2410"/>
        <w:gridCol w:w="1565"/>
        <w:gridCol w:w="1031"/>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40" w:hRule="atLeast"/>
        </w:trPr>
        <w:tc>
          <w:tcPr>
            <w:tcW w:w="678"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序号</w:t>
            </w:r>
          </w:p>
        </w:tc>
        <w:tc>
          <w:tcPr>
            <w:tcW w:w="1273"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水库名称</w:t>
            </w:r>
          </w:p>
        </w:tc>
        <w:tc>
          <w:tcPr>
            <w:tcW w:w="1558"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坝址(乡-村)</w:t>
            </w:r>
          </w:p>
        </w:tc>
        <w:tc>
          <w:tcPr>
            <w:tcW w:w="2410"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集雨面积（外引）（km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c>
          <w:tcPr>
            <w:tcW w:w="1565"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总库容(万m</w:t>
            </w:r>
            <w:r>
              <w:rPr>
                <w:rStyle w:val="41"/>
                <w:rFonts w:hint="eastAsia" w:ascii="仿宋_GB2312" w:eastAsia="仿宋_GB2312"/>
                <w:sz w:val="24"/>
                <w:szCs w:val="24"/>
                <w:vertAlign w:val="superscript"/>
              </w:rPr>
              <w:t>3</w:t>
            </w:r>
            <w:r>
              <w:rPr>
                <w:rStyle w:val="41"/>
                <w:rFonts w:hint="eastAsia" w:ascii="仿宋_GB2312" w:eastAsia="仿宋_GB2312"/>
                <w:sz w:val="24"/>
                <w:szCs w:val="24"/>
              </w:rPr>
              <w:t>)</w:t>
            </w:r>
          </w:p>
        </w:tc>
        <w:tc>
          <w:tcPr>
            <w:tcW w:w="1031"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坝高(m)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40" w:hRule="atLeast"/>
        </w:trPr>
        <w:tc>
          <w:tcPr>
            <w:tcW w:w="678"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558"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2410"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565"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一</w:t>
            </w:r>
          </w:p>
        </w:tc>
        <w:tc>
          <w:tcPr>
            <w:tcW w:w="7844" w:type="dxa"/>
            <w:gridSpan w:val="6"/>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中型水库（1座）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岭口水库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杨村甸-岭口</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 xml:space="preserve">43.10 </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 xml:space="preserve">1185.0 </w:t>
            </w:r>
          </w:p>
        </w:tc>
        <w:tc>
          <w:tcPr>
            <w:tcW w:w="1038" w:type="dxa"/>
            <w:gridSpan w:val="2"/>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二</w:t>
            </w:r>
          </w:p>
        </w:tc>
        <w:tc>
          <w:tcPr>
            <w:tcW w:w="7837" w:type="dxa"/>
            <w:gridSpan w:val="5"/>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小I型水库（9座）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1</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铁炉冲水库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珊瑚-桃李坪村</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1.9（0.7）</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136.6</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2</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哲塘冲水库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上岭桥-双水村</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0.7</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179.8</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3</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三百塘水库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伊塘-庙山村</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1.51</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124.8</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4</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drawing>
                <wp:anchor distT="0" distB="0" distL="114300" distR="114300" simplePos="0" relativeHeight="251660288" behindDoc="0" locked="0" layoutInCell="1" allowOverlap="1">
                  <wp:simplePos x="0" y="0"/>
                  <wp:positionH relativeFrom="column">
                    <wp:posOffset>38100</wp:posOffset>
                  </wp:positionH>
                  <wp:positionV relativeFrom="paragraph">
                    <wp:posOffset>19050</wp:posOffset>
                  </wp:positionV>
                  <wp:extent cx="95250" cy="238125"/>
                  <wp:effectExtent l="0" t="0" r="0" b="0"/>
                  <wp:wrapNone/>
                  <wp:docPr id="2" name="Text Box 12"/>
                  <wp:cNvGraphicFramePr/>
                  <a:graphic xmlns:a="http://schemas.openxmlformats.org/drawingml/2006/main">
                    <a:graphicData uri="http://schemas.openxmlformats.org/drawingml/2006/picture">
                      <pic:pic xmlns:pic="http://schemas.openxmlformats.org/drawingml/2006/picture">
                        <pic:nvPicPr>
                          <pic:cNvPr id="2" name="Text Box 12"/>
                          <pic:cNvPicPr/>
                        </pic:nvPicPr>
                        <pic:blipFill>
                          <a:blip r:embed="rId8" cstate="print"/>
                          <a:stretch>
                            <a:fillRect/>
                          </a:stretch>
                        </pic:blipFill>
                        <pic:spPr>
                          <a:xfrm>
                            <a:off x="0" y="0"/>
                            <a:ext cx="95250" cy="238125"/>
                          </a:xfrm>
                          <a:prstGeom prst="rect">
                            <a:avLst/>
                          </a:prstGeom>
                          <a:noFill/>
                          <a:ln>
                            <a:noFill/>
                          </a:ln>
                        </pic:spPr>
                      </pic:pic>
                    </a:graphicData>
                  </a:graphic>
                </wp:anchor>
              </w:drawing>
            </w:r>
            <w:r>
              <w:rPr>
                <w:rStyle w:val="41"/>
                <w:rFonts w:hint="eastAsia" w:ascii="仿宋_GB2312" w:eastAsia="仿宋_GB2312"/>
                <w:sz w:val="24"/>
                <w:szCs w:val="24"/>
              </w:rPr>
              <w:t>小吉塘水库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蔡市-三龙塘</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6.24</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555</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5</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敢塘水库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牛角坝-柘刺塘</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1.72</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139.5</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6</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挑水塘水库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牛角坝-杉树园</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0.3</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102</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7</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红坝水库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黄阳司-五里坪</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17.2</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185.3</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8</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建设水库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黄阳司-五福亭</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1.87</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293</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9</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山口水库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杨村甸-堆子头</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47.6</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424</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35</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5.2.8.高密度饲养区：其它养殖密度大于1000头每平方公里（以生猪存栏计量）的区域。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5.2.9.根据城乡发展规划和区域污染物排放总量控制要求，应当限制养殖的区域。</w:t>
      </w:r>
      <w:bookmarkStart w:id="24" w:name="_Toc31935046"/>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5.3适养区范围</w:t>
      </w:r>
      <w:bookmarkEnd w:id="24"/>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冷水滩区行政区域范围内除禁养区和限养区以外的其它满足环境容量区域的为适养区。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在畜禽养殖适养区内从事畜禽养殖的，应当遵守国家相关的法律法规，通过相关部门审批，并根据国家有关建设项目环境保护管理规定，开展环境影响评估，其污染防治措施及畜禽排泄物综合利用措施必须与主体工程同步设计、同步施工、同步投产使用，其污染物排放不得超过国家和地方规定的排放标准和总量控制要求。</w:t>
      </w:r>
      <w:bookmarkStart w:id="25" w:name="_Toc31935047"/>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6.工作要求</w:t>
      </w:r>
      <w:bookmarkEnd w:id="25"/>
      <w:bookmarkStart w:id="26" w:name="_Toc31935048"/>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6.1执行标准</w:t>
      </w:r>
      <w:bookmarkEnd w:id="26"/>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按照“谁污染、谁治理”原则，督促各养殖场履行环保义务。禁养区内不符合要求的养殖场应按规定关闭、搬迁并完全消除遗留环境污染。限养区内新、扩建畜禽规模养殖场需经相关部门审批同意后方可建设，限养区内的已有养殖场需配套畜禽粪便治理设施。适养区内各养殖场整治工作要坚持“综合利用优先，资源化、无害化和减量化”的原则，严格按照《畜禽养殖业污染防治技术规范》</w:t>
      </w:r>
      <w:r>
        <w:rPr>
          <w:rFonts w:hint="eastAsia" w:ascii="仿宋_GB2312" w:hAnsi="宋体" w:eastAsia="仿宋_GB2312"/>
          <w:sz w:val="32"/>
          <w:szCs w:val="32"/>
        </w:rPr>
        <w:t>（HJ/T81—2001）</w:t>
      </w:r>
      <w:r>
        <w:rPr>
          <w:rFonts w:hint="eastAsia" w:ascii="仿宋_GB2312" w:eastAsia="仿宋_GB2312"/>
          <w:sz w:val="32"/>
          <w:szCs w:val="32"/>
        </w:rPr>
        <w:t>进行整改。</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全区经济发展水平及环境容量等方面综合考虑，原则上要求禁养区外规模化养殖场在完成整改等措施后，均需实现养殖废弃物全部综合利用。位于划定的适养区和限养区的规模养殖场，需进行相应污染治理措施整改的，验收标准按原环评、环评批复以及《畜禽养殖业污染物排放标准》（GB 18596-2001）的相关规定执行。</w:t>
      </w:r>
      <w:bookmarkStart w:id="27" w:name="_Toc31935049"/>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6.2实施程序</w:t>
      </w:r>
      <w:bookmarkEnd w:id="27"/>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1、前期报备</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各乡镇街道负责对各养殖场进行报备通知，报备内容应包括养殖地点、养殖类型与最大规模、现有环保设施与当前养殖粪污处理方式。</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2、政策通知</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本方案由区人民政府审批通过后进行公示，各乡镇人民政府通知管辖区域内的养殖场。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3、摸底排查</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各乡镇街道配合区农业农村局、区生态环境分局完成全面摸底清查，对未进行报备、未据实报备的规模化养殖场下达限期改正或处罚通知。</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4、方案执行</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畜禽规模养殖污染防治条例》（2013年11月11日国务院令第643号，2014年1月1日起施行）第三十七条“违反本条例规定，在禁止养殖区域内建设畜禽养殖场、养殖小区的，由县级以上地方人民政府环境保护主管部门责令停止违法行为；拒不停止违法行为的，处3万元以上10万元以下的罚款，并报县级以上人民政府责令拆除或者关闭。在饮用水水源保护区建设畜禽养殖场、养殖小区的，由县级以上地方人民政府环境保护主管部门责令停止违法行为，处10万元以上50万元以下的罚款，并报经有批准权的人民政府批准，责令拆除或者关闭”之规定，由区生态环境分局上报区人民政府对禁养区内不符合要求的养殖场下达关停或限期搬迁通知，对限养区内的规模化养殖场下达限养区管理通知，对适养区内的规模化养殖场进行现场核查。禁养区的规模化养殖场在接到通知后，应提供关停/搬迁方案与时间表、遗留环境污染治理方案；限养区内的规模化养殖场在接到通知后，应提供环保验收资料、不在原址扩大养殖规模的承诺书；适养区内的规模化养殖场在接到通知后，应提供环保验收资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限养区、适养区范围内的原有规模化养殖场应履行环境保护“三同时”竣工验收手续。如未能提供环保验收资料，建设单位需在限定期限内完成环保验收手续。污染治理措施缺失或具有较大缺陷的，应立即按照环保要求制定环保治理工程实施方案并报环保局审查，审查通过后严格按照实施方案进行施工，限期完成整改并采取措施消除影响。环保治理工程实施方案中应说明养殖场的常年存栏量、粪污处置的技术工艺与设施建造规模及加工处理能力、粪污承载农田或山林面积、粪污浇灌方式与浇灌量。养殖场应对其上报常年存栏量的准确性负责，不得少报瞒报，主动接受环境监察单位的监管。</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适养区内拟新建或改扩建、迁建的规模化养殖场须在完善环境影响评价手续和其他行政审批手续后才能够合法进行建设，在完成环保竣工验收后才能够正式运营。</w:t>
      </w:r>
      <w:bookmarkStart w:id="28" w:name="_Toc31935050"/>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7.保障措施</w:t>
      </w:r>
      <w:bookmarkEnd w:id="28"/>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实施畜禽养殖布局规划是一项涉及面广、任务重的系统工程，是保护和改善我区农业农村生态环境，保证养殖业持续健康发展的重要措施。本方案经区政府批准后，各乡镇街道和区自然资源、林业、农业、生态环境等有关部门按各自职责分工，通力协作，抓好规划实施工作。各部门在规划、立项、审批畜禽养殖项目时，应根据本规划要求严格审批程序，切实推进全区畜禽养殖业可持续健康发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1、实行属地管理原则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各乡镇街道应严格按照本规划，结合辖区发展规划，把好畜禽规模养殖发展关口，实现畜禽养殖业适度发展。要对辖区内畜牧产业发展布局规划的执行负总责，确定一位分管领导负责此项工作，加强定期检查督促，确保辖区内畜禽养殖控制在环境可承载范围内。</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2、明确各部门职责</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区自然资源局：收到新建、扩建规模养殖场申请后，现场核实是否符合土地利用总体规划和畜禽养殖建设条件，涉及违法占地的应严肃进行查处。</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区林业局：收到新建、扩建规模养殖场申请后，现场核实是否符合林业用地规划，涉及违法占林地的应严肃进行查处。</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区生态环境分局：对禁养区内不符合要求的养殖场上报区人民政府下达关停或限期搬迁通知；对限养区内的规模化养殖场下达限养区管理通知；对在适养区内新、扩建规模养殖场，对其环保设施“三同时”建设、运行情况进行监督。</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区农业农村局：按照畜牧产业发展布局规划的要求，积极做好经批准新、扩建规模养殖场沼气工程的技术指导和设施建设工作，做好畜禽养殖区域的划分、指导规模养殖场的合理选址布局。科学界定各区域养殖量，控制养殖总量。做好畜禽养殖场登记备案和畜禽养殖代码发放。配合有关部门做好违法占地、污染治理联合执法工作。实行农村能源工程与治污工程相结合。积极做好以畜禽排泄物为主的生物有机肥厂建设，加大有机肥推广力度。</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3、落实方案，严格执法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按照“谁污染，谁治理”的原则，畜禽养殖企业是治理污染的主体，应主动积极地投入污染治理。区自然资源局、区生态环境分局、区农业农村局等部门配合，开展畜禽养殖业专项整治执法，严厉查处和打击畜禽养殖污染存在的违法行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4、广泛宣传，公众监督</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各乡镇街道及有关部门要充分利用广播、电视、报刊、网络等新闻媒体向全社会广泛开展多层次、多形式的宣传，特别是要大力加强面向农村的宣传，加大畜禽养殖污染防治和畜禽养殖禁养区、限养区划定的宣传力度和范围，及时报道对环境造成严重影响的畜禽养殖污染事件和治污典型，提高公众参与的积极性，形成强大的舆论监督声势。</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5、树立典型，稳步推广。</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区生态环境分局、区农业农村局等部门应加强对畜禽养殖业的指导和管理，采取切实措施，大力推广雨污分离、干湿分离，大力推广“猪--沼--菜/果”等畜禽养殖污染防治实用技术和生态养殖模式，进一步加大畜禽粪尿综合利用力度，抓好典型示范推广，促进畜牧业的健康持续发展。</w:t>
      </w:r>
      <w:bookmarkStart w:id="29" w:name="_Toc31935052"/>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8.附则</w:t>
      </w:r>
      <w:bookmarkEnd w:id="29"/>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本方案所称畜禽，是指由国务院畜牧兽医行政主管部门公布的畜禽遗传资源目录的动物，包括猪、牛、羊、兔、鸡、鸭、鹅等。国家和省市对伴侣动物、观赏动物、竞技动物、实验动物等饲养管理另有规定的，从其规定。</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2、畜禽养殖禁养区、限养区、适养区的具体范围以划定方案及《湖南省冷水滩区畜禽规模养殖场“三区”划定图》相结合为准。</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3、随着城市城镇建设和社会经济发展，本方案应适时进行补充修正。</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4、本方案未尽事宜由冷水滩区农业农村局负责补充和解释。</w:t>
      </w:r>
    </w:p>
    <w:p>
      <w:pPr>
        <w:spacing w:line="640" w:lineRule="exact"/>
        <w:rPr>
          <w:rFonts w:ascii="仿宋_GB2312" w:eastAsia="仿宋_GB2312"/>
          <w:sz w:val="32"/>
          <w:szCs w:val="32"/>
        </w:rPr>
      </w:pPr>
    </w:p>
    <w:p>
      <w:pPr>
        <w:spacing w:line="640" w:lineRule="exact"/>
        <w:ind w:firstLine="640" w:firstLineChars="200"/>
        <w:rPr>
          <w:rFonts w:ascii="仿宋_GB2312" w:eastAsia="仿宋_GB2312"/>
          <w:sz w:val="32"/>
          <w:szCs w:val="32"/>
        </w:rPr>
      </w:pPr>
      <w:r>
        <w:rPr>
          <w:rFonts w:hint="eastAsia" w:ascii="仿宋_GB2312" w:eastAsia="仿宋_GB2312"/>
          <w:sz w:val="32"/>
          <w:szCs w:val="32"/>
        </w:rPr>
        <w:t>附件：湖南省冷水滩区畜禽规模养殖“三区”划定图</w:t>
      </w: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560" w:lineRule="exact"/>
        <w:rPr>
          <w:rFonts w:ascii="仿宋_GB2312" w:hAnsi="Calibri" w:eastAsia="仿宋_GB2312" w:cs="Times New Roman"/>
          <w:sz w:val="32"/>
          <w:szCs w:val="32"/>
          <w:u w:val="single"/>
        </w:rPr>
      </w:pPr>
      <w:r>
        <w:rPr>
          <w:rFonts w:hint="eastAsia" w:ascii="仿宋_GB2312" w:hAnsi="Calibri" w:eastAsia="仿宋_GB2312" w:cs="Times New Roman"/>
          <w:sz w:val="32"/>
          <w:szCs w:val="32"/>
          <w:u w:val="single"/>
        </w:rPr>
        <w:t xml:space="preserve">　　　　　　　　  　　    　　　　　　　　　　　　　  </w:t>
      </w:r>
    </w:p>
    <w:p>
      <w:pPr>
        <w:spacing w:line="560" w:lineRule="exact"/>
        <w:rPr>
          <w:rFonts w:ascii="仿宋_GB2312" w:hAnsi="Calibri" w:eastAsia="仿宋_GB2312" w:cs="Times New Roman"/>
          <w:sz w:val="32"/>
          <w:szCs w:val="32"/>
        </w:rPr>
      </w:pPr>
      <w:r>
        <w:rPr>
          <w:rFonts w:hint="eastAsia" w:ascii="仿宋_GB2312" w:hAnsi="Calibri" w:eastAsia="仿宋_GB2312" w:cs="Times New Roman"/>
          <w:sz w:val="32"/>
          <w:szCs w:val="32"/>
        </w:rPr>
        <w:t xml:space="preserve">　抄送：区委各部门，人武部，纪委监委。 </w:t>
      </w:r>
    </w:p>
    <w:p>
      <w:pPr>
        <w:spacing w:line="560" w:lineRule="exact"/>
        <w:rPr>
          <w:rFonts w:ascii="仿宋_GB2312" w:hAnsi="Calibri" w:eastAsia="仿宋_GB2312" w:cs="Times New Roman"/>
          <w:sz w:val="32"/>
          <w:szCs w:val="32"/>
          <w:u w:val="single"/>
        </w:rPr>
      </w:pPr>
      <w:r>
        <w:rPr>
          <w:rFonts w:hint="eastAsia" w:ascii="仿宋_GB2312" w:hAnsi="Calibri" w:eastAsia="仿宋_GB2312" w:cs="Times New Roman"/>
          <w:sz w:val="32"/>
          <w:szCs w:val="32"/>
          <w:u w:val="single"/>
        </w:rPr>
        <w:t xml:space="preserve">　　　　区人大常委会办，区政协办，区法院，区检察院。　  </w:t>
      </w:r>
    </w:p>
    <w:p>
      <w:pPr>
        <w:spacing w:line="640" w:lineRule="exact"/>
        <w:rPr>
          <w:rFonts w:ascii="仿宋_GB2312" w:eastAsia="仿宋_GB2312"/>
          <w:sz w:val="32"/>
          <w:szCs w:val="32"/>
        </w:rPr>
      </w:pPr>
      <w:r>
        <w:rPr>
          <w:rFonts w:hint="eastAsia" w:ascii="仿宋_GB2312" w:hAnsi="Calibri" w:eastAsia="仿宋_GB2312" w:cs="Times New Roman"/>
          <w:sz w:val="32"/>
          <w:szCs w:val="32"/>
          <w:u w:val="single"/>
        </w:rPr>
        <w:t xml:space="preserve"> 永州市冷水滩区人民政府办公室    2020年2月</w:t>
      </w:r>
      <w:r>
        <w:rPr>
          <w:rFonts w:hint="eastAsia" w:ascii="仿宋_GB2312" w:eastAsia="仿宋_GB2312"/>
          <w:sz w:val="32"/>
          <w:szCs w:val="32"/>
          <w:u w:val="single"/>
        </w:rPr>
        <w:t>13</w:t>
      </w:r>
      <w:r>
        <w:rPr>
          <w:rFonts w:hint="eastAsia" w:ascii="仿宋_GB2312" w:hAnsi="Calibri" w:eastAsia="仿宋_GB2312" w:cs="Times New Roman"/>
          <w:sz w:val="32"/>
          <w:szCs w:val="32"/>
          <w:u w:val="single"/>
        </w:rPr>
        <w:t xml:space="preserve">日印发  </w:t>
      </w:r>
    </w:p>
    <w:p>
      <w:pPr>
        <w:rPr>
          <w:rFonts w:ascii="仿宋_GB2312" w:eastAsia="仿宋_GB2312"/>
          <w:sz w:val="32"/>
          <w:szCs w:val="32"/>
        </w:rPr>
      </w:pPr>
      <w:r>
        <w:rPr>
          <w:rFonts w:hint="eastAsia" w:ascii="仿宋_GB2312" w:eastAsia="仿宋_GB2312"/>
          <w:sz w:val="32"/>
          <w:szCs w:val="32"/>
        </w:rPr>
        <w:drawing>
          <wp:inline distT="0" distB="0" distL="114300" distR="114300">
            <wp:extent cx="5342890" cy="8776970"/>
            <wp:effectExtent l="0" t="0" r="1016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342890" cy="8776970"/>
                    </a:xfrm>
                    <a:prstGeom prst="rect">
                      <a:avLst/>
                    </a:prstGeom>
                    <a:noFill/>
                    <a:ln w="9525">
                      <a:noFill/>
                    </a:ln>
                  </pic:spPr>
                </pic:pic>
              </a:graphicData>
            </a:graphic>
          </wp:inline>
        </w:drawing>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572848"/>
      <w:docPartObj>
        <w:docPartGallery w:val="AutoText"/>
      </w:docPartObj>
    </w:sdtPr>
    <w:sdtContent>
      <w:p>
        <w:pPr>
          <w:pStyle w:val="10"/>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63637"/>
    </w:sdtPr>
    <w:sdtContent>
      <w:p>
        <w:pPr>
          <w:pStyle w:val="10"/>
          <w:jc w:val="center"/>
        </w:pPr>
        <w:r>
          <w:fldChar w:fldCharType="begin"/>
        </w:r>
        <w:r>
          <w:instrText xml:space="preserve"> PAGE   \* MERGEFORMAT </w:instrText>
        </w:r>
        <w:r>
          <w:fldChar w:fldCharType="separate"/>
        </w:r>
        <w:r>
          <w:rPr>
            <w:lang w:val="zh-CN"/>
          </w:rPr>
          <w:t>46</w:t>
        </w:r>
        <w:r>
          <w:rPr>
            <w:lang w:val="zh-CN"/>
          </w:rP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4FD039"/>
    <w:multiLevelType w:val="singleLevel"/>
    <w:tmpl w:val="CB4FD03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43A"/>
    <w:rsid w:val="00013545"/>
    <w:rsid w:val="0001355B"/>
    <w:rsid w:val="00013E14"/>
    <w:rsid w:val="00017CA1"/>
    <w:rsid w:val="00026C69"/>
    <w:rsid w:val="00036B5A"/>
    <w:rsid w:val="00042AEB"/>
    <w:rsid w:val="000467C8"/>
    <w:rsid w:val="00047AEF"/>
    <w:rsid w:val="00071763"/>
    <w:rsid w:val="00082FCF"/>
    <w:rsid w:val="00085973"/>
    <w:rsid w:val="000A561C"/>
    <w:rsid w:val="000B4F2E"/>
    <w:rsid w:val="000C52C8"/>
    <w:rsid w:val="000D06F3"/>
    <w:rsid w:val="000F32D8"/>
    <w:rsid w:val="00100D77"/>
    <w:rsid w:val="001078AE"/>
    <w:rsid w:val="00131256"/>
    <w:rsid w:val="00144827"/>
    <w:rsid w:val="001453AD"/>
    <w:rsid w:val="00163AFA"/>
    <w:rsid w:val="0016759A"/>
    <w:rsid w:val="001843FB"/>
    <w:rsid w:val="00193982"/>
    <w:rsid w:val="001A4146"/>
    <w:rsid w:val="001B0982"/>
    <w:rsid w:val="001B1780"/>
    <w:rsid w:val="001C4490"/>
    <w:rsid w:val="001D5D52"/>
    <w:rsid w:val="001E3802"/>
    <w:rsid w:val="001F15C1"/>
    <w:rsid w:val="001F2A9C"/>
    <w:rsid w:val="00226BD6"/>
    <w:rsid w:val="0023043A"/>
    <w:rsid w:val="00243219"/>
    <w:rsid w:val="0025340E"/>
    <w:rsid w:val="002578E9"/>
    <w:rsid w:val="0026136E"/>
    <w:rsid w:val="00273FB2"/>
    <w:rsid w:val="00274787"/>
    <w:rsid w:val="002866BB"/>
    <w:rsid w:val="0029023D"/>
    <w:rsid w:val="00293F6D"/>
    <w:rsid w:val="002A7F96"/>
    <w:rsid w:val="002B6161"/>
    <w:rsid w:val="002B656D"/>
    <w:rsid w:val="002E1EDD"/>
    <w:rsid w:val="002E4043"/>
    <w:rsid w:val="002E6FB1"/>
    <w:rsid w:val="003106AB"/>
    <w:rsid w:val="0032104B"/>
    <w:rsid w:val="00326CF9"/>
    <w:rsid w:val="00327008"/>
    <w:rsid w:val="00377A3B"/>
    <w:rsid w:val="003A0066"/>
    <w:rsid w:val="003A1066"/>
    <w:rsid w:val="003A1C56"/>
    <w:rsid w:val="003A29A1"/>
    <w:rsid w:val="003A5407"/>
    <w:rsid w:val="003B18BF"/>
    <w:rsid w:val="003C134B"/>
    <w:rsid w:val="003C154C"/>
    <w:rsid w:val="003C2366"/>
    <w:rsid w:val="003C4FAB"/>
    <w:rsid w:val="003C6744"/>
    <w:rsid w:val="003F0F6D"/>
    <w:rsid w:val="00424EC8"/>
    <w:rsid w:val="0042616D"/>
    <w:rsid w:val="00437972"/>
    <w:rsid w:val="00440C50"/>
    <w:rsid w:val="00444B9F"/>
    <w:rsid w:val="00454ECC"/>
    <w:rsid w:val="00464AE9"/>
    <w:rsid w:val="004676A6"/>
    <w:rsid w:val="00480019"/>
    <w:rsid w:val="004824FC"/>
    <w:rsid w:val="00493A48"/>
    <w:rsid w:val="0049479A"/>
    <w:rsid w:val="004964DF"/>
    <w:rsid w:val="004A3C1B"/>
    <w:rsid w:val="004A6977"/>
    <w:rsid w:val="004A74E6"/>
    <w:rsid w:val="004C10F4"/>
    <w:rsid w:val="004C18B6"/>
    <w:rsid w:val="004C1E17"/>
    <w:rsid w:val="004D7DA7"/>
    <w:rsid w:val="004E754F"/>
    <w:rsid w:val="004F0FCC"/>
    <w:rsid w:val="004F4AB6"/>
    <w:rsid w:val="004F5C7A"/>
    <w:rsid w:val="00511025"/>
    <w:rsid w:val="005204A6"/>
    <w:rsid w:val="00522092"/>
    <w:rsid w:val="00535BB9"/>
    <w:rsid w:val="0054159E"/>
    <w:rsid w:val="005466E0"/>
    <w:rsid w:val="00547D95"/>
    <w:rsid w:val="00576CD7"/>
    <w:rsid w:val="00594916"/>
    <w:rsid w:val="005A2E38"/>
    <w:rsid w:val="005A58D2"/>
    <w:rsid w:val="005A61EB"/>
    <w:rsid w:val="005C393F"/>
    <w:rsid w:val="005C4C59"/>
    <w:rsid w:val="005C7F1E"/>
    <w:rsid w:val="005E3C71"/>
    <w:rsid w:val="005F06FD"/>
    <w:rsid w:val="005F1540"/>
    <w:rsid w:val="00603BD7"/>
    <w:rsid w:val="00605CFB"/>
    <w:rsid w:val="006143AE"/>
    <w:rsid w:val="006163A5"/>
    <w:rsid w:val="0063364C"/>
    <w:rsid w:val="00673B91"/>
    <w:rsid w:val="00685729"/>
    <w:rsid w:val="00695FA2"/>
    <w:rsid w:val="006B04C6"/>
    <w:rsid w:val="006B1D6F"/>
    <w:rsid w:val="006B1DDE"/>
    <w:rsid w:val="006B732C"/>
    <w:rsid w:val="006C3486"/>
    <w:rsid w:val="006C7B74"/>
    <w:rsid w:val="006D2139"/>
    <w:rsid w:val="006E377F"/>
    <w:rsid w:val="006F4A77"/>
    <w:rsid w:val="006F6B3A"/>
    <w:rsid w:val="0070097A"/>
    <w:rsid w:val="00707F3D"/>
    <w:rsid w:val="0072526C"/>
    <w:rsid w:val="00725A08"/>
    <w:rsid w:val="007515D4"/>
    <w:rsid w:val="00776E86"/>
    <w:rsid w:val="00790C7B"/>
    <w:rsid w:val="00795C9F"/>
    <w:rsid w:val="007C5DD6"/>
    <w:rsid w:val="007D14D9"/>
    <w:rsid w:val="007D657C"/>
    <w:rsid w:val="007F14C4"/>
    <w:rsid w:val="007F352E"/>
    <w:rsid w:val="007F7029"/>
    <w:rsid w:val="00807DB9"/>
    <w:rsid w:val="008163EB"/>
    <w:rsid w:val="008167E5"/>
    <w:rsid w:val="00823300"/>
    <w:rsid w:val="00835122"/>
    <w:rsid w:val="00841123"/>
    <w:rsid w:val="00841514"/>
    <w:rsid w:val="00886358"/>
    <w:rsid w:val="008A6FEF"/>
    <w:rsid w:val="008B15F6"/>
    <w:rsid w:val="008B598D"/>
    <w:rsid w:val="008E4986"/>
    <w:rsid w:val="008F0FD0"/>
    <w:rsid w:val="008F15DB"/>
    <w:rsid w:val="008F66AC"/>
    <w:rsid w:val="008F7707"/>
    <w:rsid w:val="0090243B"/>
    <w:rsid w:val="00914FA8"/>
    <w:rsid w:val="0095440A"/>
    <w:rsid w:val="0095759A"/>
    <w:rsid w:val="009719BD"/>
    <w:rsid w:val="00982A4A"/>
    <w:rsid w:val="009A0EA2"/>
    <w:rsid w:val="009F1529"/>
    <w:rsid w:val="00A068F8"/>
    <w:rsid w:val="00A10007"/>
    <w:rsid w:val="00A25070"/>
    <w:rsid w:val="00A32450"/>
    <w:rsid w:val="00A3270F"/>
    <w:rsid w:val="00A352B4"/>
    <w:rsid w:val="00A363AA"/>
    <w:rsid w:val="00A4610D"/>
    <w:rsid w:val="00A52189"/>
    <w:rsid w:val="00A642C1"/>
    <w:rsid w:val="00A65E9A"/>
    <w:rsid w:val="00A757BA"/>
    <w:rsid w:val="00A7663A"/>
    <w:rsid w:val="00A80B8B"/>
    <w:rsid w:val="00A8139F"/>
    <w:rsid w:val="00A90C63"/>
    <w:rsid w:val="00AA0CF2"/>
    <w:rsid w:val="00AA3186"/>
    <w:rsid w:val="00AC0BAB"/>
    <w:rsid w:val="00AE4926"/>
    <w:rsid w:val="00B012D1"/>
    <w:rsid w:val="00B03052"/>
    <w:rsid w:val="00B03285"/>
    <w:rsid w:val="00B13032"/>
    <w:rsid w:val="00B212C5"/>
    <w:rsid w:val="00B534E7"/>
    <w:rsid w:val="00B54252"/>
    <w:rsid w:val="00B54C36"/>
    <w:rsid w:val="00B56C94"/>
    <w:rsid w:val="00B84E05"/>
    <w:rsid w:val="00B97F07"/>
    <w:rsid w:val="00BA50E2"/>
    <w:rsid w:val="00BB3492"/>
    <w:rsid w:val="00C07A95"/>
    <w:rsid w:val="00C07B07"/>
    <w:rsid w:val="00C13B49"/>
    <w:rsid w:val="00C265FB"/>
    <w:rsid w:val="00C5011D"/>
    <w:rsid w:val="00C525BF"/>
    <w:rsid w:val="00C70A65"/>
    <w:rsid w:val="00C74B46"/>
    <w:rsid w:val="00C92971"/>
    <w:rsid w:val="00C92B09"/>
    <w:rsid w:val="00CA318D"/>
    <w:rsid w:val="00CC4F30"/>
    <w:rsid w:val="00CC7DF8"/>
    <w:rsid w:val="00CD4125"/>
    <w:rsid w:val="00CE05F5"/>
    <w:rsid w:val="00CE54A9"/>
    <w:rsid w:val="00CE70A1"/>
    <w:rsid w:val="00CF0903"/>
    <w:rsid w:val="00D01379"/>
    <w:rsid w:val="00D055CD"/>
    <w:rsid w:val="00D328B9"/>
    <w:rsid w:val="00D3553A"/>
    <w:rsid w:val="00D46F18"/>
    <w:rsid w:val="00D62A79"/>
    <w:rsid w:val="00D67E19"/>
    <w:rsid w:val="00D730FA"/>
    <w:rsid w:val="00D90B61"/>
    <w:rsid w:val="00DA1D76"/>
    <w:rsid w:val="00DB0B77"/>
    <w:rsid w:val="00DD0CD6"/>
    <w:rsid w:val="00DD7249"/>
    <w:rsid w:val="00DE3E2E"/>
    <w:rsid w:val="00DF48D0"/>
    <w:rsid w:val="00DF4DFF"/>
    <w:rsid w:val="00DF6AA9"/>
    <w:rsid w:val="00E1209A"/>
    <w:rsid w:val="00E205B1"/>
    <w:rsid w:val="00E20AC3"/>
    <w:rsid w:val="00E57799"/>
    <w:rsid w:val="00E6365E"/>
    <w:rsid w:val="00E90752"/>
    <w:rsid w:val="00EA2A13"/>
    <w:rsid w:val="00EA3736"/>
    <w:rsid w:val="00EC1BD0"/>
    <w:rsid w:val="00EC1F5F"/>
    <w:rsid w:val="00ED0B9C"/>
    <w:rsid w:val="00F0430A"/>
    <w:rsid w:val="00F3137B"/>
    <w:rsid w:val="00F44500"/>
    <w:rsid w:val="00F46487"/>
    <w:rsid w:val="00F57741"/>
    <w:rsid w:val="00F6589D"/>
    <w:rsid w:val="00FA783C"/>
    <w:rsid w:val="00FB2307"/>
    <w:rsid w:val="00FB5E4C"/>
    <w:rsid w:val="00FD0F76"/>
    <w:rsid w:val="00FD1400"/>
    <w:rsid w:val="00FE250B"/>
    <w:rsid w:val="00FE6218"/>
    <w:rsid w:val="00FE789D"/>
    <w:rsid w:val="030B1DAC"/>
    <w:rsid w:val="04977A0E"/>
    <w:rsid w:val="05E22F47"/>
    <w:rsid w:val="0D495157"/>
    <w:rsid w:val="12BA3EC4"/>
    <w:rsid w:val="140E24FC"/>
    <w:rsid w:val="16C855F3"/>
    <w:rsid w:val="1CE4702E"/>
    <w:rsid w:val="272D2642"/>
    <w:rsid w:val="2B5C529F"/>
    <w:rsid w:val="2BC85AAE"/>
    <w:rsid w:val="2DBA3046"/>
    <w:rsid w:val="2E6B6281"/>
    <w:rsid w:val="31677F4A"/>
    <w:rsid w:val="3E937D0F"/>
    <w:rsid w:val="3F496957"/>
    <w:rsid w:val="61B80CFE"/>
    <w:rsid w:val="64F41753"/>
    <w:rsid w:val="65CB73EF"/>
    <w:rsid w:val="668A02E5"/>
    <w:rsid w:val="69496EBD"/>
    <w:rsid w:val="73AC396E"/>
    <w:rsid w:val="766936DA"/>
    <w:rsid w:val="7A4075FA"/>
    <w:rsid w:val="7BFB3B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semiHidden/>
    <w:unhideWhenUsed/>
    <w:qFormat/>
    <w:uiPriority w:val="0"/>
    <w:pPr>
      <w:keepNext/>
      <w:keepLines/>
      <w:widowControl/>
      <w:adjustRightInd w:val="0"/>
      <w:snapToGrid w:val="0"/>
      <w:spacing w:line="412" w:lineRule="auto"/>
      <w:ind w:firstLine="960" w:firstLineChars="200"/>
      <w:jc w:val="left"/>
      <w:outlineLvl w:val="1"/>
    </w:pPr>
    <w:rPr>
      <w:rFonts w:ascii="Arial" w:hAnsi="Arial" w:eastAsia="黑体"/>
      <w:b/>
      <w:kern w:val="0"/>
      <w:sz w:val="32"/>
    </w:rPr>
  </w:style>
  <w:style w:type="paragraph" w:styleId="4">
    <w:name w:val="heading 3"/>
    <w:basedOn w:val="1"/>
    <w:next w:val="1"/>
    <w:link w:val="30"/>
    <w:semiHidden/>
    <w:unhideWhenUsed/>
    <w:qFormat/>
    <w:uiPriority w:val="0"/>
    <w:pPr>
      <w:keepNext/>
      <w:keepLines/>
      <w:widowControl/>
      <w:adjustRightInd w:val="0"/>
      <w:snapToGrid w:val="0"/>
      <w:spacing w:line="412" w:lineRule="auto"/>
      <w:ind w:firstLine="960" w:firstLineChars="200"/>
      <w:jc w:val="left"/>
      <w:outlineLvl w:val="2"/>
    </w:pPr>
    <w:rPr>
      <w:rFonts w:ascii="Tahoma" w:hAnsi="Tahoma" w:eastAsia="仿宋"/>
      <w:b/>
      <w:kern w:val="0"/>
      <w:sz w:val="32"/>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6"/>
    <w:semiHidden/>
    <w:unhideWhenUsed/>
    <w:qFormat/>
    <w:uiPriority w:val="0"/>
    <w:rPr>
      <w:rFonts w:ascii="宋体" w:eastAsia="宋体"/>
      <w:sz w:val="18"/>
      <w:szCs w:val="18"/>
    </w:rPr>
  </w:style>
  <w:style w:type="paragraph" w:styleId="6">
    <w:name w:val="Body Text"/>
    <w:basedOn w:val="1"/>
    <w:link w:val="20"/>
    <w:unhideWhenUsed/>
    <w:qFormat/>
    <w:uiPriority w:val="99"/>
    <w:pPr>
      <w:widowControl/>
      <w:adjustRightInd w:val="0"/>
      <w:snapToGrid w:val="0"/>
      <w:spacing w:after="120" w:line="360" w:lineRule="auto"/>
      <w:ind w:firstLine="960" w:firstLineChars="200"/>
      <w:jc w:val="left"/>
    </w:pPr>
    <w:rPr>
      <w:rFonts w:ascii="Tahoma" w:hAnsi="Tahoma" w:eastAsia="仿宋"/>
      <w:kern w:val="0"/>
      <w:sz w:val="32"/>
    </w:rPr>
  </w:style>
  <w:style w:type="paragraph" w:styleId="7">
    <w:name w:val="toc 3"/>
    <w:basedOn w:val="1"/>
    <w:next w:val="1"/>
    <w:unhideWhenUsed/>
    <w:qFormat/>
    <w:uiPriority w:val="39"/>
    <w:pPr>
      <w:ind w:left="840" w:leftChars="400"/>
    </w:pPr>
  </w:style>
  <w:style w:type="paragraph" w:styleId="8">
    <w:name w:val="Date"/>
    <w:basedOn w:val="1"/>
    <w:next w:val="1"/>
    <w:link w:val="31"/>
    <w:semiHidden/>
    <w:unhideWhenUsed/>
    <w:qFormat/>
    <w:uiPriority w:val="0"/>
    <w:pPr>
      <w:widowControl/>
      <w:adjustRightInd w:val="0"/>
      <w:snapToGrid w:val="0"/>
      <w:spacing w:line="360" w:lineRule="auto"/>
      <w:ind w:left="100" w:leftChars="2500" w:firstLine="960" w:firstLineChars="200"/>
      <w:jc w:val="left"/>
    </w:pPr>
    <w:rPr>
      <w:rFonts w:ascii="Tahoma" w:hAnsi="Tahoma" w:eastAsia="仿宋"/>
      <w:kern w:val="0"/>
      <w:sz w:val="32"/>
    </w:rPr>
  </w:style>
  <w:style w:type="paragraph" w:styleId="9">
    <w:name w:val="Balloon Text"/>
    <w:basedOn w:val="1"/>
    <w:link w:val="23"/>
    <w:semiHidden/>
    <w:unhideWhenUsed/>
    <w:qFormat/>
    <w:uiPriority w:val="0"/>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left" w:pos="1134"/>
        <w:tab w:val="right" w:leader="dot" w:pos="8296"/>
      </w:tabs>
      <w:adjustRightInd w:val="0"/>
      <w:snapToGrid w:val="0"/>
      <w:spacing w:line="360" w:lineRule="auto"/>
      <w:ind w:firstLine="640" w:firstLineChars="200"/>
      <w:jc w:val="left"/>
    </w:pPr>
    <w:rPr>
      <w:rFonts w:ascii="Tahoma" w:hAnsi="Tahoma" w:eastAsia="仿宋"/>
      <w:kern w:val="0"/>
      <w:sz w:val="32"/>
    </w:rPr>
  </w:style>
  <w:style w:type="paragraph" w:styleId="13">
    <w:name w:val="toc 2"/>
    <w:basedOn w:val="1"/>
    <w:next w:val="1"/>
    <w:unhideWhenUsed/>
    <w:qFormat/>
    <w:uiPriority w:val="39"/>
    <w:pPr>
      <w:widowControl/>
      <w:adjustRightInd w:val="0"/>
      <w:snapToGrid w:val="0"/>
      <w:spacing w:line="360" w:lineRule="auto"/>
      <w:ind w:left="420" w:leftChars="200" w:firstLine="960" w:firstLineChars="200"/>
      <w:jc w:val="left"/>
    </w:pPr>
    <w:rPr>
      <w:rFonts w:ascii="Tahoma" w:hAnsi="Tahoma" w:eastAsia="仿宋"/>
      <w:kern w:val="0"/>
      <w:sz w:val="32"/>
    </w:rPr>
  </w:style>
  <w:style w:type="paragraph" w:styleId="14">
    <w:name w:val="Normal (Web)"/>
    <w:basedOn w:val="1"/>
    <w:qFormat/>
    <w:uiPriority w:val="0"/>
    <w:pPr>
      <w:jc w:val="left"/>
    </w:pPr>
    <w:rPr>
      <w:rFonts w:cs="Times New Roman"/>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semiHidden/>
    <w:unhideWhenUsed/>
    <w:qFormat/>
    <w:uiPriority w:val="99"/>
    <w:rPr>
      <w:color w:val="800080" w:themeColor="followedHyperlink"/>
      <w:u w:val="single"/>
    </w:rPr>
  </w:style>
  <w:style w:type="character" w:styleId="19">
    <w:name w:val="Hyperlink"/>
    <w:basedOn w:val="17"/>
    <w:unhideWhenUsed/>
    <w:qFormat/>
    <w:uiPriority w:val="99"/>
    <w:rPr>
      <w:color w:val="0000FF" w:themeColor="hyperlink"/>
      <w:u w:val="single"/>
    </w:rPr>
  </w:style>
  <w:style w:type="character" w:customStyle="1" w:styleId="20">
    <w:name w:val="正文文本 Char"/>
    <w:basedOn w:val="17"/>
    <w:link w:val="6"/>
    <w:qFormat/>
    <w:uiPriority w:val="99"/>
    <w:rPr>
      <w:rFonts w:ascii="Tahoma" w:hAnsi="Tahoma" w:eastAsia="仿宋"/>
      <w:kern w:val="0"/>
      <w:sz w:val="32"/>
    </w:rPr>
  </w:style>
  <w:style w:type="paragraph" w:customStyle="1" w:styleId="21">
    <w:name w:val="TOC 标题1"/>
    <w:basedOn w:val="2"/>
    <w:next w:val="1"/>
    <w:semiHidden/>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2">
    <w:name w:val="标题 1 Char"/>
    <w:basedOn w:val="17"/>
    <w:link w:val="2"/>
    <w:qFormat/>
    <w:uiPriority w:val="0"/>
    <w:rPr>
      <w:b/>
      <w:bCs/>
      <w:kern w:val="44"/>
      <w:sz w:val="44"/>
      <w:szCs w:val="44"/>
    </w:rPr>
  </w:style>
  <w:style w:type="character" w:customStyle="1" w:styleId="23">
    <w:name w:val="批注框文本 Char"/>
    <w:basedOn w:val="17"/>
    <w:link w:val="9"/>
    <w:semiHidden/>
    <w:qFormat/>
    <w:uiPriority w:val="0"/>
    <w:rPr>
      <w:sz w:val="18"/>
      <w:szCs w:val="18"/>
    </w:rPr>
  </w:style>
  <w:style w:type="paragraph" w:customStyle="1" w:styleId="24">
    <w:name w:val="b-标题1"/>
    <w:basedOn w:val="2"/>
    <w:next w:val="1"/>
    <w:qFormat/>
    <w:uiPriority w:val="0"/>
    <w:pPr>
      <w:widowControl/>
      <w:adjustRightInd w:val="0"/>
      <w:snapToGrid w:val="0"/>
      <w:spacing w:before="240" w:after="240" w:line="240" w:lineRule="auto"/>
      <w:jc w:val="left"/>
    </w:pPr>
    <w:rPr>
      <w:rFonts w:ascii="Times New Roman" w:hAnsi="Times New Roman" w:eastAsia="宋体"/>
      <w:bCs w:val="0"/>
      <w:sz w:val="32"/>
      <w:szCs w:val="22"/>
    </w:rPr>
  </w:style>
  <w:style w:type="paragraph" w:customStyle="1" w:styleId="25">
    <w:name w:val="b-正文"/>
    <w:basedOn w:val="1"/>
    <w:next w:val="1"/>
    <w:link w:val="43"/>
    <w:qFormat/>
    <w:uiPriority w:val="0"/>
    <w:pPr>
      <w:widowControl/>
      <w:adjustRightInd w:val="0"/>
      <w:snapToGrid w:val="0"/>
      <w:spacing w:line="360" w:lineRule="auto"/>
      <w:ind w:firstLine="960" w:firstLineChars="200"/>
      <w:jc w:val="left"/>
    </w:pPr>
    <w:rPr>
      <w:rFonts w:ascii="Times New Roman" w:hAnsi="Times New Roman" w:eastAsia="宋体"/>
      <w:kern w:val="0"/>
      <w:sz w:val="24"/>
    </w:rPr>
  </w:style>
  <w:style w:type="character" w:customStyle="1" w:styleId="26">
    <w:name w:val="文档结构图 Char"/>
    <w:basedOn w:val="17"/>
    <w:link w:val="5"/>
    <w:semiHidden/>
    <w:qFormat/>
    <w:uiPriority w:val="0"/>
    <w:rPr>
      <w:rFonts w:ascii="宋体" w:eastAsia="宋体"/>
      <w:sz w:val="18"/>
      <w:szCs w:val="18"/>
    </w:rPr>
  </w:style>
  <w:style w:type="character" w:customStyle="1" w:styleId="27">
    <w:name w:val="页眉 Char"/>
    <w:basedOn w:val="17"/>
    <w:link w:val="11"/>
    <w:qFormat/>
    <w:uiPriority w:val="0"/>
    <w:rPr>
      <w:sz w:val="18"/>
      <w:szCs w:val="18"/>
    </w:rPr>
  </w:style>
  <w:style w:type="character" w:customStyle="1" w:styleId="28">
    <w:name w:val="页脚 Char"/>
    <w:basedOn w:val="17"/>
    <w:link w:val="10"/>
    <w:qFormat/>
    <w:uiPriority w:val="99"/>
    <w:rPr>
      <w:sz w:val="18"/>
      <w:szCs w:val="18"/>
    </w:rPr>
  </w:style>
  <w:style w:type="character" w:customStyle="1" w:styleId="29">
    <w:name w:val="标题 2 Char"/>
    <w:basedOn w:val="17"/>
    <w:link w:val="3"/>
    <w:semiHidden/>
    <w:qFormat/>
    <w:uiPriority w:val="0"/>
    <w:rPr>
      <w:rFonts w:ascii="Arial" w:hAnsi="Arial" w:eastAsia="黑体"/>
      <w:b/>
      <w:kern w:val="0"/>
      <w:sz w:val="32"/>
    </w:rPr>
  </w:style>
  <w:style w:type="character" w:customStyle="1" w:styleId="30">
    <w:name w:val="标题 3 Char"/>
    <w:basedOn w:val="17"/>
    <w:link w:val="4"/>
    <w:semiHidden/>
    <w:qFormat/>
    <w:uiPriority w:val="0"/>
    <w:rPr>
      <w:rFonts w:ascii="Tahoma" w:hAnsi="Tahoma" w:eastAsia="仿宋"/>
      <w:b/>
      <w:kern w:val="0"/>
      <w:sz w:val="32"/>
    </w:rPr>
  </w:style>
  <w:style w:type="character" w:customStyle="1" w:styleId="31">
    <w:name w:val="日期 Char"/>
    <w:basedOn w:val="17"/>
    <w:link w:val="8"/>
    <w:semiHidden/>
    <w:qFormat/>
    <w:uiPriority w:val="0"/>
    <w:rPr>
      <w:rFonts w:ascii="Tahoma" w:hAnsi="Tahoma" w:eastAsia="仿宋"/>
      <w:kern w:val="0"/>
      <w:sz w:val="32"/>
    </w:rPr>
  </w:style>
  <w:style w:type="paragraph" w:styleId="32">
    <w:name w:val="List Paragraph"/>
    <w:basedOn w:val="1"/>
    <w:qFormat/>
    <w:uiPriority w:val="99"/>
    <w:pPr>
      <w:widowControl/>
      <w:adjustRightInd w:val="0"/>
      <w:snapToGrid w:val="0"/>
      <w:spacing w:line="360" w:lineRule="auto"/>
      <w:ind w:firstLine="420" w:firstLineChars="200"/>
      <w:jc w:val="left"/>
    </w:pPr>
    <w:rPr>
      <w:rFonts w:ascii="Tahoma" w:hAnsi="Tahoma" w:eastAsia="仿宋"/>
      <w:kern w:val="0"/>
      <w:sz w:val="32"/>
    </w:rPr>
  </w:style>
  <w:style w:type="paragraph" w:customStyle="1" w:styleId="33">
    <w:name w:val="b-标题2"/>
    <w:basedOn w:val="3"/>
    <w:next w:val="1"/>
    <w:qFormat/>
    <w:uiPriority w:val="0"/>
    <w:pPr>
      <w:spacing w:before="120" w:after="120" w:line="240" w:lineRule="auto"/>
    </w:pPr>
    <w:rPr>
      <w:rFonts w:ascii="Times New Roman" w:hAnsi="Times New Roman" w:eastAsia="宋体"/>
      <w:sz w:val="28"/>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6">
    <w:name w:val="b-标题3"/>
    <w:basedOn w:val="4"/>
    <w:next w:val="1"/>
    <w:qFormat/>
    <w:uiPriority w:val="0"/>
    <w:pPr>
      <w:spacing w:before="120" w:after="120" w:line="240" w:lineRule="auto"/>
    </w:pPr>
    <w:rPr>
      <w:rFonts w:ascii="Times New Roman" w:hAnsi="Times New Roman" w:eastAsia="宋体"/>
      <w:sz w:val="24"/>
    </w:rPr>
  </w:style>
  <w:style w:type="paragraph" w:customStyle="1" w:styleId="37">
    <w:name w:val="表格文字"/>
    <w:basedOn w:val="1"/>
    <w:qFormat/>
    <w:uiPriority w:val="0"/>
    <w:pPr>
      <w:widowControl/>
      <w:adjustRightInd w:val="0"/>
      <w:snapToGrid w:val="0"/>
      <w:jc w:val="center"/>
    </w:pPr>
    <w:rPr>
      <w:rFonts w:ascii="Times New Roman" w:hAnsi="Times New Roman" w:eastAsia="宋体"/>
      <w:kern w:val="0"/>
    </w:rPr>
  </w:style>
  <w:style w:type="paragraph" w:customStyle="1" w:styleId="38">
    <w:name w:val="b-表头"/>
    <w:basedOn w:val="1"/>
    <w:qFormat/>
    <w:uiPriority w:val="0"/>
    <w:pPr>
      <w:widowControl/>
      <w:adjustRightInd w:val="0"/>
      <w:snapToGrid w:val="0"/>
      <w:jc w:val="center"/>
    </w:pPr>
    <w:rPr>
      <w:rFonts w:ascii="Times New Roman" w:hAnsi="Times New Roman" w:eastAsia="宋体"/>
      <w:kern w:val="0"/>
      <w:sz w:val="24"/>
    </w:rPr>
  </w:style>
  <w:style w:type="character" w:customStyle="1" w:styleId="39">
    <w:name w:val="font21"/>
    <w:basedOn w:val="17"/>
    <w:qFormat/>
    <w:uiPriority w:val="0"/>
    <w:rPr>
      <w:rFonts w:hint="eastAsia" w:ascii="宋体" w:hAnsi="宋体" w:eastAsia="宋体" w:cs="宋体"/>
      <w:color w:val="000000"/>
      <w:sz w:val="20"/>
      <w:szCs w:val="20"/>
      <w:u w:val="none"/>
    </w:rPr>
  </w:style>
  <w:style w:type="character" w:customStyle="1" w:styleId="40">
    <w:name w:val="font51"/>
    <w:basedOn w:val="17"/>
    <w:qFormat/>
    <w:uiPriority w:val="0"/>
    <w:rPr>
      <w:rFonts w:hint="default" w:ascii="Arial" w:hAnsi="Arial" w:cs="Arial"/>
      <w:color w:val="000000"/>
      <w:sz w:val="20"/>
      <w:szCs w:val="20"/>
      <w:u w:val="none"/>
    </w:rPr>
  </w:style>
  <w:style w:type="character" w:customStyle="1" w:styleId="41">
    <w:name w:val="b-表内文字"/>
    <w:basedOn w:val="17"/>
    <w:qFormat/>
    <w:uiPriority w:val="0"/>
    <w:rPr>
      <w:rFonts w:hint="default" w:ascii="Times New Roman" w:hAnsi="Times New Roman" w:eastAsia="宋体" w:cs="Times New Roman"/>
      <w:sz w:val="21"/>
    </w:rPr>
  </w:style>
  <w:style w:type="paragraph" w:customStyle="1" w:styleId="42">
    <w:name w:val="b-标题4"/>
    <w:basedOn w:val="25"/>
    <w:link w:val="44"/>
    <w:qFormat/>
    <w:uiPriority w:val="0"/>
    <w:pPr>
      <w:ind w:firstLine="480"/>
    </w:pPr>
  </w:style>
  <w:style w:type="character" w:customStyle="1" w:styleId="43">
    <w:name w:val="b-正文 Char"/>
    <w:basedOn w:val="17"/>
    <w:link w:val="25"/>
    <w:qFormat/>
    <w:uiPriority w:val="0"/>
    <w:rPr>
      <w:rFonts w:ascii="Times New Roman" w:hAnsi="Times New Roman" w:eastAsia="宋体"/>
      <w:sz w:val="24"/>
      <w:szCs w:val="22"/>
    </w:rPr>
  </w:style>
  <w:style w:type="character" w:customStyle="1" w:styleId="44">
    <w:name w:val="b-标题4 Char"/>
    <w:basedOn w:val="43"/>
    <w:link w:val="42"/>
    <w:qFormat/>
    <w:uiPriority w:val="0"/>
    <w:rPr>
      <w:rFonts w:ascii="Times New Roman" w:hAnsi="Times New Roman" w:eastAsia="宋体"/>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6ECE28-3F07-448E-9670-947F8D3A7F9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47</Pages>
  <Words>4513</Words>
  <Characters>25727</Characters>
  <Lines>214</Lines>
  <Paragraphs>60</Paragraphs>
  <TotalTime>13</TotalTime>
  <ScaleCrop>false</ScaleCrop>
  <LinksUpToDate>false</LinksUpToDate>
  <CharactersWithSpaces>30180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2020-02-14T09:39:00Z</dcterms:created>
  <dc:creator>微软用户</dc:creator>
  <cp:lastModifiedBy>i</cp:lastModifiedBy>
  <cp:lastPrinted>2020-02-14T10:09:00Z</cp:lastPrinted>
  <dcterms:modified xsi:type="dcterms:W3CDTF">2021-03-11T09:18:59Z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