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9C04FB">
      <w:pPr>
        <w:spacing w:before="0" w:beforeAutospacing="0" w:after="1" w:afterAutospacing="0"/>
        <w:rPr>
          <w:rFonts w:ascii="仿宋_GB2312" w:eastAsia="仿宋_GB2312" w:cs="仿宋_GB2312"/>
          <w:sz w:val="21"/>
          <w:szCs w:val="21"/>
        </w:rPr>
      </w:pPr>
      <w:bookmarkStart w:id="0" w:name="_GoBack"/>
      <w:bookmarkEnd w:id="0"/>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14:paraId="74D53F8A">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44"/>
          <w:szCs w:val="44"/>
        </w:rPr>
        <w:t>2023年永州市冷水滩区凤凰社区卫生服务中心部门预算公开说明</w:t>
      </w:r>
      <w:r>
        <w:rPr>
          <w:rFonts w:hint="default" w:ascii="仿宋_GB2312" w:eastAsia="仿宋_GB2312" w:cs="仿宋_GB2312"/>
          <w:color w:val="000000"/>
          <w:sz w:val="21"/>
          <w:szCs w:val="21"/>
        </w:rPr>
        <w:t xml:space="preserve"> </w:t>
      </w:r>
    </w:p>
    <w:p w14:paraId="69E4583E">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14:paraId="0B8FDA37">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2"/>
          <w:szCs w:val="32"/>
        </w:rPr>
        <w:t>目</w:t>
      </w:r>
      <w:r>
        <w:rPr>
          <w:rFonts w:hint="default" w:ascii="仿宋_GB2312" w:eastAsia="仿宋_GB2312" w:cs="仿宋_GB2312"/>
          <w:color w:val="000000"/>
          <w:sz w:val="32"/>
          <w:szCs w:val="32"/>
        </w:rPr>
        <w:t> </w:t>
      </w:r>
      <w:r>
        <w:rPr>
          <w:rFonts w:ascii="宋体" w:hAnsi="宋体" w:eastAsia="宋体" w:cs="宋体"/>
          <w:color w:val="000000"/>
          <w:sz w:val="32"/>
          <w:szCs w:val="32"/>
        </w:rPr>
        <w:t>录</w:t>
      </w:r>
      <w:r>
        <w:rPr>
          <w:rFonts w:hint="default" w:ascii="仿宋_GB2312" w:eastAsia="仿宋_GB2312" w:cs="仿宋_GB2312"/>
          <w:color w:val="000000"/>
          <w:sz w:val="21"/>
          <w:szCs w:val="21"/>
        </w:rPr>
        <w:t xml:space="preserve"> </w:t>
      </w:r>
    </w:p>
    <w:p w14:paraId="604A4207">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第一部分 2023年部门预算说明</w:t>
      </w:r>
      <w:r>
        <w:rPr>
          <w:rFonts w:hint="default" w:ascii="仿宋_GB2312" w:eastAsia="仿宋_GB2312" w:cs="仿宋_GB2312"/>
          <w:color w:val="000000"/>
          <w:sz w:val="21"/>
          <w:szCs w:val="21"/>
        </w:rPr>
        <w:t xml:space="preserve"> </w:t>
      </w:r>
    </w:p>
    <w:p w14:paraId="42C6FA9D">
      <w:pPr>
        <w:pStyle w:val="13"/>
        <w:spacing w:before="0" w:beforeAutospacing="0" w:after="1" w:afterAutospacing="0"/>
        <w:ind w:left="0" w:firstLine="700"/>
      </w:pPr>
      <w:r>
        <w:rPr>
          <w:rFonts w:ascii="宋体" w:hAnsi="宋体" w:eastAsia="宋体" w:cs="宋体"/>
          <w:b/>
          <w:bCs/>
          <w:color w:val="000000"/>
          <w:sz w:val="32"/>
          <w:szCs w:val="32"/>
        </w:rPr>
        <w:t>一、部门基本概况</w:t>
      </w:r>
      <w:r>
        <w:rPr>
          <w:color w:val="000000"/>
        </w:rPr>
        <w:t xml:space="preserve"> </w:t>
      </w:r>
    </w:p>
    <w:p w14:paraId="403B3804">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（一）职能职责</w:t>
      </w:r>
      <w:r>
        <w:rPr>
          <w:rFonts w:hint="default" w:ascii="仿宋_GB2312" w:eastAsia="仿宋_GB2312" w:cs="仿宋_GB2312"/>
          <w:color w:val="000000"/>
          <w:sz w:val="21"/>
          <w:szCs w:val="21"/>
        </w:rPr>
        <w:t xml:space="preserve"> </w:t>
      </w:r>
    </w:p>
    <w:p w14:paraId="21EAF50B">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（二）机构设置</w:t>
      </w:r>
      <w:r>
        <w:rPr>
          <w:rFonts w:hint="default" w:ascii="仿宋_GB2312" w:eastAsia="仿宋_GB2312" w:cs="仿宋_GB2312"/>
          <w:color w:val="000000"/>
          <w:sz w:val="21"/>
          <w:szCs w:val="21"/>
        </w:rPr>
        <w:t xml:space="preserve"> </w:t>
      </w:r>
    </w:p>
    <w:p w14:paraId="1D176CF1">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二、部门预算单位构成</w:t>
      </w:r>
      <w:r>
        <w:rPr>
          <w:rFonts w:hint="default" w:ascii="仿宋_GB2312" w:eastAsia="仿宋_GB2312" w:cs="仿宋_GB2312"/>
          <w:color w:val="000000"/>
          <w:sz w:val="21"/>
          <w:szCs w:val="21"/>
        </w:rPr>
        <w:t xml:space="preserve"> </w:t>
      </w:r>
    </w:p>
    <w:p w14:paraId="3FBBF313">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三、部门收支总体情况</w:t>
      </w:r>
      <w:r>
        <w:rPr>
          <w:rFonts w:hint="default" w:ascii="仿宋_GB2312" w:eastAsia="仿宋_GB2312" w:cs="仿宋_GB2312"/>
          <w:color w:val="000000"/>
          <w:sz w:val="21"/>
          <w:szCs w:val="21"/>
        </w:rPr>
        <w:t xml:space="preserve"> </w:t>
      </w:r>
    </w:p>
    <w:p w14:paraId="4F07C575">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四、一般公共预算拨款支出</w:t>
      </w:r>
      <w:r>
        <w:rPr>
          <w:rFonts w:hint="default" w:ascii="仿宋_GB2312" w:eastAsia="仿宋_GB2312" w:cs="仿宋_GB2312"/>
          <w:color w:val="000000"/>
          <w:sz w:val="21"/>
          <w:szCs w:val="21"/>
        </w:rPr>
        <w:t xml:space="preserve"> </w:t>
      </w:r>
    </w:p>
    <w:p w14:paraId="683A1602">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五、政府性基金预算支出</w:t>
      </w:r>
      <w:r>
        <w:rPr>
          <w:rFonts w:hint="default" w:ascii="仿宋_GB2312" w:eastAsia="仿宋_GB2312" w:cs="仿宋_GB2312"/>
          <w:color w:val="000000"/>
          <w:sz w:val="21"/>
          <w:szCs w:val="21"/>
        </w:rPr>
        <w:t xml:space="preserve"> </w:t>
      </w:r>
    </w:p>
    <w:p w14:paraId="22E9AE8D">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六、其他重要事项的情况说明</w:t>
      </w:r>
      <w:r>
        <w:rPr>
          <w:rFonts w:hint="default" w:ascii="仿宋_GB2312" w:eastAsia="仿宋_GB2312" w:cs="仿宋_GB2312"/>
          <w:color w:val="000000"/>
          <w:sz w:val="21"/>
          <w:szCs w:val="21"/>
        </w:rPr>
        <w:t xml:space="preserve"> </w:t>
      </w:r>
    </w:p>
    <w:p w14:paraId="5A458D4F">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（一）机关运行经费</w:t>
      </w:r>
      <w:r>
        <w:rPr>
          <w:rFonts w:hint="default" w:ascii="仿宋_GB2312" w:eastAsia="仿宋_GB2312" w:cs="仿宋_GB2312"/>
          <w:color w:val="000000"/>
          <w:sz w:val="21"/>
          <w:szCs w:val="21"/>
        </w:rPr>
        <w:t xml:space="preserve"> </w:t>
      </w:r>
    </w:p>
    <w:p w14:paraId="238A1399">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（二）“三公”经费预算</w:t>
      </w:r>
      <w:r>
        <w:rPr>
          <w:rFonts w:hint="default" w:ascii="仿宋_GB2312" w:eastAsia="仿宋_GB2312" w:cs="仿宋_GB2312"/>
          <w:color w:val="000000"/>
          <w:sz w:val="21"/>
          <w:szCs w:val="21"/>
        </w:rPr>
        <w:t xml:space="preserve"> </w:t>
      </w:r>
    </w:p>
    <w:p w14:paraId="708E5C8D">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（三）一般性支出情况</w:t>
      </w:r>
      <w:r>
        <w:rPr>
          <w:rFonts w:hint="default" w:ascii="仿宋_GB2312" w:eastAsia="仿宋_GB2312" w:cs="仿宋_GB2312"/>
          <w:color w:val="000000"/>
          <w:sz w:val="21"/>
          <w:szCs w:val="21"/>
        </w:rPr>
        <w:t xml:space="preserve"> </w:t>
      </w:r>
    </w:p>
    <w:p w14:paraId="3D824C30">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（四）政府采购情况</w:t>
      </w:r>
      <w:r>
        <w:rPr>
          <w:rFonts w:hint="default" w:ascii="仿宋_GB2312" w:eastAsia="仿宋_GB2312" w:cs="仿宋_GB2312"/>
          <w:color w:val="000000"/>
          <w:sz w:val="21"/>
          <w:szCs w:val="21"/>
        </w:rPr>
        <w:t xml:space="preserve"> </w:t>
      </w:r>
    </w:p>
    <w:p w14:paraId="38F3C2CB">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（五）国有资产占用使用及新增资产配置情况</w:t>
      </w:r>
      <w:r>
        <w:rPr>
          <w:rFonts w:hint="default" w:ascii="仿宋_GB2312" w:eastAsia="仿宋_GB2312" w:cs="仿宋_GB2312"/>
          <w:color w:val="000000"/>
          <w:sz w:val="21"/>
          <w:szCs w:val="21"/>
        </w:rPr>
        <w:t xml:space="preserve"> </w:t>
      </w:r>
    </w:p>
    <w:p w14:paraId="6DBD78EC">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（六）预算绩效目标说明</w:t>
      </w:r>
      <w:r>
        <w:rPr>
          <w:rFonts w:hint="default" w:ascii="仿宋_GB2312" w:eastAsia="仿宋_GB2312" w:cs="仿宋_GB2312"/>
          <w:color w:val="000000"/>
          <w:sz w:val="21"/>
          <w:szCs w:val="21"/>
        </w:rPr>
        <w:t xml:space="preserve"> </w:t>
      </w:r>
    </w:p>
    <w:p w14:paraId="32EADDEA">
      <w:pPr>
        <w:spacing w:before="0" w:beforeAutospacing="0" w:after="1" w:afterAutospacing="0"/>
        <w:ind w:left="0" w:firstLine="643"/>
        <w:jc w:val="both"/>
        <w:rPr>
          <w:rFonts w:hint="default" w:ascii="仿宋_GB2312" w:eastAsia="仿宋_GB2312" w:cs="仿宋_GB2312"/>
          <w:sz w:val="21"/>
          <w:szCs w:val="21"/>
        </w:rPr>
      </w:pPr>
      <w:r>
        <w:rPr>
          <w:rFonts w:ascii="宋体" w:hAnsi="宋体" w:eastAsia="宋体" w:cs="宋体"/>
          <w:b/>
          <w:bCs/>
          <w:color w:val="000000"/>
          <w:sz w:val="32"/>
          <w:szCs w:val="32"/>
        </w:rPr>
        <w:t>七、名词解释</w:t>
      </w:r>
      <w:r>
        <w:rPr>
          <w:rFonts w:hint="default" w:ascii="仿宋_GB2312" w:eastAsia="仿宋_GB2312" w:cs="仿宋_GB2312"/>
          <w:color w:val="000000"/>
          <w:sz w:val="21"/>
          <w:szCs w:val="21"/>
        </w:rPr>
        <w:t xml:space="preserve"> </w:t>
      </w:r>
    </w:p>
    <w:p w14:paraId="554082DB">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b/>
          <w:bCs/>
          <w:color w:val="000000"/>
          <w:sz w:val="32"/>
          <w:szCs w:val="32"/>
        </w:rPr>
        <w:t>第二部分 2023年部门预算表</w:t>
      </w:r>
      <w:r>
        <w:rPr>
          <w:rFonts w:hint="default" w:ascii="仿宋_GB2312" w:eastAsia="仿宋_GB2312" w:cs="仿宋_GB2312"/>
          <w:color w:val="000000"/>
          <w:sz w:val="21"/>
          <w:szCs w:val="21"/>
        </w:rPr>
        <w:t xml:space="preserve"> </w:t>
      </w:r>
    </w:p>
    <w:p w14:paraId="4B06F277">
      <w:pPr>
        <w:spacing w:before="0" w:beforeAutospacing="0" w:after="1" w:afterAutospacing="0"/>
        <w:ind w:left="0" w:firstLine="643"/>
      </w:pPr>
      <w:r>
        <w:rPr>
          <w:rFonts w:ascii="宋体" w:hAnsi="宋体" w:eastAsia="宋体" w:cs="宋体"/>
          <w:color w:val="000000"/>
          <w:sz w:val="32"/>
          <w:szCs w:val="32"/>
        </w:rPr>
        <w:t>1、收支总表</w:t>
      </w:r>
      <w:r>
        <w:rPr>
          <w:color w:val="000000"/>
        </w:rPr>
        <w:t xml:space="preserve"> </w:t>
      </w:r>
    </w:p>
    <w:p w14:paraId="2D951005">
      <w:pPr>
        <w:spacing w:before="0" w:beforeAutospacing="0" w:after="1" w:afterAutospacing="0"/>
        <w:ind w:left="0" w:firstLine="643"/>
      </w:pPr>
      <w:r>
        <w:rPr>
          <w:rFonts w:ascii="宋体" w:hAnsi="宋体" w:eastAsia="宋体" w:cs="宋体"/>
          <w:color w:val="000000"/>
          <w:sz w:val="32"/>
          <w:szCs w:val="32"/>
        </w:rPr>
        <w:t>2、收入总表</w:t>
      </w:r>
      <w:r>
        <w:rPr>
          <w:color w:val="000000"/>
        </w:rPr>
        <w:t xml:space="preserve"> </w:t>
      </w:r>
    </w:p>
    <w:p w14:paraId="7AD8FC92">
      <w:pPr>
        <w:spacing w:before="0" w:beforeAutospacing="0" w:after="1" w:afterAutospacing="0"/>
        <w:ind w:left="0" w:firstLine="643"/>
      </w:pPr>
      <w:r>
        <w:rPr>
          <w:rFonts w:ascii="宋体" w:hAnsi="宋体" w:eastAsia="宋体" w:cs="宋体"/>
          <w:color w:val="000000"/>
          <w:sz w:val="32"/>
          <w:szCs w:val="32"/>
        </w:rPr>
        <w:t>3、支出总表</w:t>
      </w:r>
      <w:r>
        <w:rPr>
          <w:color w:val="000000"/>
        </w:rPr>
        <w:t xml:space="preserve"> </w:t>
      </w:r>
    </w:p>
    <w:p w14:paraId="605160BE">
      <w:pPr>
        <w:spacing w:before="0" w:beforeAutospacing="0" w:after="1" w:afterAutospacing="0"/>
        <w:ind w:left="0" w:firstLine="643"/>
      </w:pPr>
      <w:r>
        <w:rPr>
          <w:rFonts w:ascii="宋体" w:hAnsi="宋体" w:eastAsia="宋体" w:cs="宋体"/>
          <w:color w:val="000000"/>
          <w:sz w:val="32"/>
          <w:szCs w:val="32"/>
        </w:rPr>
        <w:t>4、支出预算分类汇总表（按政府预算经济分类）</w:t>
      </w:r>
      <w:r>
        <w:rPr>
          <w:color w:val="000000"/>
        </w:rPr>
        <w:t xml:space="preserve"> </w:t>
      </w:r>
    </w:p>
    <w:p w14:paraId="5F5BFFF9">
      <w:pPr>
        <w:spacing w:before="0" w:beforeAutospacing="0" w:after="1" w:afterAutospacing="0"/>
        <w:ind w:left="0" w:firstLine="643"/>
      </w:pPr>
      <w:r>
        <w:rPr>
          <w:rFonts w:ascii="宋体" w:hAnsi="宋体" w:eastAsia="宋体" w:cs="宋体"/>
          <w:color w:val="000000"/>
          <w:sz w:val="32"/>
          <w:szCs w:val="32"/>
        </w:rPr>
        <w:t>5、支出预算分类汇总表（按部门预算经济分类）</w:t>
      </w:r>
      <w:r>
        <w:rPr>
          <w:color w:val="000000"/>
        </w:rPr>
        <w:t xml:space="preserve"> </w:t>
      </w:r>
    </w:p>
    <w:p w14:paraId="01908C64">
      <w:pPr>
        <w:spacing w:before="0" w:beforeAutospacing="0" w:after="1" w:afterAutospacing="0"/>
        <w:ind w:left="0" w:firstLine="643"/>
      </w:pPr>
      <w:r>
        <w:rPr>
          <w:rFonts w:ascii="宋体" w:hAnsi="宋体" w:eastAsia="宋体" w:cs="宋体"/>
          <w:color w:val="000000"/>
          <w:sz w:val="32"/>
          <w:szCs w:val="32"/>
        </w:rPr>
        <w:t>6、财政拨款收支总表</w:t>
      </w:r>
      <w:r>
        <w:rPr>
          <w:color w:val="000000"/>
        </w:rPr>
        <w:t xml:space="preserve"> </w:t>
      </w:r>
    </w:p>
    <w:p w14:paraId="4EB00A5B">
      <w:pPr>
        <w:spacing w:before="0" w:beforeAutospacing="0" w:after="1" w:afterAutospacing="0"/>
        <w:ind w:left="0" w:firstLine="643"/>
      </w:pPr>
      <w:r>
        <w:rPr>
          <w:rFonts w:ascii="宋体" w:hAnsi="宋体" w:eastAsia="宋体" w:cs="宋体"/>
          <w:color w:val="000000"/>
          <w:sz w:val="32"/>
          <w:szCs w:val="32"/>
        </w:rPr>
        <w:t>7、一般公共预算支出表</w:t>
      </w:r>
      <w:r>
        <w:rPr>
          <w:color w:val="000000"/>
        </w:rPr>
        <w:t xml:space="preserve"> </w:t>
      </w:r>
    </w:p>
    <w:p w14:paraId="59FB3056">
      <w:pPr>
        <w:spacing w:before="0" w:beforeAutospacing="0" w:after="1" w:afterAutospacing="0"/>
        <w:ind w:left="0" w:firstLine="643"/>
      </w:pPr>
      <w:r>
        <w:rPr>
          <w:rFonts w:ascii="宋体" w:hAnsi="宋体" w:eastAsia="宋体" w:cs="宋体"/>
          <w:color w:val="000000"/>
          <w:sz w:val="32"/>
          <w:szCs w:val="32"/>
        </w:rPr>
        <w:t>8、一般公共预算基本支出表--人员经费(工资福利支出)(按政府预算经济分类)</w:t>
      </w:r>
      <w:r>
        <w:rPr>
          <w:color w:val="000000"/>
        </w:rPr>
        <w:t xml:space="preserve"> </w:t>
      </w:r>
    </w:p>
    <w:p w14:paraId="62386A0B">
      <w:pPr>
        <w:spacing w:before="0" w:beforeAutospacing="0" w:after="1" w:afterAutospacing="0"/>
        <w:ind w:left="0" w:firstLine="643"/>
      </w:pPr>
      <w:r>
        <w:rPr>
          <w:rFonts w:ascii="宋体" w:hAnsi="宋体" w:eastAsia="宋体" w:cs="宋体"/>
          <w:color w:val="000000"/>
          <w:sz w:val="32"/>
          <w:szCs w:val="32"/>
        </w:rPr>
        <w:t>9、一般公共预算基本支出表--人员经费(工资福利支出)(按部门预算经济分类)</w:t>
      </w:r>
      <w:r>
        <w:rPr>
          <w:color w:val="000000"/>
        </w:rPr>
        <w:t xml:space="preserve"> </w:t>
      </w:r>
    </w:p>
    <w:p w14:paraId="1E0EF55F">
      <w:pPr>
        <w:spacing w:before="0" w:beforeAutospacing="0" w:after="1" w:afterAutospacing="0"/>
        <w:ind w:left="0" w:firstLine="643"/>
      </w:pPr>
      <w:r>
        <w:rPr>
          <w:rFonts w:ascii="宋体" w:hAnsi="宋体" w:eastAsia="宋体" w:cs="宋体"/>
          <w:color w:val="000000"/>
          <w:sz w:val="32"/>
          <w:szCs w:val="32"/>
        </w:rPr>
        <w:t>10、一般公共预算基本支出表--人员经费(对个人和家庭的补助)(按政府预算经济分类)</w:t>
      </w:r>
      <w:r>
        <w:rPr>
          <w:color w:val="000000"/>
        </w:rPr>
        <w:t xml:space="preserve"> </w:t>
      </w:r>
    </w:p>
    <w:p w14:paraId="4542D690">
      <w:pPr>
        <w:spacing w:before="0" w:beforeAutospacing="0" w:after="1" w:afterAutospacing="0"/>
        <w:ind w:left="0" w:firstLine="643"/>
      </w:pPr>
      <w:r>
        <w:rPr>
          <w:rFonts w:ascii="宋体" w:hAnsi="宋体" w:eastAsia="宋体" w:cs="宋体"/>
          <w:color w:val="000000"/>
          <w:sz w:val="32"/>
          <w:szCs w:val="32"/>
        </w:rPr>
        <w:t>11、一般公共预算基本支出表--人员经费(对个人和家庭的补助)（按部门预算经济分类）</w:t>
      </w:r>
      <w:r>
        <w:rPr>
          <w:color w:val="000000"/>
        </w:rPr>
        <w:t xml:space="preserve"> </w:t>
      </w:r>
    </w:p>
    <w:p w14:paraId="5D0BA599">
      <w:pPr>
        <w:spacing w:before="0" w:beforeAutospacing="0" w:after="1" w:afterAutospacing="0"/>
        <w:ind w:left="0" w:firstLine="643"/>
      </w:pPr>
      <w:r>
        <w:rPr>
          <w:rFonts w:ascii="宋体" w:hAnsi="宋体" w:eastAsia="宋体" w:cs="宋体"/>
          <w:color w:val="000000"/>
          <w:sz w:val="32"/>
          <w:szCs w:val="32"/>
        </w:rPr>
        <w:t>12、一般公共预算基本支出表--公用经费(商品和服务支出)（按政府预算经济分类）</w:t>
      </w:r>
      <w:r>
        <w:rPr>
          <w:color w:val="000000"/>
        </w:rPr>
        <w:t xml:space="preserve"> </w:t>
      </w:r>
    </w:p>
    <w:p w14:paraId="693C7A29">
      <w:pPr>
        <w:spacing w:before="0" w:beforeAutospacing="0" w:after="1" w:afterAutospacing="0"/>
        <w:ind w:left="0" w:firstLine="643"/>
      </w:pPr>
      <w:r>
        <w:rPr>
          <w:rFonts w:ascii="宋体" w:hAnsi="宋体" w:eastAsia="宋体" w:cs="宋体"/>
          <w:color w:val="000000"/>
          <w:sz w:val="32"/>
          <w:szCs w:val="32"/>
        </w:rPr>
        <w:t>13、一般公共预算基本支出表--公用经费(商品和服务支出)(按部门预算经济分类)</w:t>
      </w:r>
      <w:r>
        <w:rPr>
          <w:color w:val="000000"/>
        </w:rPr>
        <w:t xml:space="preserve"> </w:t>
      </w:r>
    </w:p>
    <w:p w14:paraId="26C81209">
      <w:pPr>
        <w:spacing w:before="0" w:beforeAutospacing="0" w:after="1" w:afterAutospacing="0"/>
        <w:ind w:left="0" w:firstLine="643"/>
      </w:pPr>
      <w:r>
        <w:rPr>
          <w:rFonts w:ascii="宋体" w:hAnsi="宋体" w:eastAsia="宋体" w:cs="宋体"/>
          <w:color w:val="000000"/>
          <w:sz w:val="32"/>
          <w:szCs w:val="32"/>
        </w:rPr>
        <w:t>14、一般公共预算“三公”经费支出表</w:t>
      </w:r>
      <w:r>
        <w:rPr>
          <w:color w:val="000000"/>
        </w:rPr>
        <w:t xml:space="preserve"> </w:t>
      </w:r>
    </w:p>
    <w:p w14:paraId="6319A22B">
      <w:pPr>
        <w:spacing w:before="0" w:beforeAutospacing="0" w:after="1" w:afterAutospacing="0"/>
        <w:ind w:left="0" w:firstLine="643"/>
      </w:pPr>
      <w:r>
        <w:rPr>
          <w:rFonts w:ascii="宋体" w:hAnsi="宋体" w:eastAsia="宋体" w:cs="宋体"/>
          <w:color w:val="000000"/>
          <w:sz w:val="32"/>
          <w:szCs w:val="32"/>
        </w:rPr>
        <w:t>15、政府性基金预算支出表</w:t>
      </w:r>
      <w:r>
        <w:rPr>
          <w:color w:val="000000"/>
        </w:rPr>
        <w:t xml:space="preserve"> </w:t>
      </w:r>
    </w:p>
    <w:p w14:paraId="71663598">
      <w:pPr>
        <w:spacing w:before="0" w:beforeAutospacing="0" w:after="1" w:afterAutospacing="0"/>
        <w:ind w:left="0" w:firstLine="643"/>
      </w:pPr>
      <w:r>
        <w:rPr>
          <w:rFonts w:ascii="宋体" w:hAnsi="宋体" w:eastAsia="宋体" w:cs="宋体"/>
          <w:color w:val="000000"/>
          <w:sz w:val="32"/>
          <w:szCs w:val="32"/>
        </w:rPr>
        <w:t>16、政府性基金预算支出分类汇总表（按政府预算经济分类）</w:t>
      </w:r>
      <w:r>
        <w:rPr>
          <w:color w:val="000000"/>
        </w:rPr>
        <w:t xml:space="preserve"> </w:t>
      </w:r>
    </w:p>
    <w:p w14:paraId="7206B395">
      <w:pPr>
        <w:spacing w:before="0" w:beforeAutospacing="0" w:after="1" w:afterAutospacing="0"/>
        <w:ind w:left="0" w:firstLine="643"/>
      </w:pPr>
      <w:r>
        <w:rPr>
          <w:rFonts w:ascii="宋体" w:hAnsi="宋体" w:eastAsia="宋体" w:cs="宋体"/>
          <w:color w:val="000000"/>
          <w:sz w:val="32"/>
          <w:szCs w:val="32"/>
        </w:rPr>
        <w:t>17、政府性基金预算支出分类汇总表（按部门预算经济分类）</w:t>
      </w:r>
      <w:r>
        <w:rPr>
          <w:color w:val="000000"/>
        </w:rPr>
        <w:t xml:space="preserve"> </w:t>
      </w:r>
    </w:p>
    <w:p w14:paraId="341E2F3F">
      <w:pPr>
        <w:spacing w:before="0" w:beforeAutospacing="0" w:after="1" w:afterAutospacing="0"/>
        <w:ind w:left="0" w:firstLine="643"/>
      </w:pPr>
      <w:r>
        <w:rPr>
          <w:rFonts w:ascii="宋体" w:hAnsi="宋体" w:eastAsia="宋体" w:cs="宋体"/>
          <w:color w:val="000000"/>
          <w:sz w:val="32"/>
          <w:szCs w:val="32"/>
        </w:rPr>
        <w:t>18、国有资本经营预算表</w:t>
      </w:r>
      <w:r>
        <w:rPr>
          <w:color w:val="000000"/>
        </w:rPr>
        <w:t xml:space="preserve"> </w:t>
      </w:r>
    </w:p>
    <w:p w14:paraId="7BB5EA54">
      <w:pPr>
        <w:spacing w:before="0" w:beforeAutospacing="0" w:after="1" w:afterAutospacing="0"/>
        <w:ind w:left="0" w:firstLine="643"/>
      </w:pPr>
      <w:r>
        <w:rPr>
          <w:rFonts w:ascii="宋体" w:hAnsi="宋体" w:eastAsia="宋体" w:cs="宋体"/>
          <w:color w:val="000000"/>
          <w:sz w:val="32"/>
          <w:szCs w:val="32"/>
        </w:rPr>
        <w:t>19、财政专户管理资金预算支出表</w:t>
      </w:r>
      <w:r>
        <w:rPr>
          <w:color w:val="000000"/>
        </w:rPr>
        <w:t xml:space="preserve"> </w:t>
      </w:r>
    </w:p>
    <w:p w14:paraId="284D16E6">
      <w:pPr>
        <w:spacing w:before="0" w:beforeAutospacing="0" w:after="1" w:afterAutospacing="0"/>
        <w:ind w:left="0" w:firstLine="643"/>
      </w:pPr>
      <w:r>
        <w:rPr>
          <w:rFonts w:ascii="宋体" w:hAnsi="宋体" w:eastAsia="宋体" w:cs="宋体"/>
          <w:color w:val="000000"/>
          <w:sz w:val="32"/>
          <w:szCs w:val="32"/>
        </w:rPr>
        <w:t>20、专项资金预算汇总表</w:t>
      </w:r>
      <w:r>
        <w:rPr>
          <w:color w:val="000000"/>
        </w:rPr>
        <w:t xml:space="preserve"> </w:t>
      </w:r>
    </w:p>
    <w:p w14:paraId="1FE2EF61">
      <w:pPr>
        <w:spacing w:before="0" w:beforeAutospacing="0" w:after="1" w:afterAutospacing="0"/>
        <w:ind w:left="0" w:firstLine="643"/>
      </w:pPr>
      <w:r>
        <w:rPr>
          <w:rFonts w:ascii="宋体" w:hAnsi="宋体" w:eastAsia="宋体" w:cs="宋体"/>
          <w:color w:val="000000"/>
          <w:sz w:val="32"/>
          <w:szCs w:val="32"/>
        </w:rPr>
        <w:t>21、其他项目支出绩效目标表</w:t>
      </w:r>
      <w:r>
        <w:rPr>
          <w:color w:val="000000"/>
        </w:rPr>
        <w:t xml:space="preserve"> </w:t>
      </w:r>
    </w:p>
    <w:p w14:paraId="76E53436">
      <w:pPr>
        <w:spacing w:before="0" w:beforeAutospacing="0" w:after="1" w:afterAutospacing="0"/>
        <w:ind w:left="0" w:firstLine="643"/>
      </w:pPr>
      <w:r>
        <w:rPr>
          <w:rFonts w:ascii="宋体" w:hAnsi="宋体" w:eastAsia="宋体" w:cs="宋体"/>
          <w:color w:val="000000"/>
          <w:sz w:val="32"/>
          <w:szCs w:val="32"/>
        </w:rPr>
        <w:t>22、部门整体支出绩效目标表</w:t>
      </w:r>
      <w:r>
        <w:rPr>
          <w:color w:val="000000"/>
        </w:rPr>
        <w:t xml:space="preserve"> </w:t>
      </w:r>
    </w:p>
    <w:p w14:paraId="53CB57D5">
      <w:pPr>
        <w:spacing w:before="0" w:beforeAutospacing="0" w:after="1" w:afterAutospacing="0"/>
        <w:ind w:left="0" w:firstLine="640"/>
        <w:jc w:val="both"/>
        <w:rPr>
          <w:rFonts w:hint="default" w:ascii="仿宋_GB2312" w:eastAsia="仿宋_GB2312" w:cs="仿宋_GB2312"/>
          <w:sz w:val="21"/>
          <w:szCs w:val="21"/>
        </w:rPr>
      </w:pPr>
      <w:r>
        <w:rPr>
          <w:rStyle w:val="12"/>
          <w:rFonts w:ascii="宋体" w:hAnsi="宋体" w:eastAsia="宋体" w:cs="宋体"/>
          <w:color w:val="000000"/>
          <w:sz w:val="32"/>
          <w:szCs w:val="32"/>
        </w:rPr>
        <w:t>注：以上部门预算报表中，空表表示本部门无相关收支情况。</w:t>
      </w:r>
    </w:p>
    <w:p w14:paraId="6C58C63D">
      <w:pPr>
        <w:spacing w:before="0" w:beforeAutospacing="0" w:after="1" w:afterAutospacing="0"/>
        <w:ind w:left="0" w:firstLine="640"/>
        <w:jc w:val="both"/>
        <w:rPr>
          <w:rFonts w:hint="default" w:ascii="仿宋_GB2312" w:eastAsia="仿宋_GB2312" w:cs="仿宋_GB2312"/>
          <w:sz w:val="21"/>
          <w:szCs w:val="21"/>
        </w:rPr>
      </w:pPr>
      <w:r>
        <w:rPr>
          <w:rFonts w:ascii="宋体" w:hAnsi="宋体" w:eastAsia="宋体" w:cs="宋体"/>
          <w:color w:val="000000"/>
          <w:sz w:val="32"/>
          <w:szCs w:val="32"/>
        </w:rPr>
        <w:t> </w:t>
      </w:r>
      <w:r>
        <w:rPr>
          <w:rFonts w:hint="default" w:ascii="仿宋_GB2312" w:eastAsia="仿宋_GB2312" w:cs="仿宋_GB2312"/>
          <w:color w:val="000000"/>
          <w:sz w:val="21"/>
          <w:szCs w:val="21"/>
        </w:rPr>
        <w:t xml:space="preserve"> </w:t>
      </w:r>
    </w:p>
    <w:p w14:paraId="7FC99B0F">
      <w:pPr>
        <w:spacing w:before="0" w:beforeAutospacing="0" w:after="1" w:afterAutospacing="0"/>
        <w:jc w:val="both"/>
        <w:rPr>
          <w:rFonts w:hint="default" w:ascii="仿宋_GB2312" w:eastAsia="仿宋_GB2312" w:cs="仿宋_GB2312"/>
          <w:sz w:val="21"/>
          <w:szCs w:val="21"/>
        </w:rPr>
      </w:pPr>
    </w:p>
    <w:p w14:paraId="6BB91133">
      <w:pPr>
        <w:spacing w:before="0" w:beforeAutospacing="0" w:after="1" w:afterAutospacing="0"/>
        <w:jc w:val="center"/>
        <w:rPr>
          <w:rFonts w:hint="default" w:ascii="仿宋_GB2312" w:eastAsia="仿宋_GB2312" w:cs="仿宋_GB2312"/>
          <w:sz w:val="21"/>
          <w:szCs w:val="21"/>
        </w:rPr>
      </w:pPr>
      <w:r>
        <w:rPr>
          <w:rFonts w:ascii="宋体" w:hAnsi="宋体" w:eastAsia="宋体" w:cs="宋体"/>
          <w:color w:val="000000"/>
          <w:sz w:val="36"/>
          <w:szCs w:val="36"/>
        </w:rPr>
        <w:t>第一部分</w:t>
      </w:r>
      <w:r>
        <w:rPr>
          <w:rFonts w:hint="default" w:ascii="仿宋_GB2312" w:eastAsia="仿宋_GB2312" w:cs="仿宋_GB2312"/>
          <w:color w:val="000000"/>
          <w:sz w:val="36"/>
          <w:szCs w:val="36"/>
        </w:rPr>
        <w:t> </w:t>
      </w:r>
      <w:r>
        <w:rPr>
          <w:rFonts w:ascii="宋体" w:hAnsi="宋体" w:eastAsia="宋体" w:cs="宋体"/>
          <w:color w:val="000000"/>
          <w:sz w:val="36"/>
          <w:szCs w:val="36"/>
        </w:rPr>
        <w:t>部门预算说明</w:t>
      </w:r>
      <w:r>
        <w:rPr>
          <w:rFonts w:hint="default" w:ascii="仿宋_GB2312" w:eastAsia="仿宋_GB2312" w:cs="仿宋_GB2312"/>
          <w:color w:val="000000"/>
          <w:sz w:val="21"/>
          <w:szCs w:val="21"/>
        </w:rPr>
        <w:t xml:space="preserve"> </w:t>
      </w:r>
    </w:p>
    <w:p w14:paraId="0383918A">
      <w:pPr>
        <w:spacing w:before="0" w:beforeAutospacing="0" w:after="1" w:afterAutospacing="0"/>
        <w:rPr>
          <w:rFonts w:hint="default" w:ascii="仿宋_GB2312" w:eastAsia="仿宋_GB2312" w:cs="仿宋_GB2312"/>
          <w:sz w:val="21"/>
          <w:szCs w:val="21"/>
        </w:rPr>
      </w:pPr>
      <w:r>
        <w:rPr>
          <w:rFonts w:ascii="宋体" w:hAnsi="宋体" w:eastAsia="宋体" w:cs="宋体"/>
          <w:b/>
          <w:bCs/>
          <w:color w:val="000000"/>
          <w:sz w:val="32"/>
          <w:szCs w:val="32"/>
        </w:rPr>
        <w:t> </w:t>
      </w:r>
      <w:r>
        <w:rPr>
          <w:rFonts w:hint="default" w:ascii="仿宋_GB2312" w:eastAsia="仿宋_GB2312" w:cs="仿宋_GB2312"/>
          <w:color w:val="000000"/>
          <w:sz w:val="21"/>
          <w:szCs w:val="21"/>
        </w:rPr>
        <w:t xml:space="preserve"> </w:t>
      </w:r>
    </w:p>
    <w:p w14:paraId="4E8C79A5">
      <w:pPr>
        <w:spacing w:before="0" w:beforeAutospacing="0" w:after="1" w:afterAutospacing="0"/>
        <w:ind w:left="0" w:firstLine="627"/>
        <w:rPr>
          <w:rFonts w:hint="default" w:ascii="仿宋_GB2312" w:eastAsia="仿宋_GB2312" w:cs="仿宋_GB2312"/>
          <w:sz w:val="21"/>
          <w:szCs w:val="21"/>
        </w:rPr>
      </w:pPr>
      <w:r>
        <w:rPr>
          <w:rStyle w:val="12"/>
          <w:rFonts w:ascii="宋体" w:hAnsi="宋体" w:eastAsia="宋体" w:cs="宋体"/>
          <w:color w:val="000000"/>
          <w:sz w:val="32"/>
          <w:szCs w:val="32"/>
        </w:rPr>
        <w:t>一、部门基本概况</w:t>
      </w:r>
      <w:r>
        <w:rPr>
          <w:rFonts w:hint="default" w:ascii="仿宋_GB2312" w:eastAsia="仿宋_GB2312" w:cs="仿宋_GB2312"/>
          <w:color w:val="000000"/>
          <w:sz w:val="21"/>
          <w:szCs w:val="21"/>
        </w:rPr>
        <w:t xml:space="preserve"> </w:t>
      </w:r>
    </w:p>
    <w:p w14:paraId="376B71EF">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b/>
          <w:bCs/>
          <w:color w:val="000000"/>
          <w:sz w:val="32"/>
          <w:szCs w:val="32"/>
        </w:rPr>
        <w:t>（一）职能职责</w:t>
      </w:r>
      <w:r>
        <w:rPr>
          <w:rFonts w:hint="default" w:ascii="仿宋_GB2312" w:eastAsia="仿宋_GB2312" w:cs="仿宋_GB2312"/>
          <w:color w:val="000000"/>
          <w:sz w:val="21"/>
          <w:szCs w:val="21"/>
        </w:rPr>
        <w:t xml:space="preserve"> </w:t>
      </w:r>
    </w:p>
    <w:p w14:paraId="49C6E392">
      <w:pPr>
        <w:spacing w:before="0" w:beforeAutospacing="0" w:after="1" w:afterAutospacing="0"/>
        <w:ind w:left="0" w:firstLine="630"/>
      </w:pPr>
      <w:r>
        <w:rPr>
          <w:rFonts w:ascii="宋体" w:hAnsi="宋体" w:eastAsia="宋体" w:cs="宋体"/>
          <w:color w:val="000000"/>
          <w:sz w:val="32"/>
          <w:szCs w:val="32"/>
        </w:rPr>
        <w:t>1、“以公共卫生服务为主，综合提供预防、保健和基本医疗等服务；加强基层疾病预防控制，做好传染病、地方病防治和疫情等</w:t>
      </w:r>
      <w:r>
        <w:rPr>
          <w:rFonts w:hint="eastAsia" w:ascii="宋体" w:hAnsi="宋体" w:eastAsia="宋体" w:cs="宋体"/>
          <w:color w:val="000000"/>
          <w:sz w:val="32"/>
          <w:szCs w:val="32"/>
          <w:lang w:eastAsia="zh-CN"/>
        </w:rPr>
        <w:t>突发公共卫生事件</w:t>
      </w:r>
      <w:r>
        <w:rPr>
          <w:rFonts w:ascii="宋体" w:hAnsi="宋体" w:eastAsia="宋体" w:cs="宋体"/>
          <w:color w:val="000000"/>
          <w:sz w:val="32"/>
          <w:szCs w:val="32"/>
        </w:rPr>
        <w:t>报告工作；认真执行儿童计划免疫；积极开展慢性非传染性疾病的防治工作；做好孕产妇和儿童保健工作，提高住院分娩率，改善儿童营养状况；开展爱国卫生运动，普及疾病预防和卫生保健知识，指导群众改善居住、饮食、饮水和环境卫生条件，引导和帮助农民建立良好的卫生习惯“。</w:t>
      </w:r>
      <w:r>
        <w:rPr>
          <w:color w:val="000000"/>
        </w:rPr>
        <w:t xml:space="preserve"> </w:t>
      </w:r>
    </w:p>
    <w:p w14:paraId="171AF4B5">
      <w:pPr>
        <w:spacing w:before="0" w:beforeAutospacing="0" w:after="1" w:afterAutospacing="0"/>
        <w:ind w:left="0" w:firstLine="630"/>
      </w:pPr>
      <w:r>
        <w:rPr>
          <w:rFonts w:ascii="宋体" w:hAnsi="宋体" w:eastAsia="宋体" w:cs="宋体"/>
          <w:b/>
          <w:bCs/>
          <w:color w:val="000000"/>
          <w:sz w:val="32"/>
          <w:szCs w:val="32"/>
        </w:rPr>
        <w:t>（二）机构设置</w:t>
      </w:r>
      <w:r>
        <w:rPr>
          <w:color w:val="000000"/>
        </w:rPr>
        <w:t xml:space="preserve"> </w:t>
      </w:r>
    </w:p>
    <w:p w14:paraId="62B04748">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color w:val="000000"/>
          <w:sz w:val="32"/>
          <w:szCs w:val="32"/>
        </w:rPr>
        <w:t>凤凰社区医院编制人数26人，2023年在职职工54人，其中专业技术人员49人（高级职称2人，中级职称7人，初级职务37人），工勤人员5人。全院内设综合门诊、发热门诊、高血压门诊、小儿推拿科、药房、收费室、护理部、住院部、中医康复科、检验科、B超室、计免门诊、儿保科、妇保科、财务室、办公室、党建办公室、卫生监督协管、后勤科等19个科室。</w:t>
      </w:r>
    </w:p>
    <w:p w14:paraId="5EAE5B34">
      <w:pPr>
        <w:spacing w:before="0" w:beforeAutospacing="0" w:after="1" w:afterAutospacing="0"/>
        <w:ind w:left="0" w:firstLine="627"/>
        <w:rPr>
          <w:rFonts w:hint="default" w:ascii="仿宋_GB2312" w:eastAsia="仿宋_GB2312" w:cs="仿宋_GB2312"/>
          <w:sz w:val="21"/>
          <w:szCs w:val="21"/>
        </w:rPr>
      </w:pPr>
      <w:r>
        <w:rPr>
          <w:rStyle w:val="12"/>
          <w:rFonts w:ascii="宋体" w:hAnsi="宋体" w:eastAsia="宋体" w:cs="宋体"/>
          <w:color w:val="000000"/>
          <w:sz w:val="32"/>
          <w:szCs w:val="32"/>
        </w:rPr>
        <w:t>二、部门预算单位构成</w:t>
      </w:r>
      <w:r>
        <w:rPr>
          <w:rFonts w:hint="default" w:ascii="仿宋_GB2312" w:eastAsia="仿宋_GB2312" w:cs="仿宋_GB2312"/>
          <w:color w:val="000000"/>
          <w:sz w:val="21"/>
          <w:szCs w:val="21"/>
        </w:rPr>
        <w:t xml:space="preserve"> </w:t>
      </w:r>
    </w:p>
    <w:p w14:paraId="70488E99">
      <w:pPr>
        <w:spacing w:before="0" w:beforeAutospacing="0" w:after="1" w:afterAutospacing="0"/>
        <w:ind w:left="0" w:firstLine="627"/>
        <w:jc w:val="both"/>
        <w:rPr>
          <w:rFonts w:hint="default" w:ascii="仿宋_GB2312" w:eastAsia="仿宋_GB2312" w:cs="仿宋_GB2312"/>
          <w:sz w:val="21"/>
          <w:szCs w:val="21"/>
        </w:rPr>
      </w:pPr>
      <w:r>
        <w:rPr>
          <w:rFonts w:ascii="宋体" w:hAnsi="宋体" w:eastAsia="宋体" w:cs="宋体"/>
          <w:color w:val="000000"/>
          <w:sz w:val="32"/>
          <w:szCs w:val="32"/>
        </w:rPr>
        <w:t>永州市冷水滩区凤凰社区卫生服务中心部门只有本级，没有其他预算单位，因此本部门预算仅含本级预算。</w:t>
      </w:r>
      <w:r>
        <w:rPr>
          <w:rFonts w:hint="default" w:ascii="仿宋_GB2312" w:eastAsia="仿宋_GB2312" w:cs="仿宋_GB2312"/>
          <w:color w:val="000000"/>
          <w:sz w:val="21"/>
          <w:szCs w:val="21"/>
        </w:rPr>
        <w:t xml:space="preserve"> </w:t>
      </w:r>
    </w:p>
    <w:p w14:paraId="22BCC29E">
      <w:pPr>
        <w:spacing w:before="0" w:beforeAutospacing="0" w:after="1" w:afterAutospacing="0"/>
        <w:ind w:left="0" w:firstLine="627"/>
        <w:jc w:val="both"/>
        <w:rPr>
          <w:rFonts w:hint="default" w:ascii="仿宋_GB2312" w:eastAsia="仿宋_GB2312" w:cs="仿宋_GB2312"/>
          <w:sz w:val="21"/>
          <w:szCs w:val="21"/>
        </w:rPr>
      </w:pPr>
      <w:r>
        <w:rPr>
          <w:rStyle w:val="12"/>
          <w:rFonts w:ascii="宋体" w:hAnsi="宋体" w:eastAsia="宋体" w:cs="宋体"/>
          <w:color w:val="000000"/>
          <w:sz w:val="32"/>
          <w:szCs w:val="32"/>
        </w:rPr>
        <w:t>三、部门收支总体情况</w:t>
      </w:r>
      <w:r>
        <w:rPr>
          <w:rFonts w:hint="default" w:ascii="仿宋_GB2312" w:eastAsia="仿宋_GB2312" w:cs="仿宋_GB2312"/>
          <w:color w:val="000000"/>
          <w:sz w:val="21"/>
          <w:szCs w:val="21"/>
        </w:rPr>
        <w:t xml:space="preserve"> </w:t>
      </w:r>
    </w:p>
    <w:p w14:paraId="376FEE76">
      <w:pPr>
        <w:spacing w:before="0" w:beforeAutospacing="0" w:after="1" w:afterAutospacing="0"/>
        <w:ind w:left="0" w:firstLine="628"/>
        <w:jc w:val="both"/>
        <w:rPr>
          <w:rFonts w:hint="default" w:ascii="仿宋_GB2312" w:eastAsia="仿宋_GB2312" w:cs="仿宋_GB2312"/>
          <w:sz w:val="21"/>
          <w:szCs w:val="21"/>
        </w:rPr>
      </w:pPr>
      <w:r>
        <w:rPr>
          <w:rFonts w:ascii="宋体" w:hAnsi="宋体" w:eastAsia="宋体" w:cs="宋体"/>
          <w:b/>
          <w:bCs/>
          <w:color w:val="000000"/>
          <w:sz w:val="32"/>
          <w:szCs w:val="32"/>
        </w:rPr>
        <w:t>（一）收入预算：</w:t>
      </w:r>
      <w:r>
        <w:rPr>
          <w:rFonts w:ascii="宋体" w:hAnsi="宋体" w:eastAsia="宋体" w:cs="宋体"/>
          <w:color w:val="000000"/>
          <w:sz w:val="32"/>
          <w:szCs w:val="32"/>
        </w:rPr>
        <w:t>包括一般公共预算、政府性基金、国有资本经营预算等财政拨款收入，以及经营收入、事业收入等单位资金。2023年本部门收入预算233.53万元，其中，一般公共预算拨款收入233.53万元，政府性基金预算拨款收入0万元，国有资本经营预算拨款收入0万元。收入较去年减少159.11万元，主要原因是以财政预算为准。</w:t>
      </w:r>
      <w:r>
        <w:rPr>
          <w:rFonts w:hint="default" w:ascii="仿宋_GB2312" w:eastAsia="仿宋_GB2312" w:cs="仿宋_GB2312"/>
          <w:color w:val="000000"/>
          <w:sz w:val="21"/>
          <w:szCs w:val="21"/>
        </w:rPr>
        <w:t xml:space="preserve"> </w:t>
      </w:r>
    </w:p>
    <w:p w14:paraId="7452A094">
      <w:pPr>
        <w:spacing w:before="0" w:beforeAutospacing="0" w:after="1" w:afterAutospacing="0"/>
        <w:ind w:left="0" w:firstLine="628"/>
        <w:rPr>
          <w:rFonts w:hint="default" w:ascii="仿宋_GB2312" w:eastAsia="仿宋_GB2312" w:cs="仿宋_GB2312"/>
          <w:sz w:val="21"/>
          <w:szCs w:val="21"/>
        </w:rPr>
      </w:pPr>
      <w:r>
        <w:rPr>
          <w:rFonts w:ascii="宋体" w:hAnsi="宋体" w:eastAsia="宋体" w:cs="宋体"/>
          <w:b/>
          <w:bCs/>
          <w:color w:val="000000"/>
          <w:sz w:val="32"/>
          <w:szCs w:val="32"/>
        </w:rPr>
        <w:t>（二）支出预算：</w:t>
      </w:r>
      <w:r>
        <w:rPr>
          <w:rFonts w:ascii="宋体" w:hAnsi="宋体" w:eastAsia="宋体" w:cs="宋体"/>
          <w:color w:val="000000"/>
          <w:sz w:val="32"/>
          <w:szCs w:val="32"/>
        </w:rPr>
        <w:t>2023年本部门支出预算233.53万元，其中：社会保障和就业支出34.06万元；卫生健康支出173.93万元；住房保障支出25.54万元。支出较去年减少159.11万元，主要原因是以收定支。</w:t>
      </w:r>
      <w:r>
        <w:rPr>
          <w:rFonts w:hint="default" w:ascii="仿宋_GB2312" w:eastAsia="仿宋_GB2312" w:cs="仿宋_GB2312"/>
          <w:color w:val="000000"/>
          <w:sz w:val="21"/>
          <w:szCs w:val="21"/>
        </w:rPr>
        <w:t xml:space="preserve"> </w:t>
      </w:r>
    </w:p>
    <w:p w14:paraId="740C7303">
      <w:pPr>
        <w:spacing w:before="0" w:beforeAutospacing="0" w:after="1" w:afterAutospacing="0"/>
        <w:ind w:left="0" w:firstLine="660"/>
        <w:rPr>
          <w:rFonts w:hint="default" w:ascii="仿宋_GB2312" w:eastAsia="仿宋_GB2312" w:cs="仿宋_GB2312"/>
          <w:sz w:val="21"/>
          <w:szCs w:val="21"/>
        </w:rPr>
      </w:pPr>
      <w:r>
        <w:rPr>
          <w:rStyle w:val="12"/>
          <w:rFonts w:ascii="宋体" w:hAnsi="宋体" w:eastAsia="宋体" w:cs="宋体"/>
          <w:color w:val="000000"/>
          <w:sz w:val="32"/>
          <w:szCs w:val="32"/>
        </w:rPr>
        <w:t>四、一般公共预算拨款支出</w:t>
      </w:r>
      <w:r>
        <w:rPr>
          <w:rFonts w:hint="default" w:ascii="仿宋_GB2312" w:eastAsia="仿宋_GB2312" w:cs="仿宋_GB2312"/>
          <w:color w:val="000000"/>
          <w:sz w:val="21"/>
          <w:szCs w:val="21"/>
        </w:rPr>
        <w:t xml:space="preserve"> </w:t>
      </w:r>
    </w:p>
    <w:p w14:paraId="01BF19CC">
      <w:pPr>
        <w:spacing w:before="0" w:beforeAutospacing="0" w:after="1" w:afterAutospacing="0"/>
        <w:ind w:left="0" w:firstLine="660"/>
      </w:pPr>
      <w:r>
        <w:rPr>
          <w:rFonts w:ascii="宋体" w:hAnsi="宋体" w:eastAsia="宋体" w:cs="宋体"/>
          <w:color w:val="000000"/>
          <w:sz w:val="32"/>
          <w:szCs w:val="32"/>
        </w:rPr>
        <w:t>2023年本部门一般公共预算拨款支出预算233.53万元，其中：社会保障和就业支出34.06万元，占14.58%；卫生健康支出173.93万元，占74.48%；住房保障支出25.54万元，占10.94%。具体安排情况如下：</w:t>
      </w:r>
      <w:r>
        <w:rPr>
          <w:color w:val="000000"/>
        </w:rPr>
        <w:t xml:space="preserve"> </w:t>
      </w:r>
    </w:p>
    <w:p w14:paraId="69E14681">
      <w:pPr>
        <w:spacing w:before="0" w:beforeAutospacing="0" w:after="1" w:afterAutospacing="0"/>
        <w:ind w:left="0" w:firstLine="660"/>
      </w:pPr>
      <w:r>
        <w:rPr>
          <w:rFonts w:ascii="宋体" w:hAnsi="宋体" w:eastAsia="宋体" w:cs="宋体"/>
          <w:b/>
          <w:bCs/>
          <w:color w:val="000000"/>
          <w:sz w:val="32"/>
          <w:szCs w:val="32"/>
        </w:rPr>
        <w:t>（一）基本支出：</w:t>
      </w:r>
      <w:r>
        <w:rPr>
          <w:rFonts w:ascii="宋体" w:hAnsi="宋体" w:eastAsia="宋体" w:cs="宋体"/>
          <w:color w:val="000000"/>
          <w:sz w:val="32"/>
          <w:szCs w:val="32"/>
        </w:rPr>
        <w:t>2023年本部门基本支出预算233.53万元，主要是为保障部门正常运转、完成日常工作任务而发生的各项支出，包括用于基本工资、津贴补贴等人员经费以及办公费、印刷费、水电费、办公设备购置等公用经费。</w:t>
      </w:r>
      <w:r>
        <w:rPr>
          <w:color w:val="000000"/>
        </w:rPr>
        <w:t xml:space="preserve"> </w:t>
      </w:r>
    </w:p>
    <w:p w14:paraId="4496605A">
      <w:pPr>
        <w:spacing w:before="0" w:beforeAutospacing="0" w:after="1" w:afterAutospacing="0"/>
        <w:ind w:left="0" w:firstLine="660"/>
      </w:pPr>
      <w:r>
        <w:rPr>
          <w:rFonts w:ascii="宋体" w:hAnsi="宋体" w:eastAsia="宋体" w:cs="宋体"/>
          <w:b/>
          <w:bCs/>
          <w:color w:val="000000"/>
          <w:sz w:val="32"/>
          <w:szCs w:val="32"/>
        </w:rPr>
        <w:t>（二）项目支出：</w:t>
      </w:r>
      <w:r>
        <w:rPr>
          <w:rFonts w:ascii="宋体" w:hAnsi="宋体" w:eastAsia="宋体" w:cs="宋体"/>
          <w:color w:val="000000"/>
          <w:sz w:val="32"/>
          <w:szCs w:val="32"/>
        </w:rPr>
        <w:t>2023年本部门项目支出预算0万元，主要是部门为完成特定行政工作任务或事业发展目标而发生的支出，包括有关事业发展专项、专项业务费、基本建设支出等</w:t>
      </w:r>
      <w:r>
        <w:rPr>
          <w:color w:val="000000"/>
        </w:rPr>
        <w:t xml:space="preserve"> </w:t>
      </w:r>
    </w:p>
    <w:p w14:paraId="50C00992">
      <w:pPr>
        <w:spacing w:before="0" w:beforeAutospacing="0" w:after="1" w:afterAutospacing="0"/>
        <w:ind w:left="0" w:firstLine="660"/>
        <w:rPr>
          <w:rFonts w:hint="default" w:ascii="仿宋_GB2312" w:eastAsia="仿宋_GB2312" w:cs="仿宋_GB2312"/>
          <w:sz w:val="21"/>
          <w:szCs w:val="21"/>
        </w:rPr>
      </w:pPr>
      <w:r>
        <w:rPr>
          <w:rStyle w:val="12"/>
          <w:rFonts w:ascii="宋体" w:hAnsi="宋体" w:eastAsia="宋体" w:cs="宋体"/>
          <w:color w:val="000000"/>
          <w:sz w:val="32"/>
          <w:szCs w:val="32"/>
        </w:rPr>
        <w:t>五、政府性基金预算支出</w:t>
      </w:r>
      <w:r>
        <w:rPr>
          <w:rFonts w:hint="default" w:ascii="仿宋_GB2312" w:eastAsia="仿宋_GB2312" w:cs="仿宋_GB2312"/>
          <w:color w:val="000000"/>
          <w:sz w:val="21"/>
          <w:szCs w:val="21"/>
        </w:rPr>
        <w:t xml:space="preserve"> </w:t>
      </w:r>
    </w:p>
    <w:p w14:paraId="35E6F02C">
      <w:pPr>
        <w:spacing w:before="0" w:beforeAutospacing="0" w:after="1" w:afterAutospacing="0"/>
        <w:ind w:left="0" w:firstLine="660"/>
        <w:rPr>
          <w:rFonts w:hint="default" w:ascii="仿宋_GB2312" w:eastAsia="仿宋_GB2312" w:cs="仿宋_GB2312"/>
          <w:sz w:val="21"/>
          <w:szCs w:val="21"/>
        </w:rPr>
      </w:pPr>
      <w:r>
        <w:rPr>
          <w:rFonts w:hint="eastAsia" w:ascii="宋体" w:hAnsi="宋体" w:eastAsia="宋体" w:cs="宋体"/>
          <w:color w:val="000000"/>
          <w:sz w:val="32"/>
          <w:szCs w:val="32"/>
        </w:rPr>
        <w:t>2023年本部门无政府性基金安排的支出。</w:t>
      </w:r>
      <w:r>
        <w:rPr>
          <w:rFonts w:hint="default" w:ascii="仿宋_GB2312" w:eastAsia="仿宋_GB2312" w:cs="仿宋_GB2312"/>
          <w:color w:val="000000"/>
          <w:sz w:val="21"/>
          <w:szCs w:val="21"/>
        </w:rPr>
        <w:t xml:space="preserve"> </w:t>
      </w:r>
    </w:p>
    <w:p w14:paraId="6AB58343">
      <w:pPr>
        <w:spacing w:before="0" w:beforeAutospacing="0" w:after="1" w:afterAutospacing="0"/>
        <w:ind w:left="0" w:firstLine="660"/>
        <w:rPr>
          <w:rFonts w:hint="default" w:ascii="仿宋_GB2312" w:eastAsia="仿宋_GB2312" w:cs="仿宋_GB2312"/>
          <w:sz w:val="21"/>
          <w:szCs w:val="21"/>
        </w:rPr>
      </w:pPr>
      <w:r>
        <w:rPr>
          <w:rStyle w:val="12"/>
          <w:rFonts w:ascii="宋体" w:hAnsi="宋体" w:eastAsia="宋体" w:cs="宋体"/>
          <w:color w:val="000000"/>
          <w:sz w:val="32"/>
          <w:szCs w:val="32"/>
        </w:rPr>
        <w:t>六、其他重要事项的情况说明</w:t>
      </w:r>
      <w:r>
        <w:rPr>
          <w:rFonts w:hint="default" w:ascii="仿宋_GB2312" w:eastAsia="仿宋_GB2312" w:cs="仿宋_GB2312"/>
          <w:color w:val="000000"/>
          <w:sz w:val="21"/>
          <w:szCs w:val="21"/>
        </w:rPr>
        <w:t xml:space="preserve"> </w:t>
      </w:r>
    </w:p>
    <w:p w14:paraId="4060E1A4">
      <w:pPr>
        <w:spacing w:before="0" w:beforeAutospacing="0" w:after="1" w:afterAutospacing="0"/>
        <w:ind w:left="0" w:firstLine="660"/>
      </w:pPr>
      <w:r>
        <w:rPr>
          <w:rFonts w:ascii="宋体" w:hAnsi="宋体" w:eastAsia="宋体" w:cs="宋体"/>
          <w:b/>
          <w:bCs/>
          <w:color w:val="000000"/>
          <w:sz w:val="32"/>
          <w:szCs w:val="32"/>
        </w:rPr>
        <w:t>（一）机关运行经费</w:t>
      </w:r>
      <w:r>
        <w:rPr>
          <w:rFonts w:hint="default" w:ascii="仿宋_GB2312" w:eastAsia="仿宋_GB2312" w:cs="仿宋_GB2312"/>
          <w:b/>
          <w:bCs/>
          <w:color w:val="000000"/>
          <w:sz w:val="32"/>
          <w:szCs w:val="32"/>
        </w:rPr>
        <w:t>：</w:t>
      </w:r>
      <w:r>
        <w:rPr>
          <w:rFonts w:hint="eastAsia" w:ascii="宋体" w:hAnsi="宋体" w:eastAsia="宋体" w:cs="宋体"/>
          <w:color w:val="000000"/>
          <w:sz w:val="32"/>
          <w:szCs w:val="32"/>
        </w:rPr>
        <w:t>2023年本部门未纳入机关运行经费统计范围，无机关运行经费。</w:t>
      </w:r>
      <w:r>
        <w:rPr>
          <w:rFonts w:ascii="宋体" w:hAnsi="宋体" w:eastAsia="宋体" w:cs="宋体"/>
          <w:color w:val="000000"/>
          <w:sz w:val="32"/>
          <w:szCs w:val="32"/>
        </w:rPr>
        <w:t xml:space="preserve"> </w:t>
      </w:r>
    </w:p>
    <w:p w14:paraId="35D0D0ED">
      <w:pPr>
        <w:spacing w:before="0" w:beforeAutospacing="0" w:after="1" w:afterAutospacing="0"/>
        <w:ind w:left="0" w:firstLine="660"/>
        <w:jc w:val="both"/>
      </w:pPr>
      <w:r>
        <w:rPr>
          <w:rFonts w:ascii="宋体" w:hAnsi="宋体" w:eastAsia="宋体" w:cs="宋体"/>
          <w:b/>
          <w:bCs/>
          <w:color w:val="000000"/>
          <w:sz w:val="32"/>
          <w:szCs w:val="32"/>
        </w:rPr>
        <w:t>（二）“三公”经费预算</w:t>
      </w:r>
      <w:r>
        <w:rPr>
          <w:b/>
          <w:bCs/>
          <w:color w:val="000000"/>
          <w:sz w:val="32"/>
          <w:szCs w:val="32"/>
        </w:rPr>
        <w:t>：</w:t>
      </w:r>
      <w:r>
        <w:rPr>
          <w:rFonts w:ascii="宋体" w:hAnsi="宋体" w:eastAsia="宋体" w:cs="宋体"/>
          <w:color w:val="000000"/>
          <w:sz w:val="32"/>
          <w:szCs w:val="32"/>
        </w:rPr>
        <w:t>2023年本部门“三公”经费预算数为0万元，其中，公务接待费0万元，公务用车购置及运行费0万元（其中，公务用车购置费0万元，公务用车运行费0万元），因公出国（境）费0万元。2023年“三公”经费预算较2022年持平。</w:t>
      </w:r>
      <w:r>
        <w:rPr>
          <w:color w:val="000000"/>
        </w:rPr>
        <w:t xml:space="preserve"> </w:t>
      </w:r>
    </w:p>
    <w:p w14:paraId="0037072A">
      <w:pPr>
        <w:spacing w:before="0" w:beforeAutospacing="0" w:after="1" w:afterAutospacing="0"/>
        <w:ind w:left="0" w:firstLine="660"/>
        <w:jc w:val="both"/>
      </w:pPr>
      <w:r>
        <w:rPr>
          <w:rFonts w:ascii="宋体" w:hAnsi="宋体" w:eastAsia="宋体" w:cs="宋体"/>
          <w:b/>
          <w:bCs/>
          <w:color w:val="000000"/>
          <w:sz w:val="32"/>
          <w:szCs w:val="32"/>
        </w:rPr>
        <w:t>（三）一般性支出情况</w:t>
      </w:r>
      <w:r>
        <w:rPr>
          <w:b/>
          <w:bCs/>
          <w:color w:val="000000"/>
          <w:sz w:val="32"/>
          <w:szCs w:val="32"/>
        </w:rPr>
        <w:t>：</w:t>
      </w:r>
      <w:r>
        <w:rPr>
          <w:rFonts w:ascii="宋体" w:hAnsi="宋体" w:eastAsia="宋体" w:cs="宋体"/>
          <w:color w:val="000000"/>
          <w:sz w:val="32"/>
          <w:szCs w:val="32"/>
        </w:rPr>
        <w:t>2023年本部门会议费预算0万元，我单位2023年度无会议支出；培训费预算0万元，我单位2023年度无培训费支出；拟举办0场节庆、晚会、论坛、赛事等活动，经费预算0万元，无相关活动计划</w:t>
      </w:r>
      <w:r>
        <w:rPr>
          <w:color w:val="000000"/>
        </w:rPr>
        <w:t xml:space="preserve">。 </w:t>
      </w:r>
    </w:p>
    <w:p w14:paraId="41336486">
      <w:pPr>
        <w:spacing w:before="0" w:beforeAutospacing="0" w:after="1" w:afterAutospacing="0"/>
        <w:ind w:left="0" w:firstLine="660"/>
        <w:jc w:val="both"/>
      </w:pPr>
      <w:r>
        <w:rPr>
          <w:rFonts w:ascii="宋体" w:hAnsi="宋体" w:eastAsia="宋体" w:cs="宋体"/>
          <w:b/>
          <w:bCs/>
          <w:color w:val="000000"/>
          <w:sz w:val="32"/>
          <w:szCs w:val="32"/>
        </w:rPr>
        <w:t>（四）政府采购情况</w:t>
      </w:r>
      <w:r>
        <w:rPr>
          <w:b/>
          <w:bCs/>
          <w:color w:val="000000"/>
          <w:sz w:val="32"/>
          <w:szCs w:val="32"/>
        </w:rPr>
        <w:t>：</w:t>
      </w:r>
      <w:r>
        <w:rPr>
          <w:rFonts w:ascii="宋体" w:hAnsi="宋体" w:eastAsia="宋体" w:cs="宋体"/>
          <w:color w:val="000000"/>
          <w:sz w:val="32"/>
          <w:szCs w:val="32"/>
        </w:rPr>
        <w:t>2023年本部门政府采购预算总额110万元，其中，货物类采购预算110万元；工程类采购预算0万元；服务类采购预算0万元。</w:t>
      </w:r>
      <w:r>
        <w:rPr>
          <w:color w:val="000000"/>
        </w:rPr>
        <w:t xml:space="preserve"> </w:t>
      </w:r>
    </w:p>
    <w:p w14:paraId="1E597CD9">
      <w:pPr>
        <w:spacing w:before="0" w:beforeAutospacing="0" w:after="1" w:afterAutospacing="0"/>
        <w:ind w:left="0" w:firstLine="660"/>
      </w:pPr>
      <w:r>
        <w:rPr>
          <w:rFonts w:ascii="宋体" w:hAnsi="宋体" w:eastAsia="宋体" w:cs="宋体"/>
          <w:b/>
          <w:bCs/>
          <w:color w:val="000000"/>
          <w:sz w:val="32"/>
          <w:szCs w:val="32"/>
        </w:rPr>
        <w:t>（五）国有资产占用使用及新增资产配置情况</w:t>
      </w:r>
      <w:r>
        <w:rPr>
          <w:b/>
          <w:bCs/>
          <w:color w:val="000000"/>
          <w:sz w:val="32"/>
          <w:szCs w:val="32"/>
        </w:rPr>
        <w:t>：</w:t>
      </w:r>
      <w:r>
        <w:rPr>
          <w:rFonts w:ascii="宋体" w:hAnsi="宋体" w:eastAsia="宋体" w:cs="宋体"/>
          <w:color w:val="000000"/>
          <w:sz w:val="32"/>
          <w:szCs w:val="32"/>
        </w:rPr>
        <w:t>截至2022年12月底，本部门共有公务用车0辆，其中，机要通信用车0辆，应急保障用车0辆，执法执勤用车0辆，特种专业技术用车0辆，其他按照规定配备的公务用车0辆；单位价值50万元以上通用设备0台，单位价值100万元以上专用设备0台。2023年拟新增配置公务用车1辆，其中，机要通信用车0辆，应急保障用车0辆，执法执勤用车0辆，特种专业技术用车1辆，其他按照规定配备的公务用车0辆；新增配备单位价值50万元以上通用设备0台，单位价值100万元以上专用设备0台。</w:t>
      </w:r>
      <w:r>
        <w:rPr>
          <w:color w:val="000000"/>
        </w:rPr>
        <w:t xml:space="preserve"> </w:t>
      </w:r>
    </w:p>
    <w:p w14:paraId="6CFF66B9">
      <w:pPr>
        <w:spacing w:before="0" w:beforeAutospacing="0" w:after="1" w:afterAutospacing="0"/>
        <w:ind w:left="0" w:firstLine="660"/>
        <w:rPr>
          <w:sz w:val="21"/>
          <w:szCs w:val="21"/>
        </w:rPr>
      </w:pPr>
      <w:r>
        <w:rPr>
          <w:rFonts w:ascii="宋体" w:hAnsi="宋体" w:eastAsia="宋体" w:cs="宋体"/>
          <w:b/>
          <w:bCs/>
          <w:color w:val="000000"/>
          <w:sz w:val="32"/>
          <w:szCs w:val="32"/>
        </w:rPr>
        <w:t>（六）预算绩效目标说明：</w:t>
      </w:r>
      <w:r>
        <w:rPr>
          <w:rFonts w:ascii="宋体" w:hAnsi="宋体" w:eastAsia="宋体" w:cs="宋体"/>
          <w:color w:val="000000"/>
          <w:sz w:val="32"/>
          <w:szCs w:val="32"/>
        </w:rPr>
        <w:t>本部门所有支出实行绩效目标管理。纳入2023年部门整体支出绩效目标的金额为233.53万元，其中，基本支出233.53万元，项目支出0万元，具体绩效目标详见报表。</w:t>
      </w:r>
      <w:r>
        <w:rPr>
          <w:color w:val="000000"/>
          <w:sz w:val="21"/>
          <w:szCs w:val="21"/>
        </w:rPr>
        <w:t xml:space="preserve"> </w:t>
      </w:r>
    </w:p>
    <w:p w14:paraId="39FE3150">
      <w:pPr>
        <w:spacing w:before="0" w:beforeAutospacing="0" w:after="1" w:afterAutospacing="0"/>
        <w:ind w:left="0" w:firstLine="660"/>
        <w:jc w:val="both"/>
        <w:rPr>
          <w:rFonts w:hint="default" w:ascii="仿宋_GB2312" w:eastAsia="仿宋_GB2312" w:cs="仿宋_GB2312"/>
          <w:sz w:val="21"/>
          <w:szCs w:val="21"/>
        </w:rPr>
      </w:pPr>
      <w:r>
        <w:rPr>
          <w:rStyle w:val="12"/>
          <w:rFonts w:ascii="宋体" w:hAnsi="宋体" w:eastAsia="宋体" w:cs="宋体"/>
          <w:color w:val="000000"/>
          <w:sz w:val="32"/>
          <w:szCs w:val="32"/>
        </w:rPr>
        <w:t>七、名词解释</w:t>
      </w:r>
      <w:r>
        <w:rPr>
          <w:rFonts w:hint="default" w:ascii="仿宋_GB2312" w:eastAsia="仿宋_GB2312" w:cs="仿宋_GB2312"/>
          <w:color w:val="000000"/>
          <w:sz w:val="21"/>
          <w:szCs w:val="21"/>
        </w:rPr>
        <w:t xml:space="preserve"> </w:t>
      </w:r>
    </w:p>
    <w:p w14:paraId="0A3F2877">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default" w:ascii="仿宋_GB2312" w:eastAsia="仿宋_GB2312" w:cs="仿宋_GB2312"/>
          <w:color w:val="000000"/>
          <w:sz w:val="21"/>
          <w:szCs w:val="21"/>
        </w:rPr>
        <w:t xml:space="preserve"> </w:t>
      </w:r>
    </w:p>
    <w:p w14:paraId="3E0679D5">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2、项目支出：是指在基本支出之外为完成特定行政工作任务和事业发展目标而发生的支出。</w:t>
      </w:r>
      <w:r>
        <w:rPr>
          <w:rFonts w:hint="default" w:ascii="仿宋_GB2312" w:eastAsia="仿宋_GB2312" w:cs="仿宋_GB2312"/>
          <w:color w:val="000000"/>
          <w:sz w:val="21"/>
          <w:szCs w:val="21"/>
        </w:rPr>
        <w:t xml:space="preserve"> </w:t>
      </w:r>
    </w:p>
    <w:p w14:paraId="2A933926">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default" w:ascii="仿宋_GB2312" w:eastAsia="仿宋_GB2312" w:cs="仿宋_GB2312"/>
          <w:color w:val="000000"/>
          <w:sz w:val="21"/>
          <w:szCs w:val="21"/>
        </w:rPr>
        <w:t xml:space="preserve"> </w:t>
      </w:r>
    </w:p>
    <w:p w14:paraId="298C2DAE">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default" w:ascii="仿宋_GB2312" w:eastAsia="仿宋_GB2312" w:cs="仿宋_GB2312"/>
          <w:color w:val="000000"/>
          <w:sz w:val="21"/>
          <w:szCs w:val="21"/>
        </w:rPr>
        <w:t xml:space="preserve"> </w:t>
      </w:r>
    </w:p>
    <w:p w14:paraId="4C2EF159">
      <w:pPr>
        <w:spacing w:before="0" w:beforeAutospacing="0" w:after="1" w:afterAutospacing="0"/>
        <w:ind w:left="0" w:firstLine="643"/>
        <w:rPr>
          <w:rFonts w:hint="default" w:ascii="仿宋_GB2312" w:eastAsia="仿宋_GB2312" w:cs="仿宋_GB2312"/>
          <w:sz w:val="21"/>
          <w:szCs w:val="21"/>
        </w:rPr>
      </w:pPr>
      <w:r>
        <w:rPr>
          <w:rFonts w:ascii="宋体" w:hAnsi="宋体" w:eastAsia="宋体" w:cs="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default" w:ascii="仿宋_GB2312" w:eastAsia="仿宋_GB2312" w:cs="仿宋_GB2312"/>
          <w:color w:val="000000"/>
          <w:sz w:val="21"/>
          <w:szCs w:val="21"/>
        </w:rPr>
        <w:t xml:space="preserve"> </w:t>
      </w:r>
    </w:p>
    <w:p w14:paraId="70D53545">
      <w:pPr>
        <w:keepNext w:val="0"/>
        <w:keepLines w:val="0"/>
        <w:widowControl/>
        <w:suppressLineNumbers w:val="0"/>
        <w:jc w:val="left"/>
      </w:pPr>
    </w:p>
    <w:p w14:paraId="6B61CEBC">
      <w:pPr>
        <w:pStyle w:val="9"/>
        <w:keepNext w:val="0"/>
        <w:keepLines w:val="0"/>
        <w:widowControl/>
        <w:suppressLineNumbers w:val="0"/>
        <w:spacing w:before="0" w:beforeAutospacing="0" w:after="1" w:afterAutospacing="0"/>
      </w:pPr>
    </w:p>
    <w:p w14:paraId="6999A82E">
      <w:pPr>
        <w:keepNext w:val="0"/>
        <w:keepLines w:val="0"/>
        <w:widowControl/>
        <w:suppressLineNumbers w:val="0"/>
        <w:jc w:val="left"/>
      </w:pPr>
    </w:p>
    <w:p w14:paraId="62F4B5A8">
      <w:pPr>
        <w:pStyle w:val="9"/>
        <w:keepNext w:val="0"/>
        <w:keepLines w:val="0"/>
        <w:widowControl/>
        <w:suppressLineNumbers w:val="0"/>
        <w:spacing w:before="0" w:beforeAutospacing="0" w:after="1" w:afterAutospacing="0"/>
      </w:pPr>
    </w:p>
    <w:p w14:paraId="7F806065">
      <w:pPr>
        <w:spacing w:before="0" w:beforeAutospacing="0" w:after="1" w:afterAutospacing="0"/>
        <w:ind w:left="0" w:firstLine="720"/>
        <w:jc w:val="center"/>
        <w:rPr>
          <w:rFonts w:hint="default" w:ascii="仿宋_GB2312" w:eastAsia="仿宋_GB2312" w:cs="仿宋_GB2312"/>
          <w:sz w:val="21"/>
          <w:szCs w:val="21"/>
        </w:rPr>
      </w:pPr>
      <w:r>
        <w:rPr>
          <w:rFonts w:ascii="宋体" w:hAnsi="宋体" w:eastAsia="宋体" w:cs="宋体"/>
          <w:color w:val="000000"/>
          <w:sz w:val="36"/>
          <w:szCs w:val="36"/>
        </w:rPr>
        <w:t>第二部分 2023年部门预算表</w:t>
      </w:r>
      <w:r>
        <w:rPr>
          <w:rFonts w:hint="default" w:ascii="仿宋_GB2312" w:eastAsia="仿宋_GB2312" w:cs="仿宋_GB2312"/>
          <w:color w:val="000000"/>
          <w:sz w:val="21"/>
          <w:szCs w:val="21"/>
        </w:rPr>
        <w:t xml:space="preserve"> </w:t>
      </w: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75825"/>
    <w:rsid w:val="373D3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1698</Words>
  <Characters>1835</Characters>
  <TotalTime>0</TotalTime>
  <ScaleCrop>false</ScaleCrop>
  <LinksUpToDate>false</LinksUpToDate>
  <CharactersWithSpaces>1906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2023-05-17T02:37:00Z</dcterms:created>
  <dc:creator>Administrator</dc:creator>
  <cp:lastModifiedBy>自由行走的胡萝北</cp:lastModifiedBy>
  <dcterms:modified xsi:type="dcterms:W3CDTF">2025-02-17T08:14:49Z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54F8F691529F47C8ACAC73824D1AA47C_13</vt:lpwstr>
  </property>
  <property fmtid="{D5CDD505-2E9C-101B-9397-08002B2CF9AE}" pid="4" name="KSOTemplateDocerSaveRecord">
    <vt:lpwstr>eyJoZGlkIjoiNjE3MmM4Njk5ZDI1NTAxYzczOWE2ZDE3NmVmNzAwMzAiLCJ1c2VySWQiOiI0MTgyMjcyMzAifQ==</vt:lpwstr>
  </property>
</Properties>
</file>