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Calibri" w:hAnsi="Calibri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仿宋_GB2312" w:cs="Times New Roman"/>
          <w:b/>
          <w:bCs/>
          <w:sz w:val="44"/>
          <w:szCs w:val="44"/>
          <w:lang w:val="en-US" w:eastAsia="zh-CN"/>
        </w:rPr>
        <w:t>冷水滩区城镇住房制度改革办公室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Calibri" w:hAnsi="Calibri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仿宋_GB2312" w:cs="Times New Roman"/>
          <w:b/>
          <w:bCs/>
          <w:sz w:val="44"/>
          <w:szCs w:val="44"/>
          <w:lang w:val="en-US" w:eastAsia="zh-CN"/>
        </w:rPr>
        <w:t>2020年度部门预算公开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Calibri" w:hAnsi="Calibri" w:eastAsia="仿宋_GB2312" w:cs="Times New Roman"/>
          <w:b/>
          <w:bCs/>
          <w:sz w:val="44"/>
          <w:szCs w:val="44"/>
          <w:lang w:val="en-US" w:eastAsia="zh-CN"/>
        </w:rPr>
      </w:pPr>
    </w:p>
    <w:p>
      <w:pPr>
        <w:widowControl/>
        <w:spacing w:line="600" w:lineRule="exact"/>
        <w:rPr>
          <w:rFonts w:eastAsia="黑体"/>
          <w:b/>
          <w:bCs w:val="0"/>
          <w:kern w:val="0"/>
          <w:sz w:val="44"/>
          <w:szCs w:val="44"/>
        </w:rPr>
      </w:pPr>
      <w:r>
        <w:rPr>
          <w:rFonts w:eastAsia="黑体"/>
          <w:b/>
          <w:bCs w:val="0"/>
          <w:kern w:val="0"/>
          <w:sz w:val="44"/>
          <w:szCs w:val="44"/>
        </w:rPr>
        <w:t xml:space="preserve">              </w:t>
      </w:r>
      <w:r>
        <w:rPr>
          <w:rFonts w:hint="eastAsia" w:eastAsia="黑体"/>
          <w:b/>
          <w:bCs w:val="0"/>
          <w:kern w:val="0"/>
          <w:sz w:val="44"/>
          <w:szCs w:val="44"/>
        </w:rPr>
        <w:t>目</w:t>
      </w:r>
      <w:r>
        <w:rPr>
          <w:rFonts w:eastAsia="黑体"/>
          <w:b/>
          <w:bCs w:val="0"/>
          <w:kern w:val="0"/>
          <w:sz w:val="44"/>
          <w:szCs w:val="44"/>
        </w:rPr>
        <w:t xml:space="preserve"> </w:t>
      </w:r>
      <w:r>
        <w:rPr>
          <w:rFonts w:hint="eastAsia" w:eastAsia="黑体"/>
          <w:b/>
          <w:bCs w:val="0"/>
          <w:kern w:val="0"/>
          <w:sz w:val="44"/>
          <w:szCs w:val="44"/>
        </w:rPr>
        <w:t>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textAlignment w:val="auto"/>
        <w:outlineLvl w:val="9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eastAsia="方正小标宋_GBK"/>
          <w:b/>
          <w:bCs/>
          <w:kern w:val="0"/>
          <w:sz w:val="32"/>
          <w:szCs w:val="32"/>
          <w:lang w:val="en-US" w:eastAsia="zh-CN"/>
        </w:rPr>
        <w:t>2020</w:t>
      </w:r>
      <w:r>
        <w:rPr>
          <w:rFonts w:eastAsia="仿宋_GB2312"/>
          <w:b/>
          <w:bCs/>
          <w:kern w:val="0"/>
          <w:sz w:val="32"/>
          <w:szCs w:val="32"/>
        </w:rPr>
        <w:t>年部门预算说明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部门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基本概况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职能职责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机构设置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部门预算单位构成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部门收支总体情况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收入预算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支出预算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lang w:eastAsia="zh-CN"/>
        </w:rPr>
        <w:t>一般公共预算拨款支出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（一）基本支出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五、政府性基金预算支出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（四）政府采购情况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（五）国有资产占用使用及新增资产配置情况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）预算绩效目标说明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、名词解释</w:t>
      </w:r>
    </w:p>
    <w:p>
      <w:pPr>
        <w:widowControl/>
        <w:spacing w:line="560" w:lineRule="exact"/>
        <w:ind w:firstLine="643" w:firstLineChars="200"/>
        <w:jc w:val="left"/>
        <w:rPr>
          <w:rFonts w:eastAsia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第二部分</w:t>
      </w:r>
      <w:r>
        <w:rPr>
          <w:rFonts w:eastAsia="Times New Roman"/>
          <w:b/>
          <w:bCs/>
          <w:kern w:val="0"/>
          <w:sz w:val="32"/>
          <w:szCs w:val="32"/>
        </w:rPr>
        <w:t xml:space="preserve"> 2020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年部门预算表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、部门收支总表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、部门收入总表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</w:t>
      </w:r>
      <w:r>
        <w:rPr>
          <w:rFonts w:hint="eastAsia" w:ascii="宋体" w:hAnsi="宋体" w:cs="宋体"/>
          <w:sz w:val="32"/>
          <w:szCs w:val="32"/>
        </w:rPr>
        <w:t>、部门支出总表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</w:rPr>
        <w:t>、部门支出总表（分类）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5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工资福利支出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6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商品和服务支出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7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对个人和家庭的补助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8</w:t>
      </w:r>
      <w:r>
        <w:rPr>
          <w:rFonts w:hint="eastAsia" w:ascii="宋体" w:hAnsi="宋体" w:cs="宋体"/>
          <w:sz w:val="32"/>
          <w:szCs w:val="32"/>
        </w:rPr>
        <w:t>、财政拨款收支总表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9</w:t>
      </w:r>
      <w:r>
        <w:rPr>
          <w:rFonts w:hint="eastAsia" w:ascii="宋体" w:hAnsi="宋体" w:cs="宋体"/>
          <w:sz w:val="32"/>
          <w:szCs w:val="32"/>
        </w:rPr>
        <w:t>、一般公共预算支出情况表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10</w:t>
      </w:r>
      <w:r>
        <w:rPr>
          <w:rFonts w:hint="eastAsia" w:ascii="宋体" w:hAnsi="宋体" w:cs="宋体"/>
          <w:sz w:val="32"/>
          <w:szCs w:val="32"/>
        </w:rPr>
        <w:t>、一般公共预算基本支出情况表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11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工资福利支出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12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商品和服务支出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13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对个人和家庭的补助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14</w:t>
      </w:r>
      <w:r>
        <w:rPr>
          <w:rFonts w:hint="eastAsia" w:ascii="宋体" w:hAnsi="宋体" w:cs="宋体"/>
          <w:sz w:val="32"/>
          <w:szCs w:val="32"/>
        </w:rPr>
        <w:t>、政府基金预算支出表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15</w:t>
      </w:r>
      <w:r>
        <w:rPr>
          <w:rFonts w:hint="eastAsia" w:ascii="宋体" w:hAnsi="宋体" w:cs="宋体"/>
          <w:sz w:val="32"/>
          <w:szCs w:val="32"/>
        </w:rPr>
        <w:t>、财政专户管理的非税收入安排支出表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16</w:t>
      </w:r>
      <w:r>
        <w:rPr>
          <w:rFonts w:hint="eastAsia" w:ascii="宋体" w:hAnsi="宋体" w:cs="宋体"/>
          <w:sz w:val="32"/>
          <w:szCs w:val="32"/>
        </w:rPr>
        <w:t>、非财政专户管理的收入表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17</w:t>
      </w:r>
      <w:r>
        <w:rPr>
          <w:rFonts w:hint="eastAsia" w:ascii="宋体" w:hAnsi="宋体" w:cs="宋体"/>
          <w:sz w:val="32"/>
          <w:szCs w:val="32"/>
        </w:rPr>
        <w:t>、正常经费拨款表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18</w:t>
      </w:r>
      <w:r>
        <w:rPr>
          <w:rFonts w:hint="eastAsia" w:ascii="宋体" w:hAnsi="宋体" w:cs="宋体"/>
          <w:sz w:val="32"/>
          <w:szCs w:val="32"/>
        </w:rPr>
        <w:t>、专项资金预算汇总表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19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eastAsia="Times New Roman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三公</w:t>
      </w:r>
      <w:r>
        <w:rPr>
          <w:rFonts w:eastAsia="Times New Roman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经费预算表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20</w:t>
      </w:r>
      <w:r>
        <w:rPr>
          <w:rFonts w:hint="eastAsia" w:ascii="宋体" w:hAnsi="宋体" w:cs="宋体"/>
          <w:sz w:val="32"/>
          <w:szCs w:val="32"/>
        </w:rPr>
        <w:t>、部门整体支出绩效目标申报表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21</w:t>
      </w:r>
      <w:r>
        <w:rPr>
          <w:rFonts w:hint="eastAsia" w:ascii="宋体" w:hAnsi="宋体" w:cs="宋体"/>
          <w:sz w:val="32"/>
          <w:szCs w:val="32"/>
        </w:rPr>
        <w:t>、专项资金绩效目标申报表</w:t>
      </w:r>
    </w:p>
    <w:p>
      <w:pPr>
        <w:widowControl/>
        <w:spacing w:line="600" w:lineRule="exact"/>
        <w:rPr>
          <w:rFonts w:hint="eastAsia" w:eastAsia="方正小标宋_GBK"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第一部分 部门预算说明</w:t>
      </w:r>
    </w:p>
    <w:p>
      <w:pPr>
        <w:widowControl/>
        <w:spacing w:line="600" w:lineRule="exact"/>
        <w:ind w:firstLine="602" w:firstLineChars="200"/>
        <w:jc w:val="left"/>
        <w:rPr>
          <w:rFonts w:hint="eastAsia" w:asciiTheme="majorEastAsia" w:hAnsiTheme="majorEastAsia" w:eastAsiaTheme="majorEastAsia" w:cstheme="majorEastAsia"/>
          <w:b/>
          <w:bCs w:val="0"/>
          <w:kern w:val="0"/>
          <w:sz w:val="30"/>
          <w:szCs w:val="30"/>
        </w:rPr>
      </w:pPr>
    </w:p>
    <w:p>
      <w:pPr>
        <w:widowControl/>
        <w:spacing w:line="600" w:lineRule="exact"/>
        <w:ind w:firstLine="602" w:firstLineChars="200"/>
        <w:jc w:val="left"/>
        <w:rPr>
          <w:rFonts w:hint="eastAsia" w:asciiTheme="majorEastAsia" w:hAnsiTheme="majorEastAsia" w:eastAsiaTheme="majorEastAsia" w:cstheme="majorEastAsia"/>
          <w:b/>
          <w:bCs w:val="0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0"/>
          <w:szCs w:val="30"/>
        </w:rPr>
        <w:t>一、部门基本概况</w:t>
      </w:r>
    </w:p>
    <w:p>
      <w:pPr>
        <w:widowControl/>
        <w:spacing w:line="60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（一）职能职责。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1、认真宣传、贯彻执行国家的房改政策,提高认识,积极参与住房制度改革;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2、负责落实区政府确定的改革任务,制定房改实施方案,加快推进全区住房制度改革;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3、严格执行国务院制定的房改政策,严肃房改纪律,积极配合监察部门加强纪律监督、检查。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、贯彻落实房改政策，处理房改遗留问题，审批全区各单位公有住房的房改衔接、房改工龄补贴的发放及改制企业的房改遗留问题，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、归集和管理公有住房资金，新建经济适用住房小区。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、积极配合上级部门交办的各项工作任务。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（二）机构设置。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机构设置：房改办内设办公室。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人员编制情况：法定编制10名。现有干部职工8人，其中在职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人、退休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人。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冷水滩区</w:t>
      </w:r>
      <w:r>
        <w:rPr>
          <w:rFonts w:hint="eastAsia" w:ascii="仿宋" w:hAnsi="仿宋" w:eastAsia="仿宋" w:cs="仿宋"/>
          <w:sz w:val="32"/>
          <w:szCs w:val="32"/>
        </w:rPr>
        <w:t>城镇住房制度改革办公室只有本级，没有其他预算单位，因此本部门预算仅含本级预算。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（一）收入预算：</w:t>
      </w:r>
    </w:p>
    <w:p>
      <w:pPr>
        <w:widowControl/>
        <w:spacing w:line="600" w:lineRule="exact"/>
        <w:ind w:firstLine="627" w:firstLineChars="196"/>
        <w:rPr>
          <w:rFonts w:hint="eastAsia" w:ascii="仿宋" w:hAnsi="仿宋" w:eastAsia="仿宋" w:cs="仿宋"/>
          <w:b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冷水滩区</w:t>
      </w:r>
      <w:r>
        <w:rPr>
          <w:rFonts w:hint="eastAsia" w:ascii="仿宋" w:hAnsi="仿宋" w:eastAsia="仿宋" w:cs="仿宋"/>
          <w:sz w:val="32"/>
          <w:szCs w:val="32"/>
        </w:rPr>
        <w:t>城镇住房制度改革办公室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年本部门收入预算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61.9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万元，其中，一般公共预算拨款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61.9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万元，政府性基金预算拨款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万元，国有资本经营预算拨款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万元，纳入专户管理的非税收入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万元。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收入较去年减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少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0.7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 xml:space="preserve"> 万元，主要是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在职人员退休、商品服务支出减少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。</w:t>
      </w:r>
    </w:p>
    <w:p>
      <w:pPr>
        <w:widowControl/>
        <w:numPr>
          <w:ilvl w:val="0"/>
          <w:numId w:val="4"/>
        </w:numPr>
        <w:spacing w:line="600" w:lineRule="exact"/>
        <w:ind w:firstLine="630" w:firstLineChars="196"/>
        <w:jc w:val="left"/>
        <w:rPr>
          <w:rFonts w:hint="eastAsia" w:ascii="仿宋" w:hAnsi="仿宋" w:eastAsia="仿宋" w:cs="仿宋"/>
          <w:b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u w:val="none"/>
        </w:rPr>
        <w:t>支出预算：</w:t>
      </w:r>
    </w:p>
    <w:p>
      <w:pPr>
        <w:widowControl/>
        <w:spacing w:line="600" w:lineRule="exact"/>
        <w:ind w:firstLine="630" w:firstLineChars="196"/>
        <w:rPr>
          <w:rFonts w:hint="eastAsia" w:ascii="仿宋" w:hAnsi="仿宋" w:eastAsia="仿宋" w:cs="仿宋"/>
          <w:b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年本部门支出预算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61.9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万元，其中，城乡社区支出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58.312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万元，住房保障支出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3.588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万元。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支出较去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减少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0.7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 xml:space="preserve"> 万元，主要是主要是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eastAsia="zh-CN"/>
        </w:rPr>
        <w:t>在职人员退休、商品服务支出减少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年本部门一般公共预算拨款支出预算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61.9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万元，其中，城乡社区支出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58.312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万元，占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94.2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%；住房保障支出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3.588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万元，占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5.8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%；</w:t>
      </w:r>
    </w:p>
    <w:p>
      <w:pPr>
        <w:widowControl/>
        <w:numPr>
          <w:ilvl w:val="0"/>
          <w:numId w:val="5"/>
        </w:numPr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u w:val="none"/>
        </w:rPr>
        <w:t>基本支出：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年本部门基本支出预算数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61.9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万元，其中工资福利支出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59.4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万元，一般商品和服务支出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2.5</w:t>
      </w:r>
      <w:r>
        <w:rPr>
          <w:rFonts w:hint="eastAsia" w:ascii="仿宋" w:hAnsi="仿宋" w:eastAsia="仿宋" w:cs="仿宋"/>
          <w:sz w:val="32"/>
          <w:szCs w:val="32"/>
          <w:u w:val="none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numPr>
          <w:ilvl w:val="0"/>
          <w:numId w:val="5"/>
        </w:numPr>
        <w:spacing w:line="600" w:lineRule="exact"/>
        <w:ind w:left="0" w:leftChars="0" w:firstLine="660" w:firstLineChars="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u w:val="none"/>
        </w:rPr>
        <w:t>项目支出：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年本部门项目支出预算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万元，主要是部门为完成特定行政工作任务或事业发展目标而发生的支出，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2020年无项目支出。</w:t>
      </w:r>
    </w:p>
    <w:p>
      <w:pPr>
        <w:widowControl/>
        <w:numPr>
          <w:numId w:val="0"/>
        </w:numPr>
        <w:spacing w:line="600" w:lineRule="exact"/>
        <w:ind w:left="660" w:leftChars="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none"/>
        </w:rPr>
        <w:t>年本部门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无</w:t>
      </w:r>
      <w:r>
        <w:rPr>
          <w:rFonts w:hint="eastAsia" w:ascii="仿宋" w:hAnsi="仿宋" w:eastAsia="仿宋" w:cs="仿宋"/>
          <w:sz w:val="32"/>
          <w:szCs w:val="32"/>
          <w:u w:val="none"/>
        </w:rPr>
        <w:t>政府性基金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安排的</w:t>
      </w:r>
      <w:r>
        <w:rPr>
          <w:rFonts w:hint="eastAsia" w:ascii="仿宋" w:hAnsi="仿宋" w:eastAsia="仿宋" w:cs="仿宋"/>
          <w:sz w:val="32"/>
          <w:szCs w:val="32"/>
          <w:u w:val="none"/>
        </w:rPr>
        <w:t>支出</w:t>
      </w:r>
    </w:p>
    <w:p>
      <w:pPr>
        <w:widowControl/>
        <w:spacing w:line="600" w:lineRule="exact"/>
        <w:ind w:firstLine="660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u w:val="none"/>
        </w:rPr>
        <w:t>（一）机关运行经费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年本部门机关本级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家行政事业单位的机关运行经费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2.5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万元，比上年预算减少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0.8</w:t>
      </w:r>
      <w:r>
        <w:rPr>
          <w:rFonts w:hint="eastAsia" w:ascii="仿宋" w:hAnsi="仿宋" w:eastAsia="仿宋" w:cs="仿宋"/>
          <w:sz w:val="32"/>
          <w:szCs w:val="32"/>
          <w:u w:val="none"/>
        </w:rPr>
        <w:t>万元，下降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  <w:u w:val="none"/>
        </w:rPr>
        <w:t>%，主要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是办公费减少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widowControl/>
        <w:numPr>
          <w:ilvl w:val="0"/>
          <w:numId w:val="0"/>
        </w:numPr>
        <w:spacing w:line="600" w:lineRule="exact"/>
        <w:ind w:left="0" w:leftChars="0" w:firstLine="643" w:firstLineChars="200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u w:val="none"/>
          <w:lang w:eastAsia="zh-CN"/>
        </w:rPr>
        <w:t>（二）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u w:val="none"/>
        </w:rPr>
        <w:t>“三公”经费预算</w:t>
      </w:r>
      <w:r>
        <w:rPr>
          <w:rFonts w:hint="eastAsia" w:ascii="仿宋" w:hAnsi="仿宋" w:eastAsia="仿宋" w:cs="仿宋"/>
          <w:b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年本部门机关本级行政事业单位“三公”经费预算数为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万元，其中，公务接待费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万元，公务用车购置及运行费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万元（其中，公务用车购置费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万元，公务用车运行费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万元），因公出国（境）费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 万元。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none"/>
        </w:rPr>
        <w:t>年“三公”经费预算较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2019</w:t>
      </w:r>
      <w:r>
        <w:rPr>
          <w:rFonts w:hint="eastAsia" w:ascii="仿宋" w:hAnsi="仿宋" w:eastAsia="仿宋" w:cs="仿宋"/>
          <w:sz w:val="32"/>
          <w:szCs w:val="32"/>
          <w:u w:val="none"/>
        </w:rPr>
        <w:t>年持平，主要是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没有三公经费开支。</w:t>
      </w:r>
    </w:p>
    <w:p>
      <w:pPr>
        <w:widowControl/>
        <w:spacing w:line="600" w:lineRule="exact"/>
        <w:ind w:firstLine="660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u w:val="none"/>
        </w:rPr>
        <w:t>（三）一般性支出情况：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年本部门会议费预算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未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拟召开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会议，人数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人；培训费预算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未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拟开展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培训，人数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人；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未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拟举办节庆、晚会、论坛、赛事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等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活动，经费预算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 xml:space="preserve"> 万元。</w:t>
      </w:r>
    </w:p>
    <w:p>
      <w:pPr>
        <w:widowControl/>
        <w:numPr>
          <w:ilvl w:val="0"/>
          <w:numId w:val="0"/>
        </w:numPr>
        <w:spacing w:line="600" w:lineRule="exact"/>
        <w:ind w:leftChars="196" w:firstLine="321" w:firstLineChars="10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u w:val="none"/>
          <w:lang w:val="en-US" w:eastAsia="zh-CN"/>
        </w:rPr>
        <w:t>(四）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u w:val="none"/>
        </w:rPr>
        <w:t>政府采购情况：</w:t>
      </w:r>
      <w:r>
        <w:rPr>
          <w:rFonts w:hint="eastAsia" w:ascii="仿宋" w:hAnsi="仿宋" w:eastAsia="仿宋" w:cs="仿宋"/>
          <w:b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年本部门政府采购预算总额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万元，其中，货物类采购预算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万元；工程类采购预算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万元；服务类采购预算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万元。</w:t>
      </w:r>
    </w:p>
    <w:p>
      <w:pPr>
        <w:widowControl/>
        <w:numPr>
          <w:ilvl w:val="0"/>
          <w:numId w:val="6"/>
        </w:numPr>
        <w:spacing w:line="600" w:lineRule="exact"/>
        <w:ind w:firstLine="660"/>
        <w:jc w:val="left"/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u w:val="none"/>
        </w:rPr>
        <w:t>国有资产占用使用及新增资产配置情况：</w:t>
      </w:r>
      <w:r>
        <w:rPr>
          <w:rFonts w:hint="eastAsia" w:ascii="仿宋" w:hAnsi="仿宋" w:eastAsia="仿宋" w:cs="仿宋"/>
          <w:sz w:val="32"/>
          <w:szCs w:val="32"/>
          <w:u w:val="none"/>
        </w:rPr>
        <w:t>截至20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u w:val="none"/>
        </w:rPr>
        <w:t>年12月底，本部门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共有公务用车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辆，其中，机要通信用车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 辆，应急保障用</w:t>
      </w:r>
      <w:bookmarkStart w:id="0" w:name="_GoBack"/>
      <w:bookmarkEnd w:id="0"/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车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辆，执法执勤用车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辆，特种专业技术用车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辆，其他按照规定配备的公务用车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 辆；单位价值50万元以上通用设备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 台，单位价值100万元以上专用设备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 台。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年拟新增配置公务用车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辆，其中，机要通信用车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 辆，应急保障用车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辆，执法执勤用车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辆，特种专业技术用车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辆，其他按照规定配备的公务用车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辆；新增配备单位价值50万元以上通用设备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台，单位价值100万元以上专用设备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 xml:space="preserve">  台。</w:t>
      </w:r>
    </w:p>
    <w:p>
      <w:pPr>
        <w:widowControl/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u w:val="none"/>
          <w:lang w:eastAsia="zh-CN"/>
        </w:rPr>
        <w:t>（六）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u w:val="none"/>
        </w:rPr>
        <w:t>预算绩效目标说明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>本部门所有支出实行绩效目标管理。纳入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  <w:lang w:val="en-US" w:eastAsia="zh-CN"/>
        </w:rPr>
        <w:t>2020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>年部门整体支出绩效目标的金额为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61.9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>万元，其中，基本支出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61.9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>万元，项目支出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32"/>
          <w:szCs w:val="32"/>
          <w:u w:val="none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</w:rPr>
        <w:t>七、名词解释</w:t>
      </w:r>
    </w:p>
    <w:p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20" w:firstLineChars="200"/>
        <w:jc w:val="center"/>
        <w:rPr>
          <w:rFonts w:hint="eastAsia"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  <w:r>
        <w:rPr>
          <w:rFonts w:hint="eastAsia" w:eastAsia="方正小标宋_GBK"/>
          <w:bCs/>
          <w:kern w:val="0"/>
          <w:sz w:val="36"/>
          <w:szCs w:val="36"/>
        </w:rPr>
        <w:t xml:space="preserve">第二部分 </w:t>
      </w: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hint="eastAsia" w:eastAsia="方正小标宋_GBK"/>
          <w:bCs/>
          <w:kern w:val="0"/>
          <w:sz w:val="36"/>
          <w:szCs w:val="36"/>
        </w:rPr>
        <w:t>年部门预算表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1、部门收支总表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2、部门收入总表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3、部门支出总表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4、部门支出总表</w:t>
      </w:r>
      <w:r>
        <w:rPr>
          <w:rFonts w:hint="eastAsia" w:eastAsia="仿宋_GB2312"/>
          <w:sz w:val="32"/>
          <w:szCs w:val="32"/>
          <w:lang w:eastAsia="zh-CN"/>
        </w:rPr>
        <w:t>（分类）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5、</w:t>
      </w:r>
      <w:r>
        <w:rPr>
          <w:rFonts w:hint="eastAsia" w:eastAsia="仿宋_GB2312"/>
          <w:sz w:val="32"/>
          <w:szCs w:val="32"/>
          <w:lang w:eastAsia="zh-CN"/>
        </w:rPr>
        <w:t>基本支出预算明细表-工资福利支出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6、基本支出预算明细表-商品和服务支出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7、基本支出预算明细表-对个人和家庭的补助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8、财政拨款收支总表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9、一般公共预算支出情况表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10、一般公共预算基本支出情况表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11、一般公共预算基本支出预算明细表-工资福利支出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12、一般公共预算基本支出预算明细表-商品和服务支出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13、一般公共预算基本支出预算明细表-对个人和家庭的补助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14、政府基金预算支出表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15、财政专户管理的非税收入安排支出表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16、非财政专户管理的收入表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17、正常经费拨款表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18、专项资金预算汇总表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19、“三公”经费预算表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20、部门整体支出绩效目标申报表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21、专项资金绩效目标申报表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（具体表格见附件）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10EE0"/>
    <w:multiLevelType w:val="singleLevel"/>
    <w:tmpl w:val="9F410E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08BF613"/>
    <w:multiLevelType w:val="singleLevel"/>
    <w:tmpl w:val="C08BF61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5C8D8A6"/>
    <w:multiLevelType w:val="singleLevel"/>
    <w:tmpl w:val="D5C8D8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55A2983"/>
    <w:multiLevelType w:val="singleLevel"/>
    <w:tmpl w:val="255A29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757CCA5"/>
    <w:multiLevelType w:val="singleLevel"/>
    <w:tmpl w:val="2757CCA5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49DC88A3"/>
    <w:multiLevelType w:val="singleLevel"/>
    <w:tmpl w:val="49DC88A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95BFB"/>
    <w:rsid w:val="1FE3208D"/>
    <w:rsid w:val="2C4F16B4"/>
    <w:rsid w:val="31EB1A9E"/>
    <w:rsid w:val="37324EDB"/>
    <w:rsid w:val="386069ED"/>
    <w:rsid w:val="43430FB0"/>
    <w:rsid w:val="47D45216"/>
    <w:rsid w:val="4B395BFB"/>
    <w:rsid w:val="51414242"/>
    <w:rsid w:val="6CE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2021-06-02T07:37:00Z</dcterms:created>
  <dc:creator>Administrator</dc:creator>
  <cp:lastModifiedBy>Administrator</cp:lastModifiedBy>
  <dcterms:modified xsi:type="dcterms:W3CDTF">2021-06-07T08:28:42Z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4718F09722FE4E7FB428DC7B0B63CB82</vt:lpwstr>
  </property>
</Properties>
</file>