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F77B9">
      <w:pPr>
        <w:rPr>
          <w:rFonts w:eastAsia="仿宋_GB2312"/>
          <w:sz w:val="32"/>
          <w:szCs w:val="32"/>
        </w:rPr>
      </w:pPr>
      <w:bookmarkStart w:id="4" w:name="_GoBack"/>
      <w:bookmarkEnd w:id="4"/>
      <w:r>
        <w:rPr>
          <w:rFonts w:hint="eastAsia" w:ascii="仿宋_GB2312" w:hAnsi="仿宋_GB2312" w:eastAsia="仿宋_GB2312" w:cs="仿宋_GB2312"/>
          <w:sz w:val="32"/>
          <w:szCs w:val="32"/>
        </w:rPr>
        <w:t>附件3</w:t>
      </w:r>
      <w:r>
        <w:rPr>
          <w:rFonts w:hint="eastAsia" w:eastAsia="仿宋_GB2312"/>
          <w:sz w:val="32"/>
          <w:szCs w:val="32"/>
        </w:rPr>
        <w:t>：</w:t>
      </w:r>
    </w:p>
    <w:p w14:paraId="7F50CA5F">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14:paraId="56A84264">
      <w:pPr>
        <w:ind w:firstLine="602" w:firstLineChars="200"/>
        <w:rPr>
          <w:rFonts w:ascii="宋体" w:hAnsi="宋体"/>
          <w:b/>
          <w:sz w:val="30"/>
          <w:szCs w:val="30"/>
        </w:rPr>
      </w:pPr>
      <w:r>
        <w:rPr>
          <w:rFonts w:ascii="宋体" w:hAnsi="宋体"/>
          <w:b/>
          <w:sz w:val="30"/>
          <w:szCs w:val="30"/>
        </w:rPr>
        <w:t>一、部门概况</w:t>
      </w:r>
    </w:p>
    <w:p w14:paraId="28CEF681">
      <w:pPr>
        <w:spacing w:line="520" w:lineRule="exact"/>
        <w:ind w:firstLine="643"/>
        <w:rPr>
          <w:rFonts w:ascii="仿宋" w:hAnsi="仿宋" w:eastAsia="仿宋"/>
          <w:b/>
          <w:sz w:val="32"/>
          <w:szCs w:val="24"/>
        </w:rPr>
      </w:pPr>
      <w:r>
        <w:rPr>
          <w:rFonts w:hint="eastAsia" w:ascii="仿宋" w:hAnsi="仿宋" w:eastAsia="仿宋"/>
          <w:b/>
          <w:sz w:val="32"/>
          <w:szCs w:val="24"/>
        </w:rPr>
        <w:t>（一）基本情况。</w:t>
      </w:r>
    </w:p>
    <w:p w14:paraId="6E98ED6F">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1、按照养殖业有关法律法规和方针政策的要求，为全区畜牧业、渔业发展提供技术支撑和服务保障。</w:t>
      </w:r>
    </w:p>
    <w:p w14:paraId="2574E680">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2、为养殖业生产、市场信息监测提供技术、信息服务，开展统计分析工作。研究提出畜牧业、渔业产业发展与资源保护建议，承担产业项目有关技术性工作。</w:t>
      </w:r>
    </w:p>
    <w:p w14:paraId="4DBFFBC9">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3、研究提出全区养殖业技术推广规划和体系建设规划意见，协助组织开展全区养殖业技术推广和专业技术人员培训。参与畜牧水产相关项目的实施、验收</w:t>
      </w:r>
    </w:p>
    <w:p w14:paraId="44B7763D">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4、承担全区畜牧业、渔业、饲料、兽药调查研究，收集、预测并发布全区养殖业生产形势、生产资料供应、产品供求情况等经济信息。</w:t>
      </w:r>
    </w:p>
    <w:p w14:paraId="2DD954BC">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5、承担重大动物疫病（包括人畜共患病）防控和动物诊疗机构及其从业人员管理等相关技术性、事务性工作。</w:t>
      </w:r>
    </w:p>
    <w:p w14:paraId="003C1C66">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6、承担畜禽、水产、牧草、饲料品种资源调查等工作;组织实施相关品种的申报、登记、引进、繁育、推广工作；协助组织开展地方特色养殖品种的保护和开发利用。</w:t>
      </w:r>
    </w:p>
    <w:p w14:paraId="5B020CED">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7、承担畜禽屠宰行业发展相关技术性、事务性工作。</w:t>
      </w:r>
    </w:p>
    <w:p w14:paraId="15CBF1F1">
      <w:pPr>
        <w:pStyle w:val="10"/>
        <w:spacing w:before="0" w:beforeAutospacing="0" w:after="2" w:afterAutospacing="0"/>
        <w:ind w:firstLine="641"/>
        <w:rPr>
          <w:rFonts w:ascii="微软雅黑" w:hAnsi="微软雅黑"/>
          <w:color w:val="000000"/>
          <w:sz w:val="27"/>
          <w:szCs w:val="27"/>
        </w:rPr>
      </w:pPr>
      <w:r>
        <w:rPr>
          <w:rFonts w:hint="eastAsia"/>
          <w:color w:val="000000"/>
          <w:sz w:val="32"/>
          <w:szCs w:val="32"/>
        </w:rPr>
        <w:t>8、承办区农业农村局交办的其他工作事项。</w:t>
      </w:r>
    </w:p>
    <w:p w14:paraId="74B13CE3">
      <w:pPr>
        <w:spacing w:line="520" w:lineRule="exact"/>
        <w:ind w:firstLine="640"/>
        <w:rPr>
          <w:rFonts w:ascii="宋体" w:hAnsi="宋体" w:cs="宋体"/>
          <w:sz w:val="28"/>
          <w:szCs w:val="28"/>
        </w:rPr>
      </w:pPr>
      <w:r>
        <w:rPr>
          <w:rFonts w:hint="eastAsia" w:ascii="仿宋" w:hAnsi="仿宋" w:eastAsia="仿宋"/>
          <w:sz w:val="32"/>
          <w:szCs w:val="24"/>
        </w:rPr>
        <w:t>2．机构情况，</w:t>
      </w:r>
      <w:r>
        <w:rPr>
          <w:rFonts w:hint="eastAsia" w:ascii="宋体" w:hAnsi="宋体" w:cs="宋体"/>
          <w:color w:val="000000"/>
          <w:sz w:val="32"/>
          <w:szCs w:val="32"/>
        </w:rPr>
        <w:t>冷水滩区畜牧水产事务中心内设机构包括：冷水滩区畜牧水产事务中心是区农业委员会管理的从事畜牧水产业行业管理、行政执法和技术推广的全额拨款事业单位。现内设办公室、计财、畜牧、水产渔政4个股室，下辖畜牧水产科技推广中心正股级事业单位。</w:t>
      </w:r>
    </w:p>
    <w:p w14:paraId="48E635C8">
      <w:pPr>
        <w:spacing w:line="560" w:lineRule="exact"/>
        <w:ind w:firstLine="640" w:firstLineChars="200"/>
        <w:rPr>
          <w:rFonts w:ascii="宋体" w:hAnsi="宋体" w:cs="宋体"/>
          <w:sz w:val="30"/>
          <w:szCs w:val="30"/>
        </w:rPr>
      </w:pPr>
      <w:r>
        <w:rPr>
          <w:rFonts w:hint="eastAsia" w:ascii="仿宋" w:hAnsi="仿宋" w:eastAsia="仿宋"/>
          <w:sz w:val="32"/>
          <w:szCs w:val="24"/>
        </w:rPr>
        <w:t>3．人员情况。</w:t>
      </w:r>
      <w:r>
        <w:rPr>
          <w:rFonts w:hint="eastAsia" w:ascii="宋体" w:hAnsi="宋体" w:cs="宋体"/>
          <w:sz w:val="30"/>
          <w:szCs w:val="30"/>
        </w:rPr>
        <w:t>编制人数61人，实有在职在编人员53人，退休人员63人。</w:t>
      </w:r>
    </w:p>
    <w:p w14:paraId="65719D30">
      <w:pPr>
        <w:ind w:firstLine="602" w:firstLineChars="200"/>
        <w:rPr>
          <w:rFonts w:ascii="宋体" w:hAnsi="宋体"/>
          <w:b/>
          <w:bCs/>
          <w:sz w:val="30"/>
          <w:szCs w:val="30"/>
        </w:rPr>
      </w:pPr>
      <w:r>
        <w:rPr>
          <w:rFonts w:ascii="宋体" w:hAnsi="宋体"/>
          <w:b/>
          <w:bCs/>
          <w:sz w:val="30"/>
          <w:szCs w:val="30"/>
        </w:rPr>
        <w:t>（二）</w:t>
      </w:r>
      <w:r>
        <w:rPr>
          <w:rFonts w:hint="eastAsia" w:ascii="宋体" w:hAnsi="宋体"/>
          <w:b/>
          <w:bCs/>
          <w:sz w:val="30"/>
          <w:szCs w:val="30"/>
        </w:rPr>
        <w:t>2021</w:t>
      </w:r>
      <w:r>
        <w:rPr>
          <w:rFonts w:ascii="宋体" w:hAnsi="宋体"/>
          <w:b/>
          <w:bCs/>
          <w:sz w:val="30"/>
          <w:szCs w:val="30"/>
        </w:rPr>
        <w:t>年的重点工作</w:t>
      </w:r>
    </w:p>
    <w:p w14:paraId="414F70C2">
      <w:pPr>
        <w:ind w:firstLine="602" w:firstLineChars="200"/>
        <w:rPr>
          <w:rFonts w:ascii="宋体" w:hAnsi="宋体"/>
          <w:b/>
          <w:bCs/>
          <w:sz w:val="30"/>
          <w:szCs w:val="30"/>
        </w:rPr>
      </w:pPr>
      <w:r>
        <w:rPr>
          <w:rFonts w:hint="eastAsia" w:ascii="宋体" w:hAnsi="宋体"/>
          <w:b/>
          <w:bCs/>
          <w:sz w:val="30"/>
          <w:szCs w:val="30"/>
        </w:rPr>
        <w:t>1、主要工作职责</w:t>
      </w:r>
    </w:p>
    <w:p w14:paraId="1DD6E440">
      <w:pPr>
        <w:ind w:firstLine="600" w:firstLineChars="200"/>
        <w:rPr>
          <w:rFonts w:ascii="宋体" w:hAnsi="宋体"/>
          <w:sz w:val="30"/>
          <w:szCs w:val="30"/>
        </w:rPr>
      </w:pPr>
      <w:r>
        <w:rPr>
          <w:rFonts w:hint="eastAsia" w:ascii="宋体" w:hAnsi="宋体"/>
          <w:sz w:val="30"/>
          <w:szCs w:val="30"/>
        </w:rPr>
        <w:t>(1）、受区农业委员会的委托，负责有关畜牧业、渔业、监督管理，负责生猪定点屠宰监督管理。</w:t>
      </w:r>
    </w:p>
    <w:p w14:paraId="17BDC8BC">
      <w:pPr>
        <w:ind w:firstLine="600" w:firstLineChars="200"/>
        <w:rPr>
          <w:rFonts w:ascii="宋体" w:hAnsi="宋体"/>
          <w:sz w:val="30"/>
          <w:szCs w:val="30"/>
        </w:rPr>
      </w:pPr>
      <w:r>
        <w:rPr>
          <w:rFonts w:hint="eastAsia" w:ascii="宋体" w:hAnsi="宋体"/>
          <w:sz w:val="30"/>
          <w:szCs w:val="30"/>
        </w:rPr>
        <w:t>(2）、负责调查分析畜牧业、渔业、兽药、饲料生产形势和市场动态，研究拟定发展规划和年度计划，提出品种改良、结构调整、区域布局、质量改进、产品生产和加工的建议和措施。</w:t>
      </w:r>
    </w:p>
    <w:p w14:paraId="4BA5514D">
      <w:pPr>
        <w:ind w:firstLine="600" w:firstLineChars="200"/>
        <w:rPr>
          <w:rFonts w:ascii="宋体" w:hAnsi="宋体"/>
          <w:sz w:val="30"/>
          <w:szCs w:val="30"/>
        </w:rPr>
      </w:pPr>
      <w:r>
        <w:rPr>
          <w:rFonts w:hint="eastAsia" w:ascii="宋体" w:hAnsi="宋体"/>
          <w:sz w:val="30"/>
          <w:szCs w:val="30"/>
        </w:rPr>
        <w:t>(3）、负责种畜禽、水产种苗、牧草种子、饲料和饲料添加剂的质量监测、鉴定。</w:t>
      </w:r>
    </w:p>
    <w:p w14:paraId="5F197245">
      <w:pPr>
        <w:ind w:firstLine="600" w:firstLineChars="200"/>
        <w:rPr>
          <w:rFonts w:ascii="宋体" w:hAnsi="宋体"/>
          <w:sz w:val="30"/>
          <w:szCs w:val="30"/>
        </w:rPr>
      </w:pPr>
      <w:r>
        <w:rPr>
          <w:rFonts w:hint="eastAsia" w:ascii="宋体" w:hAnsi="宋体"/>
          <w:sz w:val="30"/>
          <w:szCs w:val="30"/>
        </w:rPr>
        <w:t>(4）、负责地方畜禽、水产品资源保护与开发利用，负责畜产资源的保护开发利用和监督管理。</w:t>
      </w:r>
    </w:p>
    <w:p w14:paraId="1A3E8355">
      <w:pPr>
        <w:ind w:firstLine="600" w:firstLineChars="200"/>
        <w:rPr>
          <w:rFonts w:ascii="宋体" w:hAnsi="宋体"/>
          <w:sz w:val="30"/>
          <w:szCs w:val="30"/>
        </w:rPr>
      </w:pPr>
      <w:r>
        <w:rPr>
          <w:rFonts w:hint="eastAsia" w:ascii="宋体" w:hAnsi="宋体"/>
          <w:sz w:val="30"/>
          <w:szCs w:val="30"/>
        </w:rPr>
        <w:t>(5）、负责实施</w:t>
      </w:r>
      <w:r>
        <w:rPr>
          <w:rFonts w:hint="eastAsia" w:ascii="仿宋_GB2312"/>
          <w:sz w:val="30"/>
          <w:szCs w:val="30"/>
        </w:rPr>
        <w:t>渔业发展与资源保护</w:t>
      </w:r>
      <w:r>
        <w:rPr>
          <w:rFonts w:hint="eastAsia" w:ascii="宋体" w:hAnsi="宋体"/>
          <w:sz w:val="30"/>
          <w:szCs w:val="30"/>
        </w:rPr>
        <w:t>，保护渔业资源，水域环境。</w:t>
      </w:r>
    </w:p>
    <w:p w14:paraId="339E3B28">
      <w:pPr>
        <w:ind w:firstLine="600" w:firstLineChars="200"/>
        <w:rPr>
          <w:rFonts w:ascii="宋体" w:hAnsi="宋体"/>
          <w:sz w:val="30"/>
          <w:szCs w:val="30"/>
        </w:rPr>
      </w:pPr>
      <w:r>
        <w:rPr>
          <w:rFonts w:hint="eastAsia" w:ascii="宋体" w:hAnsi="宋体"/>
          <w:sz w:val="30"/>
          <w:szCs w:val="30"/>
        </w:rPr>
        <w:t>(6）、按照有关规定，负责执业兽医和官方兽医管理工作，承担动物和动物产品检疫和动物防疫及监督、监测、预报、发布动物疫情，组织实施动物疫情的控制与扑灭，负责畜禽养殖废弃物的综合利用和无害化处理。</w:t>
      </w:r>
    </w:p>
    <w:p w14:paraId="36033AFB">
      <w:pPr>
        <w:ind w:firstLine="600" w:firstLineChars="200"/>
        <w:rPr>
          <w:rFonts w:ascii="宋体" w:hAnsi="宋体"/>
          <w:sz w:val="30"/>
          <w:szCs w:val="30"/>
        </w:rPr>
      </w:pPr>
      <w:r>
        <w:rPr>
          <w:rFonts w:hint="eastAsia" w:ascii="宋体" w:hAnsi="宋体"/>
          <w:sz w:val="30"/>
          <w:szCs w:val="30"/>
        </w:rPr>
        <w:t>(7）、负责动物疫病监测、检验、诊断、风险评估和重大动物疫情预警预报，承担人畜共患病防治和兽医公共卫生工作，负责拟定《永州市冷水滩区重大动物疫情应急预案》并参与实施，承担区防治重大动物疫病指挥部办公室日常工作，负责病死及染疫动物无害化处理监管工作。</w:t>
      </w:r>
    </w:p>
    <w:p w14:paraId="677C6C87">
      <w:pPr>
        <w:ind w:firstLine="600" w:firstLineChars="200"/>
        <w:rPr>
          <w:rFonts w:ascii="宋体" w:hAnsi="宋体"/>
          <w:sz w:val="30"/>
          <w:szCs w:val="30"/>
        </w:rPr>
      </w:pPr>
      <w:r>
        <w:rPr>
          <w:rFonts w:hint="eastAsia" w:ascii="宋体" w:hAnsi="宋体"/>
          <w:sz w:val="30"/>
          <w:szCs w:val="30"/>
        </w:rPr>
        <w:t>(8）、按照权限管理畜牧业、渔业专项资金，提出专项资金安排计划，组织重大项目申报、审核及监督实施。</w:t>
      </w:r>
    </w:p>
    <w:p w14:paraId="4CB27A2C">
      <w:pPr>
        <w:ind w:firstLine="600" w:firstLineChars="200"/>
        <w:rPr>
          <w:rFonts w:ascii="宋体" w:hAnsi="宋体"/>
          <w:sz w:val="30"/>
          <w:szCs w:val="30"/>
        </w:rPr>
      </w:pPr>
      <w:r>
        <w:rPr>
          <w:rFonts w:hint="eastAsia" w:ascii="宋体" w:hAnsi="宋体"/>
          <w:sz w:val="30"/>
          <w:szCs w:val="30"/>
        </w:rPr>
        <w:t>(9）、负责生猪定点屠宰监督管理。</w:t>
      </w:r>
    </w:p>
    <w:p w14:paraId="0FFE8ABA">
      <w:pPr>
        <w:ind w:firstLine="600" w:firstLineChars="200"/>
        <w:rPr>
          <w:rFonts w:ascii="宋体" w:hAnsi="宋体"/>
          <w:sz w:val="30"/>
          <w:szCs w:val="30"/>
        </w:rPr>
      </w:pPr>
      <w:r>
        <w:rPr>
          <w:rFonts w:hint="eastAsia" w:ascii="宋体" w:hAnsi="宋体"/>
          <w:sz w:val="30"/>
          <w:szCs w:val="30"/>
        </w:rPr>
        <w:t>(10）、按机构改革的总体要求，负责对下属单位机构设置、职能配置和人员编制配备等提出调整完善意见，报机构编制部门明确。</w:t>
      </w:r>
    </w:p>
    <w:p w14:paraId="6DC5CDE0">
      <w:pPr>
        <w:ind w:firstLine="600" w:firstLineChars="200"/>
        <w:rPr>
          <w:rFonts w:ascii="宋体" w:hAnsi="宋体"/>
          <w:sz w:val="30"/>
          <w:szCs w:val="30"/>
        </w:rPr>
      </w:pPr>
      <w:r>
        <w:rPr>
          <w:rFonts w:hint="eastAsia" w:ascii="宋体" w:hAnsi="宋体"/>
          <w:sz w:val="30"/>
          <w:szCs w:val="30"/>
        </w:rPr>
        <w:t>(11）、承办区委、区人民政府和区农业委员会交办的其他事项。</w:t>
      </w:r>
    </w:p>
    <w:p w14:paraId="040FC503">
      <w:pPr>
        <w:ind w:firstLine="602" w:firstLineChars="200"/>
        <w:rPr>
          <w:rFonts w:ascii="宋体" w:hAnsi="宋体"/>
          <w:b/>
          <w:bCs/>
          <w:sz w:val="30"/>
          <w:szCs w:val="30"/>
        </w:rPr>
      </w:pPr>
      <w:r>
        <w:rPr>
          <w:rFonts w:hint="eastAsia" w:ascii="宋体" w:hAnsi="宋体"/>
          <w:b/>
          <w:bCs/>
          <w:sz w:val="30"/>
          <w:szCs w:val="30"/>
        </w:rPr>
        <w:t>2、2021年主要工作任务及目标</w:t>
      </w:r>
    </w:p>
    <w:p w14:paraId="7D28F253">
      <w:pPr>
        <w:ind w:firstLine="600" w:firstLineChars="200"/>
        <w:rPr>
          <w:rFonts w:ascii="宋体" w:hAnsi="宋体"/>
          <w:sz w:val="30"/>
          <w:szCs w:val="30"/>
        </w:rPr>
      </w:pPr>
      <w:r>
        <w:rPr>
          <w:rFonts w:hint="eastAsia" w:ascii="宋体" w:hAnsi="宋体"/>
          <w:sz w:val="30"/>
          <w:szCs w:val="30"/>
        </w:rPr>
        <w:t>工作思路：在区委、区政府的正确领导下，冷水滩以习近平新时代中国特色社会主义思想为指导，深入贯彻“三高四新”战略，围绕“构建现代畜牧业发展新格局”目标，狠抓生猪稳产保供、重大动物疫病防控和畜禽水产品质量安全，以农民增收为目标，以调结构、转方式为主线，以科技为先导，全面推广良种良法，提高畜产品和水产品优质品率；抓好无公害生产技术的推广应用，大力发展绿色产品，提高畜产品和水产品的市场竞争力；推进生态畜牧小区建设，适度发展规模养殖，注重环境保护；狠抓重大动物疫病综合防控，确保养殖业健康稳定发展。</w:t>
      </w:r>
    </w:p>
    <w:p w14:paraId="5EBEC334">
      <w:pPr>
        <w:spacing w:line="520" w:lineRule="exact"/>
        <w:ind w:firstLine="640"/>
        <w:rPr>
          <w:rFonts w:ascii="宋体" w:hAnsi="宋体"/>
          <w:sz w:val="30"/>
          <w:szCs w:val="30"/>
        </w:rPr>
      </w:pPr>
      <w:r>
        <w:rPr>
          <w:rFonts w:hint="eastAsia" w:ascii="宋体" w:hAnsi="宋体"/>
          <w:sz w:val="30"/>
          <w:szCs w:val="30"/>
        </w:rPr>
        <w:t>目标任务：2021年全区出栏生猪61万头，出栏牛1.56万头，出栏羊4.94万头，出笼家禽957.8万羽，放养水面5.78万亩、起水水产品产量3.2万吨。确保生猪调出大县地位，确保全区无重大动物疫情发生，确保全区无畜禽水产品质量安全和渔业安全生产事故发生。</w:t>
      </w:r>
    </w:p>
    <w:p w14:paraId="0EFBF64D">
      <w:pPr>
        <w:spacing w:line="360" w:lineRule="auto"/>
        <w:ind w:firstLine="643" w:firstLineChars="200"/>
        <w:rPr>
          <w:rFonts w:ascii="黑体" w:hAnsi="黑体" w:eastAsia="黑体"/>
          <w:b/>
          <w:sz w:val="32"/>
          <w:szCs w:val="32"/>
        </w:rPr>
      </w:pPr>
      <w:r>
        <w:rPr>
          <w:rFonts w:ascii="黑体" w:hAnsi="黑体" w:eastAsia="黑体"/>
          <w:b/>
          <w:sz w:val="32"/>
          <w:szCs w:val="32"/>
        </w:rPr>
        <w:t>二、</w:t>
      </w:r>
      <w:r>
        <w:rPr>
          <w:rFonts w:hint="eastAsia" w:ascii="黑体" w:hAnsi="黑体" w:eastAsia="黑体"/>
          <w:b/>
          <w:sz w:val="32"/>
          <w:szCs w:val="32"/>
        </w:rPr>
        <w:t>一般公共预算</w:t>
      </w:r>
      <w:r>
        <w:rPr>
          <w:rFonts w:ascii="黑体" w:hAnsi="黑体" w:eastAsia="黑体"/>
          <w:b/>
          <w:sz w:val="32"/>
          <w:szCs w:val="32"/>
        </w:rPr>
        <w:t>支出情况</w:t>
      </w:r>
    </w:p>
    <w:p w14:paraId="61E708DD">
      <w:pPr>
        <w:spacing w:line="360" w:lineRule="auto"/>
        <w:ind w:firstLine="643" w:firstLineChars="200"/>
        <w:rPr>
          <w:rFonts w:ascii="仿宋" w:hAnsi="仿宋" w:eastAsia="仿宋"/>
          <w:b/>
          <w:sz w:val="32"/>
          <w:szCs w:val="32"/>
        </w:rPr>
      </w:pPr>
      <w:r>
        <w:rPr>
          <w:rFonts w:ascii="仿宋" w:hAnsi="仿宋" w:eastAsia="仿宋"/>
          <w:b/>
          <w:sz w:val="32"/>
          <w:szCs w:val="32"/>
        </w:rPr>
        <w:t>（一）基本支出情况。</w:t>
      </w:r>
      <w:r>
        <w:rPr>
          <w:rFonts w:hint="eastAsia" w:ascii="仿宋" w:hAnsi="仿宋" w:eastAsia="仿宋"/>
          <w:b/>
          <w:sz w:val="32"/>
          <w:szCs w:val="32"/>
        </w:rPr>
        <w:t>（与决算报告数据不符）</w:t>
      </w:r>
    </w:p>
    <w:p w14:paraId="149CE00A">
      <w:pPr>
        <w:spacing w:line="360" w:lineRule="auto"/>
        <w:ind w:firstLine="640" w:firstLineChars="200"/>
        <w:rPr>
          <w:rFonts w:ascii="仿宋" w:hAnsi="仿宋" w:eastAsia="仿宋" w:cs="仿宋"/>
          <w:color w:val="000000"/>
          <w:sz w:val="32"/>
          <w:szCs w:val="32"/>
          <w:lang w:val="zh-TW" w:eastAsia="zh-TW" w:bidi="zh-TW"/>
        </w:rPr>
      </w:pPr>
      <w:r>
        <w:rPr>
          <w:rFonts w:hint="eastAsia" w:ascii="仿宋" w:hAnsi="仿宋" w:eastAsia="仿宋" w:cs="仿宋"/>
          <w:color w:val="000000"/>
          <w:sz w:val="32"/>
          <w:szCs w:val="32"/>
          <w:lang w:val="zh-TW" w:eastAsia="zh-TW" w:bidi="zh-TW"/>
        </w:rPr>
        <w:t>基本支出</w:t>
      </w:r>
      <w:r>
        <w:rPr>
          <w:rFonts w:hint="eastAsia" w:ascii="仿宋" w:hAnsi="仿宋" w:eastAsia="仿宋" w:cs="仿宋"/>
          <w:color w:val="000000"/>
          <w:sz w:val="32"/>
          <w:szCs w:val="32"/>
          <w:lang w:bidi="zh-TW"/>
        </w:rPr>
        <w:t>2512.61</w:t>
      </w:r>
      <w:r>
        <w:rPr>
          <w:rFonts w:hint="eastAsia" w:ascii="仿宋" w:hAnsi="仿宋" w:eastAsia="仿宋" w:cs="仿宋"/>
          <w:color w:val="000000"/>
          <w:sz w:val="32"/>
          <w:szCs w:val="32"/>
          <w:lang w:val="zh-TW" w:eastAsia="zh-TW" w:bidi="zh-TW"/>
        </w:rPr>
        <w:t>万元。其中：工资福利支出</w:t>
      </w:r>
      <w:r>
        <w:rPr>
          <w:rFonts w:hint="eastAsia" w:ascii="仿宋" w:hAnsi="仿宋" w:eastAsia="仿宋" w:cs="仿宋"/>
          <w:color w:val="000000"/>
          <w:sz w:val="32"/>
          <w:szCs w:val="32"/>
          <w:lang w:bidi="zh-TW"/>
        </w:rPr>
        <w:t>959.39</w:t>
      </w:r>
      <w:r>
        <w:rPr>
          <w:rFonts w:hint="eastAsia" w:ascii="仿宋" w:hAnsi="仿宋" w:eastAsia="仿宋" w:cs="仿宋"/>
          <w:color w:val="000000"/>
          <w:sz w:val="32"/>
          <w:szCs w:val="32"/>
          <w:lang w:val="zh-TW" w:eastAsia="zh-TW" w:bidi="zh-TW"/>
        </w:rPr>
        <w:t>万元，商品和服务支出</w:t>
      </w:r>
      <w:r>
        <w:rPr>
          <w:rFonts w:hint="eastAsia" w:ascii="仿宋" w:hAnsi="仿宋" w:eastAsia="仿宋" w:cs="仿宋"/>
          <w:color w:val="000000"/>
          <w:sz w:val="32"/>
          <w:szCs w:val="32"/>
          <w:lang w:bidi="zh-TW"/>
        </w:rPr>
        <w:t>843.4</w:t>
      </w:r>
      <w:r>
        <w:rPr>
          <w:rFonts w:hint="eastAsia" w:ascii="仿宋" w:hAnsi="仿宋" w:eastAsia="仿宋" w:cs="仿宋"/>
          <w:color w:val="000000"/>
          <w:sz w:val="32"/>
          <w:szCs w:val="32"/>
          <w:lang w:val="zh-TW" w:eastAsia="zh-TW" w:bidi="zh-TW"/>
        </w:rPr>
        <w:t>万元，对个人和家庭的补助支出</w:t>
      </w:r>
      <w:r>
        <w:rPr>
          <w:rFonts w:hint="eastAsia" w:ascii="仿宋" w:hAnsi="仿宋" w:eastAsia="仿宋" w:cs="仿宋"/>
          <w:color w:val="000000"/>
          <w:sz w:val="32"/>
          <w:szCs w:val="32"/>
          <w:lang w:bidi="zh-TW"/>
        </w:rPr>
        <w:t>709.82</w:t>
      </w:r>
      <w:r>
        <w:rPr>
          <w:rFonts w:hint="eastAsia" w:ascii="仿宋" w:hAnsi="仿宋" w:eastAsia="仿宋" w:cs="仿宋"/>
          <w:color w:val="000000"/>
          <w:sz w:val="32"/>
          <w:szCs w:val="32"/>
          <w:lang w:val="zh-TW" w:eastAsia="zh-TW" w:bidi="zh-TW"/>
        </w:rPr>
        <w:t>万元。</w:t>
      </w:r>
    </w:p>
    <w:p w14:paraId="14C1625B">
      <w:pPr>
        <w:spacing w:line="360" w:lineRule="auto"/>
        <w:ind w:firstLine="643" w:firstLineChars="200"/>
        <w:rPr>
          <w:rFonts w:ascii="仿宋" w:hAnsi="仿宋" w:eastAsia="仿宋"/>
          <w:b/>
          <w:sz w:val="32"/>
          <w:szCs w:val="32"/>
        </w:rPr>
      </w:pPr>
      <w:r>
        <w:rPr>
          <w:rFonts w:ascii="仿宋" w:hAnsi="仿宋" w:eastAsia="仿宋"/>
          <w:b/>
          <w:sz w:val="32"/>
          <w:szCs w:val="32"/>
        </w:rPr>
        <w:t>（二）项目支出情况。</w:t>
      </w:r>
      <w:r>
        <w:rPr>
          <w:rFonts w:hint="eastAsia" w:ascii="仿宋" w:hAnsi="仿宋" w:eastAsia="仿宋"/>
          <w:b/>
          <w:sz w:val="32"/>
          <w:szCs w:val="32"/>
        </w:rPr>
        <w:t>（决算报告没有项目支出）</w:t>
      </w:r>
    </w:p>
    <w:p w14:paraId="5F84807B">
      <w:pPr>
        <w:pStyle w:val="2"/>
        <w:spacing w:line="360" w:lineRule="auto"/>
        <w:ind w:firstLine="480" w:firstLineChars="150"/>
        <w:rPr>
          <w:rFonts w:ascii="仿宋" w:hAnsi="仿宋" w:eastAsia="仿宋" w:cs="仿宋"/>
          <w:color w:val="000000"/>
          <w:sz w:val="32"/>
          <w:szCs w:val="32"/>
        </w:rPr>
      </w:pPr>
      <w:r>
        <w:rPr>
          <w:rFonts w:hint="eastAsia" w:ascii="仿宋" w:hAnsi="仿宋" w:eastAsia="仿宋" w:cs="仿宋"/>
          <w:color w:val="000000"/>
          <w:sz w:val="32"/>
          <w:szCs w:val="32"/>
        </w:rPr>
        <w:t>本单位无项目支出</w:t>
      </w:r>
    </w:p>
    <w:p w14:paraId="33DA4F9C">
      <w:pPr>
        <w:pStyle w:val="9"/>
        <w:tabs>
          <w:tab w:val="left" w:pos="1538"/>
        </w:tabs>
        <w:spacing w:line="360" w:lineRule="auto"/>
        <w:ind w:firstLine="900"/>
        <w:jc w:val="left"/>
        <w:rPr>
          <w:rFonts w:ascii="黑体" w:hAnsi="黑体" w:eastAsia="黑体" w:cs="黑体"/>
          <w:color w:val="000000"/>
          <w:sz w:val="32"/>
          <w:szCs w:val="32"/>
          <w:lang w:eastAsia="zh-CN"/>
        </w:rPr>
      </w:pPr>
      <w:bookmarkStart w:id="0" w:name="bookmark81"/>
      <w:r>
        <w:rPr>
          <w:rFonts w:hint="eastAsia" w:ascii="黑体" w:hAnsi="黑体" w:eastAsia="黑体" w:cs="黑体"/>
          <w:color w:val="000000"/>
          <w:sz w:val="32"/>
          <w:szCs w:val="32"/>
        </w:rPr>
        <w:t>三</w:t>
      </w:r>
      <w:bookmarkEnd w:id="0"/>
      <w:r>
        <w:rPr>
          <w:rFonts w:hint="eastAsia" w:ascii="黑体" w:hAnsi="黑体" w:eastAsia="黑体" w:cs="黑体"/>
          <w:color w:val="000000"/>
          <w:sz w:val="32"/>
          <w:szCs w:val="32"/>
        </w:rPr>
        <w:t>、政府性基金预算支出情况</w:t>
      </w:r>
    </w:p>
    <w:p w14:paraId="3F4BC10B">
      <w:pPr>
        <w:pStyle w:val="9"/>
        <w:tabs>
          <w:tab w:val="left" w:pos="1538"/>
        </w:tabs>
        <w:spacing w:line="360" w:lineRule="auto"/>
        <w:ind w:firstLine="900"/>
        <w:jc w:val="left"/>
        <w:rPr>
          <w:rFonts w:ascii="仿宋" w:hAnsi="仿宋" w:eastAsia="仿宋" w:cs="黑体"/>
          <w:color w:val="000000"/>
          <w:sz w:val="32"/>
          <w:szCs w:val="32"/>
          <w:lang w:eastAsia="zh-CN"/>
        </w:rPr>
      </w:pPr>
      <w:r>
        <w:rPr>
          <w:rFonts w:hint="eastAsia" w:ascii="仿宋" w:hAnsi="仿宋" w:eastAsia="仿宋" w:cs="仿宋"/>
          <w:color w:val="000000"/>
          <w:sz w:val="32"/>
          <w:szCs w:val="32"/>
          <w:lang w:val="en-US" w:eastAsia="zh-CN" w:bidi="ar-SA"/>
        </w:rPr>
        <w:t>2021年无政府性基金预算支出</w:t>
      </w:r>
    </w:p>
    <w:p w14:paraId="00DCA7B7">
      <w:pPr>
        <w:pStyle w:val="9"/>
        <w:tabs>
          <w:tab w:val="left" w:pos="1538"/>
        </w:tabs>
        <w:spacing w:line="360" w:lineRule="auto"/>
        <w:ind w:firstLine="900"/>
        <w:jc w:val="left"/>
        <w:rPr>
          <w:rFonts w:ascii="黑体" w:hAnsi="黑体" w:eastAsia="黑体" w:cs="黑体"/>
          <w:color w:val="000000"/>
          <w:sz w:val="32"/>
          <w:szCs w:val="32"/>
          <w:lang w:eastAsia="zh-CN"/>
        </w:rPr>
      </w:pPr>
      <w:bookmarkStart w:id="1" w:name="bookmark82"/>
      <w:r>
        <w:rPr>
          <w:rFonts w:hint="eastAsia" w:ascii="黑体" w:hAnsi="黑体" w:eastAsia="黑体" w:cs="黑体"/>
          <w:color w:val="000000"/>
          <w:sz w:val="32"/>
          <w:szCs w:val="32"/>
        </w:rPr>
        <w:t>四</w:t>
      </w:r>
      <w:bookmarkEnd w:id="1"/>
      <w:r>
        <w:rPr>
          <w:rFonts w:hint="eastAsia" w:ascii="黑体" w:hAnsi="黑体" w:eastAsia="黑体" w:cs="黑体"/>
          <w:color w:val="000000"/>
          <w:sz w:val="32"/>
          <w:szCs w:val="32"/>
        </w:rPr>
        <w:t>、国有资本经营预算支出情况</w:t>
      </w:r>
    </w:p>
    <w:p w14:paraId="6486C029">
      <w:pPr>
        <w:pStyle w:val="9"/>
        <w:tabs>
          <w:tab w:val="left" w:pos="1538"/>
        </w:tabs>
        <w:spacing w:line="360" w:lineRule="auto"/>
        <w:ind w:firstLine="900"/>
        <w:jc w:val="left"/>
        <w:rPr>
          <w:rFonts w:ascii="仿宋" w:hAnsi="仿宋" w:eastAsia="仿宋" w:cs="黑体"/>
          <w:color w:val="000000"/>
          <w:sz w:val="32"/>
          <w:szCs w:val="32"/>
          <w:lang w:eastAsia="zh-CN"/>
        </w:rPr>
      </w:pPr>
      <w:r>
        <w:rPr>
          <w:rFonts w:hint="eastAsia" w:ascii="仿宋" w:hAnsi="仿宋" w:eastAsia="仿宋" w:cs="仿宋"/>
          <w:color w:val="000000"/>
          <w:sz w:val="32"/>
          <w:szCs w:val="32"/>
          <w:lang w:val="en-US" w:eastAsia="zh-CN" w:bidi="ar-SA"/>
        </w:rPr>
        <w:t>2021年无国有资本经营预算支出</w:t>
      </w:r>
    </w:p>
    <w:p w14:paraId="4375B49F">
      <w:pPr>
        <w:pStyle w:val="9"/>
        <w:tabs>
          <w:tab w:val="left" w:pos="1538"/>
        </w:tabs>
        <w:spacing w:line="360" w:lineRule="auto"/>
        <w:ind w:firstLine="900"/>
        <w:jc w:val="left"/>
        <w:rPr>
          <w:rFonts w:ascii="黑体" w:hAnsi="黑体" w:eastAsia="黑体" w:cs="黑体"/>
          <w:color w:val="000000"/>
          <w:sz w:val="32"/>
          <w:szCs w:val="32"/>
          <w:lang w:eastAsia="zh-CN"/>
        </w:rPr>
      </w:pPr>
      <w:bookmarkStart w:id="2" w:name="bookmark83"/>
      <w:r>
        <w:rPr>
          <w:rFonts w:hint="eastAsia" w:ascii="黑体" w:hAnsi="黑体" w:eastAsia="黑体" w:cs="黑体"/>
          <w:color w:val="000000"/>
          <w:sz w:val="32"/>
          <w:szCs w:val="32"/>
        </w:rPr>
        <w:t>五</w:t>
      </w:r>
      <w:bookmarkEnd w:id="2"/>
      <w:r>
        <w:rPr>
          <w:rFonts w:hint="eastAsia" w:ascii="黑体" w:hAnsi="黑体" w:eastAsia="黑体" w:cs="黑体"/>
          <w:color w:val="000000"/>
          <w:sz w:val="32"/>
          <w:szCs w:val="32"/>
        </w:rPr>
        <w:t>、社会保险基金预算支出情况</w:t>
      </w:r>
    </w:p>
    <w:p w14:paraId="08F589D2">
      <w:pPr>
        <w:pStyle w:val="9"/>
        <w:tabs>
          <w:tab w:val="left" w:pos="1538"/>
        </w:tabs>
        <w:spacing w:line="360" w:lineRule="auto"/>
        <w:ind w:firstLine="900"/>
        <w:jc w:val="left"/>
        <w:rPr>
          <w:rFonts w:ascii="仿宋" w:hAnsi="仿宋" w:eastAsia="仿宋" w:cs="仿宋"/>
          <w:color w:val="000000"/>
          <w:sz w:val="32"/>
          <w:szCs w:val="32"/>
          <w:lang w:val="en-US" w:eastAsia="zh-CN" w:bidi="ar-SA"/>
        </w:rPr>
      </w:pPr>
      <w:r>
        <w:rPr>
          <w:rFonts w:hint="eastAsia" w:ascii="仿宋" w:hAnsi="仿宋" w:eastAsia="仿宋" w:cs="仿宋"/>
          <w:color w:val="000000"/>
          <w:sz w:val="32"/>
          <w:szCs w:val="32"/>
          <w:lang w:val="en-US" w:eastAsia="zh-CN" w:bidi="ar-SA"/>
        </w:rPr>
        <w:t>2021年无社会保险基金预算支出</w:t>
      </w:r>
    </w:p>
    <w:p w14:paraId="28CE5E74">
      <w:pPr>
        <w:pStyle w:val="9"/>
        <w:tabs>
          <w:tab w:val="left" w:pos="1538"/>
        </w:tabs>
        <w:spacing w:line="360" w:lineRule="auto"/>
        <w:ind w:firstLine="900"/>
        <w:jc w:val="left"/>
        <w:rPr>
          <w:rFonts w:ascii="黑体" w:hAnsi="黑体" w:eastAsia="黑体" w:cs="黑体"/>
          <w:sz w:val="32"/>
          <w:szCs w:val="32"/>
        </w:rPr>
      </w:pPr>
      <w:bookmarkStart w:id="3" w:name="bookmark84"/>
      <w:r>
        <w:rPr>
          <w:rFonts w:hint="eastAsia" w:ascii="黑体" w:hAnsi="黑体" w:eastAsia="黑体" w:cs="黑体"/>
          <w:color w:val="000000"/>
          <w:sz w:val="32"/>
          <w:szCs w:val="32"/>
        </w:rPr>
        <w:t>六</w:t>
      </w:r>
      <w:bookmarkEnd w:id="3"/>
      <w:r>
        <w:rPr>
          <w:rFonts w:hint="eastAsia" w:ascii="黑体" w:hAnsi="黑体" w:eastAsia="黑体" w:cs="黑体"/>
          <w:color w:val="000000"/>
          <w:sz w:val="32"/>
          <w:szCs w:val="32"/>
        </w:rPr>
        <w:t>、部门整体支出绩效情况</w:t>
      </w:r>
    </w:p>
    <w:p w14:paraId="38F7CB55">
      <w:pPr>
        <w:ind w:firstLine="600" w:firstLineChars="200"/>
        <w:rPr>
          <w:rFonts w:ascii="宋体" w:hAnsi="宋体"/>
          <w:sz w:val="30"/>
          <w:szCs w:val="30"/>
        </w:rPr>
      </w:pPr>
      <w:r>
        <w:rPr>
          <w:rFonts w:hint="eastAsia" w:ascii="宋体" w:hAnsi="宋体"/>
          <w:sz w:val="30"/>
          <w:szCs w:val="30"/>
        </w:rPr>
        <w:t>1、2021年我单位办公共财政拨款收入</w:t>
      </w:r>
      <w:r>
        <w:rPr>
          <w:rFonts w:hint="eastAsia" w:ascii="仿宋" w:hAnsi="仿宋" w:eastAsia="仿宋"/>
          <w:sz w:val="32"/>
          <w:szCs w:val="24"/>
        </w:rPr>
        <w:t>2512.62</w:t>
      </w:r>
      <w:r>
        <w:rPr>
          <w:rFonts w:hint="eastAsia" w:ascii="宋体" w:hAnsi="宋体"/>
          <w:sz w:val="30"/>
          <w:szCs w:val="30"/>
        </w:rPr>
        <w:t>万元，全年总支出</w:t>
      </w:r>
      <w:r>
        <w:rPr>
          <w:rFonts w:hint="eastAsia" w:ascii="仿宋" w:hAnsi="仿宋" w:eastAsia="仿宋"/>
          <w:sz w:val="32"/>
          <w:szCs w:val="24"/>
        </w:rPr>
        <w:t>2512.62</w:t>
      </w:r>
      <w:r>
        <w:rPr>
          <w:rFonts w:hint="eastAsia" w:ascii="宋体" w:hAnsi="宋体"/>
          <w:sz w:val="30"/>
          <w:szCs w:val="30"/>
        </w:rPr>
        <w:t>万元，年末结转和结余0万元。2021年严格执行财政预算，预算基本支出</w:t>
      </w:r>
      <w:r>
        <w:rPr>
          <w:rFonts w:hint="eastAsia" w:ascii="仿宋" w:hAnsi="仿宋" w:eastAsia="仿宋"/>
          <w:sz w:val="32"/>
          <w:szCs w:val="24"/>
        </w:rPr>
        <w:t>2110.59</w:t>
      </w:r>
      <w:r>
        <w:rPr>
          <w:rFonts w:hint="eastAsia" w:ascii="宋体" w:hAnsi="宋体"/>
          <w:sz w:val="30"/>
          <w:szCs w:val="30"/>
        </w:rPr>
        <w:t>万元，决算基本支出</w:t>
      </w:r>
      <w:r>
        <w:rPr>
          <w:rFonts w:hint="eastAsia" w:ascii="仿宋" w:hAnsi="仿宋" w:eastAsia="仿宋"/>
          <w:sz w:val="32"/>
          <w:szCs w:val="24"/>
        </w:rPr>
        <w:t>2512.62</w:t>
      </w:r>
      <w:r>
        <w:rPr>
          <w:rFonts w:hint="eastAsia" w:ascii="宋体" w:hAnsi="宋体"/>
          <w:sz w:val="30"/>
          <w:szCs w:val="30"/>
        </w:rPr>
        <w:t>万元，较预算增加402.03万元，因专项防控经费等增加。</w:t>
      </w:r>
    </w:p>
    <w:p w14:paraId="418D4727">
      <w:pPr>
        <w:ind w:firstLine="600" w:firstLineChars="200"/>
        <w:rPr>
          <w:rFonts w:ascii="宋体" w:hAnsi="宋体"/>
          <w:sz w:val="30"/>
          <w:szCs w:val="30"/>
        </w:rPr>
      </w:pPr>
      <w:r>
        <w:rPr>
          <w:rFonts w:hint="eastAsia" w:ascii="宋体" w:hAnsi="宋体"/>
          <w:sz w:val="30"/>
          <w:szCs w:val="30"/>
        </w:rPr>
        <w:t>2、</w:t>
      </w:r>
      <w:r>
        <w:rPr>
          <w:rFonts w:hint="eastAsia" w:ascii="宋体" w:hAnsi="宋体"/>
          <w:sz w:val="30"/>
          <w:szCs w:val="30"/>
          <w:lang w:eastAsia="zh-CN"/>
        </w:rPr>
        <w:t>三公经费</w:t>
      </w:r>
      <w:r>
        <w:rPr>
          <w:rFonts w:hint="eastAsia" w:ascii="宋体" w:hAnsi="宋体"/>
          <w:sz w:val="30"/>
          <w:szCs w:val="30"/>
        </w:rPr>
        <w:t>2021年预算支出10.12万元，实际决算支出8.25万元</w:t>
      </w:r>
      <w:r>
        <w:rPr>
          <w:rFonts w:hint="eastAsia" w:ascii="仿宋" w:hAnsi="仿宋" w:eastAsia="仿宋" w:cs="仿宋"/>
          <w:color w:val="000000"/>
          <w:sz w:val="32"/>
          <w:szCs w:val="32"/>
          <w:lang w:eastAsia="zh-TW"/>
        </w:rPr>
        <w:t>（其中公务接待支出</w:t>
      </w:r>
      <w:r>
        <w:rPr>
          <w:rFonts w:hint="eastAsia" w:ascii="仿宋" w:hAnsi="仿宋" w:eastAsia="仿宋" w:cs="仿宋"/>
          <w:color w:val="000000"/>
          <w:sz w:val="32"/>
          <w:szCs w:val="32"/>
        </w:rPr>
        <w:t>6.19</w:t>
      </w:r>
      <w:r>
        <w:rPr>
          <w:rFonts w:hint="eastAsia" w:ascii="仿宋" w:hAnsi="仿宋" w:eastAsia="仿宋" w:cs="仿宋"/>
          <w:color w:val="000000"/>
          <w:sz w:val="32"/>
          <w:szCs w:val="32"/>
          <w:lang w:eastAsia="zh-TW"/>
        </w:rPr>
        <w:t>万元、公车运行经费支出</w:t>
      </w:r>
      <w:r>
        <w:rPr>
          <w:rFonts w:hint="eastAsia" w:ascii="仿宋" w:hAnsi="仿宋" w:eastAsia="仿宋" w:cs="仿宋"/>
          <w:color w:val="000000"/>
          <w:sz w:val="32"/>
          <w:szCs w:val="32"/>
        </w:rPr>
        <w:t>2.06</w:t>
      </w:r>
      <w:r>
        <w:rPr>
          <w:rFonts w:hint="eastAsia" w:ascii="仿宋" w:hAnsi="仿宋" w:eastAsia="仿宋" w:cs="仿宋"/>
          <w:color w:val="000000"/>
          <w:sz w:val="32"/>
          <w:szCs w:val="32"/>
          <w:lang w:eastAsia="zh-TW"/>
        </w:rPr>
        <w:t>万元）。</w:t>
      </w:r>
      <w:r>
        <w:rPr>
          <w:rFonts w:hint="eastAsia" w:ascii="宋体" w:hAnsi="宋体"/>
          <w:sz w:val="30"/>
          <w:szCs w:val="30"/>
        </w:rPr>
        <w:t>公务接待支出较上年节约0.0987万元、公务运行经费支出较上年减少2.8307万元</w:t>
      </w:r>
      <w:r>
        <w:rPr>
          <w:rFonts w:hint="eastAsia" w:ascii="宋体" w:hAnsi="宋体"/>
          <w:sz w:val="30"/>
          <w:szCs w:val="30"/>
          <w:lang w:val="zh-CN"/>
        </w:rPr>
        <w:t>。</w:t>
      </w:r>
      <w:r>
        <w:rPr>
          <w:rFonts w:hint="eastAsia" w:ascii="宋体" w:hAnsi="宋体"/>
          <w:sz w:val="30"/>
          <w:szCs w:val="30"/>
        </w:rPr>
        <w:t>公务接待费、公务运行费节约主要是严格执行中央省市区的各项制度。</w:t>
      </w:r>
    </w:p>
    <w:p w14:paraId="77514FDD">
      <w:pPr>
        <w:ind w:firstLine="602" w:firstLineChars="200"/>
        <w:rPr>
          <w:rFonts w:hint="eastAsia" w:ascii="宋体" w:hAnsi="宋体"/>
          <w:b/>
          <w:bCs/>
          <w:sz w:val="30"/>
          <w:szCs w:val="30"/>
        </w:rPr>
      </w:pPr>
      <w:r>
        <w:rPr>
          <w:rFonts w:hint="eastAsia" w:ascii="宋体" w:hAnsi="宋体"/>
          <w:b/>
          <w:bCs/>
          <w:sz w:val="30"/>
          <w:szCs w:val="30"/>
        </w:rPr>
        <w:t>七、绩效自评得分情况及绩效等级。</w:t>
      </w:r>
    </w:p>
    <w:p w14:paraId="7240D3E9">
      <w:pPr>
        <w:ind w:firstLine="600" w:firstLineChars="200"/>
        <w:rPr>
          <w:rFonts w:ascii="宋体" w:hAnsi="宋体"/>
          <w:sz w:val="30"/>
          <w:szCs w:val="30"/>
        </w:rPr>
      </w:pPr>
      <w:r>
        <w:rPr>
          <w:rFonts w:hint="eastAsia" w:ascii="宋体" w:hAnsi="宋体"/>
          <w:sz w:val="30"/>
          <w:szCs w:val="30"/>
        </w:rPr>
        <w:t>效自评得分96分。</w:t>
      </w:r>
    </w:p>
    <w:p w14:paraId="06824D36">
      <w:pPr>
        <w:ind w:firstLine="602" w:firstLineChars="200"/>
        <w:rPr>
          <w:rFonts w:hint="eastAsia" w:ascii="宋体" w:hAnsi="宋体"/>
          <w:b/>
          <w:bCs/>
          <w:sz w:val="30"/>
          <w:szCs w:val="30"/>
        </w:rPr>
      </w:pPr>
      <w:r>
        <w:rPr>
          <w:rFonts w:hint="eastAsia" w:ascii="宋体" w:hAnsi="宋体"/>
          <w:b/>
          <w:bCs/>
          <w:sz w:val="30"/>
          <w:szCs w:val="30"/>
        </w:rPr>
        <w:t>八</w:t>
      </w:r>
      <w:r>
        <w:rPr>
          <w:rFonts w:ascii="宋体" w:hAnsi="宋体"/>
          <w:b/>
          <w:bCs/>
          <w:sz w:val="30"/>
          <w:szCs w:val="30"/>
        </w:rPr>
        <w:t>、存在的问题</w:t>
      </w:r>
    </w:p>
    <w:p w14:paraId="0809C4FA">
      <w:pPr>
        <w:ind w:firstLine="600" w:firstLineChars="200"/>
        <w:rPr>
          <w:rFonts w:ascii="宋体" w:hAnsi="宋体"/>
          <w:sz w:val="30"/>
          <w:szCs w:val="30"/>
        </w:rPr>
      </w:pPr>
      <w:r>
        <w:rPr>
          <w:rFonts w:hint="eastAsia" w:ascii="宋体" w:hAnsi="宋体"/>
          <w:sz w:val="30"/>
          <w:szCs w:val="30"/>
        </w:rPr>
        <w:t>无</w:t>
      </w:r>
    </w:p>
    <w:p w14:paraId="49B2BEAA">
      <w:pPr>
        <w:ind w:firstLine="602" w:firstLineChars="200"/>
        <w:rPr>
          <w:rFonts w:hint="eastAsia" w:ascii="宋体" w:hAnsi="宋体"/>
          <w:b/>
          <w:bCs/>
          <w:sz w:val="30"/>
          <w:szCs w:val="30"/>
        </w:rPr>
      </w:pPr>
      <w:r>
        <w:rPr>
          <w:rFonts w:hint="eastAsia" w:ascii="宋体" w:hAnsi="宋体"/>
          <w:b/>
          <w:bCs/>
          <w:sz w:val="30"/>
          <w:szCs w:val="30"/>
        </w:rPr>
        <w:t>九</w:t>
      </w:r>
      <w:r>
        <w:rPr>
          <w:rFonts w:ascii="宋体" w:hAnsi="宋体"/>
          <w:b/>
          <w:bCs/>
          <w:sz w:val="30"/>
          <w:szCs w:val="30"/>
        </w:rPr>
        <w:t>、改进措施和有关建议</w:t>
      </w:r>
    </w:p>
    <w:p w14:paraId="248DAB2D">
      <w:pPr>
        <w:ind w:firstLine="600" w:firstLineChars="200"/>
        <w:rPr>
          <w:rFonts w:ascii="宋体" w:hAnsi="宋体"/>
          <w:sz w:val="30"/>
          <w:szCs w:val="30"/>
        </w:rPr>
      </w:pPr>
      <w:r>
        <w:rPr>
          <w:rFonts w:hint="eastAsia" w:ascii="宋体" w:hAnsi="宋体"/>
          <w:sz w:val="30"/>
          <w:szCs w:val="30"/>
        </w:rPr>
        <w:t>无</w:t>
      </w:r>
    </w:p>
    <w:p w14:paraId="45D561FC">
      <w:pPr>
        <w:ind w:firstLine="602" w:firstLineChars="200"/>
        <w:rPr>
          <w:rFonts w:hint="eastAsia" w:ascii="宋体" w:hAnsi="宋体"/>
          <w:b/>
          <w:sz w:val="30"/>
          <w:szCs w:val="30"/>
        </w:rPr>
      </w:pPr>
      <w:r>
        <w:rPr>
          <w:rFonts w:hint="eastAsia" w:ascii="宋体" w:hAnsi="宋体"/>
          <w:b/>
          <w:sz w:val="30"/>
          <w:szCs w:val="30"/>
        </w:rPr>
        <w:t>十、其他需要说明的情况</w:t>
      </w:r>
    </w:p>
    <w:p w14:paraId="3D184D46">
      <w:pPr>
        <w:ind w:firstLine="600" w:firstLineChars="200"/>
        <w:rPr>
          <w:rFonts w:ascii="宋体" w:hAnsi="宋体" w:cs="宋体"/>
          <w:bCs/>
          <w:sz w:val="30"/>
          <w:szCs w:val="30"/>
        </w:rPr>
      </w:pPr>
      <w:r>
        <w:rPr>
          <w:rFonts w:hint="eastAsia" w:ascii="宋体" w:hAnsi="宋体" w:cs="宋体"/>
          <w:bCs/>
          <w:sz w:val="30"/>
          <w:szCs w:val="30"/>
        </w:rPr>
        <w:t>无</w:t>
      </w:r>
    </w:p>
    <w:p w14:paraId="0B7DAD74">
      <w:pPr>
        <w:ind w:firstLine="602" w:firstLineChars="200"/>
        <w:rPr>
          <w:rFonts w:ascii="宋体" w:hAnsi="宋体"/>
          <w:b/>
          <w:sz w:val="30"/>
          <w:szCs w:val="30"/>
        </w:rPr>
      </w:pPr>
    </w:p>
    <w:p w14:paraId="013C1414">
      <w:pPr>
        <w:ind w:firstLine="602" w:firstLineChars="200"/>
        <w:rPr>
          <w:rFonts w:ascii="宋体" w:hAnsi="宋体"/>
          <w:b/>
          <w:sz w:val="30"/>
          <w:szCs w:val="30"/>
        </w:rPr>
      </w:pPr>
    </w:p>
    <w:p w14:paraId="4E758AD1">
      <w:pPr>
        <w:widowControl/>
        <w:jc w:val="right"/>
        <w:rPr>
          <w:rFonts w:hint="eastAsia" w:ascii="宋体" w:hAnsi="宋体"/>
          <w:bCs/>
          <w:sz w:val="30"/>
          <w:szCs w:val="30"/>
        </w:rPr>
      </w:pPr>
    </w:p>
    <w:p w14:paraId="7F837158">
      <w:pPr>
        <w:pStyle w:val="2"/>
        <w:rPr>
          <w:rFonts w:hint="eastAsia"/>
        </w:rPr>
      </w:pPr>
    </w:p>
    <w:p w14:paraId="42E01707">
      <w:pPr>
        <w:pStyle w:val="2"/>
        <w:rPr>
          <w:rFonts w:hint="eastAsia"/>
        </w:rPr>
      </w:pPr>
    </w:p>
    <w:p w14:paraId="1BDB681E">
      <w:pPr>
        <w:pStyle w:val="2"/>
        <w:rPr>
          <w:rFonts w:hint="eastAsia"/>
        </w:rPr>
      </w:pPr>
    </w:p>
    <w:p w14:paraId="4C897479">
      <w:pPr>
        <w:pStyle w:val="2"/>
        <w:rPr>
          <w:rFonts w:hint="eastAsia"/>
        </w:rPr>
      </w:pPr>
    </w:p>
    <w:p w14:paraId="63102715">
      <w:pPr>
        <w:pStyle w:val="2"/>
      </w:pPr>
    </w:p>
    <w:p w14:paraId="75DE1AED">
      <w:pPr>
        <w:widowControl/>
        <w:rPr>
          <w:rFonts w:hint="eastAsia" w:ascii="黑体" w:hAnsi="宋体" w:eastAsia="黑体" w:cs="宋体"/>
          <w:bCs/>
          <w:kern w:val="0"/>
          <w:sz w:val="32"/>
          <w:szCs w:val="32"/>
        </w:rPr>
      </w:pPr>
    </w:p>
    <w:p w14:paraId="4952271D">
      <w:pPr>
        <w:pStyle w:val="2"/>
        <w:rPr>
          <w:rFonts w:hint="eastAsia"/>
        </w:rPr>
      </w:pPr>
    </w:p>
    <w:p w14:paraId="6E09EA5B">
      <w:pPr>
        <w:pStyle w:val="2"/>
      </w:pPr>
    </w:p>
    <w:p w14:paraId="39E9D078">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14:paraId="160A5B42">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7"/>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14:paraId="1413284D">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14:paraId="021D5E22">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14:paraId="618870A5">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14:paraId="01CE6CB3">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14:paraId="4E0BB27A">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14:paraId="6FA771D4">
            <w:pPr>
              <w:widowControl/>
              <w:jc w:val="center"/>
              <w:rPr>
                <w:rFonts w:eastAsia="仿宋_GB2312"/>
                <w:kern w:val="0"/>
                <w:sz w:val="20"/>
                <w:szCs w:val="20"/>
              </w:rPr>
            </w:pPr>
            <w:r>
              <w:rPr>
                <w:rFonts w:hint="eastAsia" w:eastAsia="仿宋_GB2312"/>
                <w:kern w:val="0"/>
                <w:sz w:val="20"/>
                <w:szCs w:val="20"/>
              </w:rPr>
              <w:t>三级</w:t>
            </w:r>
          </w:p>
          <w:p w14:paraId="6343BEF9">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14:paraId="3BF368F2">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14:paraId="226BDFCB">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14:paraId="2F00C7EB">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14:paraId="5471C481">
            <w:pPr>
              <w:widowControl/>
              <w:jc w:val="center"/>
              <w:rPr>
                <w:rFonts w:eastAsia="仿宋_GB2312"/>
                <w:kern w:val="0"/>
                <w:sz w:val="20"/>
                <w:szCs w:val="20"/>
              </w:rPr>
            </w:pPr>
            <w:r>
              <w:rPr>
                <w:rFonts w:hint="eastAsia" w:eastAsia="仿宋_GB2312"/>
                <w:kern w:val="0"/>
                <w:sz w:val="20"/>
                <w:szCs w:val="20"/>
              </w:rPr>
              <w:t>得分</w:t>
            </w:r>
          </w:p>
        </w:tc>
      </w:tr>
      <w:tr w14:paraId="78D3F1AB">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14:paraId="3FF9AFED">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14:paraId="341F9509">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14:paraId="4EC78C34">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14:paraId="6E7FAB6D">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14:paraId="19378B8D">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14:paraId="1B2F5F82">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14:paraId="60B12FFB">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14:paraId="0310E95C">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14:paraId="7F5A9920">
            <w:pPr>
              <w:widowControl/>
              <w:jc w:val="left"/>
              <w:rPr>
                <w:kern w:val="0"/>
                <w:sz w:val="24"/>
              </w:rPr>
            </w:pPr>
            <w:r>
              <w:rPr>
                <w:rFonts w:hint="eastAsia"/>
                <w:kern w:val="0"/>
                <w:sz w:val="24"/>
              </w:rPr>
              <w:t>　5</w:t>
            </w:r>
          </w:p>
        </w:tc>
      </w:tr>
      <w:tr w14:paraId="5682F9C8">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6B46CBC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6B99785">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560AA788">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04570E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1849256A">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14:paraId="73EE9A97">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14:paraId="55D36DA3">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hint="eastAsia" w:eastAsia="仿宋_GB2312"/>
                <w:kern w:val="0"/>
                <w:sz w:val="20"/>
                <w:szCs w:val="20"/>
                <w:lang w:eastAsia="zh-CN"/>
              </w:rPr>
              <w:t>三公经费</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FF85BC5">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hint="eastAsia" w:eastAsia="仿宋_GB2312"/>
                <w:kern w:val="0"/>
                <w:sz w:val="20"/>
                <w:szCs w:val="20"/>
                <w:lang w:eastAsia="zh-CN"/>
              </w:rPr>
              <w:t>三公经费</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4EE05526">
            <w:pPr>
              <w:widowControl/>
              <w:jc w:val="left"/>
              <w:rPr>
                <w:kern w:val="0"/>
                <w:sz w:val="24"/>
              </w:rPr>
            </w:pPr>
            <w:r>
              <w:rPr>
                <w:rFonts w:hint="eastAsia"/>
                <w:kern w:val="0"/>
                <w:sz w:val="24"/>
              </w:rPr>
              <w:t>　5</w:t>
            </w:r>
          </w:p>
        </w:tc>
      </w:tr>
      <w:tr w14:paraId="054D1405">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23BB9255">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14:paraId="38F68BB5">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14:paraId="64E98EB4">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14:paraId="662E6D07">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14:paraId="2FBD64C2">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14:paraId="78B4756E">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212FDA94">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7552D99D">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5A24EF1B">
            <w:pPr>
              <w:widowControl/>
              <w:jc w:val="left"/>
              <w:rPr>
                <w:kern w:val="0"/>
                <w:sz w:val="24"/>
              </w:rPr>
            </w:pPr>
            <w:r>
              <w:rPr>
                <w:rFonts w:hint="eastAsia"/>
                <w:kern w:val="0"/>
                <w:sz w:val="24"/>
              </w:rPr>
              <w:t>　5</w:t>
            </w:r>
          </w:p>
        </w:tc>
      </w:tr>
      <w:tr w14:paraId="7E63BC90">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0511A0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13ECC7B">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71ED445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F3EC5ED">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93F34A1">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14:paraId="1504703B">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730A1D0C">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14:paraId="4BD31F14">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70CDC960">
            <w:pPr>
              <w:widowControl/>
              <w:jc w:val="left"/>
              <w:rPr>
                <w:kern w:val="0"/>
                <w:sz w:val="24"/>
              </w:rPr>
            </w:pPr>
            <w:r>
              <w:rPr>
                <w:rFonts w:hint="eastAsia"/>
                <w:kern w:val="0"/>
                <w:sz w:val="24"/>
              </w:rPr>
              <w:t>　5</w:t>
            </w:r>
          </w:p>
        </w:tc>
      </w:tr>
      <w:tr w14:paraId="610D6A75">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AE6804E">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B697D7C">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756232EA">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3766605">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717A618">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14:paraId="5B1058B7">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75B9936B">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14:paraId="5E05648A">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22F245DC">
            <w:pPr>
              <w:widowControl/>
              <w:jc w:val="left"/>
              <w:rPr>
                <w:kern w:val="0"/>
                <w:sz w:val="24"/>
              </w:rPr>
            </w:pPr>
            <w:r>
              <w:rPr>
                <w:rFonts w:hint="eastAsia"/>
                <w:kern w:val="0"/>
                <w:sz w:val="24"/>
              </w:rPr>
              <w:t>　5</w:t>
            </w:r>
          </w:p>
        </w:tc>
      </w:tr>
      <w:tr w14:paraId="03827D49">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47A4636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11275A3">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16F0CFC">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D95DA76">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73CDCB3E">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14:paraId="7572150A">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2C8F2BBB">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69F31EF8">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14:paraId="4B9AADE9">
            <w:pPr>
              <w:widowControl/>
              <w:jc w:val="left"/>
              <w:rPr>
                <w:kern w:val="0"/>
                <w:sz w:val="24"/>
              </w:rPr>
            </w:pPr>
            <w:r>
              <w:rPr>
                <w:rFonts w:hint="eastAsia"/>
                <w:kern w:val="0"/>
                <w:sz w:val="24"/>
              </w:rPr>
              <w:t>　5</w:t>
            </w:r>
          </w:p>
        </w:tc>
      </w:tr>
      <w:tr w14:paraId="5F4438CF">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0B500076">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BE37AB9">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5C4A79D9">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14:paraId="4E4D8FBD">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14:paraId="085FFB66">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14:paraId="49489938">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15F4F5F3">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39B64E3E">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14:paraId="665E5622">
            <w:pPr>
              <w:widowControl/>
              <w:jc w:val="left"/>
              <w:rPr>
                <w:kern w:val="0"/>
                <w:sz w:val="24"/>
              </w:rPr>
            </w:pPr>
            <w:r>
              <w:rPr>
                <w:rFonts w:hint="eastAsia"/>
                <w:kern w:val="0"/>
                <w:sz w:val="24"/>
              </w:rPr>
              <w:t>　8</w:t>
            </w:r>
          </w:p>
        </w:tc>
      </w:tr>
      <w:tr w14:paraId="7EA75D9A">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60B41774">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4D66015D">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EADE4BB">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2B27697">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52A08CF">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14:paraId="544A0633">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14:paraId="18C98CCF">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190DC18A">
            <w:pPr>
              <w:widowControl/>
              <w:jc w:val="left"/>
              <w:rPr>
                <w:rFonts w:eastAsia="仿宋_GB2312"/>
                <w:kern w:val="0"/>
                <w:sz w:val="20"/>
                <w:szCs w:val="20"/>
              </w:rPr>
            </w:pPr>
            <w:r>
              <w:rPr>
                <w:rFonts w:hint="eastAsia" w:eastAsia="仿宋_GB2312"/>
                <w:kern w:val="0"/>
                <w:sz w:val="20"/>
                <w:szCs w:val="20"/>
                <w:lang w:eastAsia="zh-CN"/>
              </w:rPr>
              <w:t>三公经费</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hint="eastAsia" w:eastAsia="仿宋_GB2312"/>
                <w:kern w:val="0"/>
                <w:sz w:val="20"/>
                <w:szCs w:val="20"/>
                <w:lang w:eastAsia="zh-CN"/>
              </w:rPr>
              <w:t>三公经费</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lang w:eastAsia="zh-CN"/>
              </w:rPr>
              <w:t>三公经费</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14:paraId="13D62D22">
            <w:pPr>
              <w:widowControl/>
              <w:jc w:val="left"/>
              <w:rPr>
                <w:kern w:val="0"/>
                <w:sz w:val="24"/>
              </w:rPr>
            </w:pPr>
            <w:r>
              <w:rPr>
                <w:rFonts w:hint="eastAsia"/>
                <w:kern w:val="0"/>
                <w:sz w:val="24"/>
              </w:rPr>
              <w:t>　7</w:t>
            </w:r>
          </w:p>
        </w:tc>
      </w:tr>
      <w:tr w14:paraId="1F2E8714">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75FE646C">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6FAF1E2C">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6B1AE2CA">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07DA8019">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5596FA59">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14:paraId="24914189">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3A2DB1F1">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0ACBAD3A">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14:paraId="09304EF4">
            <w:pPr>
              <w:widowControl/>
              <w:jc w:val="left"/>
              <w:rPr>
                <w:kern w:val="0"/>
                <w:sz w:val="24"/>
              </w:rPr>
            </w:pPr>
            <w:r>
              <w:rPr>
                <w:rFonts w:hint="eastAsia"/>
                <w:kern w:val="0"/>
                <w:sz w:val="24"/>
              </w:rPr>
              <w:t>　5</w:t>
            </w:r>
          </w:p>
        </w:tc>
      </w:tr>
      <w:tr w14:paraId="5CD3F811">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14:paraId="140CD2E0">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14:paraId="126E0645">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14:paraId="3A13B461">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14:paraId="6765E7CB">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E06446E">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14:paraId="4645C4FB">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36EFE5CF">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288DD695">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2EF2D220">
            <w:pPr>
              <w:widowControl/>
              <w:jc w:val="left"/>
              <w:rPr>
                <w:kern w:val="0"/>
                <w:sz w:val="24"/>
              </w:rPr>
            </w:pPr>
            <w:r>
              <w:rPr>
                <w:rFonts w:hint="eastAsia"/>
                <w:kern w:val="0"/>
                <w:sz w:val="24"/>
              </w:rPr>
              <w:t>　8</w:t>
            </w:r>
          </w:p>
        </w:tc>
      </w:tr>
      <w:tr w14:paraId="4ED7B358">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3BB780A">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058E06F">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612098D5">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C822366">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62DFA06D">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14:paraId="4115D583">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60BADDBA">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14:paraId="37392BE7">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3DF63708">
            <w:pPr>
              <w:widowControl/>
              <w:jc w:val="left"/>
              <w:rPr>
                <w:kern w:val="0"/>
                <w:sz w:val="24"/>
              </w:rPr>
            </w:pPr>
            <w:r>
              <w:rPr>
                <w:rFonts w:hint="eastAsia"/>
                <w:kern w:val="0"/>
                <w:sz w:val="24"/>
              </w:rPr>
              <w:t>　6</w:t>
            </w:r>
          </w:p>
        </w:tc>
      </w:tr>
      <w:tr w14:paraId="24CB3FC3">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6FD0E02">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631C8C4">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14:paraId="7E7D348D">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2E6A3CBC">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3EC52627">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14:paraId="3F27E72D">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14:paraId="59336AEE">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14:paraId="1A270FFF">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14:paraId="577A7394">
            <w:pPr>
              <w:widowControl/>
              <w:jc w:val="left"/>
              <w:rPr>
                <w:kern w:val="0"/>
                <w:sz w:val="24"/>
              </w:rPr>
            </w:pPr>
            <w:r>
              <w:rPr>
                <w:rFonts w:hint="eastAsia"/>
                <w:kern w:val="0"/>
                <w:sz w:val="24"/>
              </w:rPr>
              <w:t>　5</w:t>
            </w:r>
          </w:p>
        </w:tc>
      </w:tr>
      <w:tr w14:paraId="00847914">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14:paraId="01A7EB79">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14:paraId="3BC0FFEE">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14:paraId="02AD1ABE">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14:paraId="4A1F0592">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14:paraId="02DA527D">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14:paraId="0035360C">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14:paraId="36719482">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14:paraId="1E882EEB">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14:paraId="6E869264">
            <w:pPr>
              <w:widowControl/>
              <w:jc w:val="left"/>
              <w:rPr>
                <w:kern w:val="0"/>
                <w:sz w:val="24"/>
              </w:rPr>
            </w:pPr>
            <w:r>
              <w:rPr>
                <w:rFonts w:hint="eastAsia"/>
                <w:kern w:val="0"/>
                <w:sz w:val="24"/>
              </w:rPr>
              <w:t>　8</w:t>
            </w:r>
          </w:p>
        </w:tc>
      </w:tr>
      <w:tr w14:paraId="0408B072">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7D659630">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11D6D839">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14:paraId="2272EA3F">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14:paraId="71CEDEFF">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14:paraId="79A83A73">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14:paraId="05C6B498">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14:paraId="4CAC9C6C">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14:paraId="5798214B">
            <w:pPr>
              <w:widowControl/>
              <w:jc w:val="left"/>
              <w:rPr>
                <w:kern w:val="0"/>
                <w:sz w:val="24"/>
              </w:rPr>
            </w:pPr>
            <w:r>
              <w:rPr>
                <w:rFonts w:hint="eastAsia"/>
                <w:kern w:val="0"/>
                <w:sz w:val="24"/>
              </w:rPr>
              <w:t>　</w:t>
            </w:r>
          </w:p>
        </w:tc>
      </w:tr>
      <w:tr w14:paraId="5EB6ABC6">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22503471">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3A11E168">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D8D9BE9">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75182017">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496CF102">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14:paraId="092E714F">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14:paraId="40255A42">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14:paraId="1E0CF08E">
            <w:pPr>
              <w:widowControl/>
              <w:jc w:val="left"/>
              <w:rPr>
                <w:kern w:val="0"/>
                <w:sz w:val="24"/>
              </w:rPr>
            </w:pPr>
            <w:r>
              <w:rPr>
                <w:rFonts w:hint="eastAsia"/>
                <w:kern w:val="0"/>
                <w:sz w:val="24"/>
              </w:rPr>
              <w:t>　8</w:t>
            </w:r>
          </w:p>
        </w:tc>
      </w:tr>
      <w:tr w14:paraId="541707E6">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14:paraId="516D9EAC">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14:paraId="6B9EB05F">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14:paraId="0AFA5696">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14:paraId="5CE1A30F">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14:paraId="4DED7AFA">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14:paraId="1B42F5A7">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14:paraId="4470545D">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14:paraId="6E107545">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14:paraId="7B88F60E">
            <w:pPr>
              <w:widowControl/>
              <w:jc w:val="left"/>
              <w:rPr>
                <w:kern w:val="0"/>
                <w:sz w:val="24"/>
              </w:rPr>
            </w:pPr>
            <w:r>
              <w:rPr>
                <w:rFonts w:hint="eastAsia"/>
                <w:kern w:val="0"/>
                <w:sz w:val="24"/>
              </w:rPr>
              <w:t>　6</w:t>
            </w:r>
          </w:p>
        </w:tc>
      </w:tr>
      <w:tr w14:paraId="05D635E6">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14:paraId="34616D95">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71C6E90E">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14:paraId="2B5E82A8">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14:paraId="5AF6CC31">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14:paraId="2728C904">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14:paraId="696157CF">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14:paraId="791E7F46">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14:paraId="068DBFBA">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14:paraId="414A7137">
            <w:pPr>
              <w:widowControl/>
              <w:jc w:val="left"/>
              <w:rPr>
                <w:kern w:val="0"/>
                <w:sz w:val="24"/>
              </w:rPr>
            </w:pPr>
            <w:r>
              <w:rPr>
                <w:rFonts w:hint="eastAsia"/>
                <w:kern w:val="0"/>
                <w:sz w:val="24"/>
              </w:rPr>
              <w:t>　5</w:t>
            </w:r>
          </w:p>
        </w:tc>
      </w:tr>
      <w:tr w14:paraId="4F2FFDC6">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14:paraId="2463856D">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14:paraId="74D64A60">
            <w:pPr>
              <w:widowControl/>
              <w:jc w:val="left"/>
              <w:rPr>
                <w:kern w:val="0"/>
                <w:sz w:val="24"/>
              </w:rPr>
            </w:pPr>
            <w:r>
              <w:rPr>
                <w:rFonts w:hint="eastAsia"/>
                <w:kern w:val="0"/>
                <w:sz w:val="24"/>
              </w:rPr>
              <w:t>96</w:t>
            </w:r>
          </w:p>
        </w:tc>
      </w:tr>
    </w:tbl>
    <w:p w14:paraId="5E65BA0D"/>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0NzkwZmZjNzQwZmI4MGQ2YWFkOWFhZmQzNDRjZTUifQ=="/>
  </w:docVars>
  <w:rsids>
    <w:rsidRoot w:val="34273326"/>
    <w:rsid w:val="002760E3"/>
    <w:rsid w:val="004C69A0"/>
    <w:rsid w:val="008B6647"/>
    <w:rsid w:val="009717C9"/>
    <w:rsid w:val="00A224BA"/>
    <w:rsid w:val="00AF7B63"/>
    <w:rsid w:val="00BD7063"/>
    <w:rsid w:val="00C56340"/>
    <w:rsid w:val="00E500DF"/>
    <w:rsid w:val="09DE67B4"/>
    <w:rsid w:val="0A73514E"/>
    <w:rsid w:val="0E172295"/>
    <w:rsid w:val="0EC266A4"/>
    <w:rsid w:val="111D7EC6"/>
    <w:rsid w:val="12150A39"/>
    <w:rsid w:val="12684696"/>
    <w:rsid w:val="14003E2C"/>
    <w:rsid w:val="1AC85A74"/>
    <w:rsid w:val="1FED10A7"/>
    <w:rsid w:val="20B05590"/>
    <w:rsid w:val="24A031CF"/>
    <w:rsid w:val="262C38E5"/>
    <w:rsid w:val="274D6F36"/>
    <w:rsid w:val="2ADF399D"/>
    <w:rsid w:val="2D953C9A"/>
    <w:rsid w:val="303B1BC3"/>
    <w:rsid w:val="306E1D90"/>
    <w:rsid w:val="34273326"/>
    <w:rsid w:val="37092813"/>
    <w:rsid w:val="39673821"/>
    <w:rsid w:val="3D172D34"/>
    <w:rsid w:val="422619BB"/>
    <w:rsid w:val="454C2330"/>
    <w:rsid w:val="4618037D"/>
    <w:rsid w:val="4680320F"/>
    <w:rsid w:val="47307948"/>
    <w:rsid w:val="482534BE"/>
    <w:rsid w:val="4BA12BC2"/>
    <w:rsid w:val="4EA053B3"/>
    <w:rsid w:val="5BAF30D9"/>
    <w:rsid w:val="641E7F8A"/>
    <w:rsid w:val="66432026"/>
    <w:rsid w:val="69D70DA1"/>
    <w:rsid w:val="6B39476E"/>
    <w:rsid w:val="6EF3178D"/>
    <w:rsid w:val="7183480D"/>
    <w:rsid w:val="71ED62B2"/>
    <w:rsid w:val="728953FE"/>
    <w:rsid w:val="734C51CD"/>
    <w:rsid w:val="759A36AC"/>
    <w:rsid w:val="778A4537"/>
    <w:rsid w:val="7A2D36EF"/>
    <w:rsid w:val="7A4C7D70"/>
    <w:rsid w:val="7F3B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rPr>
      <w:szCs w:val="24"/>
    </w:rPr>
  </w:style>
  <w:style w:type="paragraph" w:styleId="3">
    <w:name w:val="Body Text Indent"/>
    <w:basedOn w:val="1"/>
    <w:qFormat/>
    <w:uiPriority w:val="0"/>
    <w:pPr>
      <w:ind w:firstLine="720" w:firstLineChars="225"/>
    </w:pPr>
    <w:rPr>
      <w:sz w:val="32"/>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Autospacing="1" w:afterAutospacing="1"/>
      <w:jc w:val="left"/>
    </w:pPr>
    <w:rPr>
      <w:rFonts w:ascii="宋体" w:hAnsi="宋体" w:cs="宋体"/>
      <w:kern w:val="0"/>
      <w:sz w:val="24"/>
    </w:rPr>
  </w:style>
  <w:style w:type="paragraph" w:customStyle="1" w:styleId="9">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10">
    <w:name w:val="18"/>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8"/>
    <w:link w:val="5"/>
    <w:uiPriority w:val="0"/>
    <w:rPr>
      <w:rFonts w:ascii="Calibri" w:hAnsi="Calibri" w:eastAsia="宋体" w:cs="Calibri"/>
      <w:kern w:val="2"/>
      <w:sz w:val="18"/>
      <w:szCs w:val="18"/>
    </w:rPr>
  </w:style>
  <w:style w:type="character" w:customStyle="1" w:styleId="12">
    <w:name w:val="页脚 Char"/>
    <w:basedOn w:val="8"/>
    <w:link w:val="4"/>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3610</Words>
  <Characters>3877</Characters>
  <Lines>31</Lines>
  <Paragraphs>8</Paragraphs>
  <TotalTime>11</TotalTime>
  <ScaleCrop>false</ScaleCrop>
  <LinksUpToDate>false</LinksUpToDate>
  <CharactersWithSpaces>4172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2022-08-18T08:16:00Z</dcterms:created>
  <dc:creator>俺是老实人1408404429</dc:creator>
  <cp:lastModifiedBy>自由行走的胡萝北</cp:lastModifiedBy>
  <dcterms:modified xsi:type="dcterms:W3CDTF">2024-12-17T03:40:26Z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7B846548B3714428ACBE9BD3C8719616</vt:lpwstr>
  </property>
</Properties>
</file>