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仿宋_GB2312"/>
          <w:sz w:val="32"/>
          <w:szCs w:val="32"/>
        </w:rPr>
      </w:pPr>
      <w:r>
        <w:rPr>
          <w:rFonts w:ascii="仿宋_GB2312" w:hAnsi="仿宋_GB2312"/>
          <w:sz w:val="32"/>
          <w:szCs w:val="32"/>
        </w:rPr>
        <w:t>附件3</w:t>
      </w:r>
      <w:r>
        <w:rPr>
          <w:rFonts w:ascii="仿宋_GB2312" w:hAnsi="仿宋_GB2312" w:cs="Calibri"/>
          <w:sz w:val="32"/>
          <w:szCs w:val="32"/>
        </w:rPr>
        <w:t>：</w:t>
      </w:r>
    </w:p>
    <w:p>
      <w:pPr>
        <w:jc w:val="center"/>
        <w:rPr>
          <w:rFonts w:eastAsia="方正小标宋简体"/>
          <w:sz w:val="36"/>
          <w:szCs w:val="36"/>
        </w:rPr>
      </w:pPr>
      <w:r>
        <w:rPr>
          <w:rFonts w:ascii="方正小标宋简体" w:hAnsi="方正小标宋简体" w:cs="Calibri"/>
          <w:color w:val="000000"/>
          <w:sz w:val="36"/>
          <w:szCs w:val="36"/>
        </w:rPr>
        <w:t>2021</w:t>
      </w:r>
      <w:r>
        <w:rPr>
          <w:rFonts w:hint="eastAsia" w:ascii="宋体" w:hAnsi="宋体"/>
          <w:sz w:val="36"/>
          <w:szCs w:val="36"/>
        </w:rPr>
        <w:t>年度部门整体支出绩效自评报告</w:t>
      </w:r>
    </w:p>
    <w:p>
      <w:pPr>
        <w:ind w:firstLine="420" w:firstLineChars="200"/>
        <w:jc w:val="center"/>
      </w:pPr>
      <w:r>
        <w:t xml:space="preserve"> </w:t>
      </w:r>
    </w:p>
    <w:p>
      <w:pPr>
        <w:spacing w:line="620" w:lineRule="exact"/>
        <w:ind w:firstLine="640" w:firstLineChars="200"/>
        <w:rPr>
          <w:rFonts w:ascii="黑体" w:eastAsia="黑体" w:cs="Calibri"/>
          <w:color w:val="000000"/>
          <w:kern w:val="0"/>
          <w:sz w:val="32"/>
          <w:szCs w:val="32"/>
        </w:rPr>
      </w:pPr>
      <w:r>
        <w:rPr>
          <w:rFonts w:hint="eastAsia" w:ascii="黑体" w:hAnsi="黑体" w:eastAsia="黑体" w:cs="Calibri"/>
          <w:color w:val="000000"/>
          <w:kern w:val="0"/>
          <w:sz w:val="32"/>
          <w:szCs w:val="32"/>
        </w:rPr>
        <w:t>一、部门概况</w:t>
      </w:r>
    </w:p>
    <w:p>
      <w:pPr>
        <w:ind w:firstLine="600" w:firstLineChars="200"/>
        <w:rPr>
          <w:rFonts w:hint="eastAsia" w:ascii="宋体" w:hAnsi="宋体" w:cs="Calibri"/>
          <w:sz w:val="30"/>
          <w:szCs w:val="30"/>
        </w:rPr>
      </w:pPr>
      <w:r>
        <w:rPr>
          <w:rFonts w:hint="eastAsia" w:ascii="宋体" w:hAnsi="宋体" w:cs="Calibri"/>
          <w:sz w:val="30"/>
          <w:szCs w:val="30"/>
        </w:rPr>
        <w:t>（一）部门基本情况。</w:t>
      </w:r>
    </w:p>
    <w:p>
      <w:pPr>
        <w:spacing w:line="500" w:lineRule="exact"/>
        <w:ind w:firstLine="640" w:firstLineChars="200"/>
        <w:rPr>
          <w:rFonts w:hint="eastAsia" w:ascii="仿宋" w:hAnsi="仿宋" w:eastAsia="仿宋"/>
          <w:color w:val="333333"/>
          <w:kern w:val="0"/>
          <w:sz w:val="32"/>
          <w:szCs w:val="32"/>
        </w:rPr>
      </w:pPr>
      <w:r>
        <w:rPr>
          <w:rFonts w:hint="eastAsia" w:ascii="仿宋" w:hAnsi="仿宋" w:eastAsia="仿宋"/>
          <w:color w:val="333333"/>
          <w:kern w:val="0"/>
          <w:sz w:val="32"/>
          <w:szCs w:val="32"/>
        </w:rPr>
        <w:t>1、机构设置：内设办公室、政工室、政策法规股、计划财务股、信息规划股、疾病预防控制股、医政医管股、红十字会、基层卫生股、药物政策与科技教育宣传股、计划生育基层指导股、计划生育家庭发展股、综合监督股、流动人口计划生育管理股。</w:t>
      </w:r>
    </w:p>
    <w:p>
      <w:pPr>
        <w:spacing w:line="500" w:lineRule="exact"/>
        <w:ind w:firstLine="640" w:firstLineChars="200"/>
        <w:rPr>
          <w:rFonts w:hint="eastAsia" w:ascii="仿宋" w:hAnsi="仿宋" w:eastAsia="仿宋"/>
          <w:color w:val="333333"/>
          <w:kern w:val="0"/>
          <w:sz w:val="32"/>
          <w:szCs w:val="32"/>
        </w:rPr>
      </w:pPr>
      <w:r>
        <w:rPr>
          <w:rFonts w:hint="eastAsia" w:ascii="仿宋" w:hAnsi="仿宋" w:eastAsia="仿宋"/>
          <w:color w:val="333333"/>
          <w:kern w:val="0"/>
          <w:sz w:val="32"/>
          <w:szCs w:val="32"/>
        </w:rPr>
        <w:t>2、人员编制情况：编制人数105人，其中行政编35人，事业编69人，工勤人员1名。实际在职人数105人，其中区卫健局43人，乡镇计生人员32人，办事处计生人员30人。退休人数59人，其中卫生计生委退休人员54人，乡镇退休人员5人。在职人员职级情况：正副科级人员16人。</w:t>
      </w:r>
    </w:p>
    <w:p>
      <w:pPr>
        <w:spacing w:line="500" w:lineRule="exact"/>
        <w:ind w:firstLine="640" w:firstLineChars="200"/>
        <w:rPr>
          <w:rFonts w:hint="eastAsia" w:ascii="宋体" w:hAnsi="宋体" w:cs="Calibri"/>
          <w:sz w:val="30"/>
          <w:szCs w:val="30"/>
        </w:rPr>
      </w:pPr>
      <w:r>
        <w:rPr>
          <w:rFonts w:hint="eastAsia" w:ascii="仿宋" w:hAnsi="仿宋" w:eastAsia="仿宋"/>
          <w:color w:val="333333"/>
          <w:kern w:val="0"/>
          <w:sz w:val="32"/>
          <w:szCs w:val="32"/>
        </w:rPr>
        <w:t>3、乡镇离任计生专干人数63人。</w:t>
      </w:r>
    </w:p>
    <w:p>
      <w:pPr>
        <w:ind w:firstLine="600" w:firstLineChars="200"/>
        <w:rPr>
          <w:rFonts w:hint="eastAsia" w:ascii="宋体" w:hAnsi="宋体" w:cs="Calibri"/>
          <w:sz w:val="30"/>
          <w:szCs w:val="30"/>
        </w:rPr>
      </w:pPr>
      <w:r>
        <w:rPr>
          <w:rFonts w:hint="eastAsia" w:ascii="宋体" w:hAnsi="宋体" w:cs="Calibri"/>
          <w:sz w:val="30"/>
          <w:szCs w:val="30"/>
        </w:rPr>
        <w:t>（二）</w:t>
      </w:r>
      <w:r>
        <w:rPr>
          <w:rFonts w:hint="eastAsia" w:ascii="宋体" w:hAnsi="宋体" w:cs="Calibri"/>
          <w:color w:val="000000"/>
          <w:sz w:val="30"/>
          <w:szCs w:val="30"/>
        </w:rPr>
        <w:t>2021</w:t>
      </w:r>
      <w:r>
        <w:rPr>
          <w:rFonts w:hint="eastAsia" w:ascii="宋体" w:hAnsi="宋体" w:cs="Calibri"/>
          <w:sz w:val="30"/>
          <w:szCs w:val="30"/>
        </w:rPr>
        <w:t>年的重点工作</w:t>
      </w:r>
    </w:p>
    <w:p>
      <w:pPr>
        <w:pStyle w:val="2"/>
        <w:spacing w:before="0" w:beforeAutospacing="0" w:after="0" w:afterAutospacing="0" w:line="240" w:lineRule="atLeast"/>
        <w:ind w:left="365" w:leftChars="174" w:firstLine="640" w:firstLineChars="200"/>
        <w:rPr>
          <w:rFonts w:hint="eastAsia" w:ascii="仿宋" w:hAnsi="仿宋" w:eastAsia="仿宋"/>
          <w:color w:val="333333"/>
          <w:sz w:val="32"/>
          <w:szCs w:val="32"/>
        </w:rPr>
      </w:pPr>
      <w:r>
        <w:rPr>
          <w:rFonts w:hint="eastAsia" w:ascii="仿宋" w:hAnsi="仿宋" w:eastAsia="仿宋"/>
          <w:color w:val="333333"/>
          <w:sz w:val="32"/>
          <w:szCs w:val="32"/>
        </w:rPr>
        <w:t>1、贯彻执行卫生和计划生育工作的方针、政策和法律法规及规章，提出卫生和计划生育、中医药事业发展地方标准和技术规范建议。负责协调推进全区医药卫生体制改革和医疗保障，统筹规划全区卫生和计划生育服务资源配置，指导全区卫生和计划生育规划的编制和实施。</w:t>
      </w:r>
      <w:r>
        <w:rPr>
          <w:rFonts w:hint="eastAsia" w:ascii="仿宋" w:hAnsi="仿宋" w:eastAsia="仿宋"/>
          <w:color w:val="333333"/>
          <w:sz w:val="32"/>
          <w:szCs w:val="32"/>
        </w:rPr>
        <w:br w:type="textWrapping"/>
      </w:r>
      <w:r>
        <w:rPr>
          <w:rFonts w:hint="eastAsia" w:ascii="仿宋" w:hAnsi="仿宋" w:eastAsia="仿宋"/>
          <w:color w:val="333333"/>
          <w:sz w:val="32"/>
          <w:szCs w:val="32"/>
        </w:rPr>
        <w:t xml:space="preserve">   2、贯彻中西医并重方针，制定促进中医药事业发展的政策措施和中医药中长期发展规划，推进中医药的继承与创新，促进中医药事业的发展。</w:t>
      </w:r>
      <w:r>
        <w:rPr>
          <w:rFonts w:hint="eastAsia" w:ascii="仿宋" w:hAnsi="仿宋" w:eastAsia="仿宋"/>
          <w:color w:val="333333"/>
          <w:sz w:val="32"/>
          <w:szCs w:val="32"/>
        </w:rPr>
        <w:br w:type="textWrapping"/>
      </w:r>
      <w:r>
        <w:rPr>
          <w:rFonts w:hint="eastAsia" w:ascii="仿宋" w:hAnsi="仿宋" w:eastAsia="仿宋"/>
          <w:color w:val="333333"/>
          <w:sz w:val="32"/>
          <w:szCs w:val="32"/>
        </w:rPr>
        <w:t xml:space="preserve">   3、负责制定全区疾病预防控制规划、免疫规划、严重危害人民健康的公共卫生问题的干预措施并组织落实，制定全区卫生应急和紧急医学救援预案、突发公共卫生事件监测和风险评估计划，组织和指导全区突发公共卫生事件预防控制和各类突发公共事件的医疗卫生救援，发布并上报法定报告传染病疫情信息和突发公共卫生事件应急处置信息。</w:t>
      </w:r>
      <w:r>
        <w:rPr>
          <w:rFonts w:hint="eastAsia" w:ascii="仿宋" w:hAnsi="仿宋" w:eastAsia="仿宋"/>
          <w:color w:val="333333"/>
          <w:sz w:val="32"/>
          <w:szCs w:val="32"/>
        </w:rPr>
        <w:br w:type="textWrapping"/>
      </w:r>
      <w:r>
        <w:rPr>
          <w:rFonts w:hint="eastAsia" w:ascii="仿宋" w:hAnsi="仿宋" w:eastAsia="仿宋"/>
          <w:color w:val="333333"/>
          <w:sz w:val="32"/>
          <w:szCs w:val="32"/>
        </w:rPr>
        <w:t xml:space="preserve">   4、负责制定并贯彻执行职责范围内的职业卫生、放射卫生、环境卫生、学校卫生、公共场所卫生、饮用水卫生管理规范、地方标准和工作措施，组织开展相关监测、调查、评估和监督，负责传染病防治监督。组织开展食品安全风险监测、评估，提出食品安全地方标准的建议，负责食源性疾病及与食品安全事故有关的流行病学调查。</w:t>
      </w:r>
      <w:r>
        <w:rPr>
          <w:rFonts w:hint="eastAsia" w:ascii="仿宋" w:hAnsi="仿宋" w:eastAsia="仿宋"/>
          <w:color w:val="333333"/>
          <w:sz w:val="32"/>
          <w:szCs w:val="32"/>
        </w:rPr>
        <w:br w:type="textWrapping"/>
      </w:r>
      <w:r>
        <w:rPr>
          <w:rFonts w:hint="eastAsia" w:ascii="仿宋" w:hAnsi="仿宋" w:eastAsia="仿宋"/>
          <w:color w:val="333333"/>
          <w:sz w:val="32"/>
          <w:szCs w:val="32"/>
        </w:rPr>
        <w:t xml:space="preserve">   5、组织拟订并实施基层卫生和计划生育服务、妇幼卫生发展规划和政策措施，指导全市基层卫生和计划生育、妇幼卫生服务体系建设，推进基本公共卫生和计划生育服务均等化，完善、落实基层医疗卫生机构运行新机制和乡村医生管理制度。负责制定新型农村合作医疗发展规划和政策措施并组织实施，组织基金个人缴纳费用筹集和协调财政补助资金落实，负责全区新型农村合作医疗基金的监管与效益评估，负责定点医疗机构医疗费用控制。</w:t>
      </w:r>
      <w:r>
        <w:rPr>
          <w:rFonts w:hint="eastAsia" w:ascii="仿宋" w:hAnsi="仿宋" w:eastAsia="仿宋"/>
          <w:color w:val="333333"/>
          <w:sz w:val="32"/>
          <w:szCs w:val="32"/>
        </w:rPr>
        <w:br w:type="textWrapping"/>
      </w:r>
      <w:r>
        <w:rPr>
          <w:rFonts w:hint="eastAsia" w:ascii="仿宋" w:hAnsi="仿宋" w:eastAsia="仿宋"/>
          <w:color w:val="333333"/>
          <w:sz w:val="32"/>
          <w:szCs w:val="32"/>
        </w:rPr>
        <w:t xml:space="preserve">     6、参与制定医疗机构和医疗服务全行业管理办法并监督实施。</w:t>
      </w:r>
    </w:p>
    <w:p>
      <w:pPr>
        <w:pStyle w:val="2"/>
        <w:spacing w:before="0" w:beforeAutospacing="0" w:after="0" w:afterAutospacing="0" w:line="240" w:lineRule="atLeast"/>
        <w:ind w:left="365" w:leftChars="174" w:firstLine="640" w:firstLineChars="200"/>
        <w:rPr>
          <w:rFonts w:hint="eastAsia" w:ascii="仿宋" w:hAnsi="仿宋" w:eastAsia="仿宋"/>
          <w:color w:val="333333"/>
          <w:sz w:val="32"/>
          <w:szCs w:val="32"/>
        </w:rPr>
      </w:pPr>
      <w:r>
        <w:rPr>
          <w:rFonts w:hint="eastAsia" w:ascii="仿宋" w:hAnsi="仿宋" w:eastAsia="仿宋"/>
          <w:color w:val="333333"/>
          <w:sz w:val="32"/>
          <w:szCs w:val="32"/>
        </w:rPr>
        <w:t>7、负责组织推进公立医院改革，建立公益性为导向的绩效考核和评价运行机制，建设和谐医患关系，提出医疗服务和药品价格政策措施建议。</w:t>
      </w:r>
      <w:r>
        <w:rPr>
          <w:rFonts w:hint="eastAsia" w:ascii="仿宋" w:hAnsi="仿宋" w:eastAsia="仿宋"/>
          <w:color w:val="333333"/>
          <w:sz w:val="32"/>
          <w:szCs w:val="32"/>
        </w:rPr>
        <w:br w:type="textWrapping"/>
      </w:r>
      <w:r>
        <w:rPr>
          <w:rFonts w:hint="eastAsia" w:ascii="仿宋" w:hAnsi="仿宋" w:eastAsia="仿宋"/>
          <w:color w:val="333333"/>
          <w:sz w:val="32"/>
          <w:szCs w:val="32"/>
        </w:rPr>
        <w:t xml:space="preserve">   8、贯彻落实国家药物政策和国家基本药物制度，执行国家基本药物目录，执行全省医疗机构网上药品集中采购政策；提出国家基本药物目录内药品生产的鼓励扶持政策建议，提出国家基本药物价格政策建议。</w:t>
      </w:r>
      <w:r>
        <w:rPr>
          <w:rFonts w:hint="eastAsia" w:ascii="仿宋" w:hAnsi="仿宋" w:eastAsia="仿宋"/>
          <w:color w:val="333333"/>
          <w:sz w:val="32"/>
          <w:szCs w:val="32"/>
        </w:rPr>
        <w:br w:type="textWrapping"/>
      </w:r>
      <w:r>
        <w:rPr>
          <w:rFonts w:hint="eastAsia" w:ascii="仿宋" w:hAnsi="仿宋" w:eastAsia="仿宋"/>
          <w:color w:val="333333"/>
          <w:sz w:val="32"/>
          <w:szCs w:val="32"/>
        </w:rPr>
        <w:t xml:space="preserve">   9、提出完善生育政策建议，组织实施促进出生人口性别平衡的政策措施，组织监测计划生育发展动态，报告计划生育安全预警预报信息。贯彻执行计划生育技术服务管理制度。贯彻执行优生优育和提高出生人口素质的政策措施，推动实施计划生育生殖健康促进计划，降低出生缺陷发生率。</w:t>
      </w:r>
      <w:r>
        <w:rPr>
          <w:rFonts w:hint="eastAsia" w:ascii="仿宋" w:hAnsi="仿宋" w:eastAsia="仿宋"/>
          <w:color w:val="333333"/>
          <w:sz w:val="32"/>
          <w:szCs w:val="32"/>
        </w:rPr>
        <w:br w:type="textWrapping"/>
      </w:r>
      <w:r>
        <w:rPr>
          <w:rFonts w:hint="eastAsia" w:ascii="仿宋" w:hAnsi="仿宋" w:eastAsia="仿宋"/>
          <w:color w:val="333333"/>
          <w:sz w:val="32"/>
          <w:szCs w:val="32"/>
        </w:rPr>
        <w:t xml:space="preserve">   10、贯彻落实计划生育利益导向、计划生育特殊困难家庭扶助和促进计划生育家庭发展等机制。负责协调推进有关部门、群众团体履行计划生育工作相关职责，建立与经济社会发展政策措施的衔接机制，提出稳定低生育水平政策措施。</w:t>
      </w:r>
      <w:r>
        <w:rPr>
          <w:rFonts w:hint="eastAsia" w:ascii="仿宋" w:hAnsi="仿宋" w:eastAsia="仿宋"/>
          <w:color w:val="333333"/>
          <w:sz w:val="32"/>
          <w:szCs w:val="32"/>
        </w:rPr>
        <w:br w:type="textWrapping"/>
      </w:r>
      <w:r>
        <w:rPr>
          <w:rFonts w:hint="eastAsia" w:ascii="仿宋" w:hAnsi="仿宋" w:eastAsia="仿宋"/>
          <w:color w:val="333333"/>
          <w:sz w:val="32"/>
          <w:szCs w:val="32"/>
        </w:rPr>
        <w:t xml:space="preserve">   11、制定执行流动人口计划生育服务管理制度并组织落实，推动建立流动人口卫生和计划生育信息共享、区域协作和公共服务工作机制。</w:t>
      </w:r>
      <w:r>
        <w:rPr>
          <w:rFonts w:hint="eastAsia" w:ascii="仿宋" w:hAnsi="仿宋" w:eastAsia="仿宋"/>
          <w:color w:val="333333"/>
          <w:sz w:val="32"/>
          <w:szCs w:val="32"/>
        </w:rPr>
        <w:br w:type="textWrapping"/>
      </w:r>
      <w:r>
        <w:rPr>
          <w:rFonts w:hint="eastAsia" w:ascii="仿宋" w:hAnsi="仿宋" w:eastAsia="仿宋"/>
          <w:color w:val="333333"/>
          <w:sz w:val="32"/>
          <w:szCs w:val="32"/>
        </w:rPr>
        <w:t xml:space="preserve">   12、组织拟订全区卫健人才发展规划，指导卫生和计划生育人才队伍建设。</w:t>
      </w:r>
      <w:r>
        <w:rPr>
          <w:rFonts w:hint="eastAsia" w:ascii="仿宋" w:hAnsi="仿宋" w:eastAsia="仿宋"/>
          <w:color w:val="333333"/>
          <w:sz w:val="32"/>
          <w:szCs w:val="32"/>
        </w:rPr>
        <w:br w:type="textWrapping"/>
      </w:r>
      <w:r>
        <w:rPr>
          <w:rFonts w:hint="eastAsia" w:ascii="仿宋" w:hAnsi="仿宋" w:eastAsia="仿宋"/>
          <w:color w:val="333333"/>
          <w:sz w:val="32"/>
          <w:szCs w:val="32"/>
        </w:rPr>
        <w:t xml:space="preserve">   13、组织拟订全区卫生和计划生育科技发展规划，组织实施卫生和计划生育相关科研项目、毕业后医学教育和继续医学教育。</w:t>
      </w:r>
      <w:r>
        <w:rPr>
          <w:rFonts w:hint="eastAsia" w:ascii="仿宋" w:hAnsi="仿宋" w:eastAsia="仿宋"/>
          <w:color w:val="333333"/>
          <w:sz w:val="32"/>
          <w:szCs w:val="32"/>
        </w:rPr>
        <w:br w:type="textWrapping"/>
      </w:r>
      <w:r>
        <w:rPr>
          <w:rFonts w:hint="eastAsia" w:ascii="仿宋" w:hAnsi="仿宋" w:eastAsia="仿宋"/>
          <w:color w:val="333333"/>
          <w:sz w:val="32"/>
          <w:szCs w:val="32"/>
        </w:rPr>
        <w:t xml:space="preserve">   14、指导全区卫生和计划生育工作，完善综合监督执法体系，规范执法行为，监督检查法律法规和政策措施的落实，组织查处重大违法行为。落实计划生育一票否决制。</w:t>
      </w:r>
      <w:r>
        <w:rPr>
          <w:rFonts w:hint="eastAsia" w:ascii="仿宋" w:hAnsi="仿宋" w:eastAsia="仿宋"/>
          <w:color w:val="333333"/>
          <w:sz w:val="32"/>
          <w:szCs w:val="32"/>
        </w:rPr>
        <w:br w:type="textWrapping"/>
      </w:r>
      <w:r>
        <w:rPr>
          <w:rFonts w:hint="eastAsia" w:ascii="仿宋" w:hAnsi="仿宋" w:eastAsia="仿宋"/>
          <w:color w:val="333333"/>
          <w:sz w:val="32"/>
          <w:szCs w:val="32"/>
        </w:rPr>
        <w:t xml:space="preserve">   15、负责全区卫生和计划生育宣传、健康教育、健康促进和信息化建设等工作，依法组织实施统计调查，参与人口基础信息库建设和国际交流合作，参与援外工作以及与港澳台的交流合作。</w:t>
      </w:r>
      <w:r>
        <w:rPr>
          <w:rFonts w:hint="eastAsia" w:ascii="仿宋" w:hAnsi="仿宋" w:eastAsia="仿宋"/>
          <w:color w:val="333333"/>
          <w:sz w:val="32"/>
          <w:szCs w:val="32"/>
        </w:rPr>
        <w:br w:type="textWrapping"/>
      </w:r>
      <w:r>
        <w:rPr>
          <w:rFonts w:hint="eastAsia" w:ascii="仿宋" w:hAnsi="仿宋" w:eastAsia="仿宋"/>
          <w:color w:val="333333"/>
          <w:sz w:val="32"/>
          <w:szCs w:val="32"/>
        </w:rPr>
        <w:t xml:space="preserve">   16、贯彻执行保健政策，负责全区保健工作的宏观管理，负责保健对象的医疗保健工作，负责区内重要会议与重大活动的医疗保障工作。</w:t>
      </w:r>
      <w:r>
        <w:rPr>
          <w:rFonts w:hint="eastAsia" w:ascii="仿宋" w:hAnsi="仿宋" w:eastAsia="仿宋"/>
          <w:color w:val="333333"/>
          <w:sz w:val="32"/>
          <w:szCs w:val="32"/>
        </w:rPr>
        <w:br w:type="textWrapping"/>
      </w:r>
      <w:r>
        <w:rPr>
          <w:rFonts w:hint="eastAsia" w:ascii="仿宋" w:hAnsi="仿宋" w:eastAsia="仿宋"/>
          <w:color w:val="333333"/>
          <w:sz w:val="32"/>
          <w:szCs w:val="32"/>
        </w:rPr>
        <w:t xml:space="preserve">   17、承办区委、区人民政府交办的其他事项。</w:t>
      </w:r>
    </w:p>
    <w:p>
      <w:pPr>
        <w:spacing w:line="620" w:lineRule="exact"/>
        <w:ind w:firstLine="640" w:firstLineChars="200"/>
        <w:rPr>
          <w:rFonts w:hint="eastAsia" w:ascii="黑体" w:eastAsia="黑体" w:cs="Calibri"/>
          <w:color w:val="000000"/>
          <w:kern w:val="0"/>
          <w:sz w:val="32"/>
          <w:szCs w:val="32"/>
        </w:rPr>
      </w:pPr>
      <w:r>
        <w:rPr>
          <w:rFonts w:hint="eastAsia" w:ascii="黑体" w:hAnsi="黑体" w:eastAsia="黑体" w:cs="Calibri"/>
          <w:color w:val="000000"/>
          <w:kern w:val="0"/>
          <w:sz w:val="32"/>
          <w:szCs w:val="32"/>
        </w:rPr>
        <w:t>二、一般公共预算支出情况</w:t>
      </w:r>
    </w:p>
    <w:p>
      <w:pPr>
        <w:spacing w:line="500" w:lineRule="exact"/>
        <w:ind w:firstLine="640" w:firstLineChars="200"/>
        <w:rPr>
          <w:rFonts w:hint="eastAsia" w:ascii="仿宋" w:hAnsi="仿宋" w:eastAsia="仿宋"/>
          <w:color w:val="333333"/>
          <w:kern w:val="0"/>
          <w:sz w:val="32"/>
          <w:szCs w:val="32"/>
        </w:rPr>
      </w:pPr>
      <w:r>
        <w:rPr>
          <w:rFonts w:hint="eastAsia" w:ascii="仿宋" w:hAnsi="仿宋" w:eastAsia="仿宋"/>
          <w:color w:val="333333"/>
          <w:kern w:val="0"/>
          <w:sz w:val="32"/>
          <w:szCs w:val="32"/>
        </w:rPr>
        <w:t>（一）基本支出情况。</w:t>
      </w:r>
    </w:p>
    <w:p>
      <w:pPr>
        <w:spacing w:line="500" w:lineRule="exact"/>
        <w:ind w:firstLine="640" w:firstLineChars="200"/>
        <w:rPr>
          <w:rFonts w:hint="eastAsia" w:ascii="仿宋" w:hAnsi="仿宋" w:eastAsia="仿宋"/>
          <w:color w:val="333333"/>
          <w:kern w:val="0"/>
          <w:sz w:val="32"/>
          <w:szCs w:val="32"/>
        </w:rPr>
      </w:pPr>
      <w:r>
        <w:rPr>
          <w:rFonts w:hint="eastAsia" w:ascii="仿宋" w:hAnsi="仿宋" w:eastAsia="仿宋"/>
          <w:color w:val="333333"/>
          <w:kern w:val="0"/>
          <w:sz w:val="32"/>
          <w:szCs w:val="32"/>
        </w:rPr>
        <w:t>区卫健局2021年一般公共预算基本支出</w:t>
      </w:r>
      <w:r>
        <w:rPr>
          <w:rFonts w:hint="eastAsia" w:ascii="仿宋" w:hAnsi="仿宋" w:eastAsia="仿宋"/>
          <w:color w:val="333333"/>
          <w:kern w:val="0"/>
          <w:sz w:val="32"/>
          <w:szCs w:val="32"/>
          <w:lang w:val="en-US" w:eastAsia="zh-CN"/>
        </w:rPr>
        <w:t>4963.44</w:t>
      </w:r>
      <w:r>
        <w:rPr>
          <w:rFonts w:hint="eastAsia" w:ascii="仿宋" w:hAnsi="仿宋" w:eastAsia="仿宋"/>
          <w:color w:val="333333"/>
          <w:kern w:val="0"/>
          <w:sz w:val="32"/>
          <w:szCs w:val="32"/>
        </w:rPr>
        <w:t>万元。其中：</w:t>
      </w:r>
    </w:p>
    <w:p>
      <w:pPr>
        <w:spacing w:line="500" w:lineRule="exact"/>
        <w:ind w:firstLine="640" w:firstLineChars="200"/>
        <w:rPr>
          <w:rFonts w:hint="eastAsia" w:ascii="仿宋" w:hAnsi="仿宋" w:eastAsia="仿宋"/>
          <w:color w:val="333333"/>
          <w:kern w:val="0"/>
          <w:sz w:val="32"/>
          <w:szCs w:val="32"/>
        </w:rPr>
      </w:pPr>
      <w:r>
        <w:rPr>
          <w:rFonts w:hint="eastAsia" w:ascii="仿宋" w:hAnsi="仿宋" w:eastAsia="仿宋"/>
          <w:color w:val="333333"/>
          <w:kern w:val="0"/>
          <w:sz w:val="32"/>
          <w:szCs w:val="32"/>
        </w:rPr>
        <w:t>人员经费1029.7717万元，主要包括：基本工资、津贴补贴、奖金、离休费、退休费、生活补助、医疗费、奖励金、住房公积金、提租补贴、购房补贴等。</w:t>
      </w:r>
    </w:p>
    <w:p>
      <w:pPr>
        <w:spacing w:line="500" w:lineRule="exact"/>
        <w:ind w:firstLine="640" w:firstLineChars="200"/>
        <w:rPr>
          <w:rFonts w:hint="eastAsia" w:ascii="仿宋" w:hAnsi="仿宋" w:eastAsia="仿宋"/>
          <w:color w:val="333333"/>
          <w:kern w:val="0"/>
          <w:sz w:val="32"/>
          <w:szCs w:val="32"/>
        </w:rPr>
      </w:pPr>
      <w:r>
        <w:rPr>
          <w:rFonts w:hint="eastAsia" w:ascii="仿宋" w:hAnsi="仿宋" w:eastAsia="仿宋"/>
          <w:color w:val="333333"/>
          <w:kern w:val="0"/>
          <w:sz w:val="32"/>
          <w:szCs w:val="32"/>
        </w:rPr>
        <w:t>日常公用经费1755.6671万元，主要包括：办公费、印刷费、水费、电费、邮电费、取暖费、物业管理费、差旅费、维修（护）费、会议费、培训费、公务接待费、专用材料费、劳务费、工会经费、福利费、公务用车运行维护费、其他交通费、其他商品和服务支出、办公设备购置、专用设备购置、其他资本性支出等。</w:t>
      </w:r>
    </w:p>
    <w:p>
      <w:pPr>
        <w:ind w:firstLine="600" w:firstLineChars="200"/>
        <w:rPr>
          <w:rFonts w:hint="eastAsia" w:ascii="宋体" w:hAnsi="宋体" w:cs="Calibri"/>
          <w:sz w:val="30"/>
          <w:szCs w:val="30"/>
        </w:rPr>
      </w:pPr>
      <w:r>
        <w:rPr>
          <w:rFonts w:hint="eastAsia" w:ascii="宋体" w:hAnsi="宋体" w:cs="Calibri"/>
          <w:sz w:val="30"/>
          <w:szCs w:val="30"/>
        </w:rPr>
        <w:t>（二）项目支出情况。</w:t>
      </w:r>
    </w:p>
    <w:p>
      <w:pPr>
        <w:spacing w:line="500" w:lineRule="exact"/>
        <w:ind w:firstLine="640" w:firstLineChars="200"/>
        <w:rPr>
          <w:rFonts w:hint="eastAsia" w:ascii="仿宋" w:hAnsi="仿宋" w:eastAsia="仿宋"/>
          <w:color w:val="333333"/>
          <w:kern w:val="0"/>
          <w:sz w:val="32"/>
          <w:szCs w:val="32"/>
        </w:rPr>
      </w:pPr>
      <w:r>
        <w:rPr>
          <w:rFonts w:hint="eastAsia" w:ascii="仿宋" w:hAnsi="仿宋" w:eastAsia="仿宋"/>
          <w:color w:val="333333"/>
          <w:kern w:val="0"/>
          <w:sz w:val="32"/>
          <w:szCs w:val="32"/>
        </w:rPr>
        <w:t>2020年项目支出合计2178万元，其中：新冠疫情专项支出2178万元。</w:t>
      </w:r>
    </w:p>
    <w:p>
      <w:pPr>
        <w:spacing w:line="620" w:lineRule="exact"/>
        <w:ind w:firstLine="640" w:firstLineChars="200"/>
        <w:rPr>
          <w:rFonts w:hint="eastAsia" w:ascii="黑体" w:eastAsia="黑体" w:cs="Calibri"/>
          <w:color w:val="000000"/>
          <w:kern w:val="0"/>
          <w:sz w:val="32"/>
          <w:szCs w:val="32"/>
        </w:rPr>
      </w:pPr>
      <w:r>
        <w:rPr>
          <w:rFonts w:hint="eastAsia" w:ascii="黑体" w:hAnsi="黑体" w:eastAsia="黑体" w:cs="Calibri"/>
          <w:color w:val="000000"/>
          <w:kern w:val="0"/>
          <w:sz w:val="32"/>
          <w:szCs w:val="32"/>
        </w:rPr>
        <w:t>三、政府性基金预算支出情况</w:t>
      </w:r>
    </w:p>
    <w:p>
      <w:pPr>
        <w:pStyle w:val="5"/>
        <w:spacing w:line="614" w:lineRule="exact"/>
        <w:ind w:firstLine="900"/>
        <w:jc w:val="left"/>
        <w:rPr>
          <w:rFonts w:hint="eastAsia" w:ascii="仿宋" w:hAnsi="仿宋" w:eastAsia="仿宋"/>
          <w:color w:val="333333"/>
          <w:kern w:val="0"/>
          <w:sz w:val="32"/>
          <w:szCs w:val="32"/>
        </w:rPr>
      </w:pPr>
      <w:r>
        <w:rPr>
          <w:rFonts w:hint="eastAsia" w:ascii="仿宋" w:hAnsi="仿宋" w:eastAsia="仿宋"/>
          <w:color w:val="333333"/>
          <w:kern w:val="0"/>
          <w:sz w:val="32"/>
          <w:szCs w:val="32"/>
        </w:rPr>
        <w:t>无</w:t>
      </w:r>
    </w:p>
    <w:p>
      <w:pPr>
        <w:spacing w:line="620" w:lineRule="exact"/>
        <w:ind w:firstLine="640" w:firstLineChars="200"/>
        <w:rPr>
          <w:rFonts w:hint="eastAsia" w:ascii="黑体" w:eastAsia="黑体" w:cs="Calibri"/>
          <w:color w:val="000000"/>
          <w:kern w:val="0"/>
          <w:sz w:val="32"/>
          <w:szCs w:val="32"/>
        </w:rPr>
      </w:pPr>
      <w:r>
        <w:rPr>
          <w:rFonts w:hint="eastAsia" w:ascii="黑体" w:hAnsi="黑体" w:eastAsia="黑体" w:cs="Calibri"/>
          <w:color w:val="000000"/>
          <w:kern w:val="0"/>
          <w:sz w:val="32"/>
          <w:szCs w:val="32"/>
        </w:rPr>
        <w:t>四、国有资本经营预算支出情况</w:t>
      </w:r>
    </w:p>
    <w:p>
      <w:pPr>
        <w:pStyle w:val="5"/>
        <w:spacing w:line="614" w:lineRule="exact"/>
        <w:ind w:firstLine="900"/>
        <w:jc w:val="left"/>
        <w:rPr>
          <w:rFonts w:hint="eastAsia" w:ascii="仿宋" w:hAnsi="仿宋" w:eastAsia="仿宋"/>
          <w:color w:val="333333"/>
          <w:kern w:val="0"/>
          <w:sz w:val="32"/>
          <w:szCs w:val="32"/>
        </w:rPr>
      </w:pPr>
      <w:r>
        <w:rPr>
          <w:rFonts w:hint="eastAsia" w:ascii="仿宋" w:hAnsi="仿宋" w:eastAsia="仿宋"/>
          <w:color w:val="333333"/>
          <w:kern w:val="0"/>
          <w:sz w:val="32"/>
          <w:szCs w:val="32"/>
        </w:rPr>
        <w:t>无</w:t>
      </w:r>
    </w:p>
    <w:p>
      <w:pPr>
        <w:spacing w:line="620" w:lineRule="exact"/>
        <w:ind w:firstLine="640" w:firstLineChars="200"/>
        <w:rPr>
          <w:rFonts w:hint="eastAsia" w:ascii="黑体" w:eastAsia="黑体" w:cs="Calibri"/>
          <w:color w:val="000000"/>
          <w:kern w:val="0"/>
          <w:sz w:val="32"/>
          <w:szCs w:val="32"/>
        </w:rPr>
      </w:pPr>
      <w:r>
        <w:rPr>
          <w:rFonts w:hint="eastAsia" w:ascii="黑体" w:hAnsi="黑体" w:eastAsia="黑体" w:cs="Calibri"/>
          <w:color w:val="000000"/>
          <w:kern w:val="0"/>
          <w:sz w:val="32"/>
          <w:szCs w:val="32"/>
        </w:rPr>
        <w:t>五、社会保险基金预算支出情况</w:t>
      </w:r>
    </w:p>
    <w:p>
      <w:pPr>
        <w:pStyle w:val="5"/>
        <w:spacing w:line="614" w:lineRule="exact"/>
        <w:ind w:firstLine="900"/>
        <w:jc w:val="left"/>
        <w:rPr>
          <w:rFonts w:hint="eastAsia" w:ascii="仿宋" w:hAnsi="仿宋" w:eastAsia="仿宋"/>
          <w:color w:val="333333"/>
          <w:kern w:val="0"/>
          <w:sz w:val="32"/>
          <w:szCs w:val="32"/>
        </w:rPr>
      </w:pPr>
      <w:r>
        <w:rPr>
          <w:rFonts w:hint="eastAsia" w:ascii="仿宋" w:hAnsi="仿宋" w:eastAsia="仿宋"/>
          <w:color w:val="333333"/>
          <w:kern w:val="0"/>
          <w:sz w:val="32"/>
          <w:szCs w:val="32"/>
        </w:rPr>
        <w:t>无</w:t>
      </w:r>
    </w:p>
    <w:p>
      <w:pPr>
        <w:spacing w:line="620" w:lineRule="exact"/>
        <w:ind w:firstLine="640" w:firstLineChars="200"/>
        <w:rPr>
          <w:rFonts w:hint="eastAsia" w:ascii="黑体" w:eastAsia="黑体" w:cs="Calibri"/>
          <w:color w:val="000000"/>
          <w:kern w:val="0"/>
          <w:sz w:val="32"/>
          <w:szCs w:val="32"/>
        </w:rPr>
      </w:pPr>
      <w:r>
        <w:rPr>
          <w:rFonts w:hint="eastAsia" w:ascii="黑体" w:hAnsi="黑体" w:eastAsia="黑体" w:cs="Calibri"/>
          <w:color w:val="000000"/>
          <w:kern w:val="0"/>
          <w:sz w:val="32"/>
          <w:szCs w:val="32"/>
        </w:rPr>
        <w:t>六、部门整体支出绩效情况</w:t>
      </w:r>
    </w:p>
    <w:p>
      <w:pPr>
        <w:pStyle w:val="2"/>
        <w:spacing w:before="0" w:beforeAutospacing="0" w:after="0" w:afterAutospacing="0" w:line="240" w:lineRule="atLeast"/>
        <w:ind w:left="365" w:leftChars="174" w:firstLine="640" w:firstLineChars="200"/>
        <w:rPr>
          <w:rFonts w:hint="eastAsia" w:ascii="仿宋" w:hAnsi="仿宋" w:eastAsia="仿宋"/>
          <w:color w:val="333333"/>
          <w:sz w:val="32"/>
          <w:szCs w:val="32"/>
        </w:rPr>
      </w:pPr>
      <w:r>
        <w:rPr>
          <w:rFonts w:hint="eastAsia" w:ascii="仿宋" w:hAnsi="仿宋" w:eastAsia="仿宋"/>
          <w:color w:val="333333"/>
          <w:sz w:val="32"/>
          <w:szCs w:val="32"/>
        </w:rPr>
        <w:t>区卫健局202</w:t>
      </w:r>
      <w:r>
        <w:rPr>
          <w:rFonts w:hint="eastAsia" w:ascii="仿宋" w:hAnsi="仿宋" w:eastAsia="仿宋"/>
          <w:color w:val="333333"/>
          <w:sz w:val="32"/>
          <w:szCs w:val="32"/>
          <w:lang w:val="en-US" w:eastAsia="zh-CN"/>
        </w:rPr>
        <w:t>1</w:t>
      </w:r>
      <w:r>
        <w:rPr>
          <w:rFonts w:hint="eastAsia" w:ascii="仿宋" w:hAnsi="仿宋" w:eastAsia="仿宋"/>
          <w:color w:val="333333"/>
          <w:sz w:val="32"/>
          <w:szCs w:val="32"/>
        </w:rPr>
        <w:t>年支出合计</w:t>
      </w:r>
      <w:r>
        <w:rPr>
          <w:rFonts w:hint="eastAsia" w:ascii="仿宋" w:hAnsi="仿宋" w:eastAsia="仿宋"/>
          <w:color w:val="333333"/>
          <w:sz w:val="32"/>
          <w:szCs w:val="32"/>
          <w:lang w:val="en-US" w:eastAsia="zh-CN"/>
        </w:rPr>
        <w:t>4963.44</w:t>
      </w:r>
      <w:r>
        <w:rPr>
          <w:rFonts w:hint="eastAsia" w:ascii="仿宋" w:hAnsi="仿宋" w:eastAsia="仿宋"/>
          <w:color w:val="333333"/>
          <w:sz w:val="32"/>
          <w:szCs w:val="32"/>
        </w:rPr>
        <w:t>万元,其中：一般公共财政拨款支出</w:t>
      </w:r>
      <w:r>
        <w:rPr>
          <w:rFonts w:hint="eastAsia" w:ascii="仿宋" w:hAnsi="仿宋" w:eastAsia="仿宋"/>
          <w:color w:val="333333"/>
          <w:sz w:val="32"/>
          <w:szCs w:val="32"/>
          <w:lang w:val="en-US" w:eastAsia="zh-CN"/>
        </w:rPr>
        <w:t>4963.44</w:t>
      </w:r>
      <w:r>
        <w:rPr>
          <w:rFonts w:hint="eastAsia" w:ascii="仿宋" w:hAnsi="仿宋" w:eastAsia="仿宋"/>
          <w:color w:val="333333"/>
          <w:sz w:val="32"/>
          <w:szCs w:val="32"/>
        </w:rPr>
        <w:t>万元，比</w:t>
      </w:r>
      <w:r>
        <w:rPr>
          <w:rFonts w:hint="eastAsia" w:ascii="仿宋" w:hAnsi="仿宋" w:eastAsia="仿宋"/>
          <w:color w:val="333333"/>
          <w:sz w:val="32"/>
          <w:szCs w:val="32"/>
          <w:lang w:val="en-US" w:eastAsia="zh-CN"/>
        </w:rPr>
        <w:t>2020</w:t>
      </w:r>
      <w:r>
        <w:rPr>
          <w:rFonts w:hint="eastAsia" w:ascii="仿宋" w:hAnsi="仿宋" w:eastAsia="仿宋"/>
          <w:color w:val="333333"/>
          <w:sz w:val="32"/>
          <w:szCs w:val="32"/>
        </w:rPr>
        <w:t>年</w:t>
      </w:r>
      <w:r>
        <w:rPr>
          <w:rFonts w:hint="eastAsia" w:ascii="仿宋" w:hAnsi="仿宋" w:eastAsia="仿宋"/>
          <w:color w:val="333333"/>
          <w:sz w:val="32"/>
          <w:szCs w:val="32"/>
          <w:lang w:eastAsia="zh-CN"/>
        </w:rPr>
        <w:t>减少</w:t>
      </w:r>
      <w:r>
        <w:rPr>
          <w:rFonts w:hint="eastAsia" w:ascii="仿宋" w:hAnsi="仿宋" w:eastAsia="仿宋"/>
          <w:color w:val="333333"/>
          <w:sz w:val="32"/>
          <w:szCs w:val="32"/>
          <w:lang w:val="en-US" w:eastAsia="zh-CN"/>
        </w:rPr>
        <w:t>885.3</w:t>
      </w:r>
      <w:r>
        <w:rPr>
          <w:rFonts w:hint="eastAsia" w:ascii="仿宋" w:hAnsi="仿宋" w:eastAsia="仿宋"/>
          <w:color w:val="333333"/>
          <w:sz w:val="32"/>
          <w:szCs w:val="32"/>
        </w:rPr>
        <w:t>万元，</w:t>
      </w:r>
      <w:r>
        <w:rPr>
          <w:rFonts w:hint="eastAsia" w:ascii="仿宋" w:hAnsi="仿宋" w:eastAsia="仿宋"/>
          <w:color w:val="333333"/>
          <w:sz w:val="32"/>
          <w:szCs w:val="32"/>
          <w:lang w:eastAsia="zh-CN"/>
        </w:rPr>
        <w:t>减</w:t>
      </w:r>
      <w:r>
        <w:rPr>
          <w:rFonts w:hint="eastAsia" w:ascii="仿宋" w:hAnsi="仿宋" w:eastAsia="仿宋"/>
          <w:color w:val="333333"/>
          <w:sz w:val="32"/>
          <w:szCs w:val="32"/>
        </w:rPr>
        <w:t>幅</w:t>
      </w:r>
      <w:r>
        <w:rPr>
          <w:rFonts w:hint="eastAsia" w:ascii="仿宋" w:hAnsi="仿宋" w:eastAsia="仿宋"/>
          <w:color w:val="333333"/>
          <w:sz w:val="32"/>
          <w:szCs w:val="32"/>
          <w:lang w:val="en-US" w:eastAsia="zh-CN"/>
        </w:rPr>
        <w:t>17</w:t>
      </w:r>
      <w:bookmarkStart w:id="0" w:name="_GoBack"/>
      <w:bookmarkEnd w:id="0"/>
      <w:r>
        <w:rPr>
          <w:rFonts w:hint="eastAsia" w:ascii="仿宋" w:hAnsi="仿宋" w:eastAsia="仿宋"/>
          <w:color w:val="333333"/>
          <w:sz w:val="32"/>
          <w:szCs w:val="32"/>
        </w:rPr>
        <w:t>%。政府基金预算拨款支出0万元。明细情况如下：</w:t>
      </w:r>
    </w:p>
    <w:p>
      <w:pPr>
        <w:pStyle w:val="2"/>
        <w:spacing w:before="0" w:beforeAutospacing="0" w:after="0" w:afterAutospacing="0" w:line="240" w:lineRule="atLeast"/>
        <w:ind w:left="365" w:leftChars="174" w:firstLine="640" w:firstLineChars="200"/>
        <w:rPr>
          <w:rFonts w:hint="eastAsia" w:ascii="仿宋" w:hAnsi="仿宋" w:eastAsia="仿宋"/>
          <w:color w:val="333333"/>
          <w:sz w:val="32"/>
          <w:szCs w:val="32"/>
        </w:rPr>
      </w:pPr>
      <w:r>
        <w:rPr>
          <w:rFonts w:hint="eastAsia" w:ascii="仿宋" w:hAnsi="仿宋" w:eastAsia="仿宋"/>
          <w:color w:val="333333"/>
          <w:sz w:val="32"/>
          <w:szCs w:val="32"/>
        </w:rPr>
        <w:t>1、一般公共服务支出0万元。</w:t>
      </w:r>
    </w:p>
    <w:p>
      <w:pPr>
        <w:pStyle w:val="2"/>
        <w:spacing w:before="0" w:beforeAutospacing="0" w:after="0" w:afterAutospacing="0" w:line="240" w:lineRule="atLeast"/>
        <w:ind w:left="365" w:leftChars="174" w:firstLine="640" w:firstLineChars="200"/>
        <w:rPr>
          <w:rFonts w:hint="eastAsia" w:ascii="仿宋" w:hAnsi="仿宋" w:eastAsia="仿宋"/>
          <w:color w:val="333333"/>
          <w:sz w:val="32"/>
          <w:szCs w:val="32"/>
        </w:rPr>
      </w:pPr>
      <w:r>
        <w:rPr>
          <w:rFonts w:hint="eastAsia" w:ascii="仿宋" w:hAnsi="仿宋" w:eastAsia="仿宋"/>
          <w:color w:val="333333"/>
          <w:sz w:val="32"/>
          <w:szCs w:val="32"/>
        </w:rPr>
        <w:t>2、 社会保障和就业支出为91.6403万元。</w:t>
      </w:r>
    </w:p>
    <w:p>
      <w:pPr>
        <w:pStyle w:val="2"/>
        <w:spacing w:before="0" w:beforeAutospacing="0" w:after="0" w:afterAutospacing="0" w:line="240" w:lineRule="atLeast"/>
        <w:ind w:left="365" w:leftChars="174" w:firstLine="640" w:firstLineChars="200"/>
        <w:rPr>
          <w:rFonts w:hint="eastAsia" w:ascii="仿宋" w:hAnsi="仿宋" w:eastAsia="仿宋"/>
          <w:color w:val="333333"/>
          <w:sz w:val="32"/>
          <w:szCs w:val="32"/>
        </w:rPr>
      </w:pPr>
      <w:r>
        <w:rPr>
          <w:rFonts w:hint="eastAsia" w:ascii="仿宋" w:hAnsi="仿宋" w:eastAsia="仿宋"/>
          <w:color w:val="333333"/>
          <w:sz w:val="32"/>
          <w:szCs w:val="32"/>
        </w:rPr>
        <w:t>3、卫生健康支出为4871.7985万元，其中：</w:t>
      </w:r>
    </w:p>
    <w:p>
      <w:pPr>
        <w:pStyle w:val="2"/>
        <w:spacing w:before="0" w:beforeAutospacing="0" w:after="0" w:afterAutospacing="0" w:line="240" w:lineRule="atLeast"/>
        <w:ind w:left="365" w:leftChars="174" w:firstLine="640" w:firstLineChars="200"/>
        <w:rPr>
          <w:rFonts w:hint="eastAsia" w:ascii="仿宋" w:hAnsi="仿宋" w:eastAsia="仿宋"/>
          <w:color w:val="333333"/>
          <w:sz w:val="32"/>
          <w:szCs w:val="32"/>
        </w:rPr>
      </w:pPr>
      <w:r>
        <w:rPr>
          <w:rFonts w:hint="eastAsia" w:ascii="仿宋" w:hAnsi="仿宋" w:eastAsia="仿宋"/>
          <w:color w:val="333333"/>
          <w:sz w:val="32"/>
          <w:szCs w:val="32"/>
        </w:rPr>
        <w:t>卫生健康事务管理支出675.9292万元；公共卫生支出416.2103万元；计划生育事务支出1528.8498万元；老龄卫生健康事务19.0092万元。</w:t>
      </w:r>
    </w:p>
    <w:p>
      <w:pPr>
        <w:pStyle w:val="2"/>
        <w:spacing w:before="0" w:beforeAutospacing="0" w:after="0" w:afterAutospacing="0" w:line="240" w:lineRule="atLeast"/>
        <w:ind w:left="365" w:leftChars="174" w:firstLine="640" w:firstLineChars="200"/>
        <w:rPr>
          <w:rFonts w:hint="eastAsia" w:ascii="仿宋" w:hAnsi="仿宋" w:eastAsia="仿宋"/>
          <w:color w:val="333333"/>
          <w:sz w:val="32"/>
          <w:szCs w:val="32"/>
        </w:rPr>
      </w:pPr>
      <w:r>
        <w:rPr>
          <w:rFonts w:hint="eastAsia" w:ascii="仿宋" w:hAnsi="仿宋" w:eastAsia="仿宋"/>
          <w:color w:val="333333"/>
          <w:sz w:val="32"/>
          <w:szCs w:val="32"/>
        </w:rPr>
        <w:t>4、“三公”经费情况</w:t>
      </w:r>
    </w:p>
    <w:p>
      <w:pPr>
        <w:pStyle w:val="2"/>
        <w:spacing w:before="0" w:beforeAutospacing="0" w:after="0" w:afterAutospacing="0" w:line="240" w:lineRule="atLeast"/>
        <w:ind w:left="365" w:leftChars="174" w:firstLine="640" w:firstLineChars="200"/>
        <w:rPr>
          <w:rFonts w:hint="eastAsia" w:ascii="仿宋" w:hAnsi="仿宋" w:eastAsia="仿宋"/>
          <w:color w:val="333333"/>
          <w:sz w:val="32"/>
          <w:szCs w:val="32"/>
        </w:rPr>
      </w:pPr>
      <w:r>
        <w:rPr>
          <w:rFonts w:hint="eastAsia" w:ascii="仿宋" w:hAnsi="仿宋" w:eastAsia="仿宋"/>
          <w:color w:val="333333"/>
          <w:sz w:val="32"/>
          <w:szCs w:val="32"/>
        </w:rPr>
        <w:t>公务接待费支出0.9732万元，比2020年减少0.4768万元。</w:t>
      </w:r>
    </w:p>
    <w:p>
      <w:pPr>
        <w:spacing w:line="620" w:lineRule="exact"/>
        <w:ind w:firstLine="640" w:firstLineChars="200"/>
        <w:rPr>
          <w:rFonts w:hint="eastAsia" w:ascii="黑体" w:eastAsia="黑体" w:cs="Calibri"/>
          <w:color w:val="000000"/>
          <w:kern w:val="0"/>
          <w:sz w:val="32"/>
          <w:szCs w:val="32"/>
        </w:rPr>
      </w:pPr>
      <w:r>
        <w:rPr>
          <w:rFonts w:hint="eastAsia" w:ascii="黑体" w:hAnsi="黑体" w:eastAsia="黑体" w:cs="Calibri"/>
          <w:color w:val="000000"/>
          <w:kern w:val="0"/>
          <w:sz w:val="32"/>
          <w:szCs w:val="32"/>
        </w:rPr>
        <w:t>七、绩效自评得分情况及绩效等级。</w:t>
      </w:r>
    </w:p>
    <w:p>
      <w:pPr>
        <w:spacing w:line="500" w:lineRule="exact"/>
        <w:ind w:firstLine="640" w:firstLineChars="200"/>
        <w:rPr>
          <w:rFonts w:hint="eastAsia" w:ascii="仿宋" w:hAnsi="仿宋" w:eastAsia="仿宋"/>
          <w:color w:val="333333"/>
          <w:kern w:val="0"/>
          <w:sz w:val="32"/>
          <w:szCs w:val="32"/>
        </w:rPr>
      </w:pPr>
      <w:r>
        <w:rPr>
          <w:rFonts w:hint="eastAsia" w:ascii="仿宋" w:hAnsi="仿宋" w:eastAsia="仿宋"/>
          <w:color w:val="333333"/>
          <w:kern w:val="0"/>
          <w:sz w:val="32"/>
          <w:szCs w:val="32"/>
        </w:rPr>
        <w:t xml:space="preserve">综合各项指标，我局财务管理健全规范，没有发生违法违规现象，2021年的部门整体支出绩效自我评价得到92分，自评结果：优秀。全区卫计事业得以健康平稳发展。我局将在以后的工作中加强预算管理，严格控制各项经费的开支，提高经费的使用效率。 </w:t>
      </w:r>
    </w:p>
    <w:p>
      <w:pPr>
        <w:spacing w:line="620" w:lineRule="exact"/>
        <w:ind w:firstLine="640" w:firstLineChars="200"/>
        <w:rPr>
          <w:rFonts w:hint="eastAsia" w:ascii="黑体" w:eastAsia="黑体" w:cs="Calibri"/>
          <w:color w:val="000000"/>
          <w:kern w:val="0"/>
          <w:sz w:val="32"/>
          <w:szCs w:val="32"/>
        </w:rPr>
      </w:pPr>
      <w:r>
        <w:rPr>
          <w:rFonts w:hint="eastAsia" w:ascii="黑体" w:hAnsi="黑体" w:eastAsia="黑体" w:cs="Calibri"/>
          <w:color w:val="000000"/>
          <w:kern w:val="0"/>
          <w:sz w:val="32"/>
          <w:szCs w:val="32"/>
        </w:rPr>
        <w:t>八、存在的问题及原因分析</w:t>
      </w:r>
    </w:p>
    <w:p>
      <w:pPr>
        <w:spacing w:line="500" w:lineRule="exact"/>
        <w:ind w:firstLine="640" w:firstLineChars="200"/>
        <w:rPr>
          <w:rFonts w:hint="eastAsia" w:ascii="仿宋" w:hAnsi="仿宋" w:eastAsia="仿宋"/>
          <w:color w:val="333333"/>
          <w:kern w:val="0"/>
          <w:sz w:val="32"/>
          <w:szCs w:val="32"/>
        </w:rPr>
      </w:pPr>
      <w:r>
        <w:rPr>
          <w:rFonts w:hint="eastAsia" w:ascii="仿宋" w:hAnsi="仿宋" w:eastAsia="仿宋"/>
          <w:color w:val="333333"/>
          <w:kern w:val="0"/>
          <w:sz w:val="32"/>
          <w:szCs w:val="32"/>
        </w:rPr>
        <w:t>由于创国卫、信访维稳、健康扶贫等方面支出没有纳入财政预算，预算的公用经费不能满足日常开支需要。</w:t>
      </w:r>
    </w:p>
    <w:p>
      <w:pPr>
        <w:spacing w:line="620" w:lineRule="exact"/>
        <w:ind w:firstLine="640" w:firstLineChars="200"/>
        <w:rPr>
          <w:rFonts w:hint="eastAsia" w:ascii="黑体" w:eastAsia="黑体" w:cs="Calibri"/>
          <w:color w:val="000000"/>
          <w:kern w:val="0"/>
          <w:sz w:val="32"/>
          <w:szCs w:val="32"/>
        </w:rPr>
      </w:pPr>
      <w:r>
        <w:rPr>
          <w:rFonts w:hint="eastAsia" w:ascii="黑体" w:hAnsi="黑体" w:eastAsia="黑体" w:cs="Calibri"/>
          <w:color w:val="000000"/>
          <w:kern w:val="0"/>
          <w:sz w:val="32"/>
          <w:szCs w:val="32"/>
        </w:rPr>
        <w:t>九、改进措施和有关建议</w:t>
      </w:r>
    </w:p>
    <w:p>
      <w:pPr>
        <w:spacing w:line="500" w:lineRule="exact"/>
        <w:ind w:firstLine="640" w:firstLineChars="200"/>
        <w:rPr>
          <w:rFonts w:hint="eastAsia" w:ascii="仿宋" w:hAnsi="仿宋" w:eastAsia="仿宋"/>
          <w:color w:val="333333"/>
          <w:kern w:val="0"/>
          <w:sz w:val="32"/>
          <w:szCs w:val="32"/>
        </w:rPr>
      </w:pPr>
      <w:r>
        <w:rPr>
          <w:rFonts w:hint="eastAsia" w:ascii="仿宋" w:hAnsi="仿宋" w:eastAsia="仿宋"/>
          <w:color w:val="333333"/>
          <w:kern w:val="0"/>
          <w:sz w:val="32"/>
          <w:szCs w:val="32"/>
        </w:rPr>
        <w:t>卫健委作为全区卫生和计划生育的主管单位，日常开支及公务接待多，再加上创国卫、健康扶贫等额外支出多，希望财政局能够考虑实际情况，提高公用经费预算，满足日常办公、接待等开支。我局一定认真贯彻落实党中央、省、市关于厉行勤俭节约、反铺张浪费的各项规定，严格控制“三公”经费，加强会议费、培训费、差旅费的管理，切实降低行政运行成本，努力提高财政资金使用效益。</w:t>
      </w:r>
    </w:p>
    <w:p>
      <w:pPr>
        <w:spacing w:line="620" w:lineRule="exact"/>
        <w:ind w:firstLine="640" w:firstLineChars="200"/>
        <w:rPr>
          <w:rFonts w:hint="eastAsia" w:ascii="黑体" w:eastAsia="黑体" w:cs="Calibri"/>
          <w:color w:val="000000"/>
          <w:kern w:val="0"/>
          <w:sz w:val="32"/>
          <w:szCs w:val="32"/>
        </w:rPr>
      </w:pPr>
      <w:r>
        <w:rPr>
          <w:rFonts w:hint="eastAsia" w:ascii="黑体" w:hAnsi="黑体" w:eastAsia="黑体" w:cs="Calibri"/>
          <w:color w:val="000000"/>
          <w:kern w:val="0"/>
          <w:sz w:val="32"/>
          <w:szCs w:val="32"/>
        </w:rPr>
        <w:t>十、其他需要说明的情况</w:t>
      </w:r>
    </w:p>
    <w:p>
      <w:pPr>
        <w:ind w:firstLine="640" w:firstLineChars="200"/>
        <w:rPr>
          <w:rFonts w:hint="eastAsia" w:ascii="宋体" w:hAnsi="宋体" w:cs="Calibri"/>
          <w:b/>
          <w:sz w:val="30"/>
          <w:szCs w:val="30"/>
        </w:rPr>
      </w:pPr>
      <w:r>
        <w:rPr>
          <w:rFonts w:hint="eastAsia" w:ascii="仿宋" w:hAnsi="仿宋" w:eastAsia="仿宋"/>
          <w:color w:val="333333"/>
          <w:kern w:val="0"/>
          <w:sz w:val="32"/>
          <w:szCs w:val="32"/>
        </w:rPr>
        <w:t>无</w:t>
      </w:r>
    </w:p>
    <w:p>
      <w:pPr>
        <w:widowControl/>
        <w:shd w:val="clear" w:color="auto" w:fill="FFFFFF"/>
        <w:spacing w:line="450" w:lineRule="atLeast"/>
        <w:ind w:firstLine="560"/>
        <w:jc w:val="right"/>
        <w:rPr>
          <w:rFonts w:hint="eastAsia" w:ascii="仿宋" w:hAnsi="仿宋" w:eastAsia="仿宋"/>
          <w:color w:val="333333"/>
          <w:kern w:val="0"/>
          <w:sz w:val="32"/>
          <w:szCs w:val="32"/>
        </w:rPr>
      </w:pPr>
      <w:r>
        <w:rPr>
          <w:rFonts w:hint="eastAsia" w:ascii="仿宋" w:hAnsi="仿宋" w:eastAsia="仿宋"/>
          <w:color w:val="333333"/>
          <w:kern w:val="0"/>
          <w:sz w:val="32"/>
          <w:szCs w:val="32"/>
        </w:rPr>
        <w:t>冷水滩区卫生健康局</w:t>
      </w:r>
    </w:p>
    <w:p>
      <w:pPr>
        <w:widowControl/>
        <w:shd w:val="clear" w:color="auto" w:fill="FFFFFF"/>
        <w:spacing w:line="450" w:lineRule="atLeast"/>
        <w:ind w:firstLine="560"/>
        <w:jc w:val="right"/>
        <w:rPr>
          <w:rFonts w:hint="eastAsia" w:ascii="仿宋" w:hAnsi="仿宋" w:eastAsia="仿宋"/>
          <w:color w:val="333333"/>
          <w:kern w:val="0"/>
          <w:sz w:val="32"/>
          <w:szCs w:val="32"/>
        </w:rPr>
      </w:pPr>
      <w:r>
        <w:rPr>
          <w:rFonts w:hint="eastAsia" w:ascii="仿宋" w:hAnsi="仿宋" w:eastAsia="仿宋"/>
          <w:color w:val="333333"/>
          <w:kern w:val="0"/>
          <w:sz w:val="32"/>
          <w:szCs w:val="32"/>
        </w:rPr>
        <w:t>2022年8月23日</w:t>
      </w:r>
    </w:p>
    <w:p>
      <w:pPr>
        <w:widowControl/>
        <w:shd w:val="clear" w:color="auto" w:fill="FFFFFF"/>
        <w:spacing w:line="450" w:lineRule="atLeast"/>
        <w:ind w:firstLine="560"/>
        <w:jc w:val="right"/>
        <w:rPr>
          <w:rFonts w:hint="eastAsia" w:ascii="仿宋" w:hAnsi="仿宋" w:eastAsia="仿宋"/>
          <w:color w:val="333333"/>
          <w:kern w:val="0"/>
          <w:sz w:val="32"/>
          <w:szCs w:val="32"/>
        </w:rPr>
      </w:pPr>
      <w:r>
        <w:rPr>
          <w:rFonts w:hint="eastAsia" w:ascii="仿宋" w:hAnsi="仿宋" w:eastAsia="仿宋"/>
          <w:color w:val="333333"/>
          <w:kern w:val="0"/>
          <w:sz w:val="32"/>
          <w:szCs w:val="32"/>
        </w:rPr>
        <w:t xml:space="preserve"> </w:t>
      </w:r>
    </w:p>
    <w:p>
      <w:pPr>
        <w:widowControl/>
        <w:rPr>
          <w:rFonts w:hint="eastAsia" w:ascii="黑体" w:hAnsi="宋体" w:eastAsia="黑体"/>
          <w:bCs/>
          <w:kern w:val="0"/>
          <w:sz w:val="32"/>
          <w:szCs w:val="32"/>
        </w:rPr>
      </w:pPr>
      <w:r>
        <w:rPr>
          <w:rFonts w:hint="eastAsia" w:ascii="黑体" w:hAnsi="黑体" w:eastAsia="黑体"/>
          <w:bCs/>
          <w:kern w:val="0"/>
          <w:sz w:val="32"/>
          <w:szCs w:val="32"/>
        </w:rPr>
        <w:t>附件4</w:t>
      </w:r>
    </w:p>
    <w:p>
      <w:pPr>
        <w:spacing w:line="560" w:lineRule="exact"/>
        <w:jc w:val="center"/>
        <w:rPr>
          <w:rFonts w:hint="eastAsia" w:eastAsia="方正小标宋_GBK"/>
          <w:kern w:val="0"/>
          <w:sz w:val="44"/>
          <w:szCs w:val="44"/>
        </w:rPr>
      </w:pPr>
      <w:r>
        <w:rPr>
          <w:rFonts w:cs="Calibri"/>
          <w:kern w:val="0"/>
          <w:sz w:val="44"/>
          <w:szCs w:val="44"/>
        </w:rPr>
        <w:t>2021</w:t>
      </w:r>
      <w:r>
        <w:rPr>
          <w:rFonts w:hint="eastAsia" w:ascii="宋体" w:hAnsi="宋体"/>
          <w:kern w:val="0"/>
          <w:sz w:val="44"/>
          <w:szCs w:val="44"/>
        </w:rPr>
        <w:t>年度</w:t>
      </w:r>
      <w:r>
        <w:rPr>
          <w:rFonts w:ascii="方正小标宋_GBK" w:hAnsi="方正小标宋_GBK" w:cs="Calibri"/>
          <w:kern w:val="0"/>
          <w:sz w:val="44"/>
          <w:szCs w:val="44"/>
        </w:rPr>
        <w:t>部门整体支出绩效评价表</w:t>
      </w:r>
    </w:p>
    <w:tbl>
      <w:tblPr>
        <w:tblStyle w:val="3"/>
        <w:tblW w:w="10676" w:type="dxa"/>
        <w:jc w:val="center"/>
        <w:tblLayout w:type="fixed"/>
        <w:tblCellMar>
          <w:top w:w="0" w:type="dxa"/>
          <w:left w:w="108" w:type="dxa"/>
          <w:bottom w:w="0" w:type="dxa"/>
          <w:right w:w="108" w:type="dxa"/>
        </w:tblCellMar>
      </w:tblPr>
      <w:tblGrid>
        <w:gridCol w:w="521"/>
        <w:gridCol w:w="419"/>
        <w:gridCol w:w="682"/>
        <w:gridCol w:w="419"/>
        <w:gridCol w:w="1203"/>
        <w:gridCol w:w="481"/>
        <w:gridCol w:w="2999"/>
        <w:gridCol w:w="3427"/>
        <w:gridCol w:w="525"/>
      </w:tblGrid>
      <w:tr>
        <w:tblPrEx>
          <w:tblCellMar>
            <w:top w:w="0" w:type="dxa"/>
            <w:left w:w="108" w:type="dxa"/>
            <w:bottom w:w="0" w:type="dxa"/>
            <w:right w:w="108" w:type="dxa"/>
          </w:tblCellMar>
        </w:tblPrEx>
        <w:trPr>
          <w:trHeight w:val="952" w:hRule="atLeast"/>
          <w:jc w:val="center"/>
        </w:trPr>
        <w:tc>
          <w:tcPr>
            <w:tcW w:w="521"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r>
              <w:rPr>
                <w:rFonts w:ascii="仿宋_GB2312" w:hAnsi="仿宋_GB2312" w:cs="Calibri"/>
                <w:kern w:val="0"/>
                <w:sz w:val="20"/>
                <w:szCs w:val="20"/>
              </w:rPr>
              <w:t>一级指标</w:t>
            </w:r>
          </w:p>
        </w:tc>
        <w:tc>
          <w:tcPr>
            <w:tcW w:w="419"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ascii="仿宋_GB2312" w:hAnsi="仿宋_GB2312" w:cs="Calibri"/>
                <w:kern w:val="0"/>
                <w:sz w:val="20"/>
                <w:szCs w:val="20"/>
              </w:rPr>
              <w:t>分值</w:t>
            </w:r>
          </w:p>
        </w:tc>
        <w:tc>
          <w:tcPr>
            <w:tcW w:w="682"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ascii="仿宋_GB2312" w:hAnsi="仿宋_GB2312" w:cs="Calibri"/>
                <w:kern w:val="0"/>
                <w:sz w:val="20"/>
                <w:szCs w:val="20"/>
              </w:rPr>
              <w:t>二级指标</w:t>
            </w:r>
          </w:p>
        </w:tc>
        <w:tc>
          <w:tcPr>
            <w:tcW w:w="419"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ascii="仿宋_GB2312" w:hAnsi="仿宋_GB2312" w:cs="Calibri"/>
                <w:kern w:val="0"/>
                <w:sz w:val="20"/>
                <w:szCs w:val="20"/>
              </w:rPr>
              <w:t>分值</w:t>
            </w:r>
          </w:p>
        </w:tc>
        <w:tc>
          <w:tcPr>
            <w:tcW w:w="1203"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ascii="仿宋_GB2312" w:hAnsi="仿宋_GB2312" w:cs="Calibri"/>
                <w:kern w:val="0"/>
                <w:sz w:val="20"/>
                <w:szCs w:val="20"/>
              </w:rPr>
              <w:t>三级</w:t>
            </w:r>
          </w:p>
          <w:p>
            <w:pPr>
              <w:widowControl/>
              <w:jc w:val="center"/>
              <w:rPr>
                <w:rFonts w:eastAsia="仿宋_GB2312"/>
                <w:kern w:val="0"/>
                <w:sz w:val="20"/>
                <w:szCs w:val="20"/>
              </w:rPr>
            </w:pPr>
            <w:r>
              <w:rPr>
                <w:rFonts w:ascii="仿宋_GB2312" w:hAnsi="仿宋_GB2312" w:cs="Calibri"/>
                <w:kern w:val="0"/>
                <w:sz w:val="20"/>
                <w:szCs w:val="20"/>
              </w:rPr>
              <w:t>指标</w:t>
            </w:r>
          </w:p>
        </w:tc>
        <w:tc>
          <w:tcPr>
            <w:tcW w:w="481"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ascii="仿宋_GB2312" w:hAnsi="仿宋_GB2312" w:cs="Calibri"/>
                <w:kern w:val="0"/>
                <w:sz w:val="20"/>
                <w:szCs w:val="20"/>
              </w:rPr>
              <w:t>分值</w:t>
            </w:r>
          </w:p>
        </w:tc>
        <w:tc>
          <w:tcPr>
            <w:tcW w:w="2999"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ascii="仿宋_GB2312" w:hAnsi="仿宋_GB2312" w:cs="Calibri"/>
                <w:kern w:val="0"/>
                <w:sz w:val="20"/>
                <w:szCs w:val="20"/>
              </w:rPr>
              <w:t>评价标准</w:t>
            </w:r>
          </w:p>
        </w:tc>
        <w:tc>
          <w:tcPr>
            <w:tcW w:w="3427"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ascii="仿宋_GB2312" w:hAnsi="仿宋_GB2312" w:cs="Calibri"/>
                <w:kern w:val="0"/>
                <w:sz w:val="20"/>
                <w:szCs w:val="20"/>
              </w:rPr>
              <w:t>指标说明</w:t>
            </w:r>
          </w:p>
        </w:tc>
        <w:tc>
          <w:tcPr>
            <w:tcW w:w="525"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ascii="仿宋_GB2312" w:hAnsi="仿宋_GB2312" w:cs="Calibri"/>
                <w:kern w:val="0"/>
                <w:sz w:val="20"/>
                <w:szCs w:val="20"/>
              </w:rPr>
              <w:t>得分</w:t>
            </w:r>
          </w:p>
        </w:tc>
      </w:tr>
      <w:tr>
        <w:tblPrEx>
          <w:tblCellMar>
            <w:top w:w="0" w:type="dxa"/>
            <w:left w:w="108" w:type="dxa"/>
            <w:bottom w:w="0" w:type="dxa"/>
            <w:right w:w="108" w:type="dxa"/>
          </w:tblCellMar>
        </w:tblPrEx>
        <w:trPr>
          <w:trHeight w:val="1423" w:hRule="atLeast"/>
          <w:jc w:val="center"/>
        </w:trPr>
        <w:tc>
          <w:tcPr>
            <w:tcW w:w="521" w:type="dxa"/>
            <w:vMerge w:val="restart"/>
            <w:tcBorders>
              <w:top w:val="nil"/>
              <w:left w:val="single" w:color="auto" w:sz="4" w:space="0"/>
              <w:bottom w:val="single" w:color="auto" w:sz="4" w:space="0"/>
              <w:right w:val="single" w:color="auto" w:sz="4" w:space="0"/>
            </w:tcBorders>
            <w:vAlign w:val="center"/>
          </w:tcPr>
          <w:p>
            <w:pPr>
              <w:widowControl/>
              <w:jc w:val="center"/>
              <w:rPr>
                <w:rFonts w:eastAsia="仿宋_GB2312"/>
                <w:kern w:val="0"/>
                <w:sz w:val="20"/>
                <w:szCs w:val="20"/>
              </w:rPr>
            </w:pPr>
            <w:r>
              <w:rPr>
                <w:rFonts w:ascii="仿宋_GB2312" w:hAnsi="仿宋_GB2312" w:cs="Calibri"/>
                <w:kern w:val="0"/>
                <w:sz w:val="20"/>
                <w:szCs w:val="20"/>
              </w:rPr>
              <w:t>投入</w:t>
            </w:r>
          </w:p>
        </w:tc>
        <w:tc>
          <w:tcPr>
            <w:tcW w:w="419" w:type="dxa"/>
            <w:vMerge w:val="restart"/>
            <w:tcBorders>
              <w:top w:val="nil"/>
              <w:left w:val="nil"/>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682" w:type="dxa"/>
            <w:vMerge w:val="restart"/>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ascii="仿宋_GB2312" w:hAnsi="仿宋_GB2312" w:cs="Calibri"/>
                <w:kern w:val="0"/>
                <w:sz w:val="20"/>
                <w:szCs w:val="20"/>
              </w:rPr>
              <w:t>预算配置</w:t>
            </w:r>
          </w:p>
        </w:tc>
        <w:tc>
          <w:tcPr>
            <w:tcW w:w="419" w:type="dxa"/>
            <w:vMerge w:val="restart"/>
            <w:tcBorders>
              <w:top w:val="nil"/>
              <w:left w:val="nil"/>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ascii="仿宋_GB2312" w:hAnsi="仿宋_GB2312" w:cs="Calibri"/>
                <w:kern w:val="0"/>
                <w:sz w:val="20"/>
                <w:szCs w:val="20"/>
              </w:rPr>
              <w:t>在职人员控制率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nil"/>
              <w:right w:val="nil"/>
            </w:tcBorders>
            <w:vAlign w:val="center"/>
          </w:tcPr>
          <w:p>
            <w:pPr>
              <w:widowControl/>
              <w:jc w:val="left"/>
              <w:rPr>
                <w:rFonts w:eastAsia="仿宋_GB2312"/>
                <w:kern w:val="0"/>
                <w:sz w:val="20"/>
                <w:szCs w:val="20"/>
              </w:rPr>
            </w:pPr>
            <w:r>
              <w:rPr>
                <w:rFonts w:ascii="仿宋_GB2312" w:hAnsi="仿宋_GB2312" w:cs="Calibri"/>
                <w:kern w:val="0"/>
                <w:sz w:val="20"/>
                <w:szCs w:val="20"/>
              </w:rPr>
              <w:t>以</w:t>
            </w:r>
            <w:r>
              <w:rPr>
                <w:rFonts w:eastAsia="仿宋_GB2312"/>
                <w:kern w:val="0"/>
                <w:sz w:val="20"/>
                <w:szCs w:val="20"/>
              </w:rPr>
              <w:t>100%</w:t>
            </w:r>
            <w:r>
              <w:rPr>
                <w:rFonts w:ascii="仿宋_GB2312" w:hAnsi="仿宋_GB2312" w:cs="Calibri"/>
                <w:kern w:val="0"/>
                <w:sz w:val="20"/>
                <w:szCs w:val="20"/>
              </w:rPr>
              <w:t>为标准。在职人员控制率</w:t>
            </w:r>
            <w:r>
              <w:rPr>
                <w:rFonts w:hint="eastAsia" w:ascii="宋体" w:hAnsi="宋体"/>
                <w:kern w:val="0"/>
                <w:sz w:val="20"/>
                <w:szCs w:val="20"/>
              </w:rPr>
              <w:t>≦</w:t>
            </w:r>
            <w:r>
              <w:rPr>
                <w:rFonts w:eastAsia="仿宋_GB2312"/>
                <w:kern w:val="0"/>
                <w:sz w:val="20"/>
                <w:szCs w:val="20"/>
              </w:rPr>
              <w:t>100%</w:t>
            </w:r>
            <w:r>
              <w:rPr>
                <w:rFonts w:ascii="仿宋_GB2312" w:hAnsi="仿宋_GB2312" w:cs="Calibri"/>
                <w:kern w:val="0"/>
                <w:sz w:val="20"/>
                <w:szCs w:val="20"/>
              </w:rPr>
              <w:t>，计</w:t>
            </w:r>
            <w:r>
              <w:rPr>
                <w:rFonts w:eastAsia="仿宋_GB2312"/>
                <w:kern w:val="0"/>
                <w:sz w:val="20"/>
                <w:szCs w:val="20"/>
              </w:rPr>
              <w:t>5</w:t>
            </w:r>
            <w:r>
              <w:rPr>
                <w:rFonts w:ascii="仿宋_GB2312" w:hAnsi="仿宋_GB2312" w:cs="Calibri"/>
                <w:kern w:val="0"/>
                <w:sz w:val="20"/>
                <w:szCs w:val="20"/>
              </w:rPr>
              <w:t>分；每超过一个百分点扣</w:t>
            </w:r>
            <w:r>
              <w:rPr>
                <w:rFonts w:eastAsia="仿宋_GB2312"/>
                <w:kern w:val="0"/>
                <w:sz w:val="20"/>
                <w:szCs w:val="20"/>
              </w:rPr>
              <w:t>0.5</w:t>
            </w:r>
            <w:r>
              <w:rPr>
                <w:rFonts w:ascii="仿宋_GB2312" w:hAnsi="仿宋_GB2312" w:cs="Calibri"/>
                <w:kern w:val="0"/>
                <w:sz w:val="20"/>
                <w:szCs w:val="20"/>
              </w:rPr>
              <w:t>分，扣完为止。</w:t>
            </w:r>
          </w:p>
        </w:tc>
        <w:tc>
          <w:tcPr>
            <w:tcW w:w="3427"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r>
              <w:rPr>
                <w:rFonts w:ascii="仿宋_GB2312" w:hAnsi="仿宋_GB2312" w:cs="Calibri"/>
                <w:kern w:val="0"/>
                <w:sz w:val="20"/>
                <w:szCs w:val="20"/>
              </w:rPr>
              <w:t>在职人员控制率</w:t>
            </w:r>
            <w:r>
              <w:rPr>
                <w:rFonts w:eastAsia="仿宋_GB2312"/>
                <w:kern w:val="0"/>
                <w:sz w:val="20"/>
                <w:szCs w:val="20"/>
              </w:rPr>
              <w:t>=</w:t>
            </w:r>
            <w:r>
              <w:rPr>
                <w:rFonts w:ascii="仿宋_GB2312" w:hAnsi="仿宋_GB2312" w:cs="Calibri"/>
                <w:kern w:val="0"/>
                <w:sz w:val="20"/>
                <w:szCs w:val="20"/>
              </w:rPr>
              <w:t>（在职人员数</w:t>
            </w:r>
            <w:r>
              <w:rPr>
                <w:rFonts w:eastAsia="仿宋_GB2312"/>
                <w:kern w:val="0"/>
                <w:sz w:val="20"/>
                <w:szCs w:val="20"/>
              </w:rPr>
              <w:t>/</w:t>
            </w:r>
            <w:r>
              <w:rPr>
                <w:rFonts w:ascii="仿宋_GB2312" w:hAnsi="仿宋_GB2312" w:cs="Calibri"/>
                <w:kern w:val="0"/>
                <w:sz w:val="20"/>
                <w:szCs w:val="20"/>
              </w:rPr>
              <w:t>编制数）</w:t>
            </w:r>
            <w:r>
              <w:rPr>
                <w:rFonts w:eastAsia="仿宋_GB2312"/>
                <w:kern w:val="0"/>
                <w:sz w:val="20"/>
                <w:szCs w:val="20"/>
              </w:rPr>
              <w:t>×100%</w:t>
            </w:r>
            <w:r>
              <w:rPr>
                <w:rFonts w:ascii="仿宋_GB2312" w:hAnsi="仿宋_GB2312" w:cs="Calibri"/>
                <w:kern w:val="0"/>
                <w:sz w:val="20"/>
                <w:szCs w:val="20"/>
              </w:rPr>
              <w:t>，在职人员数：部门（单位）实际在职人数，以市财政局确定的部门决算编制口径为准。</w:t>
            </w:r>
            <w:r>
              <w:rPr>
                <w:rFonts w:eastAsia="仿宋_GB2312"/>
                <w:kern w:val="0"/>
                <w:sz w:val="20"/>
                <w:szCs w:val="20"/>
              </w:rPr>
              <w:br w:type="textWrapping"/>
            </w:r>
            <w:r>
              <w:rPr>
                <w:rFonts w:ascii="仿宋_GB2312" w:hAnsi="仿宋_GB2312" w:cs="Calibri"/>
                <w:kern w:val="0"/>
                <w:sz w:val="20"/>
                <w:szCs w:val="20"/>
              </w:rPr>
              <w:t>编制数：机构编制部门核定批复的部门（单位）的人员编制数。</w:t>
            </w:r>
          </w:p>
        </w:tc>
        <w:tc>
          <w:tcPr>
            <w:tcW w:w="525" w:type="dxa"/>
            <w:tcBorders>
              <w:top w:val="nil"/>
              <w:left w:val="nil"/>
              <w:bottom w:val="single" w:color="auto" w:sz="4" w:space="0"/>
              <w:right w:val="single" w:color="auto" w:sz="4" w:space="0"/>
            </w:tcBorders>
            <w:vAlign w:val="center"/>
          </w:tcPr>
          <w:p>
            <w:pPr>
              <w:widowControl/>
              <w:jc w:val="left"/>
              <w:rPr>
                <w:rFonts w:cs="Calibri"/>
                <w:kern w:val="0"/>
                <w:sz w:val="24"/>
                <w:szCs w:val="24"/>
              </w:rPr>
            </w:pPr>
            <w:r>
              <w:rPr>
                <w:rFonts w:hint="eastAsia" w:ascii="宋体" w:hAnsi="宋体" w:cs="Calibri"/>
                <w:kern w:val="0"/>
                <w:sz w:val="24"/>
                <w:szCs w:val="24"/>
              </w:rPr>
              <w:t>　</w:t>
            </w:r>
            <w:r>
              <w:rPr>
                <w:rFonts w:hint="eastAsia" w:cs="Calibri"/>
                <w:kern w:val="0"/>
                <w:sz w:val="24"/>
                <w:szCs w:val="24"/>
              </w:rPr>
              <w:t>3</w:t>
            </w:r>
          </w:p>
        </w:tc>
      </w:tr>
      <w:tr>
        <w:tblPrEx>
          <w:tblCellMar>
            <w:top w:w="0" w:type="dxa"/>
            <w:left w:w="108" w:type="dxa"/>
            <w:bottom w:w="0" w:type="dxa"/>
            <w:right w:w="108" w:type="dxa"/>
          </w:tblCellMar>
        </w:tblPrEx>
        <w:trPr>
          <w:trHeight w:val="716" w:hRule="atLeast"/>
          <w:jc w:val="center"/>
        </w:trPr>
        <w:tc>
          <w:tcPr>
            <w:tcW w:w="10151"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nil"/>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nil"/>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nil"/>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ascii="仿宋_GB2312" w:hAnsi="仿宋_GB2312" w:cs="Calibri"/>
                <w:kern w:val="0"/>
                <w:sz w:val="20"/>
                <w:szCs w:val="20"/>
              </w:rPr>
              <w:t>三公经费</w:t>
            </w:r>
            <w:r>
              <w:rPr>
                <w:rFonts w:eastAsia="仿宋_GB2312"/>
                <w:kern w:val="0"/>
                <w:sz w:val="20"/>
                <w:szCs w:val="20"/>
              </w:rPr>
              <w:t>”</w:t>
            </w:r>
            <w:r>
              <w:rPr>
                <w:rFonts w:ascii="仿宋_GB2312" w:hAnsi="仿宋_GB2312" w:cs="Calibri"/>
                <w:kern w:val="0"/>
                <w:sz w:val="20"/>
                <w:szCs w:val="20"/>
              </w:rPr>
              <w:t>变动率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ascii="仿宋_GB2312" w:hAnsi="仿宋_GB2312" w:cs="Calibri"/>
                <w:kern w:val="0"/>
                <w:sz w:val="20"/>
                <w:szCs w:val="20"/>
              </w:rPr>
              <w:t>三公经费</w:t>
            </w:r>
            <w:r>
              <w:rPr>
                <w:rFonts w:eastAsia="仿宋_GB2312"/>
                <w:kern w:val="0"/>
                <w:sz w:val="20"/>
                <w:szCs w:val="20"/>
              </w:rPr>
              <w:t>”</w:t>
            </w:r>
            <w:r>
              <w:rPr>
                <w:rFonts w:ascii="仿宋_GB2312" w:hAnsi="仿宋_GB2312" w:cs="Calibri"/>
                <w:kern w:val="0"/>
                <w:sz w:val="20"/>
                <w:szCs w:val="20"/>
              </w:rPr>
              <w:t>变动率</w:t>
            </w:r>
            <w:r>
              <w:rPr>
                <w:rFonts w:hint="eastAsia" w:ascii="宋体" w:hAnsi="宋体"/>
                <w:kern w:val="0"/>
                <w:sz w:val="20"/>
                <w:szCs w:val="20"/>
              </w:rPr>
              <w:t>≦</w:t>
            </w:r>
            <w:r>
              <w:rPr>
                <w:rFonts w:eastAsia="仿宋_GB2312"/>
                <w:kern w:val="0"/>
                <w:sz w:val="20"/>
                <w:szCs w:val="20"/>
              </w:rPr>
              <w:t>0,</w:t>
            </w:r>
            <w:r>
              <w:rPr>
                <w:rFonts w:ascii="仿宋_GB2312" w:hAnsi="仿宋_GB2312" w:cs="Calibri"/>
                <w:kern w:val="0"/>
                <w:sz w:val="20"/>
                <w:szCs w:val="20"/>
              </w:rPr>
              <w:t>计</w:t>
            </w:r>
            <w:r>
              <w:rPr>
                <w:rFonts w:eastAsia="仿宋_GB2312"/>
                <w:kern w:val="0"/>
                <w:sz w:val="20"/>
                <w:szCs w:val="20"/>
              </w:rPr>
              <w:t>8</w:t>
            </w:r>
            <w:r>
              <w:rPr>
                <w:rFonts w:ascii="仿宋_GB2312" w:hAnsi="仿宋_GB2312" w:cs="Calibri"/>
                <w:kern w:val="0"/>
                <w:sz w:val="20"/>
                <w:szCs w:val="20"/>
              </w:rPr>
              <w:t>分；</w:t>
            </w:r>
            <w:r>
              <w:rPr>
                <w:rFonts w:eastAsia="仿宋_GB2312"/>
                <w:kern w:val="0"/>
                <w:sz w:val="20"/>
                <w:szCs w:val="20"/>
              </w:rPr>
              <w:t>“</w:t>
            </w:r>
            <w:r>
              <w:rPr>
                <w:rFonts w:ascii="仿宋_GB2312" w:hAnsi="仿宋_GB2312" w:cs="Calibri"/>
                <w:kern w:val="0"/>
                <w:sz w:val="20"/>
                <w:szCs w:val="20"/>
              </w:rPr>
              <w:t>三公经费</w:t>
            </w:r>
            <w:r>
              <w:rPr>
                <w:rFonts w:eastAsia="仿宋_GB2312"/>
                <w:kern w:val="0"/>
                <w:sz w:val="20"/>
                <w:szCs w:val="20"/>
              </w:rPr>
              <w:t>”</w:t>
            </w:r>
            <w:r>
              <w:rPr>
                <w:rFonts w:ascii="仿宋_GB2312" w:hAnsi="仿宋_GB2312" w:cs="Calibri"/>
                <w:kern w:val="0"/>
                <w:sz w:val="20"/>
                <w:szCs w:val="20"/>
              </w:rPr>
              <w:t>＞</w:t>
            </w:r>
            <w:r>
              <w:rPr>
                <w:rFonts w:eastAsia="仿宋_GB2312"/>
                <w:kern w:val="0"/>
                <w:sz w:val="20"/>
                <w:szCs w:val="20"/>
              </w:rPr>
              <w:t>0</w:t>
            </w:r>
            <w:r>
              <w:rPr>
                <w:rFonts w:ascii="仿宋_GB2312" w:hAnsi="仿宋_GB2312" w:cs="Calibri"/>
                <w:kern w:val="0"/>
                <w:sz w:val="20"/>
                <w:szCs w:val="20"/>
              </w:rPr>
              <w:t>，每超过一个百分点扣</w:t>
            </w:r>
            <w:r>
              <w:rPr>
                <w:rFonts w:eastAsia="仿宋_GB2312"/>
                <w:kern w:val="0"/>
                <w:sz w:val="20"/>
                <w:szCs w:val="20"/>
              </w:rPr>
              <w:t>0.8</w:t>
            </w:r>
            <w:r>
              <w:rPr>
                <w:rFonts w:ascii="仿宋_GB2312" w:hAnsi="仿宋_GB2312" w:cs="Calibri"/>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ascii="仿宋_GB2312" w:hAnsi="仿宋_GB2312" w:cs="Calibri"/>
                <w:kern w:val="0"/>
                <w:sz w:val="20"/>
                <w:szCs w:val="20"/>
              </w:rPr>
              <w:t>三公经费</w:t>
            </w:r>
            <w:r>
              <w:rPr>
                <w:rFonts w:eastAsia="仿宋_GB2312"/>
                <w:kern w:val="0"/>
                <w:sz w:val="20"/>
                <w:szCs w:val="20"/>
              </w:rPr>
              <w:t>”</w:t>
            </w:r>
            <w:r>
              <w:rPr>
                <w:rFonts w:ascii="仿宋_GB2312" w:hAnsi="仿宋_GB2312" w:cs="Calibri"/>
                <w:kern w:val="0"/>
                <w:sz w:val="20"/>
                <w:szCs w:val="20"/>
              </w:rPr>
              <w:t>变动率</w:t>
            </w:r>
            <w:r>
              <w:rPr>
                <w:rFonts w:eastAsia="仿宋_GB2312"/>
                <w:kern w:val="0"/>
                <w:sz w:val="20"/>
                <w:szCs w:val="20"/>
              </w:rPr>
              <w:t>=[</w:t>
            </w:r>
            <w:r>
              <w:rPr>
                <w:rFonts w:ascii="仿宋_GB2312" w:hAnsi="仿宋_GB2312" w:cs="Calibri"/>
                <w:kern w:val="0"/>
                <w:sz w:val="20"/>
                <w:szCs w:val="20"/>
              </w:rPr>
              <w:t>（本年度</w:t>
            </w:r>
            <w:r>
              <w:rPr>
                <w:rFonts w:eastAsia="仿宋_GB2312"/>
                <w:kern w:val="0"/>
                <w:sz w:val="20"/>
                <w:szCs w:val="20"/>
              </w:rPr>
              <w:t>“</w:t>
            </w:r>
            <w:r>
              <w:rPr>
                <w:rFonts w:ascii="仿宋_GB2312" w:hAnsi="仿宋_GB2312" w:cs="Calibri"/>
                <w:kern w:val="0"/>
                <w:sz w:val="20"/>
                <w:szCs w:val="20"/>
              </w:rPr>
              <w:t>三公经费</w:t>
            </w:r>
            <w:r>
              <w:rPr>
                <w:rFonts w:eastAsia="仿宋_GB2312"/>
                <w:kern w:val="0"/>
                <w:sz w:val="20"/>
                <w:szCs w:val="20"/>
              </w:rPr>
              <w:t>”</w:t>
            </w:r>
            <w:r>
              <w:rPr>
                <w:rFonts w:ascii="仿宋_GB2312" w:hAnsi="仿宋_GB2312" w:cs="Calibri"/>
                <w:kern w:val="0"/>
                <w:sz w:val="20"/>
                <w:szCs w:val="20"/>
              </w:rPr>
              <w:t>预算数</w:t>
            </w:r>
            <w:r>
              <w:rPr>
                <w:rFonts w:eastAsia="仿宋_GB2312"/>
                <w:kern w:val="0"/>
                <w:sz w:val="20"/>
                <w:szCs w:val="20"/>
              </w:rPr>
              <w:t>-</w:t>
            </w:r>
            <w:r>
              <w:rPr>
                <w:rFonts w:ascii="仿宋_GB2312" w:hAnsi="仿宋_GB2312" w:cs="Calibri"/>
                <w:kern w:val="0"/>
                <w:sz w:val="20"/>
                <w:szCs w:val="20"/>
              </w:rPr>
              <w:t>上年度</w:t>
            </w:r>
            <w:r>
              <w:rPr>
                <w:rFonts w:eastAsia="仿宋_GB2312"/>
                <w:kern w:val="0"/>
                <w:sz w:val="20"/>
                <w:szCs w:val="20"/>
              </w:rPr>
              <w:t>“</w:t>
            </w:r>
            <w:r>
              <w:rPr>
                <w:rFonts w:ascii="仿宋_GB2312" w:hAnsi="仿宋_GB2312" w:cs="Calibri"/>
                <w:kern w:val="0"/>
                <w:sz w:val="20"/>
                <w:szCs w:val="20"/>
              </w:rPr>
              <w:t>三公经费</w:t>
            </w:r>
            <w:r>
              <w:rPr>
                <w:rFonts w:eastAsia="仿宋_GB2312"/>
                <w:kern w:val="0"/>
                <w:sz w:val="20"/>
                <w:szCs w:val="20"/>
              </w:rPr>
              <w:t>”</w:t>
            </w:r>
            <w:r>
              <w:rPr>
                <w:rFonts w:ascii="仿宋_GB2312" w:hAnsi="仿宋_GB2312" w:cs="Calibri"/>
                <w:kern w:val="0"/>
                <w:sz w:val="20"/>
                <w:szCs w:val="20"/>
              </w:rPr>
              <w:t>预算数）</w:t>
            </w:r>
            <w:r>
              <w:rPr>
                <w:rFonts w:eastAsia="仿宋_GB2312"/>
                <w:kern w:val="0"/>
                <w:sz w:val="20"/>
                <w:szCs w:val="20"/>
              </w:rPr>
              <w:t>/</w:t>
            </w:r>
            <w:r>
              <w:rPr>
                <w:rFonts w:ascii="仿宋_GB2312" w:hAnsi="仿宋_GB2312" w:cs="Calibri"/>
                <w:kern w:val="0"/>
                <w:sz w:val="20"/>
                <w:szCs w:val="20"/>
              </w:rPr>
              <w:t>上年度</w:t>
            </w:r>
            <w:r>
              <w:rPr>
                <w:rFonts w:eastAsia="仿宋_GB2312"/>
                <w:kern w:val="0"/>
                <w:sz w:val="20"/>
                <w:szCs w:val="20"/>
              </w:rPr>
              <w:t>“</w:t>
            </w:r>
            <w:r>
              <w:rPr>
                <w:rFonts w:ascii="仿宋_GB2312" w:hAnsi="仿宋_GB2312" w:cs="Calibri"/>
                <w:kern w:val="0"/>
                <w:sz w:val="20"/>
                <w:szCs w:val="20"/>
              </w:rPr>
              <w:t>三公经费</w:t>
            </w:r>
            <w:r>
              <w:rPr>
                <w:rFonts w:eastAsia="仿宋_GB2312"/>
                <w:kern w:val="0"/>
                <w:sz w:val="20"/>
                <w:szCs w:val="20"/>
              </w:rPr>
              <w:t>”</w:t>
            </w:r>
            <w:r>
              <w:rPr>
                <w:rFonts w:ascii="仿宋_GB2312" w:hAnsi="仿宋_GB2312" w:cs="Calibri"/>
                <w:kern w:val="0"/>
                <w:sz w:val="20"/>
                <w:szCs w:val="20"/>
              </w:rPr>
              <w:t>预算数</w:t>
            </w:r>
            <w:r>
              <w:rPr>
                <w:rFonts w:eastAsia="仿宋_GB2312"/>
                <w:kern w:val="0"/>
                <w:sz w:val="20"/>
                <w:szCs w:val="20"/>
              </w:rPr>
              <w:t>]×100%</w:t>
            </w:r>
          </w:p>
        </w:tc>
        <w:tc>
          <w:tcPr>
            <w:tcW w:w="525" w:type="dxa"/>
            <w:tcBorders>
              <w:top w:val="nil"/>
              <w:left w:val="nil"/>
              <w:bottom w:val="single" w:color="auto" w:sz="4" w:space="0"/>
              <w:right w:val="single" w:color="auto" w:sz="4" w:space="0"/>
            </w:tcBorders>
            <w:vAlign w:val="center"/>
          </w:tcPr>
          <w:p>
            <w:pPr>
              <w:widowControl/>
              <w:jc w:val="left"/>
              <w:rPr>
                <w:kern w:val="0"/>
                <w:sz w:val="24"/>
                <w:szCs w:val="24"/>
              </w:rPr>
            </w:pPr>
            <w:r>
              <w:rPr>
                <w:rFonts w:hint="eastAsia" w:cs="Calibri"/>
                <w:kern w:val="0"/>
                <w:sz w:val="24"/>
                <w:szCs w:val="24"/>
              </w:rPr>
              <w:t>5</w:t>
            </w:r>
            <w:r>
              <w:rPr>
                <w:rFonts w:hint="eastAsia" w:ascii="宋体" w:hAnsi="宋体" w:cs="Calibri"/>
                <w:kern w:val="0"/>
                <w:sz w:val="24"/>
                <w:szCs w:val="24"/>
              </w:rPr>
              <w:t>　</w:t>
            </w:r>
          </w:p>
        </w:tc>
      </w:tr>
      <w:tr>
        <w:tblPrEx>
          <w:tblCellMar>
            <w:top w:w="0" w:type="dxa"/>
            <w:left w:w="108" w:type="dxa"/>
            <w:bottom w:w="0" w:type="dxa"/>
            <w:right w:w="108" w:type="dxa"/>
          </w:tblCellMar>
        </w:tblPrEx>
        <w:trPr>
          <w:trHeight w:val="716" w:hRule="atLeast"/>
          <w:jc w:val="center"/>
        </w:trPr>
        <w:tc>
          <w:tcPr>
            <w:tcW w:w="521"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ascii="仿宋_GB2312" w:hAnsi="仿宋_GB2312" w:cs="Calibri"/>
                <w:kern w:val="0"/>
                <w:sz w:val="20"/>
                <w:szCs w:val="20"/>
              </w:rPr>
              <w:t>过</w:t>
            </w:r>
            <w:r>
              <w:rPr>
                <w:rFonts w:eastAsia="仿宋_GB2312"/>
                <w:kern w:val="0"/>
                <w:sz w:val="20"/>
                <w:szCs w:val="20"/>
              </w:rPr>
              <w:t xml:space="preserve">                                                                                                                                       </w:t>
            </w:r>
            <w:r>
              <w:rPr>
                <w:rFonts w:ascii="仿宋_GB2312" w:hAnsi="仿宋_GB2312" w:cs="Calibri"/>
                <w:kern w:val="0"/>
                <w:sz w:val="20"/>
                <w:szCs w:val="20"/>
              </w:rPr>
              <w:t>程</w:t>
            </w:r>
          </w:p>
        </w:tc>
        <w:tc>
          <w:tcPr>
            <w:tcW w:w="419" w:type="dxa"/>
            <w:vMerge w:val="restart"/>
            <w:tcBorders>
              <w:top w:val="nil"/>
              <w:left w:val="nil"/>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60</w:t>
            </w:r>
          </w:p>
        </w:tc>
        <w:tc>
          <w:tcPr>
            <w:tcW w:w="682" w:type="dxa"/>
            <w:vMerge w:val="restart"/>
            <w:tcBorders>
              <w:top w:val="nil"/>
              <w:left w:val="nil"/>
              <w:bottom w:val="single" w:color="000000" w:sz="4" w:space="0"/>
              <w:right w:val="single" w:color="auto" w:sz="4" w:space="0"/>
            </w:tcBorders>
            <w:vAlign w:val="center"/>
          </w:tcPr>
          <w:p>
            <w:pPr>
              <w:widowControl/>
              <w:jc w:val="center"/>
              <w:rPr>
                <w:rFonts w:eastAsia="仿宋_GB2312"/>
                <w:kern w:val="0"/>
                <w:sz w:val="20"/>
                <w:szCs w:val="20"/>
              </w:rPr>
            </w:pPr>
            <w:r>
              <w:rPr>
                <w:rFonts w:ascii="仿宋_GB2312" w:hAnsi="仿宋_GB2312" w:cs="Calibri"/>
                <w:kern w:val="0"/>
                <w:sz w:val="20"/>
                <w:szCs w:val="20"/>
              </w:rPr>
              <w:t>预算执行</w:t>
            </w:r>
          </w:p>
        </w:tc>
        <w:tc>
          <w:tcPr>
            <w:tcW w:w="419" w:type="dxa"/>
            <w:vMerge w:val="restart"/>
            <w:tcBorders>
              <w:top w:val="nil"/>
              <w:left w:val="nil"/>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20</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ascii="仿宋_GB2312" w:hAnsi="仿宋_GB2312" w:cs="Calibri"/>
                <w:kern w:val="0"/>
                <w:sz w:val="20"/>
                <w:szCs w:val="20"/>
              </w:rPr>
              <w:t>预算完成率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ascii="仿宋_GB2312" w:hAnsi="仿宋_GB2312" w:cs="Calibri"/>
                <w:kern w:val="0"/>
                <w:sz w:val="20"/>
                <w:szCs w:val="20"/>
              </w:rPr>
              <w:t>计满分，每低于</w:t>
            </w:r>
            <w:r>
              <w:rPr>
                <w:rFonts w:eastAsia="仿宋_GB2312"/>
                <w:kern w:val="0"/>
                <w:sz w:val="20"/>
                <w:szCs w:val="20"/>
              </w:rPr>
              <w:t>5%</w:t>
            </w:r>
            <w:r>
              <w:rPr>
                <w:rFonts w:ascii="仿宋_GB2312" w:hAnsi="仿宋_GB2312" w:cs="Calibri"/>
                <w:kern w:val="0"/>
                <w:sz w:val="20"/>
                <w:szCs w:val="20"/>
              </w:rPr>
              <w:t>扣</w:t>
            </w:r>
            <w:r>
              <w:rPr>
                <w:rFonts w:eastAsia="仿宋_GB2312"/>
                <w:kern w:val="0"/>
                <w:sz w:val="20"/>
                <w:szCs w:val="20"/>
              </w:rPr>
              <w:t>2</w:t>
            </w:r>
            <w:r>
              <w:rPr>
                <w:rFonts w:ascii="仿宋_GB2312" w:hAnsi="仿宋_GB2312" w:cs="Calibri"/>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ascii="仿宋_GB2312" w:hAnsi="仿宋_GB2312" w:cs="Calibri"/>
                <w:kern w:val="0"/>
                <w:sz w:val="20"/>
                <w:szCs w:val="20"/>
              </w:rPr>
              <w:t>预算完成率</w:t>
            </w:r>
            <w:r>
              <w:rPr>
                <w:rFonts w:eastAsia="仿宋_GB2312"/>
                <w:kern w:val="0"/>
                <w:sz w:val="20"/>
                <w:szCs w:val="20"/>
              </w:rPr>
              <w:t>=</w:t>
            </w:r>
            <w:r>
              <w:rPr>
                <w:rFonts w:ascii="仿宋_GB2312" w:hAnsi="仿宋_GB2312" w:cs="Calibri"/>
                <w:kern w:val="0"/>
                <w:sz w:val="20"/>
                <w:szCs w:val="20"/>
              </w:rPr>
              <w:t>（上年结转</w:t>
            </w:r>
            <w:r>
              <w:rPr>
                <w:rFonts w:eastAsia="仿宋_GB2312"/>
                <w:kern w:val="0"/>
                <w:sz w:val="20"/>
                <w:szCs w:val="20"/>
              </w:rPr>
              <w:t>+</w:t>
            </w:r>
            <w:r>
              <w:rPr>
                <w:rFonts w:ascii="仿宋_GB2312" w:hAnsi="仿宋_GB2312" w:cs="Calibri"/>
                <w:kern w:val="0"/>
                <w:sz w:val="20"/>
                <w:szCs w:val="20"/>
              </w:rPr>
              <w:t>年初预算</w:t>
            </w:r>
            <w:r>
              <w:rPr>
                <w:rFonts w:eastAsia="仿宋_GB2312"/>
                <w:kern w:val="0"/>
                <w:sz w:val="20"/>
                <w:szCs w:val="20"/>
              </w:rPr>
              <w:t>+</w:t>
            </w:r>
            <w:r>
              <w:rPr>
                <w:rFonts w:ascii="仿宋_GB2312" w:hAnsi="仿宋_GB2312" w:cs="Calibri"/>
                <w:kern w:val="0"/>
                <w:sz w:val="20"/>
                <w:szCs w:val="20"/>
              </w:rPr>
              <w:t>本年追加预算</w:t>
            </w:r>
            <w:r>
              <w:rPr>
                <w:rFonts w:eastAsia="仿宋_GB2312"/>
                <w:kern w:val="0"/>
                <w:sz w:val="20"/>
                <w:szCs w:val="20"/>
              </w:rPr>
              <w:t>-</w:t>
            </w:r>
            <w:r>
              <w:rPr>
                <w:rFonts w:ascii="仿宋_GB2312" w:hAnsi="仿宋_GB2312" w:cs="Calibri"/>
                <w:kern w:val="0"/>
                <w:sz w:val="20"/>
                <w:szCs w:val="20"/>
              </w:rPr>
              <w:t>年末结余）</w:t>
            </w:r>
            <w:r>
              <w:rPr>
                <w:rFonts w:eastAsia="仿宋_GB2312"/>
                <w:kern w:val="0"/>
                <w:sz w:val="20"/>
                <w:szCs w:val="20"/>
              </w:rPr>
              <w:t>/</w:t>
            </w:r>
            <w:r>
              <w:rPr>
                <w:rFonts w:ascii="仿宋_GB2312" w:hAnsi="仿宋_GB2312" w:cs="Calibri"/>
                <w:kern w:val="0"/>
                <w:sz w:val="20"/>
                <w:szCs w:val="20"/>
              </w:rPr>
              <w:t>（上年结转</w:t>
            </w:r>
            <w:r>
              <w:rPr>
                <w:rFonts w:eastAsia="仿宋_GB2312"/>
                <w:kern w:val="0"/>
                <w:sz w:val="20"/>
                <w:szCs w:val="20"/>
              </w:rPr>
              <w:t>+</w:t>
            </w:r>
            <w:r>
              <w:rPr>
                <w:rFonts w:ascii="仿宋_GB2312" w:hAnsi="仿宋_GB2312" w:cs="Calibri"/>
                <w:kern w:val="0"/>
                <w:sz w:val="20"/>
                <w:szCs w:val="20"/>
              </w:rPr>
              <w:t>年初预算</w:t>
            </w:r>
            <w:r>
              <w:rPr>
                <w:rFonts w:eastAsia="仿宋_GB2312"/>
                <w:kern w:val="0"/>
                <w:sz w:val="20"/>
                <w:szCs w:val="20"/>
              </w:rPr>
              <w:t>+</w:t>
            </w:r>
            <w:r>
              <w:rPr>
                <w:rFonts w:ascii="仿宋_GB2312" w:hAnsi="仿宋_GB2312" w:cs="Calibri"/>
                <w:kern w:val="0"/>
                <w:sz w:val="20"/>
                <w:szCs w:val="20"/>
              </w:rPr>
              <w:t>本年追加预算）</w:t>
            </w:r>
            <w:r>
              <w:rPr>
                <w:rFonts w:eastAsia="仿宋_GB2312"/>
                <w:kern w:val="0"/>
                <w:sz w:val="20"/>
                <w:szCs w:val="20"/>
              </w:rPr>
              <w:t>×100%</w:t>
            </w:r>
            <w:r>
              <w:rPr>
                <w:rFonts w:ascii="仿宋_GB2312" w:hAnsi="仿宋_GB2312" w:cs="Calibri"/>
                <w:kern w:val="0"/>
                <w:sz w:val="20"/>
                <w:szCs w:val="20"/>
              </w:rPr>
              <w:t>。</w:t>
            </w:r>
          </w:p>
        </w:tc>
        <w:tc>
          <w:tcPr>
            <w:tcW w:w="525" w:type="dxa"/>
            <w:tcBorders>
              <w:top w:val="nil"/>
              <w:left w:val="nil"/>
              <w:bottom w:val="single" w:color="auto" w:sz="4" w:space="0"/>
              <w:right w:val="single" w:color="auto" w:sz="4" w:space="0"/>
            </w:tcBorders>
            <w:vAlign w:val="center"/>
          </w:tcPr>
          <w:p>
            <w:pPr>
              <w:widowControl/>
              <w:jc w:val="left"/>
              <w:rPr>
                <w:kern w:val="0"/>
                <w:sz w:val="24"/>
                <w:szCs w:val="24"/>
              </w:rPr>
            </w:pPr>
            <w:r>
              <w:rPr>
                <w:rFonts w:hint="eastAsia" w:cs="Calibri"/>
                <w:kern w:val="0"/>
                <w:sz w:val="24"/>
                <w:szCs w:val="24"/>
              </w:rPr>
              <w:t>5</w:t>
            </w:r>
            <w:r>
              <w:rPr>
                <w:rFonts w:hint="eastAsia" w:ascii="宋体" w:hAnsi="宋体" w:cs="Calibri"/>
                <w:kern w:val="0"/>
                <w:sz w:val="24"/>
                <w:szCs w:val="24"/>
              </w:rPr>
              <w:t>　</w:t>
            </w:r>
          </w:p>
        </w:tc>
      </w:tr>
      <w:tr>
        <w:tblPrEx>
          <w:tblCellMar>
            <w:top w:w="0" w:type="dxa"/>
            <w:left w:w="108" w:type="dxa"/>
            <w:bottom w:w="0" w:type="dxa"/>
            <w:right w:w="108" w:type="dxa"/>
          </w:tblCellMar>
        </w:tblPrEx>
        <w:trPr>
          <w:trHeight w:val="971" w:hRule="atLeast"/>
          <w:jc w:val="center"/>
        </w:trPr>
        <w:tc>
          <w:tcPr>
            <w:tcW w:w="1015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nil"/>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nil"/>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nil"/>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ascii="仿宋_GB2312" w:hAnsi="仿宋_GB2312" w:cs="Calibri"/>
                <w:kern w:val="0"/>
                <w:sz w:val="20"/>
                <w:szCs w:val="20"/>
              </w:rPr>
              <w:t>预算控制率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ascii="仿宋_GB2312" w:hAnsi="仿宋_GB2312" w:cs="Calibri"/>
                <w:kern w:val="0"/>
                <w:sz w:val="20"/>
                <w:szCs w:val="20"/>
              </w:rPr>
              <w:t>预算控制率</w:t>
            </w:r>
            <w:r>
              <w:rPr>
                <w:rFonts w:eastAsia="仿宋_GB2312"/>
                <w:kern w:val="0"/>
                <w:sz w:val="20"/>
                <w:szCs w:val="20"/>
              </w:rPr>
              <w:t>=0</w:t>
            </w:r>
            <w:r>
              <w:rPr>
                <w:rFonts w:ascii="仿宋_GB2312" w:hAnsi="仿宋_GB2312" w:cs="Calibri"/>
                <w:kern w:val="0"/>
                <w:sz w:val="20"/>
                <w:szCs w:val="20"/>
              </w:rPr>
              <w:t>，计</w:t>
            </w:r>
            <w:r>
              <w:rPr>
                <w:rFonts w:eastAsia="仿宋_GB2312"/>
                <w:kern w:val="0"/>
                <w:sz w:val="20"/>
                <w:szCs w:val="20"/>
              </w:rPr>
              <w:t>5</w:t>
            </w:r>
            <w:r>
              <w:rPr>
                <w:rFonts w:ascii="仿宋_GB2312" w:hAnsi="仿宋_GB2312" w:cs="Calibri"/>
                <w:kern w:val="0"/>
                <w:sz w:val="20"/>
                <w:szCs w:val="20"/>
              </w:rPr>
              <w:t>分；</w:t>
            </w:r>
            <w:r>
              <w:rPr>
                <w:rFonts w:eastAsia="仿宋_GB2312"/>
                <w:kern w:val="0"/>
                <w:sz w:val="20"/>
                <w:szCs w:val="20"/>
              </w:rPr>
              <w:t>0-10%</w:t>
            </w:r>
            <w:r>
              <w:rPr>
                <w:rFonts w:ascii="仿宋_GB2312" w:hAnsi="仿宋_GB2312" w:cs="Calibri"/>
                <w:kern w:val="0"/>
                <w:sz w:val="20"/>
                <w:szCs w:val="20"/>
              </w:rPr>
              <w:t>（含），计</w:t>
            </w:r>
            <w:r>
              <w:rPr>
                <w:rFonts w:eastAsia="仿宋_GB2312"/>
                <w:kern w:val="0"/>
                <w:sz w:val="20"/>
                <w:szCs w:val="20"/>
              </w:rPr>
              <w:t>4</w:t>
            </w:r>
            <w:r>
              <w:rPr>
                <w:rFonts w:ascii="仿宋_GB2312" w:hAnsi="仿宋_GB2312" w:cs="Calibri"/>
                <w:kern w:val="0"/>
                <w:sz w:val="20"/>
                <w:szCs w:val="20"/>
              </w:rPr>
              <w:t>分；</w:t>
            </w:r>
            <w:r>
              <w:rPr>
                <w:rFonts w:eastAsia="仿宋_GB2312"/>
                <w:kern w:val="0"/>
                <w:sz w:val="20"/>
                <w:szCs w:val="20"/>
              </w:rPr>
              <w:t>10-20%</w:t>
            </w:r>
            <w:r>
              <w:rPr>
                <w:rFonts w:ascii="仿宋_GB2312" w:hAnsi="仿宋_GB2312" w:cs="Calibri"/>
                <w:kern w:val="0"/>
                <w:sz w:val="20"/>
                <w:szCs w:val="20"/>
              </w:rPr>
              <w:t>（含），计</w:t>
            </w:r>
            <w:r>
              <w:rPr>
                <w:rFonts w:eastAsia="仿宋_GB2312"/>
                <w:kern w:val="0"/>
                <w:sz w:val="20"/>
                <w:szCs w:val="20"/>
              </w:rPr>
              <w:t>3</w:t>
            </w:r>
            <w:r>
              <w:rPr>
                <w:rFonts w:ascii="仿宋_GB2312" w:hAnsi="仿宋_GB2312" w:cs="Calibri"/>
                <w:kern w:val="0"/>
                <w:sz w:val="20"/>
                <w:szCs w:val="20"/>
              </w:rPr>
              <w:t>分；</w:t>
            </w:r>
            <w:r>
              <w:rPr>
                <w:rFonts w:eastAsia="仿宋_GB2312"/>
                <w:kern w:val="0"/>
                <w:sz w:val="20"/>
                <w:szCs w:val="20"/>
              </w:rPr>
              <w:t>20-30%</w:t>
            </w:r>
            <w:r>
              <w:rPr>
                <w:rFonts w:ascii="仿宋_GB2312" w:hAnsi="仿宋_GB2312" w:cs="Calibri"/>
                <w:kern w:val="0"/>
                <w:sz w:val="20"/>
                <w:szCs w:val="20"/>
              </w:rPr>
              <w:t>（含），计</w:t>
            </w:r>
            <w:r>
              <w:rPr>
                <w:rFonts w:eastAsia="仿宋_GB2312"/>
                <w:kern w:val="0"/>
                <w:sz w:val="20"/>
                <w:szCs w:val="20"/>
              </w:rPr>
              <w:t>2</w:t>
            </w:r>
            <w:r>
              <w:rPr>
                <w:rFonts w:ascii="仿宋_GB2312" w:hAnsi="仿宋_GB2312" w:cs="Calibri"/>
                <w:kern w:val="0"/>
                <w:sz w:val="20"/>
                <w:szCs w:val="20"/>
              </w:rPr>
              <w:t>分；大于</w:t>
            </w:r>
            <w:r>
              <w:rPr>
                <w:rFonts w:eastAsia="仿宋_GB2312"/>
                <w:kern w:val="0"/>
                <w:sz w:val="20"/>
                <w:szCs w:val="20"/>
              </w:rPr>
              <w:t>30%</w:t>
            </w:r>
            <w:r>
              <w:rPr>
                <w:rFonts w:ascii="仿宋_GB2312" w:hAnsi="仿宋_GB2312" w:cs="Calibri"/>
                <w:kern w:val="0"/>
                <w:sz w:val="20"/>
                <w:szCs w:val="20"/>
              </w:rPr>
              <w:t>不得分。</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ascii="仿宋_GB2312" w:hAnsi="仿宋_GB2312" w:cs="Calibri"/>
                <w:kern w:val="0"/>
                <w:sz w:val="20"/>
                <w:szCs w:val="20"/>
              </w:rPr>
              <w:t>预算控制率</w:t>
            </w:r>
            <w:r>
              <w:rPr>
                <w:rFonts w:eastAsia="仿宋_GB2312"/>
                <w:kern w:val="0"/>
                <w:sz w:val="20"/>
                <w:szCs w:val="20"/>
              </w:rPr>
              <w:t>=</w:t>
            </w:r>
            <w:r>
              <w:rPr>
                <w:rFonts w:ascii="仿宋_GB2312" w:hAnsi="仿宋_GB2312" w:cs="Calibri"/>
                <w:kern w:val="0"/>
                <w:sz w:val="20"/>
                <w:szCs w:val="20"/>
              </w:rPr>
              <w:t>（本年追加预算</w:t>
            </w:r>
            <w:r>
              <w:rPr>
                <w:rFonts w:eastAsia="仿宋_GB2312"/>
                <w:kern w:val="0"/>
                <w:sz w:val="20"/>
                <w:szCs w:val="20"/>
              </w:rPr>
              <w:t>/</w:t>
            </w:r>
            <w:r>
              <w:rPr>
                <w:rFonts w:ascii="仿宋_GB2312" w:hAnsi="仿宋_GB2312" w:cs="Calibri"/>
                <w:kern w:val="0"/>
                <w:sz w:val="20"/>
                <w:szCs w:val="20"/>
              </w:rPr>
              <w:t>年初预算）</w:t>
            </w:r>
            <w:r>
              <w:rPr>
                <w:rFonts w:eastAsia="仿宋_GB2312"/>
                <w:kern w:val="0"/>
                <w:sz w:val="20"/>
                <w:szCs w:val="20"/>
              </w:rPr>
              <w:t>×100%</w:t>
            </w:r>
            <w:r>
              <w:rPr>
                <w:rFonts w:ascii="仿宋_GB2312" w:hAnsi="仿宋_GB2312" w:cs="Calibri"/>
                <w:kern w:val="0"/>
                <w:sz w:val="20"/>
                <w:szCs w:val="20"/>
              </w:rPr>
              <w:t>。</w:t>
            </w:r>
          </w:p>
        </w:tc>
        <w:tc>
          <w:tcPr>
            <w:tcW w:w="525" w:type="dxa"/>
            <w:tcBorders>
              <w:top w:val="nil"/>
              <w:left w:val="nil"/>
              <w:bottom w:val="single" w:color="auto" w:sz="4" w:space="0"/>
              <w:right w:val="single" w:color="auto" w:sz="4" w:space="0"/>
            </w:tcBorders>
            <w:vAlign w:val="center"/>
          </w:tcPr>
          <w:p>
            <w:pPr>
              <w:widowControl/>
              <w:jc w:val="left"/>
              <w:rPr>
                <w:kern w:val="0"/>
                <w:sz w:val="24"/>
                <w:szCs w:val="24"/>
              </w:rPr>
            </w:pPr>
            <w:r>
              <w:rPr>
                <w:rFonts w:hint="eastAsia" w:cs="Calibri"/>
                <w:kern w:val="0"/>
                <w:sz w:val="24"/>
                <w:szCs w:val="24"/>
              </w:rPr>
              <w:t>5</w:t>
            </w:r>
          </w:p>
        </w:tc>
      </w:tr>
      <w:tr>
        <w:tblPrEx>
          <w:tblCellMar>
            <w:top w:w="0" w:type="dxa"/>
            <w:left w:w="108" w:type="dxa"/>
            <w:bottom w:w="0" w:type="dxa"/>
            <w:right w:w="108" w:type="dxa"/>
          </w:tblCellMar>
        </w:tblPrEx>
        <w:trPr>
          <w:trHeight w:val="1010" w:hRule="atLeast"/>
          <w:jc w:val="center"/>
        </w:trPr>
        <w:tc>
          <w:tcPr>
            <w:tcW w:w="1015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nil"/>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nil"/>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nil"/>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ascii="仿宋_GB2312" w:hAnsi="仿宋_GB2312" w:cs="Calibri"/>
                <w:kern w:val="0"/>
                <w:sz w:val="20"/>
                <w:szCs w:val="20"/>
              </w:rPr>
              <w:t>新建楼堂馆所面积控制率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ascii="仿宋_GB2312" w:hAnsi="仿宋_GB2312" w:cs="Calibri"/>
                <w:kern w:val="0"/>
                <w:sz w:val="20"/>
                <w:szCs w:val="20"/>
              </w:rPr>
              <w:t>以下（含）计满分，每超出</w:t>
            </w:r>
            <w:r>
              <w:rPr>
                <w:rFonts w:eastAsia="仿宋_GB2312"/>
                <w:kern w:val="0"/>
                <w:sz w:val="20"/>
                <w:szCs w:val="20"/>
              </w:rPr>
              <w:t>5%</w:t>
            </w:r>
            <w:r>
              <w:rPr>
                <w:rFonts w:ascii="仿宋_GB2312" w:hAnsi="仿宋_GB2312" w:cs="Calibri"/>
                <w:kern w:val="0"/>
                <w:sz w:val="20"/>
                <w:szCs w:val="20"/>
              </w:rPr>
              <w:t>扣</w:t>
            </w:r>
            <w:r>
              <w:rPr>
                <w:rFonts w:eastAsia="仿宋_GB2312"/>
                <w:kern w:val="0"/>
                <w:sz w:val="20"/>
                <w:szCs w:val="20"/>
              </w:rPr>
              <w:t>2</w:t>
            </w:r>
            <w:r>
              <w:rPr>
                <w:rFonts w:ascii="仿宋_GB2312" w:hAnsi="仿宋_GB2312" w:cs="Calibri"/>
                <w:kern w:val="0"/>
                <w:sz w:val="20"/>
                <w:szCs w:val="20"/>
              </w:rPr>
              <w:t>分，扣完为止。没有楼堂馆所项目的部门按满分计算。</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ascii="仿宋_GB2312" w:hAnsi="仿宋_GB2312" w:cs="Calibri"/>
                <w:kern w:val="0"/>
                <w:sz w:val="20"/>
                <w:szCs w:val="20"/>
              </w:rPr>
              <w:t>楼堂馆所面积控制率</w:t>
            </w:r>
            <w:r>
              <w:rPr>
                <w:rFonts w:eastAsia="仿宋_GB2312"/>
                <w:kern w:val="0"/>
                <w:sz w:val="20"/>
                <w:szCs w:val="20"/>
              </w:rPr>
              <w:t>=</w:t>
            </w:r>
            <w:r>
              <w:rPr>
                <w:rFonts w:ascii="仿宋_GB2312" w:hAnsi="仿宋_GB2312" w:cs="Calibri"/>
                <w:kern w:val="0"/>
                <w:sz w:val="20"/>
                <w:szCs w:val="20"/>
              </w:rPr>
              <w:t>实际建设面积</w:t>
            </w:r>
            <w:r>
              <w:rPr>
                <w:rFonts w:eastAsia="仿宋_GB2312"/>
                <w:kern w:val="0"/>
                <w:sz w:val="20"/>
                <w:szCs w:val="20"/>
              </w:rPr>
              <w:t>/</w:t>
            </w:r>
            <w:r>
              <w:rPr>
                <w:rFonts w:ascii="仿宋_GB2312" w:hAnsi="仿宋_GB2312" w:cs="Calibri"/>
                <w:kern w:val="0"/>
                <w:sz w:val="20"/>
                <w:szCs w:val="20"/>
              </w:rPr>
              <w:t>批准建设面积</w:t>
            </w:r>
            <w:r>
              <w:rPr>
                <w:rFonts w:eastAsia="仿宋_GB2312"/>
                <w:kern w:val="0"/>
                <w:sz w:val="20"/>
                <w:szCs w:val="20"/>
              </w:rPr>
              <w:t xml:space="preserve">×100% </w:t>
            </w:r>
            <w:r>
              <w:rPr>
                <w:rFonts w:ascii="仿宋_GB2312" w:hAnsi="仿宋_GB2312" w:cs="Calibri"/>
                <w:kern w:val="0"/>
                <w:sz w:val="20"/>
                <w:szCs w:val="20"/>
              </w:rPr>
              <w:t>。</w:t>
            </w:r>
            <w:r>
              <w:rPr>
                <w:rFonts w:eastAsia="仿宋_GB2312"/>
                <w:kern w:val="0"/>
                <w:sz w:val="20"/>
                <w:szCs w:val="20"/>
              </w:rPr>
              <w:br w:type="textWrapping"/>
            </w:r>
            <w:r>
              <w:rPr>
                <w:rFonts w:ascii="仿宋_GB2312" w:hAnsi="仿宋_GB2312" w:cs="Calibri"/>
                <w:kern w:val="0"/>
                <w:sz w:val="20"/>
                <w:szCs w:val="20"/>
              </w:rPr>
              <w:t>该指标以</w:t>
            </w:r>
            <w:r>
              <w:rPr>
                <w:rFonts w:eastAsia="仿宋_GB2312"/>
                <w:kern w:val="0"/>
                <w:sz w:val="20"/>
                <w:szCs w:val="20"/>
              </w:rPr>
              <w:t>2017</w:t>
            </w:r>
            <w:r>
              <w:rPr>
                <w:rFonts w:ascii="仿宋_GB2312" w:hAnsi="仿宋_GB2312" w:cs="Calibri"/>
                <w:kern w:val="0"/>
                <w:sz w:val="20"/>
                <w:szCs w:val="20"/>
              </w:rPr>
              <w:t>年完工的新建楼堂馆所为评价内容。</w:t>
            </w:r>
          </w:p>
        </w:tc>
        <w:tc>
          <w:tcPr>
            <w:tcW w:w="525" w:type="dxa"/>
            <w:tcBorders>
              <w:top w:val="nil"/>
              <w:left w:val="nil"/>
              <w:bottom w:val="single" w:color="auto" w:sz="4" w:space="0"/>
              <w:right w:val="single" w:color="auto" w:sz="4" w:space="0"/>
            </w:tcBorders>
            <w:vAlign w:val="center"/>
          </w:tcPr>
          <w:p>
            <w:pPr>
              <w:widowControl/>
              <w:jc w:val="left"/>
              <w:rPr>
                <w:rFonts w:cs="Calibri"/>
                <w:kern w:val="0"/>
                <w:sz w:val="24"/>
                <w:szCs w:val="24"/>
              </w:rPr>
            </w:pPr>
            <w:r>
              <w:rPr>
                <w:rFonts w:hint="eastAsia" w:ascii="宋体" w:hAnsi="宋体" w:cs="Calibri"/>
                <w:kern w:val="0"/>
                <w:sz w:val="24"/>
                <w:szCs w:val="24"/>
              </w:rPr>
              <w:t>　</w:t>
            </w:r>
            <w:r>
              <w:rPr>
                <w:rFonts w:hint="eastAsia" w:cs="Calibri"/>
                <w:kern w:val="0"/>
                <w:sz w:val="24"/>
                <w:szCs w:val="24"/>
              </w:rPr>
              <w:t>5</w:t>
            </w:r>
          </w:p>
        </w:tc>
      </w:tr>
      <w:tr>
        <w:tblPrEx>
          <w:tblCellMar>
            <w:top w:w="0" w:type="dxa"/>
            <w:left w:w="108" w:type="dxa"/>
            <w:bottom w:w="0" w:type="dxa"/>
            <w:right w:w="108" w:type="dxa"/>
          </w:tblCellMar>
        </w:tblPrEx>
        <w:trPr>
          <w:trHeight w:val="952" w:hRule="atLeast"/>
          <w:jc w:val="center"/>
        </w:trPr>
        <w:tc>
          <w:tcPr>
            <w:tcW w:w="1015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nil"/>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nil"/>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nil"/>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ascii="仿宋_GB2312" w:hAnsi="仿宋_GB2312" w:cs="Calibri"/>
                <w:kern w:val="0"/>
                <w:sz w:val="20"/>
                <w:szCs w:val="20"/>
              </w:rPr>
              <w:t>新建楼堂馆所投资概算控制率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ascii="仿宋_GB2312" w:hAnsi="仿宋_GB2312" w:cs="Calibri"/>
                <w:kern w:val="0"/>
                <w:sz w:val="20"/>
                <w:szCs w:val="20"/>
              </w:rPr>
              <w:t>以下（含）计满分，每超出</w:t>
            </w:r>
            <w:r>
              <w:rPr>
                <w:rFonts w:eastAsia="仿宋_GB2312"/>
                <w:kern w:val="0"/>
                <w:sz w:val="20"/>
                <w:szCs w:val="20"/>
              </w:rPr>
              <w:t>5%</w:t>
            </w:r>
            <w:r>
              <w:rPr>
                <w:rFonts w:ascii="仿宋_GB2312" w:hAnsi="仿宋_GB2312" w:cs="Calibri"/>
                <w:kern w:val="0"/>
                <w:sz w:val="20"/>
                <w:szCs w:val="20"/>
              </w:rPr>
              <w:t>扣</w:t>
            </w:r>
            <w:r>
              <w:rPr>
                <w:rFonts w:eastAsia="仿宋_GB2312"/>
                <w:kern w:val="0"/>
                <w:sz w:val="20"/>
                <w:szCs w:val="20"/>
              </w:rPr>
              <w:t>2</w:t>
            </w:r>
            <w:r>
              <w:rPr>
                <w:rFonts w:ascii="仿宋_GB2312" w:hAnsi="仿宋_GB2312" w:cs="Calibri"/>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ascii="仿宋_GB2312" w:hAnsi="仿宋_GB2312" w:cs="Calibri"/>
                <w:kern w:val="0"/>
                <w:sz w:val="20"/>
                <w:szCs w:val="20"/>
              </w:rPr>
              <w:t>楼堂馆所投资预算控制率</w:t>
            </w:r>
            <w:r>
              <w:rPr>
                <w:rFonts w:eastAsia="仿宋_GB2312"/>
                <w:kern w:val="0"/>
                <w:sz w:val="20"/>
                <w:szCs w:val="20"/>
              </w:rPr>
              <w:t>=</w:t>
            </w:r>
            <w:r>
              <w:rPr>
                <w:rFonts w:ascii="仿宋_GB2312" w:hAnsi="仿宋_GB2312" w:cs="Calibri"/>
                <w:kern w:val="0"/>
                <w:sz w:val="20"/>
                <w:szCs w:val="20"/>
              </w:rPr>
              <w:t>实际投资金额</w:t>
            </w:r>
            <w:r>
              <w:rPr>
                <w:rFonts w:eastAsia="仿宋_GB2312"/>
                <w:kern w:val="0"/>
                <w:sz w:val="20"/>
                <w:szCs w:val="20"/>
              </w:rPr>
              <w:t>/</w:t>
            </w:r>
            <w:r>
              <w:rPr>
                <w:rFonts w:ascii="仿宋_GB2312" w:hAnsi="仿宋_GB2312" w:cs="Calibri"/>
                <w:kern w:val="0"/>
                <w:sz w:val="20"/>
                <w:szCs w:val="20"/>
              </w:rPr>
              <w:t>批准投资金额</w:t>
            </w:r>
            <w:r>
              <w:rPr>
                <w:rFonts w:eastAsia="仿宋_GB2312"/>
                <w:kern w:val="0"/>
                <w:sz w:val="20"/>
                <w:szCs w:val="20"/>
              </w:rPr>
              <w:t xml:space="preserve">×100% </w:t>
            </w:r>
            <w:r>
              <w:rPr>
                <w:rFonts w:ascii="仿宋_GB2312" w:hAnsi="仿宋_GB2312" w:cs="Calibri"/>
                <w:kern w:val="0"/>
                <w:sz w:val="20"/>
                <w:szCs w:val="20"/>
              </w:rPr>
              <w:t>。</w:t>
            </w:r>
            <w:r>
              <w:rPr>
                <w:rFonts w:eastAsia="仿宋_GB2312"/>
                <w:kern w:val="0"/>
                <w:sz w:val="20"/>
                <w:szCs w:val="20"/>
              </w:rPr>
              <w:br w:type="textWrapping"/>
            </w:r>
            <w:r>
              <w:rPr>
                <w:rFonts w:ascii="仿宋_GB2312" w:hAnsi="仿宋_GB2312" w:cs="Calibri"/>
                <w:kern w:val="0"/>
                <w:sz w:val="20"/>
                <w:szCs w:val="20"/>
              </w:rPr>
              <w:t>该指标以</w:t>
            </w:r>
            <w:r>
              <w:rPr>
                <w:rFonts w:eastAsia="仿宋_GB2312"/>
                <w:kern w:val="0"/>
                <w:sz w:val="20"/>
                <w:szCs w:val="20"/>
              </w:rPr>
              <w:t>2017</w:t>
            </w:r>
            <w:r>
              <w:rPr>
                <w:rFonts w:ascii="仿宋_GB2312" w:hAnsi="仿宋_GB2312" w:cs="Calibri"/>
                <w:kern w:val="0"/>
                <w:sz w:val="20"/>
                <w:szCs w:val="20"/>
              </w:rPr>
              <w:t>年完工的新建楼堂馆所为评价内容。</w:t>
            </w:r>
          </w:p>
        </w:tc>
        <w:tc>
          <w:tcPr>
            <w:tcW w:w="525" w:type="dxa"/>
            <w:tcBorders>
              <w:top w:val="nil"/>
              <w:left w:val="nil"/>
              <w:bottom w:val="single" w:color="auto" w:sz="4" w:space="0"/>
              <w:right w:val="single" w:color="auto" w:sz="4" w:space="0"/>
            </w:tcBorders>
            <w:vAlign w:val="center"/>
          </w:tcPr>
          <w:p>
            <w:pPr>
              <w:widowControl/>
              <w:jc w:val="left"/>
              <w:rPr>
                <w:rFonts w:cs="Calibri"/>
                <w:kern w:val="0"/>
                <w:sz w:val="24"/>
                <w:szCs w:val="24"/>
              </w:rPr>
            </w:pPr>
            <w:r>
              <w:rPr>
                <w:rFonts w:hint="eastAsia" w:ascii="宋体" w:hAnsi="宋体" w:cs="Calibri"/>
                <w:kern w:val="0"/>
                <w:sz w:val="24"/>
                <w:szCs w:val="24"/>
              </w:rPr>
              <w:t>　</w:t>
            </w:r>
            <w:r>
              <w:rPr>
                <w:rFonts w:hint="eastAsia" w:cs="Calibri"/>
                <w:kern w:val="0"/>
                <w:sz w:val="24"/>
                <w:szCs w:val="24"/>
              </w:rPr>
              <w:t>5</w:t>
            </w:r>
          </w:p>
        </w:tc>
      </w:tr>
      <w:tr>
        <w:tblPrEx>
          <w:tblCellMar>
            <w:top w:w="0" w:type="dxa"/>
            <w:left w:w="108" w:type="dxa"/>
            <w:bottom w:w="0" w:type="dxa"/>
            <w:right w:w="108" w:type="dxa"/>
          </w:tblCellMar>
        </w:tblPrEx>
        <w:trPr>
          <w:trHeight w:val="1189" w:hRule="atLeast"/>
          <w:jc w:val="center"/>
        </w:trPr>
        <w:tc>
          <w:tcPr>
            <w:tcW w:w="1015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nil"/>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restart"/>
            <w:tcBorders>
              <w:top w:val="nil"/>
              <w:left w:val="nil"/>
              <w:bottom w:val="single" w:color="000000" w:sz="4" w:space="0"/>
              <w:right w:val="single" w:color="auto" w:sz="4" w:space="0"/>
            </w:tcBorders>
            <w:vAlign w:val="center"/>
          </w:tcPr>
          <w:p>
            <w:pPr>
              <w:widowControl/>
              <w:jc w:val="center"/>
              <w:rPr>
                <w:rFonts w:eastAsia="仿宋_GB2312"/>
                <w:kern w:val="0"/>
                <w:sz w:val="20"/>
                <w:szCs w:val="20"/>
              </w:rPr>
            </w:pPr>
            <w:r>
              <w:rPr>
                <w:rFonts w:ascii="仿宋_GB2312" w:hAnsi="仿宋_GB2312" w:cs="Calibri"/>
                <w:kern w:val="0"/>
                <w:sz w:val="20"/>
                <w:szCs w:val="20"/>
              </w:rPr>
              <w:t>预算管理</w:t>
            </w:r>
          </w:p>
        </w:tc>
        <w:tc>
          <w:tcPr>
            <w:tcW w:w="419" w:type="dxa"/>
            <w:vMerge w:val="restart"/>
            <w:tcBorders>
              <w:top w:val="nil"/>
              <w:left w:val="nil"/>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40</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ascii="仿宋_GB2312" w:hAnsi="仿宋_GB2312" w:cs="Calibri"/>
                <w:kern w:val="0"/>
                <w:sz w:val="20"/>
                <w:szCs w:val="20"/>
              </w:rPr>
              <w:t>公用经费控制率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ascii="仿宋_GB2312" w:hAnsi="仿宋_GB2312" w:cs="Calibri"/>
                <w:kern w:val="0"/>
                <w:sz w:val="20"/>
                <w:szCs w:val="20"/>
              </w:rPr>
              <w:t>以下（含）计满分，每超出</w:t>
            </w:r>
            <w:r>
              <w:rPr>
                <w:rFonts w:eastAsia="仿宋_GB2312"/>
                <w:kern w:val="0"/>
                <w:sz w:val="20"/>
                <w:szCs w:val="20"/>
              </w:rPr>
              <w:t>1%</w:t>
            </w:r>
            <w:r>
              <w:rPr>
                <w:rFonts w:ascii="仿宋_GB2312" w:hAnsi="仿宋_GB2312" w:cs="Calibri"/>
                <w:kern w:val="0"/>
                <w:sz w:val="20"/>
                <w:szCs w:val="20"/>
              </w:rPr>
              <w:t>扣</w:t>
            </w:r>
            <w:r>
              <w:rPr>
                <w:rFonts w:eastAsia="仿宋_GB2312"/>
                <w:kern w:val="0"/>
                <w:sz w:val="20"/>
                <w:szCs w:val="20"/>
              </w:rPr>
              <w:t>1</w:t>
            </w:r>
            <w:r>
              <w:rPr>
                <w:rFonts w:ascii="仿宋_GB2312" w:hAnsi="仿宋_GB2312" w:cs="Calibri"/>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ascii="仿宋_GB2312" w:hAnsi="仿宋_GB2312" w:cs="Calibri"/>
                <w:kern w:val="0"/>
                <w:sz w:val="20"/>
                <w:szCs w:val="20"/>
              </w:rPr>
              <w:t>公用经费控制率</w:t>
            </w:r>
            <w:r>
              <w:rPr>
                <w:rFonts w:eastAsia="仿宋_GB2312"/>
                <w:kern w:val="0"/>
                <w:sz w:val="20"/>
                <w:szCs w:val="20"/>
              </w:rPr>
              <w:t>=</w:t>
            </w:r>
            <w:r>
              <w:rPr>
                <w:rFonts w:ascii="仿宋_GB2312" w:hAnsi="仿宋_GB2312" w:cs="Calibri"/>
                <w:kern w:val="0"/>
                <w:sz w:val="20"/>
                <w:szCs w:val="20"/>
              </w:rPr>
              <w:t>（实际支出公用经费总额</w:t>
            </w:r>
            <w:r>
              <w:rPr>
                <w:rFonts w:eastAsia="仿宋_GB2312"/>
                <w:kern w:val="0"/>
                <w:sz w:val="20"/>
                <w:szCs w:val="20"/>
              </w:rPr>
              <w:t>/</w:t>
            </w:r>
            <w:r>
              <w:rPr>
                <w:rFonts w:ascii="仿宋_GB2312" w:hAnsi="仿宋_GB2312" w:cs="Calibri"/>
                <w:kern w:val="0"/>
                <w:sz w:val="20"/>
                <w:szCs w:val="20"/>
              </w:rPr>
              <w:t>预算安排公用经费总额）</w:t>
            </w:r>
            <w:r>
              <w:rPr>
                <w:rFonts w:eastAsia="仿宋_GB2312"/>
                <w:kern w:val="0"/>
                <w:sz w:val="20"/>
                <w:szCs w:val="20"/>
              </w:rPr>
              <w:t>×100%</w:t>
            </w:r>
            <w:r>
              <w:rPr>
                <w:rFonts w:ascii="仿宋_GB2312" w:hAnsi="仿宋_GB2312" w:cs="Calibri"/>
                <w:kern w:val="0"/>
                <w:sz w:val="20"/>
                <w:szCs w:val="20"/>
              </w:rPr>
              <w:t>。</w:t>
            </w:r>
            <w:r>
              <w:rPr>
                <w:rFonts w:eastAsia="仿宋_GB2312"/>
                <w:kern w:val="0"/>
                <w:sz w:val="20"/>
                <w:szCs w:val="20"/>
              </w:rPr>
              <w:br w:type="textWrapping"/>
            </w:r>
            <w:r>
              <w:rPr>
                <w:rFonts w:ascii="仿宋_GB2312" w:hAnsi="仿宋_GB2312" w:cs="Calibri"/>
                <w:kern w:val="0"/>
                <w:sz w:val="20"/>
                <w:szCs w:val="20"/>
              </w:rPr>
              <w:t>公用经费支出是指部门基本支出中的一般商品和服务支出。</w:t>
            </w:r>
          </w:p>
        </w:tc>
        <w:tc>
          <w:tcPr>
            <w:tcW w:w="525" w:type="dxa"/>
            <w:tcBorders>
              <w:top w:val="nil"/>
              <w:left w:val="nil"/>
              <w:bottom w:val="single" w:color="auto" w:sz="4" w:space="0"/>
              <w:right w:val="single" w:color="auto" w:sz="4" w:space="0"/>
            </w:tcBorders>
            <w:vAlign w:val="center"/>
          </w:tcPr>
          <w:p>
            <w:pPr>
              <w:widowControl/>
              <w:jc w:val="left"/>
              <w:rPr>
                <w:kern w:val="0"/>
                <w:sz w:val="24"/>
                <w:szCs w:val="24"/>
              </w:rPr>
            </w:pPr>
            <w:r>
              <w:rPr>
                <w:rFonts w:hint="eastAsia" w:cs="Calibri"/>
                <w:kern w:val="0"/>
                <w:sz w:val="24"/>
                <w:szCs w:val="24"/>
              </w:rPr>
              <w:t>7</w:t>
            </w:r>
            <w:r>
              <w:rPr>
                <w:rFonts w:hint="eastAsia" w:ascii="宋体" w:hAnsi="宋体" w:cs="Calibri"/>
                <w:kern w:val="0"/>
                <w:sz w:val="24"/>
                <w:szCs w:val="24"/>
              </w:rPr>
              <w:t>　</w:t>
            </w:r>
          </w:p>
        </w:tc>
      </w:tr>
      <w:tr>
        <w:tblPrEx>
          <w:tblCellMar>
            <w:top w:w="0" w:type="dxa"/>
            <w:left w:w="108" w:type="dxa"/>
            <w:bottom w:w="0" w:type="dxa"/>
            <w:right w:w="108" w:type="dxa"/>
          </w:tblCellMar>
        </w:tblPrEx>
        <w:trPr>
          <w:trHeight w:val="819" w:hRule="atLeast"/>
          <w:jc w:val="center"/>
        </w:trPr>
        <w:tc>
          <w:tcPr>
            <w:tcW w:w="1015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nil"/>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nil"/>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nil"/>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ascii="仿宋_GB2312" w:hAnsi="仿宋_GB2312" w:cs="Calibri"/>
                <w:kern w:val="0"/>
                <w:sz w:val="20"/>
                <w:szCs w:val="20"/>
              </w:rPr>
              <w:t>三公经费</w:t>
            </w:r>
            <w:r>
              <w:rPr>
                <w:rFonts w:eastAsia="仿宋_GB2312"/>
                <w:kern w:val="0"/>
                <w:sz w:val="20"/>
                <w:szCs w:val="20"/>
              </w:rPr>
              <w:t>”</w:t>
            </w:r>
            <w:r>
              <w:rPr>
                <w:rFonts w:ascii="仿宋_GB2312" w:hAnsi="仿宋_GB2312" w:cs="Calibri"/>
                <w:kern w:val="0"/>
                <w:sz w:val="20"/>
                <w:szCs w:val="20"/>
              </w:rPr>
              <w:t>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7</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ascii="仿宋_GB2312" w:hAnsi="仿宋_GB2312" w:cs="Calibri"/>
                <w:kern w:val="0"/>
                <w:sz w:val="20"/>
                <w:szCs w:val="20"/>
              </w:rPr>
              <w:t>以下（含）计满分，每超出</w:t>
            </w:r>
            <w:r>
              <w:rPr>
                <w:rFonts w:eastAsia="仿宋_GB2312"/>
                <w:kern w:val="0"/>
                <w:sz w:val="20"/>
                <w:szCs w:val="20"/>
              </w:rPr>
              <w:t>1%</w:t>
            </w:r>
            <w:r>
              <w:rPr>
                <w:rFonts w:ascii="仿宋_GB2312" w:hAnsi="仿宋_GB2312" w:cs="Calibri"/>
                <w:kern w:val="0"/>
                <w:sz w:val="20"/>
                <w:szCs w:val="20"/>
              </w:rPr>
              <w:t>扣</w:t>
            </w:r>
            <w:r>
              <w:rPr>
                <w:rFonts w:eastAsia="仿宋_GB2312"/>
                <w:kern w:val="0"/>
                <w:sz w:val="20"/>
                <w:szCs w:val="20"/>
              </w:rPr>
              <w:t>1</w:t>
            </w:r>
            <w:r>
              <w:rPr>
                <w:rFonts w:ascii="仿宋_GB2312" w:hAnsi="仿宋_GB2312" w:cs="Calibri"/>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ascii="仿宋_GB2312" w:hAnsi="仿宋_GB2312" w:cs="Calibri"/>
                <w:kern w:val="0"/>
                <w:sz w:val="20"/>
                <w:szCs w:val="20"/>
              </w:rPr>
              <w:t>三公经费</w:t>
            </w:r>
            <w:r>
              <w:rPr>
                <w:rFonts w:eastAsia="仿宋_GB2312"/>
                <w:kern w:val="0"/>
                <w:sz w:val="20"/>
                <w:szCs w:val="20"/>
              </w:rPr>
              <w:t>”</w:t>
            </w:r>
            <w:r>
              <w:rPr>
                <w:rFonts w:ascii="仿宋_GB2312" w:hAnsi="仿宋_GB2312" w:cs="Calibri"/>
                <w:kern w:val="0"/>
                <w:sz w:val="20"/>
                <w:szCs w:val="20"/>
              </w:rPr>
              <w:t>控制率</w:t>
            </w:r>
            <w:r>
              <w:rPr>
                <w:rFonts w:eastAsia="仿宋_GB2312"/>
                <w:kern w:val="0"/>
                <w:sz w:val="20"/>
                <w:szCs w:val="20"/>
              </w:rPr>
              <w:t>-</w:t>
            </w:r>
            <w:r>
              <w:rPr>
                <w:rFonts w:ascii="仿宋_GB2312" w:hAnsi="仿宋_GB2312" w:cs="Calibri"/>
                <w:kern w:val="0"/>
                <w:sz w:val="20"/>
                <w:szCs w:val="20"/>
              </w:rPr>
              <w:t>（</w:t>
            </w:r>
            <w:r>
              <w:rPr>
                <w:rFonts w:eastAsia="仿宋_GB2312"/>
                <w:kern w:val="0"/>
                <w:sz w:val="20"/>
                <w:szCs w:val="20"/>
              </w:rPr>
              <w:t>“</w:t>
            </w:r>
            <w:r>
              <w:rPr>
                <w:rFonts w:ascii="仿宋_GB2312" w:hAnsi="仿宋_GB2312" w:cs="Calibri"/>
                <w:kern w:val="0"/>
                <w:sz w:val="20"/>
                <w:szCs w:val="20"/>
              </w:rPr>
              <w:t>三公经费</w:t>
            </w:r>
            <w:r>
              <w:rPr>
                <w:rFonts w:eastAsia="仿宋_GB2312"/>
                <w:kern w:val="0"/>
                <w:sz w:val="20"/>
                <w:szCs w:val="20"/>
              </w:rPr>
              <w:t>”</w:t>
            </w:r>
            <w:r>
              <w:rPr>
                <w:rFonts w:ascii="仿宋_GB2312" w:hAnsi="仿宋_GB2312" w:cs="Calibri"/>
                <w:kern w:val="0"/>
                <w:sz w:val="20"/>
                <w:szCs w:val="20"/>
              </w:rPr>
              <w:t>实际支出数</w:t>
            </w:r>
            <w:r>
              <w:rPr>
                <w:rFonts w:eastAsia="仿宋_GB2312"/>
                <w:kern w:val="0"/>
                <w:sz w:val="20"/>
                <w:szCs w:val="20"/>
              </w:rPr>
              <w:t>/“</w:t>
            </w:r>
            <w:r>
              <w:rPr>
                <w:rFonts w:ascii="仿宋_GB2312" w:hAnsi="仿宋_GB2312" w:cs="Calibri"/>
                <w:kern w:val="0"/>
                <w:sz w:val="20"/>
                <w:szCs w:val="20"/>
              </w:rPr>
              <w:t>三公经费</w:t>
            </w:r>
            <w:r>
              <w:rPr>
                <w:rFonts w:eastAsia="仿宋_GB2312"/>
                <w:kern w:val="0"/>
                <w:sz w:val="20"/>
                <w:szCs w:val="20"/>
              </w:rPr>
              <w:t>”</w:t>
            </w:r>
            <w:r>
              <w:rPr>
                <w:rFonts w:ascii="仿宋_GB2312" w:hAnsi="仿宋_GB2312" w:cs="Calibri"/>
                <w:kern w:val="0"/>
                <w:sz w:val="20"/>
                <w:szCs w:val="20"/>
              </w:rPr>
              <w:t>预算安排数）</w:t>
            </w:r>
            <w:r>
              <w:rPr>
                <w:rFonts w:eastAsia="仿宋_GB2312"/>
                <w:kern w:val="0"/>
                <w:sz w:val="20"/>
                <w:szCs w:val="20"/>
              </w:rPr>
              <w:t>×100%</w:t>
            </w:r>
            <w:r>
              <w:rPr>
                <w:rFonts w:ascii="仿宋_GB2312" w:hAnsi="仿宋_GB2312" w:cs="Calibri"/>
                <w:kern w:val="0"/>
                <w:sz w:val="20"/>
                <w:szCs w:val="20"/>
              </w:rPr>
              <w:t>。</w:t>
            </w:r>
          </w:p>
        </w:tc>
        <w:tc>
          <w:tcPr>
            <w:tcW w:w="525" w:type="dxa"/>
            <w:tcBorders>
              <w:top w:val="nil"/>
              <w:left w:val="nil"/>
              <w:bottom w:val="single" w:color="auto" w:sz="4" w:space="0"/>
              <w:right w:val="single" w:color="auto" w:sz="4" w:space="0"/>
            </w:tcBorders>
            <w:vAlign w:val="center"/>
          </w:tcPr>
          <w:p>
            <w:pPr>
              <w:widowControl/>
              <w:jc w:val="left"/>
              <w:rPr>
                <w:kern w:val="0"/>
                <w:sz w:val="24"/>
                <w:szCs w:val="24"/>
              </w:rPr>
            </w:pPr>
            <w:r>
              <w:rPr>
                <w:rFonts w:hint="eastAsia" w:cs="Calibri"/>
                <w:kern w:val="0"/>
                <w:sz w:val="24"/>
                <w:szCs w:val="24"/>
              </w:rPr>
              <w:t>7</w:t>
            </w:r>
          </w:p>
        </w:tc>
      </w:tr>
      <w:tr>
        <w:tblPrEx>
          <w:tblCellMar>
            <w:top w:w="0" w:type="dxa"/>
            <w:left w:w="108" w:type="dxa"/>
            <w:bottom w:w="0" w:type="dxa"/>
            <w:right w:w="108" w:type="dxa"/>
          </w:tblCellMar>
        </w:tblPrEx>
        <w:trPr>
          <w:trHeight w:val="598" w:hRule="atLeast"/>
          <w:jc w:val="center"/>
        </w:trPr>
        <w:tc>
          <w:tcPr>
            <w:tcW w:w="1015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nil"/>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nil"/>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nil"/>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ascii="仿宋_GB2312" w:hAnsi="仿宋_GB2312" w:cs="Calibri"/>
                <w:kern w:val="0"/>
                <w:sz w:val="20"/>
                <w:szCs w:val="20"/>
              </w:rPr>
              <w:t>政府采购执行率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ascii="仿宋_GB2312" w:hAnsi="仿宋_GB2312" w:cs="Calibri"/>
                <w:kern w:val="0"/>
                <w:sz w:val="20"/>
                <w:szCs w:val="20"/>
              </w:rPr>
              <w:t>计满分，每超过（降低）</w:t>
            </w:r>
            <w:r>
              <w:rPr>
                <w:rFonts w:eastAsia="仿宋_GB2312"/>
                <w:kern w:val="0"/>
                <w:sz w:val="20"/>
                <w:szCs w:val="20"/>
              </w:rPr>
              <w:t>5%</w:t>
            </w:r>
            <w:r>
              <w:rPr>
                <w:rFonts w:ascii="仿宋_GB2312" w:hAnsi="仿宋_GB2312" w:cs="Calibri"/>
                <w:kern w:val="0"/>
                <w:sz w:val="20"/>
                <w:szCs w:val="20"/>
              </w:rPr>
              <w:t>扣</w:t>
            </w:r>
            <w:r>
              <w:rPr>
                <w:rFonts w:eastAsia="仿宋_GB2312"/>
                <w:kern w:val="0"/>
                <w:sz w:val="20"/>
                <w:szCs w:val="20"/>
              </w:rPr>
              <w:t>2</w:t>
            </w:r>
            <w:r>
              <w:rPr>
                <w:rFonts w:ascii="仿宋_GB2312" w:hAnsi="仿宋_GB2312" w:cs="Calibri"/>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ascii="仿宋_GB2312" w:hAnsi="仿宋_GB2312" w:cs="Calibri"/>
                <w:kern w:val="0"/>
                <w:sz w:val="20"/>
                <w:szCs w:val="20"/>
              </w:rPr>
              <w:t>政府采购执行率</w:t>
            </w:r>
            <w:r>
              <w:rPr>
                <w:rFonts w:eastAsia="仿宋_GB2312"/>
                <w:kern w:val="0"/>
                <w:sz w:val="20"/>
                <w:szCs w:val="20"/>
              </w:rPr>
              <w:t>=</w:t>
            </w:r>
            <w:r>
              <w:rPr>
                <w:rFonts w:ascii="仿宋_GB2312" w:hAnsi="仿宋_GB2312" w:cs="Calibri"/>
                <w:kern w:val="0"/>
                <w:sz w:val="20"/>
                <w:szCs w:val="20"/>
              </w:rPr>
              <w:t>（实际政府采购金额</w:t>
            </w:r>
            <w:r>
              <w:rPr>
                <w:rFonts w:eastAsia="仿宋_GB2312"/>
                <w:kern w:val="0"/>
                <w:sz w:val="20"/>
                <w:szCs w:val="20"/>
              </w:rPr>
              <w:t>/</w:t>
            </w:r>
            <w:r>
              <w:rPr>
                <w:rFonts w:ascii="仿宋_GB2312" w:hAnsi="仿宋_GB2312" w:cs="Calibri"/>
                <w:kern w:val="0"/>
                <w:sz w:val="20"/>
                <w:szCs w:val="20"/>
              </w:rPr>
              <w:t>政府采购预算数）</w:t>
            </w:r>
            <w:r>
              <w:rPr>
                <w:rFonts w:eastAsia="仿宋_GB2312"/>
                <w:kern w:val="0"/>
                <w:sz w:val="20"/>
                <w:szCs w:val="20"/>
              </w:rPr>
              <w:t>×100%</w:t>
            </w:r>
          </w:p>
        </w:tc>
        <w:tc>
          <w:tcPr>
            <w:tcW w:w="525" w:type="dxa"/>
            <w:tcBorders>
              <w:top w:val="nil"/>
              <w:left w:val="nil"/>
              <w:bottom w:val="single" w:color="auto" w:sz="4" w:space="0"/>
              <w:right w:val="single" w:color="auto" w:sz="4" w:space="0"/>
            </w:tcBorders>
            <w:vAlign w:val="center"/>
          </w:tcPr>
          <w:p>
            <w:pPr>
              <w:widowControl/>
              <w:jc w:val="left"/>
              <w:rPr>
                <w:rFonts w:cs="Calibri"/>
                <w:kern w:val="0"/>
                <w:sz w:val="24"/>
                <w:szCs w:val="24"/>
              </w:rPr>
            </w:pPr>
            <w:r>
              <w:rPr>
                <w:rFonts w:hint="eastAsia" w:ascii="宋体" w:hAnsi="宋体" w:cs="Calibri"/>
                <w:kern w:val="0"/>
                <w:sz w:val="24"/>
                <w:szCs w:val="24"/>
              </w:rPr>
              <w:t>　</w:t>
            </w:r>
            <w:r>
              <w:rPr>
                <w:rFonts w:hint="eastAsia" w:cs="Calibri"/>
                <w:kern w:val="0"/>
                <w:sz w:val="24"/>
                <w:szCs w:val="24"/>
              </w:rPr>
              <w:t>5</w:t>
            </w:r>
          </w:p>
        </w:tc>
      </w:tr>
      <w:tr>
        <w:tblPrEx>
          <w:tblCellMar>
            <w:top w:w="0" w:type="dxa"/>
            <w:left w:w="108" w:type="dxa"/>
            <w:bottom w:w="0" w:type="dxa"/>
            <w:right w:w="108" w:type="dxa"/>
          </w:tblCellMar>
        </w:tblPrEx>
        <w:trPr>
          <w:trHeight w:val="244" w:hRule="atLeast"/>
          <w:jc w:val="center"/>
        </w:trPr>
        <w:tc>
          <w:tcPr>
            <w:tcW w:w="521" w:type="dxa"/>
            <w:vMerge w:val="restart"/>
            <w:tcBorders>
              <w:top w:val="nil"/>
              <w:left w:val="single" w:color="auto" w:sz="4" w:space="0"/>
              <w:bottom w:val="single" w:color="000000" w:sz="4" w:space="0"/>
              <w:right w:val="single" w:color="auto" w:sz="4" w:space="0"/>
            </w:tcBorders>
            <w:vAlign w:val="center"/>
          </w:tcPr>
          <w:p>
            <w:pPr>
              <w:jc w:val="left"/>
              <w:rPr>
                <w:rFonts w:eastAsia="仿宋_GB2312"/>
                <w:kern w:val="0"/>
                <w:sz w:val="20"/>
                <w:szCs w:val="20"/>
              </w:rPr>
            </w:pPr>
            <w:r>
              <w:rPr>
                <w:rFonts w:ascii="仿宋_GB2312" w:hAnsi="仿宋_GB2312" w:cs="Calibri"/>
                <w:kern w:val="0"/>
                <w:sz w:val="20"/>
                <w:szCs w:val="20"/>
              </w:rPr>
              <w:t>过</w:t>
            </w:r>
            <w:r>
              <w:rPr>
                <w:rFonts w:eastAsia="仿宋_GB2312"/>
                <w:kern w:val="0"/>
                <w:sz w:val="20"/>
                <w:szCs w:val="20"/>
              </w:rPr>
              <w:t xml:space="preserve">                                                                                                                                       </w:t>
            </w:r>
            <w:r>
              <w:rPr>
                <w:rFonts w:ascii="仿宋_GB2312" w:hAnsi="仿宋_GB2312" w:cs="Calibri"/>
                <w:kern w:val="0"/>
                <w:sz w:val="20"/>
                <w:szCs w:val="20"/>
              </w:rPr>
              <w:t>程</w:t>
            </w:r>
          </w:p>
        </w:tc>
        <w:tc>
          <w:tcPr>
            <w:tcW w:w="419" w:type="dxa"/>
            <w:vMerge w:val="restart"/>
            <w:tcBorders>
              <w:top w:val="nil"/>
              <w:left w:val="nil"/>
              <w:bottom w:val="single" w:color="000000" w:sz="4" w:space="0"/>
              <w:right w:val="single" w:color="auto" w:sz="4" w:space="0"/>
            </w:tcBorders>
            <w:vAlign w:val="center"/>
          </w:tcPr>
          <w:p>
            <w:pPr>
              <w:jc w:val="left"/>
              <w:rPr>
                <w:rFonts w:eastAsia="仿宋_GB2312"/>
                <w:kern w:val="0"/>
                <w:sz w:val="20"/>
                <w:szCs w:val="20"/>
              </w:rPr>
            </w:pPr>
          </w:p>
        </w:tc>
        <w:tc>
          <w:tcPr>
            <w:tcW w:w="682" w:type="dxa"/>
            <w:vMerge w:val="restart"/>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ascii="仿宋_GB2312" w:hAnsi="仿宋_GB2312" w:cs="Calibri"/>
                <w:kern w:val="0"/>
                <w:sz w:val="20"/>
                <w:szCs w:val="20"/>
              </w:rPr>
              <w:t>预算管理</w:t>
            </w:r>
          </w:p>
        </w:tc>
        <w:tc>
          <w:tcPr>
            <w:tcW w:w="419" w:type="dxa"/>
            <w:vMerge w:val="continue"/>
            <w:tcBorders>
              <w:top w:val="nil"/>
              <w:left w:val="nil"/>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ascii="仿宋_GB2312" w:hAnsi="仿宋_GB2312" w:cs="Calibri"/>
                <w:kern w:val="0"/>
                <w:sz w:val="20"/>
                <w:szCs w:val="20"/>
              </w:rPr>
              <w:t>管理制度健全性</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ascii="宋体" w:hAnsi="宋体"/>
                <w:kern w:val="0"/>
                <w:sz w:val="20"/>
                <w:szCs w:val="20"/>
              </w:rPr>
              <w:t>①</w:t>
            </w:r>
            <w:r>
              <w:rPr>
                <w:rFonts w:ascii="仿宋_GB2312" w:hAnsi="仿宋_GB2312" w:cs="Calibri"/>
                <w:kern w:val="0"/>
                <w:sz w:val="20"/>
                <w:szCs w:val="20"/>
              </w:rPr>
              <w:t>有内部财务管理制度、会计核算制度等管理制度，</w:t>
            </w:r>
            <w:r>
              <w:rPr>
                <w:rFonts w:eastAsia="仿宋_GB2312"/>
                <w:kern w:val="0"/>
                <w:sz w:val="20"/>
                <w:szCs w:val="20"/>
              </w:rPr>
              <w:t>2</w:t>
            </w:r>
            <w:r>
              <w:rPr>
                <w:rFonts w:ascii="仿宋_GB2312" w:hAnsi="仿宋_GB2312" w:cs="Calibri"/>
                <w:kern w:val="0"/>
                <w:sz w:val="20"/>
                <w:szCs w:val="20"/>
              </w:rPr>
              <w:t>分；</w:t>
            </w:r>
            <w:r>
              <w:rPr>
                <w:rFonts w:eastAsia="仿宋_GB2312"/>
                <w:kern w:val="0"/>
                <w:sz w:val="20"/>
                <w:szCs w:val="20"/>
              </w:rPr>
              <w:br w:type="textWrapping"/>
            </w:r>
            <w:r>
              <w:rPr>
                <w:rFonts w:hint="eastAsia" w:ascii="宋体" w:hAnsi="宋体"/>
                <w:kern w:val="0"/>
                <w:sz w:val="20"/>
                <w:szCs w:val="20"/>
              </w:rPr>
              <w:t>②</w:t>
            </w:r>
            <w:r>
              <w:rPr>
                <w:rFonts w:ascii="仿宋_GB2312" w:hAnsi="仿宋_GB2312" w:cs="Calibri"/>
                <w:kern w:val="0"/>
                <w:sz w:val="20"/>
                <w:szCs w:val="20"/>
              </w:rPr>
              <w:t>有本部门厉行节约制度</w:t>
            </w:r>
            <w:r>
              <w:rPr>
                <w:rFonts w:eastAsia="仿宋_GB2312"/>
                <w:kern w:val="0"/>
                <w:sz w:val="20"/>
                <w:szCs w:val="20"/>
              </w:rPr>
              <w:t>,2</w:t>
            </w:r>
            <w:r>
              <w:rPr>
                <w:rFonts w:ascii="仿宋_GB2312" w:hAnsi="仿宋_GB2312" w:cs="Calibri"/>
                <w:kern w:val="0"/>
                <w:sz w:val="20"/>
                <w:szCs w:val="20"/>
              </w:rPr>
              <w:t>分；</w:t>
            </w:r>
            <w:r>
              <w:rPr>
                <w:rFonts w:eastAsia="仿宋_GB2312"/>
                <w:kern w:val="0"/>
                <w:sz w:val="20"/>
                <w:szCs w:val="20"/>
              </w:rPr>
              <w:br w:type="textWrapping"/>
            </w:r>
            <w:r>
              <w:rPr>
                <w:rFonts w:hint="eastAsia" w:ascii="宋体" w:hAnsi="宋体"/>
                <w:kern w:val="0"/>
                <w:sz w:val="20"/>
                <w:szCs w:val="20"/>
              </w:rPr>
              <w:t>③</w:t>
            </w:r>
            <w:r>
              <w:rPr>
                <w:rFonts w:ascii="仿宋_GB2312" w:hAnsi="仿宋_GB2312" w:cs="Calibri"/>
                <w:kern w:val="0"/>
                <w:sz w:val="20"/>
                <w:szCs w:val="20"/>
              </w:rPr>
              <w:t>相关管理制度合法、合规、完整，</w:t>
            </w:r>
            <w:r>
              <w:rPr>
                <w:rFonts w:eastAsia="仿宋_GB2312"/>
                <w:kern w:val="0"/>
                <w:sz w:val="20"/>
                <w:szCs w:val="20"/>
              </w:rPr>
              <w:t>2</w:t>
            </w:r>
            <w:r>
              <w:rPr>
                <w:rFonts w:ascii="仿宋_GB2312" w:hAnsi="仿宋_GB2312" w:cs="Calibri"/>
                <w:kern w:val="0"/>
                <w:sz w:val="20"/>
                <w:szCs w:val="20"/>
              </w:rPr>
              <w:t>分；</w:t>
            </w:r>
            <w:r>
              <w:rPr>
                <w:rFonts w:hint="eastAsia" w:ascii="宋体" w:hAnsi="宋体"/>
                <w:kern w:val="0"/>
                <w:sz w:val="20"/>
                <w:szCs w:val="20"/>
              </w:rPr>
              <w:t>④</w:t>
            </w:r>
            <w:r>
              <w:rPr>
                <w:rFonts w:ascii="仿宋_GB2312" w:hAnsi="仿宋_GB2312" w:cs="Calibri"/>
                <w:kern w:val="0"/>
                <w:sz w:val="20"/>
                <w:szCs w:val="20"/>
              </w:rPr>
              <w:t>相关管理制度得到有效执行，</w:t>
            </w:r>
            <w:r>
              <w:rPr>
                <w:rFonts w:eastAsia="仿宋_GB2312"/>
                <w:kern w:val="0"/>
                <w:sz w:val="20"/>
                <w:szCs w:val="20"/>
              </w:rPr>
              <w:t>2</w:t>
            </w:r>
            <w:r>
              <w:rPr>
                <w:rFonts w:ascii="仿宋_GB2312" w:hAnsi="仿宋_GB2312" w:cs="Calibri"/>
                <w:kern w:val="0"/>
                <w:sz w:val="20"/>
                <w:szCs w:val="20"/>
              </w:rPr>
              <w:t>分。</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ascii="仿宋_GB2312" w:hAnsi="仿宋_GB2312" w:cs="Calibri"/>
                <w:kern w:val="0"/>
                <w:sz w:val="20"/>
                <w:szCs w:val="20"/>
              </w:rPr>
              <w:t>　</w:t>
            </w:r>
          </w:p>
        </w:tc>
        <w:tc>
          <w:tcPr>
            <w:tcW w:w="525" w:type="dxa"/>
            <w:tcBorders>
              <w:top w:val="nil"/>
              <w:left w:val="nil"/>
              <w:bottom w:val="single" w:color="auto" w:sz="4" w:space="0"/>
              <w:right w:val="single" w:color="auto" w:sz="4" w:space="0"/>
            </w:tcBorders>
            <w:vAlign w:val="center"/>
          </w:tcPr>
          <w:p>
            <w:pPr>
              <w:widowControl/>
              <w:jc w:val="left"/>
              <w:rPr>
                <w:rFonts w:cs="Calibri"/>
                <w:kern w:val="0"/>
                <w:sz w:val="24"/>
                <w:szCs w:val="24"/>
              </w:rPr>
            </w:pPr>
            <w:r>
              <w:rPr>
                <w:rFonts w:hint="eastAsia" w:ascii="宋体" w:hAnsi="宋体" w:cs="Calibri"/>
                <w:kern w:val="0"/>
                <w:sz w:val="24"/>
                <w:szCs w:val="24"/>
              </w:rPr>
              <w:t>　</w:t>
            </w:r>
            <w:r>
              <w:rPr>
                <w:rFonts w:hint="eastAsia" w:cs="Calibri"/>
                <w:kern w:val="0"/>
                <w:sz w:val="24"/>
                <w:szCs w:val="24"/>
              </w:rPr>
              <w:t>7</w:t>
            </w:r>
          </w:p>
        </w:tc>
      </w:tr>
      <w:tr>
        <w:tblPrEx>
          <w:tblCellMar>
            <w:top w:w="0" w:type="dxa"/>
            <w:left w:w="108" w:type="dxa"/>
            <w:bottom w:w="0" w:type="dxa"/>
            <w:right w:w="108" w:type="dxa"/>
          </w:tblCellMar>
        </w:tblPrEx>
        <w:trPr>
          <w:trHeight w:val="2367" w:hRule="atLeast"/>
          <w:jc w:val="center"/>
        </w:trPr>
        <w:tc>
          <w:tcPr>
            <w:tcW w:w="1015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nil"/>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nil"/>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nil"/>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ascii="仿宋_GB2312" w:hAnsi="仿宋_GB2312" w:cs="Calibri"/>
                <w:kern w:val="0"/>
                <w:sz w:val="20"/>
                <w:szCs w:val="20"/>
              </w:rPr>
              <w:t>资金使用合规性</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ascii="宋体" w:hAnsi="宋体"/>
                <w:kern w:val="0"/>
                <w:sz w:val="20"/>
                <w:szCs w:val="20"/>
              </w:rPr>
              <w:t>①</w:t>
            </w:r>
            <w:r>
              <w:rPr>
                <w:rFonts w:ascii="仿宋_GB2312" w:hAnsi="仿宋_GB2312" w:cs="Calibri"/>
                <w:kern w:val="0"/>
                <w:sz w:val="20"/>
                <w:szCs w:val="20"/>
              </w:rPr>
              <w:t>支出符合国家财经法规和财务管理制度规定以及有关专项资金管理办法的规定；</w:t>
            </w:r>
            <w:r>
              <w:rPr>
                <w:rFonts w:hint="eastAsia" w:ascii="宋体" w:hAnsi="宋体"/>
                <w:kern w:val="0"/>
                <w:sz w:val="20"/>
                <w:szCs w:val="20"/>
              </w:rPr>
              <w:t>②</w:t>
            </w:r>
            <w:r>
              <w:rPr>
                <w:rFonts w:ascii="仿宋_GB2312" w:hAnsi="仿宋_GB2312" w:cs="Calibri"/>
                <w:kern w:val="0"/>
                <w:sz w:val="20"/>
                <w:szCs w:val="20"/>
              </w:rPr>
              <w:t>资金拨付有完整的审批程序和手续；</w:t>
            </w:r>
            <w:r>
              <w:rPr>
                <w:rFonts w:hint="eastAsia" w:ascii="宋体" w:hAnsi="宋体"/>
                <w:kern w:val="0"/>
                <w:sz w:val="20"/>
                <w:szCs w:val="20"/>
              </w:rPr>
              <w:t>③</w:t>
            </w:r>
            <w:r>
              <w:rPr>
                <w:rFonts w:ascii="仿宋_GB2312" w:hAnsi="仿宋_GB2312" w:cs="Calibri"/>
                <w:kern w:val="0"/>
                <w:sz w:val="20"/>
                <w:szCs w:val="20"/>
              </w:rPr>
              <w:t>项目支出按规定经过评估论证；</w:t>
            </w:r>
            <w:r>
              <w:rPr>
                <w:rFonts w:hint="eastAsia" w:ascii="宋体" w:hAnsi="宋体"/>
                <w:kern w:val="0"/>
                <w:sz w:val="20"/>
                <w:szCs w:val="20"/>
              </w:rPr>
              <w:t>④</w:t>
            </w:r>
            <w:r>
              <w:rPr>
                <w:rFonts w:ascii="仿宋_GB2312" w:hAnsi="仿宋_GB2312" w:cs="Calibri"/>
                <w:kern w:val="0"/>
                <w:sz w:val="20"/>
                <w:szCs w:val="20"/>
              </w:rPr>
              <w:t>支出符合部门预算批复的用途；</w:t>
            </w:r>
            <w:r>
              <w:rPr>
                <w:rFonts w:hint="eastAsia" w:ascii="宋体" w:hAnsi="宋体"/>
                <w:kern w:val="0"/>
                <w:sz w:val="20"/>
                <w:szCs w:val="20"/>
              </w:rPr>
              <w:t>⑤</w:t>
            </w:r>
            <w:r>
              <w:rPr>
                <w:rFonts w:ascii="仿宋_GB2312" w:hAnsi="仿宋_GB2312" w:cs="Calibri"/>
                <w:kern w:val="0"/>
                <w:sz w:val="20"/>
                <w:szCs w:val="20"/>
              </w:rPr>
              <w:t>资金使用无截留、挤占、挪用、虚列支出等情况。</w:t>
            </w:r>
            <w:r>
              <w:rPr>
                <w:rFonts w:eastAsia="仿宋_GB2312"/>
                <w:kern w:val="0"/>
                <w:sz w:val="20"/>
                <w:szCs w:val="20"/>
              </w:rPr>
              <w:br w:type="textWrapping"/>
            </w:r>
            <w:r>
              <w:rPr>
                <w:rFonts w:ascii="仿宋_GB2312" w:hAnsi="仿宋_GB2312" w:cs="Calibri"/>
                <w:kern w:val="0"/>
                <w:sz w:val="20"/>
                <w:szCs w:val="20"/>
              </w:rPr>
              <w:t>以上情况每出现一例不符合要求的扣</w:t>
            </w:r>
            <w:r>
              <w:rPr>
                <w:rFonts w:eastAsia="仿宋_GB2312"/>
                <w:kern w:val="0"/>
                <w:sz w:val="20"/>
                <w:szCs w:val="20"/>
              </w:rPr>
              <w:t>1</w:t>
            </w:r>
            <w:r>
              <w:rPr>
                <w:rFonts w:ascii="仿宋_GB2312" w:hAnsi="仿宋_GB2312" w:cs="Calibri"/>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ascii="仿宋_GB2312" w:hAnsi="仿宋_GB2312" w:cs="Calibri"/>
                <w:kern w:val="0"/>
                <w:sz w:val="20"/>
                <w:szCs w:val="20"/>
              </w:rPr>
              <w:t>　</w:t>
            </w:r>
          </w:p>
        </w:tc>
        <w:tc>
          <w:tcPr>
            <w:tcW w:w="525" w:type="dxa"/>
            <w:tcBorders>
              <w:top w:val="nil"/>
              <w:left w:val="nil"/>
              <w:bottom w:val="single" w:color="auto" w:sz="4" w:space="0"/>
              <w:right w:val="single" w:color="auto" w:sz="4" w:space="0"/>
            </w:tcBorders>
            <w:vAlign w:val="center"/>
          </w:tcPr>
          <w:p>
            <w:pPr>
              <w:widowControl/>
              <w:jc w:val="left"/>
              <w:rPr>
                <w:kern w:val="0"/>
                <w:sz w:val="24"/>
                <w:szCs w:val="24"/>
              </w:rPr>
            </w:pPr>
            <w:r>
              <w:rPr>
                <w:rFonts w:hint="eastAsia" w:cs="Calibri"/>
                <w:kern w:val="0"/>
                <w:sz w:val="24"/>
                <w:szCs w:val="24"/>
              </w:rPr>
              <w:t>6</w:t>
            </w:r>
            <w:r>
              <w:rPr>
                <w:rFonts w:hint="eastAsia" w:ascii="宋体" w:hAnsi="宋体" w:cs="Calibri"/>
                <w:kern w:val="0"/>
                <w:sz w:val="24"/>
                <w:szCs w:val="24"/>
              </w:rPr>
              <w:t>　</w:t>
            </w:r>
          </w:p>
        </w:tc>
      </w:tr>
      <w:tr>
        <w:tblPrEx>
          <w:tblCellMar>
            <w:top w:w="0" w:type="dxa"/>
            <w:left w:w="108" w:type="dxa"/>
            <w:bottom w:w="0" w:type="dxa"/>
            <w:right w:w="108" w:type="dxa"/>
          </w:tblCellMar>
        </w:tblPrEx>
        <w:trPr>
          <w:trHeight w:val="1659" w:hRule="atLeast"/>
          <w:jc w:val="center"/>
        </w:trPr>
        <w:tc>
          <w:tcPr>
            <w:tcW w:w="1015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nil"/>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nil"/>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nil"/>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ascii="仿宋_GB2312" w:hAnsi="仿宋_GB2312" w:cs="Calibri"/>
                <w:kern w:val="0"/>
                <w:sz w:val="20"/>
                <w:szCs w:val="20"/>
              </w:rPr>
              <w:t>预决算信息公开性</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ascii="宋体" w:hAnsi="宋体"/>
                <w:kern w:val="0"/>
                <w:sz w:val="20"/>
                <w:szCs w:val="20"/>
              </w:rPr>
              <w:t>①</w:t>
            </w:r>
            <w:r>
              <w:rPr>
                <w:rFonts w:ascii="仿宋_GB2312" w:hAnsi="仿宋_GB2312" w:cs="Calibri"/>
                <w:kern w:val="0"/>
                <w:sz w:val="20"/>
                <w:szCs w:val="20"/>
              </w:rPr>
              <w:t>按规定内容公开预决算信息，</w:t>
            </w:r>
            <w:r>
              <w:rPr>
                <w:rFonts w:eastAsia="仿宋_GB2312"/>
                <w:kern w:val="0"/>
                <w:sz w:val="20"/>
                <w:szCs w:val="20"/>
              </w:rPr>
              <w:t>1</w:t>
            </w:r>
            <w:r>
              <w:rPr>
                <w:rFonts w:ascii="仿宋_GB2312" w:hAnsi="仿宋_GB2312" w:cs="Calibri"/>
                <w:kern w:val="0"/>
                <w:sz w:val="20"/>
                <w:szCs w:val="20"/>
              </w:rPr>
              <w:t>分；</w:t>
            </w:r>
            <w:r>
              <w:rPr>
                <w:rFonts w:hint="eastAsia" w:ascii="宋体" w:hAnsi="宋体"/>
                <w:kern w:val="0"/>
                <w:sz w:val="20"/>
                <w:szCs w:val="20"/>
              </w:rPr>
              <w:t>②</w:t>
            </w:r>
            <w:r>
              <w:rPr>
                <w:rFonts w:ascii="仿宋_GB2312" w:hAnsi="仿宋_GB2312" w:cs="Calibri"/>
                <w:kern w:val="0"/>
                <w:sz w:val="20"/>
                <w:szCs w:val="20"/>
              </w:rPr>
              <w:t>按规定时限公开预决算信息，</w:t>
            </w:r>
            <w:r>
              <w:rPr>
                <w:rFonts w:eastAsia="仿宋_GB2312"/>
                <w:kern w:val="0"/>
                <w:sz w:val="20"/>
                <w:szCs w:val="20"/>
              </w:rPr>
              <w:t>1</w:t>
            </w:r>
            <w:r>
              <w:rPr>
                <w:rFonts w:ascii="仿宋_GB2312" w:hAnsi="仿宋_GB2312" w:cs="Calibri"/>
                <w:kern w:val="0"/>
                <w:sz w:val="20"/>
                <w:szCs w:val="20"/>
              </w:rPr>
              <w:t>分；</w:t>
            </w:r>
            <w:r>
              <w:rPr>
                <w:rFonts w:hint="eastAsia" w:ascii="宋体" w:hAnsi="宋体"/>
                <w:kern w:val="0"/>
                <w:sz w:val="20"/>
                <w:szCs w:val="20"/>
              </w:rPr>
              <w:t>③</w:t>
            </w:r>
            <w:r>
              <w:rPr>
                <w:rFonts w:ascii="仿宋_GB2312" w:hAnsi="仿宋_GB2312" w:cs="Calibri"/>
                <w:kern w:val="0"/>
                <w:sz w:val="20"/>
                <w:szCs w:val="20"/>
              </w:rPr>
              <w:t>基础数据信息和会计信息资料真实，</w:t>
            </w:r>
            <w:r>
              <w:rPr>
                <w:rFonts w:eastAsia="仿宋_GB2312"/>
                <w:kern w:val="0"/>
                <w:sz w:val="20"/>
                <w:szCs w:val="20"/>
              </w:rPr>
              <w:t>1</w:t>
            </w:r>
            <w:r>
              <w:rPr>
                <w:rFonts w:ascii="仿宋_GB2312" w:hAnsi="仿宋_GB2312" w:cs="Calibri"/>
                <w:kern w:val="0"/>
                <w:sz w:val="20"/>
                <w:szCs w:val="20"/>
              </w:rPr>
              <w:t>分；</w:t>
            </w:r>
            <w:r>
              <w:rPr>
                <w:rFonts w:hint="eastAsia" w:ascii="宋体" w:hAnsi="宋体"/>
                <w:kern w:val="0"/>
                <w:sz w:val="20"/>
                <w:szCs w:val="20"/>
              </w:rPr>
              <w:t>④</w:t>
            </w:r>
            <w:r>
              <w:rPr>
                <w:rFonts w:ascii="仿宋_GB2312" w:hAnsi="仿宋_GB2312" w:cs="Calibri"/>
                <w:kern w:val="0"/>
                <w:sz w:val="20"/>
                <w:szCs w:val="20"/>
              </w:rPr>
              <w:t>基础数据信息和会计信息资料完整，</w:t>
            </w:r>
            <w:r>
              <w:rPr>
                <w:rFonts w:eastAsia="仿宋_GB2312"/>
                <w:kern w:val="0"/>
                <w:sz w:val="20"/>
                <w:szCs w:val="20"/>
              </w:rPr>
              <w:t>1</w:t>
            </w:r>
            <w:r>
              <w:rPr>
                <w:rFonts w:ascii="仿宋_GB2312" w:hAnsi="仿宋_GB2312" w:cs="Calibri"/>
                <w:kern w:val="0"/>
                <w:sz w:val="20"/>
                <w:szCs w:val="20"/>
              </w:rPr>
              <w:t>分；</w:t>
            </w:r>
            <w:r>
              <w:rPr>
                <w:rFonts w:hint="eastAsia" w:ascii="宋体" w:hAnsi="宋体"/>
                <w:kern w:val="0"/>
                <w:sz w:val="20"/>
                <w:szCs w:val="20"/>
              </w:rPr>
              <w:t>⑤</w:t>
            </w:r>
            <w:r>
              <w:rPr>
                <w:rFonts w:ascii="仿宋_GB2312" w:hAnsi="仿宋_GB2312" w:cs="Calibri"/>
                <w:kern w:val="0"/>
                <w:sz w:val="20"/>
                <w:szCs w:val="20"/>
              </w:rPr>
              <w:t>基础数据信息和汇集信息资料准确，</w:t>
            </w:r>
            <w:r>
              <w:rPr>
                <w:rFonts w:eastAsia="仿宋_GB2312"/>
                <w:kern w:val="0"/>
                <w:sz w:val="20"/>
                <w:szCs w:val="20"/>
              </w:rPr>
              <w:t>1</w:t>
            </w:r>
            <w:r>
              <w:rPr>
                <w:rFonts w:ascii="仿宋_GB2312" w:hAnsi="仿宋_GB2312" w:cs="Calibri"/>
                <w:kern w:val="0"/>
                <w:sz w:val="20"/>
                <w:szCs w:val="20"/>
              </w:rPr>
              <w:t>分。</w:t>
            </w:r>
            <w:r>
              <w:rPr>
                <w:rFonts w:eastAsia="仿宋_GB2312"/>
                <w:kern w:val="0"/>
                <w:sz w:val="20"/>
                <w:szCs w:val="20"/>
              </w:rPr>
              <w:t xml:space="preserve">  </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ascii="仿宋_GB2312" w:hAnsi="仿宋_GB2312" w:cs="Calibri"/>
                <w:kern w:val="0"/>
                <w:sz w:val="20"/>
                <w:szCs w:val="20"/>
              </w:rPr>
              <w:t>预决算信息是指与部门预算、执行、决算、监督、绩效等管理相关的信息。</w:t>
            </w:r>
          </w:p>
        </w:tc>
        <w:tc>
          <w:tcPr>
            <w:tcW w:w="525" w:type="dxa"/>
            <w:tcBorders>
              <w:top w:val="nil"/>
              <w:left w:val="nil"/>
              <w:bottom w:val="single" w:color="auto" w:sz="4" w:space="0"/>
              <w:right w:val="single" w:color="auto" w:sz="4" w:space="0"/>
            </w:tcBorders>
            <w:vAlign w:val="center"/>
          </w:tcPr>
          <w:p>
            <w:pPr>
              <w:widowControl/>
              <w:jc w:val="left"/>
              <w:rPr>
                <w:rFonts w:cs="Calibri"/>
                <w:kern w:val="0"/>
                <w:sz w:val="24"/>
                <w:szCs w:val="24"/>
              </w:rPr>
            </w:pPr>
            <w:r>
              <w:rPr>
                <w:rFonts w:hint="eastAsia" w:ascii="宋体" w:hAnsi="宋体" w:cs="Calibri"/>
                <w:kern w:val="0"/>
                <w:sz w:val="24"/>
                <w:szCs w:val="24"/>
              </w:rPr>
              <w:t>　</w:t>
            </w:r>
            <w:r>
              <w:rPr>
                <w:rFonts w:hint="eastAsia" w:cs="Calibri"/>
                <w:kern w:val="0"/>
                <w:sz w:val="24"/>
                <w:szCs w:val="24"/>
              </w:rPr>
              <w:t>5</w:t>
            </w:r>
          </w:p>
        </w:tc>
      </w:tr>
      <w:tr>
        <w:tblPrEx>
          <w:tblCellMar>
            <w:top w:w="0" w:type="dxa"/>
            <w:left w:w="108" w:type="dxa"/>
            <w:bottom w:w="0" w:type="dxa"/>
            <w:right w:w="108" w:type="dxa"/>
          </w:tblCellMar>
        </w:tblPrEx>
        <w:trPr>
          <w:trHeight w:val="1188" w:hRule="atLeast"/>
          <w:jc w:val="center"/>
        </w:trPr>
        <w:tc>
          <w:tcPr>
            <w:tcW w:w="521"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ascii="仿宋_GB2312" w:hAnsi="仿宋_GB2312" w:cs="Calibri"/>
                <w:kern w:val="0"/>
                <w:sz w:val="20"/>
                <w:szCs w:val="20"/>
              </w:rPr>
              <w:t>产出及效率</w:t>
            </w:r>
          </w:p>
        </w:tc>
        <w:tc>
          <w:tcPr>
            <w:tcW w:w="419" w:type="dxa"/>
            <w:vMerge w:val="restart"/>
            <w:tcBorders>
              <w:top w:val="nil"/>
              <w:left w:val="nil"/>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30</w:t>
            </w:r>
          </w:p>
        </w:tc>
        <w:tc>
          <w:tcPr>
            <w:tcW w:w="682"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ascii="仿宋_GB2312" w:hAnsi="仿宋_GB2312" w:cs="Calibri"/>
                <w:kern w:val="0"/>
                <w:sz w:val="20"/>
                <w:szCs w:val="20"/>
              </w:rPr>
              <w:t>职责履行</w:t>
            </w:r>
          </w:p>
        </w:tc>
        <w:tc>
          <w:tcPr>
            <w:tcW w:w="419"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1203" w:type="dxa"/>
            <w:tcBorders>
              <w:top w:val="nil"/>
              <w:left w:val="nil"/>
              <w:bottom w:val="nil"/>
              <w:right w:val="single" w:color="auto" w:sz="4" w:space="0"/>
            </w:tcBorders>
            <w:vAlign w:val="center"/>
          </w:tcPr>
          <w:p>
            <w:pPr>
              <w:widowControl/>
              <w:jc w:val="left"/>
              <w:rPr>
                <w:rFonts w:eastAsia="仿宋_GB2312"/>
                <w:kern w:val="0"/>
                <w:sz w:val="20"/>
                <w:szCs w:val="20"/>
              </w:rPr>
            </w:pPr>
            <w:r>
              <w:rPr>
                <w:rFonts w:ascii="仿宋_GB2312" w:hAnsi="仿宋_GB2312" w:cs="Calibri"/>
                <w:kern w:val="0"/>
                <w:sz w:val="20"/>
                <w:szCs w:val="20"/>
              </w:rPr>
              <w:t>重点工作实际完成率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ascii="仿宋_GB2312" w:hAnsi="仿宋_GB2312" w:cs="Calibri"/>
                <w:kern w:val="0"/>
                <w:sz w:val="20"/>
                <w:szCs w:val="20"/>
              </w:rPr>
              <w:t>根据绩效办</w:t>
            </w:r>
            <w:r>
              <w:rPr>
                <w:rFonts w:eastAsia="仿宋_GB2312"/>
                <w:kern w:val="0"/>
                <w:sz w:val="20"/>
                <w:szCs w:val="20"/>
              </w:rPr>
              <w:t>2017</w:t>
            </w:r>
            <w:r>
              <w:rPr>
                <w:rFonts w:ascii="仿宋_GB2312" w:hAnsi="仿宋_GB2312" w:cs="Calibri"/>
                <w:kern w:val="0"/>
                <w:sz w:val="20"/>
                <w:szCs w:val="20"/>
              </w:rPr>
              <w:t>年对各部门为民办实事和部门重点工程与重点工作考核分数折算。</w:t>
            </w:r>
            <w:r>
              <w:rPr>
                <w:rFonts w:eastAsia="仿宋_GB2312"/>
                <w:kern w:val="0"/>
                <w:sz w:val="20"/>
                <w:szCs w:val="20"/>
              </w:rPr>
              <w:br w:type="textWrapping"/>
            </w:r>
            <w:r>
              <w:rPr>
                <w:rFonts w:ascii="仿宋_GB2312" w:hAnsi="仿宋_GB2312" w:cs="Calibri"/>
                <w:kern w:val="0"/>
                <w:sz w:val="20"/>
                <w:szCs w:val="20"/>
              </w:rPr>
              <w:t>该项得分</w:t>
            </w:r>
            <w:r>
              <w:rPr>
                <w:rFonts w:eastAsia="仿宋_GB2312"/>
                <w:kern w:val="0"/>
                <w:sz w:val="20"/>
                <w:szCs w:val="20"/>
              </w:rPr>
              <w:t>=</w:t>
            </w:r>
            <w:r>
              <w:rPr>
                <w:rFonts w:ascii="仿宋_GB2312" w:hAnsi="仿宋_GB2312" w:cs="Calibri"/>
                <w:kern w:val="0"/>
                <w:sz w:val="20"/>
                <w:szCs w:val="20"/>
              </w:rPr>
              <w:t>（绩效办对应部分考核得分</w:t>
            </w:r>
            <w:r>
              <w:rPr>
                <w:rFonts w:eastAsia="仿宋_GB2312"/>
                <w:kern w:val="0"/>
                <w:sz w:val="20"/>
                <w:szCs w:val="20"/>
              </w:rPr>
              <w:t>/350</w:t>
            </w:r>
            <w:r>
              <w:rPr>
                <w:rFonts w:ascii="仿宋_GB2312" w:hAnsi="仿宋_GB2312" w:cs="Calibri"/>
                <w:kern w:val="0"/>
                <w:sz w:val="20"/>
                <w:szCs w:val="20"/>
              </w:rPr>
              <w:t>）</w:t>
            </w:r>
            <w:r>
              <w:rPr>
                <w:rFonts w:eastAsia="仿宋_GB2312"/>
                <w:kern w:val="0"/>
                <w:sz w:val="20"/>
                <w:szCs w:val="20"/>
              </w:rPr>
              <w:t>*8</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ascii="仿宋_GB2312" w:hAnsi="仿宋_GB2312" w:cs="Calibri"/>
                <w:kern w:val="0"/>
                <w:sz w:val="20"/>
                <w:szCs w:val="20"/>
              </w:rPr>
              <w:t>　</w:t>
            </w:r>
          </w:p>
        </w:tc>
        <w:tc>
          <w:tcPr>
            <w:tcW w:w="525" w:type="dxa"/>
            <w:tcBorders>
              <w:top w:val="nil"/>
              <w:left w:val="nil"/>
              <w:bottom w:val="single" w:color="auto" w:sz="4" w:space="0"/>
              <w:right w:val="single" w:color="auto" w:sz="4" w:space="0"/>
            </w:tcBorders>
            <w:vAlign w:val="center"/>
          </w:tcPr>
          <w:p>
            <w:pPr>
              <w:widowControl/>
              <w:jc w:val="left"/>
              <w:rPr>
                <w:kern w:val="0"/>
                <w:sz w:val="24"/>
                <w:szCs w:val="24"/>
              </w:rPr>
            </w:pPr>
            <w:r>
              <w:rPr>
                <w:rFonts w:hint="eastAsia" w:cs="Calibri"/>
                <w:kern w:val="0"/>
                <w:sz w:val="24"/>
                <w:szCs w:val="24"/>
              </w:rPr>
              <w:t>7</w:t>
            </w:r>
            <w:r>
              <w:rPr>
                <w:rFonts w:hint="eastAsia" w:ascii="宋体" w:hAnsi="宋体" w:cs="Calibri"/>
                <w:kern w:val="0"/>
                <w:sz w:val="24"/>
                <w:szCs w:val="24"/>
              </w:rPr>
              <w:t>　</w:t>
            </w:r>
          </w:p>
        </w:tc>
      </w:tr>
      <w:tr>
        <w:tblPrEx>
          <w:tblCellMar>
            <w:top w:w="0" w:type="dxa"/>
            <w:left w:w="108" w:type="dxa"/>
            <w:bottom w:w="0" w:type="dxa"/>
            <w:right w:w="108" w:type="dxa"/>
          </w:tblCellMar>
        </w:tblPrEx>
        <w:trPr>
          <w:trHeight w:val="345" w:hRule="atLeast"/>
          <w:jc w:val="center"/>
        </w:trPr>
        <w:tc>
          <w:tcPr>
            <w:tcW w:w="1015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nil"/>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restart"/>
            <w:tcBorders>
              <w:top w:val="nil"/>
              <w:left w:val="nil"/>
              <w:bottom w:val="single" w:color="000000" w:sz="4" w:space="0"/>
              <w:right w:val="single" w:color="auto" w:sz="4" w:space="0"/>
            </w:tcBorders>
            <w:vAlign w:val="center"/>
          </w:tcPr>
          <w:p>
            <w:pPr>
              <w:widowControl/>
              <w:jc w:val="center"/>
              <w:rPr>
                <w:rFonts w:eastAsia="仿宋_GB2312"/>
                <w:kern w:val="0"/>
                <w:sz w:val="20"/>
                <w:szCs w:val="20"/>
              </w:rPr>
            </w:pPr>
            <w:r>
              <w:rPr>
                <w:rFonts w:ascii="仿宋_GB2312" w:hAnsi="仿宋_GB2312" w:cs="Calibri"/>
                <w:kern w:val="0"/>
                <w:sz w:val="20"/>
                <w:szCs w:val="20"/>
              </w:rPr>
              <w:t>履职</w:t>
            </w:r>
            <w:r>
              <w:rPr>
                <w:rFonts w:eastAsia="仿宋_GB2312"/>
                <w:kern w:val="0"/>
                <w:sz w:val="20"/>
                <w:szCs w:val="20"/>
              </w:rPr>
              <w:t xml:space="preserve"> </w:t>
            </w:r>
            <w:r>
              <w:rPr>
                <w:rFonts w:ascii="仿宋_GB2312" w:hAnsi="仿宋_GB2312" w:cs="Calibri"/>
                <w:kern w:val="0"/>
                <w:sz w:val="20"/>
                <w:szCs w:val="20"/>
              </w:rPr>
              <w:t>效益</w:t>
            </w:r>
          </w:p>
        </w:tc>
        <w:tc>
          <w:tcPr>
            <w:tcW w:w="419" w:type="dxa"/>
            <w:vMerge w:val="restart"/>
            <w:tcBorders>
              <w:top w:val="nil"/>
              <w:left w:val="nil"/>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1203"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ascii="仿宋_GB2312" w:hAnsi="仿宋_GB2312" w:cs="Calibri"/>
                <w:kern w:val="0"/>
                <w:sz w:val="20"/>
                <w:szCs w:val="20"/>
              </w:rPr>
              <w:t>经济效益</w:t>
            </w:r>
          </w:p>
        </w:tc>
        <w:tc>
          <w:tcPr>
            <w:tcW w:w="481" w:type="dxa"/>
            <w:vMerge w:val="restart"/>
            <w:tcBorders>
              <w:top w:val="nil"/>
              <w:left w:val="nil"/>
              <w:bottom w:val="nil"/>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6426" w:type="dxa"/>
            <w:gridSpan w:val="2"/>
            <w:vMerge w:val="restart"/>
            <w:tcBorders>
              <w:top w:val="nil"/>
              <w:left w:val="nil"/>
              <w:bottom w:val="nil"/>
              <w:right w:val="single" w:color="000000" w:sz="4" w:space="0"/>
            </w:tcBorders>
            <w:vAlign w:val="center"/>
          </w:tcPr>
          <w:p>
            <w:pPr>
              <w:widowControl/>
              <w:jc w:val="left"/>
              <w:rPr>
                <w:rFonts w:eastAsia="仿宋_GB2312"/>
                <w:kern w:val="0"/>
                <w:sz w:val="20"/>
                <w:szCs w:val="20"/>
              </w:rPr>
            </w:pPr>
            <w:r>
              <w:rPr>
                <w:rFonts w:ascii="仿宋_GB2312" w:hAnsi="仿宋_GB2312" w:cs="Calibri"/>
                <w:kern w:val="0"/>
                <w:sz w:val="20"/>
                <w:szCs w:val="20"/>
              </w:rPr>
              <w:t>此两项指标为设置部门整体支出绩效评价指标时必须考虑的共性要素，可根据部门实际情况有选择的进行设置，并将其细化为相应的个性化指标。</w:t>
            </w:r>
          </w:p>
        </w:tc>
        <w:tc>
          <w:tcPr>
            <w:tcW w:w="525" w:type="dxa"/>
            <w:tcBorders>
              <w:top w:val="nil"/>
              <w:left w:val="nil"/>
              <w:bottom w:val="nil"/>
              <w:right w:val="single" w:color="auto" w:sz="4" w:space="0"/>
            </w:tcBorders>
            <w:vAlign w:val="center"/>
          </w:tcPr>
          <w:p>
            <w:pPr>
              <w:widowControl/>
              <w:jc w:val="left"/>
              <w:rPr>
                <w:kern w:val="0"/>
                <w:sz w:val="24"/>
                <w:szCs w:val="24"/>
              </w:rPr>
            </w:pPr>
            <w:r>
              <w:rPr>
                <w:rFonts w:hint="eastAsia" w:ascii="宋体" w:hAnsi="宋体" w:cs="Calibri"/>
                <w:kern w:val="0"/>
                <w:sz w:val="24"/>
                <w:szCs w:val="24"/>
              </w:rPr>
              <w:t>　</w:t>
            </w:r>
          </w:p>
        </w:tc>
      </w:tr>
      <w:tr>
        <w:tblPrEx>
          <w:tblCellMar>
            <w:top w:w="0" w:type="dxa"/>
            <w:left w:w="108" w:type="dxa"/>
            <w:bottom w:w="0" w:type="dxa"/>
            <w:right w:w="108" w:type="dxa"/>
          </w:tblCellMar>
        </w:tblPrEx>
        <w:trPr>
          <w:trHeight w:val="372" w:hRule="atLeast"/>
          <w:jc w:val="center"/>
        </w:trPr>
        <w:tc>
          <w:tcPr>
            <w:tcW w:w="1015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nil"/>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nil"/>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nil"/>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ascii="仿宋_GB2312" w:hAnsi="仿宋_GB2312" w:cs="Calibri"/>
                <w:kern w:val="0"/>
                <w:sz w:val="20"/>
                <w:szCs w:val="20"/>
              </w:rPr>
              <w:t>社会效益</w:t>
            </w:r>
          </w:p>
        </w:tc>
        <w:tc>
          <w:tcPr>
            <w:tcW w:w="481" w:type="dxa"/>
            <w:vMerge w:val="continue"/>
            <w:tcBorders>
              <w:top w:val="nil"/>
              <w:left w:val="nil"/>
              <w:bottom w:val="nil"/>
              <w:right w:val="single" w:color="auto" w:sz="4" w:space="0"/>
            </w:tcBorders>
            <w:vAlign w:val="center"/>
          </w:tcPr>
          <w:p>
            <w:pPr>
              <w:widowControl/>
              <w:jc w:val="left"/>
              <w:rPr>
                <w:rFonts w:eastAsia="仿宋_GB2312"/>
                <w:kern w:val="0"/>
                <w:sz w:val="20"/>
                <w:szCs w:val="20"/>
              </w:rPr>
            </w:pPr>
          </w:p>
        </w:tc>
        <w:tc>
          <w:tcPr>
            <w:tcW w:w="9853" w:type="dxa"/>
            <w:gridSpan w:val="2"/>
            <w:vMerge w:val="continue"/>
            <w:tcBorders>
              <w:top w:val="nil"/>
              <w:left w:val="nil"/>
              <w:bottom w:val="nil"/>
              <w:right w:val="single" w:color="000000" w:sz="4" w:space="0"/>
            </w:tcBorders>
            <w:vAlign w:val="center"/>
          </w:tcPr>
          <w:p>
            <w:pPr>
              <w:widowControl/>
              <w:jc w:val="left"/>
              <w:rPr>
                <w:rFonts w:eastAsia="仿宋_GB2312"/>
                <w:kern w:val="0"/>
                <w:sz w:val="20"/>
                <w:szCs w:val="20"/>
              </w:rPr>
            </w:pPr>
          </w:p>
        </w:tc>
        <w:tc>
          <w:tcPr>
            <w:tcW w:w="525" w:type="dxa"/>
            <w:tcBorders>
              <w:top w:val="nil"/>
              <w:left w:val="nil"/>
              <w:bottom w:val="nil"/>
              <w:right w:val="single" w:color="auto" w:sz="4" w:space="0"/>
            </w:tcBorders>
            <w:vAlign w:val="center"/>
          </w:tcPr>
          <w:p>
            <w:pPr>
              <w:widowControl/>
              <w:jc w:val="left"/>
              <w:rPr>
                <w:rFonts w:cs="Calibri"/>
                <w:kern w:val="0"/>
                <w:sz w:val="24"/>
                <w:szCs w:val="24"/>
              </w:rPr>
            </w:pPr>
            <w:r>
              <w:rPr>
                <w:rFonts w:hint="eastAsia" w:ascii="宋体" w:hAnsi="宋体" w:cs="Calibri"/>
                <w:kern w:val="0"/>
                <w:sz w:val="24"/>
                <w:szCs w:val="24"/>
              </w:rPr>
              <w:t>　</w:t>
            </w:r>
            <w:r>
              <w:rPr>
                <w:rFonts w:hint="eastAsia" w:cs="Calibri"/>
                <w:kern w:val="0"/>
                <w:sz w:val="24"/>
                <w:szCs w:val="24"/>
              </w:rPr>
              <w:t>9</w:t>
            </w:r>
          </w:p>
        </w:tc>
      </w:tr>
      <w:tr>
        <w:tblPrEx>
          <w:tblCellMar>
            <w:top w:w="0" w:type="dxa"/>
            <w:left w:w="108" w:type="dxa"/>
            <w:bottom w:w="0" w:type="dxa"/>
            <w:right w:w="108" w:type="dxa"/>
          </w:tblCellMar>
        </w:tblPrEx>
        <w:trPr>
          <w:trHeight w:val="1188" w:hRule="atLeast"/>
          <w:jc w:val="center"/>
        </w:trPr>
        <w:tc>
          <w:tcPr>
            <w:tcW w:w="1015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nil"/>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nil"/>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restart"/>
            <w:tcBorders>
              <w:top w:val="nil"/>
              <w:left w:val="nil"/>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12</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ascii="仿宋_GB2312" w:hAnsi="仿宋_GB2312" w:cs="Calibri"/>
                <w:kern w:val="0"/>
                <w:sz w:val="20"/>
                <w:szCs w:val="20"/>
              </w:rPr>
              <w:t>行政效能</w:t>
            </w:r>
          </w:p>
        </w:tc>
        <w:tc>
          <w:tcPr>
            <w:tcW w:w="481"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sz w:val="20"/>
                <w:szCs w:val="20"/>
              </w:rPr>
            </w:pPr>
            <w:r>
              <w:rPr>
                <w:rFonts w:ascii="仿宋_GB2312" w:hAnsi="仿宋_GB2312" w:cs="Calibri"/>
                <w:kern w:val="0"/>
                <w:sz w:val="20"/>
                <w:szCs w:val="20"/>
              </w:rPr>
              <w:t>促进部门改进文风会风，加强经费及资产管理，推动网上办事，提高行政效率，降低行政成本效果较好的计</w:t>
            </w:r>
            <w:r>
              <w:rPr>
                <w:rFonts w:eastAsia="仿宋_GB2312"/>
                <w:kern w:val="0"/>
                <w:sz w:val="20"/>
                <w:szCs w:val="20"/>
              </w:rPr>
              <w:t>6</w:t>
            </w:r>
            <w:r>
              <w:rPr>
                <w:rFonts w:ascii="仿宋_GB2312" w:hAnsi="仿宋_GB2312" w:cs="Calibri"/>
                <w:kern w:val="0"/>
                <w:sz w:val="20"/>
                <w:szCs w:val="20"/>
              </w:rPr>
              <w:t>分；一般</w:t>
            </w:r>
            <w:r>
              <w:rPr>
                <w:rFonts w:eastAsia="仿宋_GB2312"/>
                <w:kern w:val="0"/>
                <w:sz w:val="20"/>
                <w:szCs w:val="20"/>
              </w:rPr>
              <w:t>3</w:t>
            </w:r>
            <w:r>
              <w:rPr>
                <w:rFonts w:ascii="仿宋_GB2312" w:hAnsi="仿宋_GB2312" w:cs="Calibri"/>
                <w:kern w:val="0"/>
                <w:sz w:val="20"/>
                <w:szCs w:val="20"/>
              </w:rPr>
              <w:t>分；无效果或者效果不明显</w:t>
            </w:r>
            <w:r>
              <w:rPr>
                <w:rFonts w:eastAsia="仿宋_GB2312"/>
                <w:kern w:val="0"/>
                <w:sz w:val="20"/>
                <w:szCs w:val="20"/>
              </w:rPr>
              <w:t>0</w:t>
            </w:r>
            <w:r>
              <w:rPr>
                <w:rFonts w:ascii="仿宋_GB2312" w:hAnsi="仿宋_GB2312" w:cs="Calibri"/>
                <w:kern w:val="0"/>
                <w:sz w:val="20"/>
                <w:szCs w:val="20"/>
              </w:rPr>
              <w:t>分。</w:t>
            </w:r>
          </w:p>
        </w:tc>
        <w:tc>
          <w:tcPr>
            <w:tcW w:w="3427"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sz w:val="20"/>
                <w:szCs w:val="20"/>
              </w:rPr>
            </w:pPr>
            <w:r>
              <w:rPr>
                <w:rFonts w:ascii="仿宋_GB2312" w:hAnsi="仿宋_GB2312" w:cs="Calibri"/>
                <w:kern w:val="0"/>
                <w:sz w:val="20"/>
                <w:szCs w:val="20"/>
              </w:rPr>
              <w:t>根据部门自评材料评定。</w:t>
            </w:r>
          </w:p>
        </w:tc>
        <w:tc>
          <w:tcPr>
            <w:tcW w:w="525" w:type="dxa"/>
            <w:tcBorders>
              <w:top w:val="single" w:color="auto" w:sz="4" w:space="0"/>
              <w:left w:val="nil"/>
              <w:bottom w:val="single" w:color="auto" w:sz="4" w:space="0"/>
              <w:right w:val="single" w:color="auto" w:sz="4" w:space="0"/>
            </w:tcBorders>
            <w:vAlign w:val="center"/>
          </w:tcPr>
          <w:p>
            <w:pPr>
              <w:widowControl/>
              <w:jc w:val="left"/>
              <w:rPr>
                <w:rFonts w:cs="Calibri"/>
                <w:kern w:val="0"/>
                <w:sz w:val="24"/>
                <w:szCs w:val="24"/>
              </w:rPr>
            </w:pPr>
            <w:r>
              <w:rPr>
                <w:rFonts w:hint="eastAsia" w:ascii="宋体" w:hAnsi="宋体" w:cs="Calibri"/>
                <w:kern w:val="0"/>
                <w:sz w:val="24"/>
                <w:szCs w:val="24"/>
              </w:rPr>
              <w:t>　</w:t>
            </w:r>
            <w:r>
              <w:rPr>
                <w:rFonts w:hint="eastAsia" w:cs="Calibri"/>
                <w:kern w:val="0"/>
                <w:sz w:val="24"/>
                <w:szCs w:val="24"/>
              </w:rPr>
              <w:t>6</w:t>
            </w:r>
          </w:p>
        </w:tc>
      </w:tr>
      <w:tr>
        <w:tblPrEx>
          <w:tblCellMar>
            <w:top w:w="0" w:type="dxa"/>
            <w:left w:w="108" w:type="dxa"/>
            <w:bottom w:w="0" w:type="dxa"/>
            <w:right w:w="108" w:type="dxa"/>
          </w:tblCellMar>
        </w:tblPrEx>
        <w:trPr>
          <w:trHeight w:val="952" w:hRule="atLeast"/>
          <w:jc w:val="center"/>
        </w:trPr>
        <w:tc>
          <w:tcPr>
            <w:tcW w:w="1015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nil"/>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nil"/>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nil"/>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ascii="仿宋_GB2312" w:hAnsi="仿宋_GB2312" w:cs="Calibri"/>
                <w:kern w:val="0"/>
                <w:sz w:val="20"/>
                <w:szCs w:val="20"/>
              </w:rPr>
              <w:t>社会公众或服务对象满意度</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90%</w:t>
            </w:r>
            <w:r>
              <w:rPr>
                <w:rFonts w:ascii="仿宋_GB2312" w:hAnsi="仿宋_GB2312" w:cs="Calibri"/>
                <w:kern w:val="0"/>
                <w:sz w:val="20"/>
                <w:szCs w:val="20"/>
              </w:rPr>
              <w:t>（含）以上计</w:t>
            </w:r>
            <w:r>
              <w:rPr>
                <w:rFonts w:eastAsia="仿宋_GB2312"/>
                <w:kern w:val="0"/>
                <w:sz w:val="20"/>
                <w:szCs w:val="20"/>
              </w:rPr>
              <w:t>6</w:t>
            </w:r>
            <w:r>
              <w:rPr>
                <w:rFonts w:ascii="仿宋_GB2312" w:hAnsi="仿宋_GB2312" w:cs="Calibri"/>
                <w:kern w:val="0"/>
                <w:sz w:val="20"/>
                <w:szCs w:val="20"/>
              </w:rPr>
              <w:t>分；</w:t>
            </w:r>
            <w:r>
              <w:rPr>
                <w:rFonts w:eastAsia="仿宋_GB2312"/>
                <w:kern w:val="0"/>
                <w:sz w:val="20"/>
                <w:szCs w:val="20"/>
              </w:rPr>
              <w:br w:type="textWrapping"/>
            </w:r>
            <w:r>
              <w:rPr>
                <w:rFonts w:eastAsia="仿宋_GB2312"/>
                <w:kern w:val="0"/>
                <w:sz w:val="20"/>
                <w:szCs w:val="20"/>
              </w:rPr>
              <w:t>80%</w:t>
            </w:r>
            <w:r>
              <w:rPr>
                <w:rFonts w:ascii="仿宋_GB2312" w:hAnsi="仿宋_GB2312" w:cs="Calibri"/>
                <w:kern w:val="0"/>
                <w:sz w:val="20"/>
                <w:szCs w:val="20"/>
              </w:rPr>
              <w:t>（含）</w:t>
            </w:r>
            <w:r>
              <w:rPr>
                <w:rFonts w:eastAsia="仿宋_GB2312"/>
                <w:kern w:val="0"/>
                <w:sz w:val="20"/>
                <w:szCs w:val="20"/>
              </w:rPr>
              <w:t>-90%</w:t>
            </w:r>
            <w:r>
              <w:rPr>
                <w:rFonts w:ascii="仿宋_GB2312" w:hAnsi="仿宋_GB2312" w:cs="Calibri"/>
                <w:kern w:val="0"/>
                <w:sz w:val="20"/>
                <w:szCs w:val="20"/>
              </w:rPr>
              <w:t>，计</w:t>
            </w:r>
            <w:r>
              <w:rPr>
                <w:rFonts w:eastAsia="仿宋_GB2312"/>
                <w:kern w:val="0"/>
                <w:sz w:val="20"/>
                <w:szCs w:val="20"/>
              </w:rPr>
              <w:t>4</w:t>
            </w:r>
            <w:r>
              <w:rPr>
                <w:rFonts w:ascii="仿宋_GB2312" w:hAnsi="仿宋_GB2312" w:cs="Calibri"/>
                <w:kern w:val="0"/>
                <w:sz w:val="20"/>
                <w:szCs w:val="20"/>
              </w:rPr>
              <w:t>分；</w:t>
            </w:r>
            <w:r>
              <w:rPr>
                <w:rFonts w:eastAsia="仿宋_GB2312"/>
                <w:kern w:val="0"/>
                <w:sz w:val="20"/>
                <w:szCs w:val="20"/>
              </w:rPr>
              <w:br w:type="textWrapping"/>
            </w:r>
            <w:r>
              <w:rPr>
                <w:rFonts w:eastAsia="仿宋_GB2312"/>
                <w:kern w:val="0"/>
                <w:sz w:val="20"/>
                <w:szCs w:val="20"/>
              </w:rPr>
              <w:t>70%</w:t>
            </w:r>
            <w:r>
              <w:rPr>
                <w:rFonts w:ascii="仿宋_GB2312" w:hAnsi="仿宋_GB2312" w:cs="Calibri"/>
                <w:kern w:val="0"/>
                <w:sz w:val="20"/>
                <w:szCs w:val="20"/>
              </w:rPr>
              <w:t>（含）</w:t>
            </w:r>
            <w:r>
              <w:rPr>
                <w:rFonts w:eastAsia="仿宋_GB2312"/>
                <w:kern w:val="0"/>
                <w:sz w:val="20"/>
                <w:szCs w:val="20"/>
              </w:rPr>
              <w:t>-80%</w:t>
            </w:r>
            <w:r>
              <w:rPr>
                <w:rFonts w:ascii="仿宋_GB2312" w:hAnsi="仿宋_GB2312" w:cs="Calibri"/>
                <w:kern w:val="0"/>
                <w:sz w:val="20"/>
                <w:szCs w:val="20"/>
              </w:rPr>
              <w:t>，计</w:t>
            </w:r>
            <w:r>
              <w:rPr>
                <w:rFonts w:eastAsia="仿宋_GB2312"/>
                <w:kern w:val="0"/>
                <w:sz w:val="20"/>
                <w:szCs w:val="20"/>
              </w:rPr>
              <w:t>2</w:t>
            </w:r>
            <w:r>
              <w:rPr>
                <w:rFonts w:ascii="仿宋_GB2312" w:hAnsi="仿宋_GB2312" w:cs="Calibri"/>
                <w:kern w:val="0"/>
                <w:sz w:val="20"/>
                <w:szCs w:val="20"/>
              </w:rPr>
              <w:t>分；</w:t>
            </w:r>
            <w:r>
              <w:rPr>
                <w:rFonts w:eastAsia="仿宋_GB2312"/>
                <w:kern w:val="0"/>
                <w:sz w:val="20"/>
                <w:szCs w:val="20"/>
              </w:rPr>
              <w:br w:type="textWrapping"/>
            </w:r>
            <w:r>
              <w:rPr>
                <w:rFonts w:ascii="仿宋_GB2312" w:hAnsi="仿宋_GB2312" w:cs="Calibri"/>
                <w:kern w:val="0"/>
                <w:sz w:val="20"/>
                <w:szCs w:val="20"/>
              </w:rPr>
              <w:t>低于</w:t>
            </w:r>
            <w:r>
              <w:rPr>
                <w:rFonts w:eastAsia="仿宋_GB2312"/>
                <w:kern w:val="0"/>
                <w:sz w:val="20"/>
                <w:szCs w:val="20"/>
              </w:rPr>
              <w:t>70%</w:t>
            </w:r>
            <w:r>
              <w:rPr>
                <w:rFonts w:ascii="仿宋_GB2312" w:hAnsi="仿宋_GB2312" w:cs="Calibri"/>
                <w:kern w:val="0"/>
                <w:sz w:val="20"/>
                <w:szCs w:val="20"/>
              </w:rPr>
              <w:t>计</w:t>
            </w:r>
            <w:r>
              <w:rPr>
                <w:rFonts w:eastAsia="仿宋_GB2312"/>
                <w:kern w:val="0"/>
                <w:sz w:val="20"/>
                <w:szCs w:val="20"/>
              </w:rPr>
              <w:t>0</w:t>
            </w:r>
            <w:r>
              <w:rPr>
                <w:rFonts w:ascii="仿宋_GB2312" w:hAnsi="仿宋_GB2312" w:cs="Calibri"/>
                <w:kern w:val="0"/>
                <w:sz w:val="20"/>
                <w:szCs w:val="20"/>
              </w:rPr>
              <w:t>分。</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ascii="仿宋_GB2312" w:hAnsi="仿宋_GB2312" w:cs="Calibri"/>
                <w:kern w:val="0"/>
                <w:sz w:val="20"/>
                <w:szCs w:val="20"/>
              </w:rPr>
              <w:t>社会公众或服务对象是指部门（单位）履行职责而影响到的部门、群体或个人，一般采取社会调查的方式。</w:t>
            </w:r>
          </w:p>
        </w:tc>
        <w:tc>
          <w:tcPr>
            <w:tcW w:w="525" w:type="dxa"/>
            <w:tcBorders>
              <w:top w:val="nil"/>
              <w:left w:val="nil"/>
              <w:bottom w:val="single" w:color="auto" w:sz="4" w:space="0"/>
              <w:right w:val="single" w:color="auto" w:sz="4" w:space="0"/>
            </w:tcBorders>
            <w:vAlign w:val="center"/>
          </w:tcPr>
          <w:p>
            <w:pPr>
              <w:widowControl/>
              <w:jc w:val="left"/>
              <w:rPr>
                <w:rFonts w:cs="Calibri"/>
                <w:kern w:val="0"/>
                <w:sz w:val="24"/>
                <w:szCs w:val="24"/>
              </w:rPr>
            </w:pPr>
            <w:r>
              <w:rPr>
                <w:rFonts w:hint="eastAsia" w:ascii="宋体" w:hAnsi="宋体" w:cs="Calibri"/>
                <w:kern w:val="0"/>
                <w:sz w:val="24"/>
                <w:szCs w:val="24"/>
              </w:rPr>
              <w:t>　</w:t>
            </w:r>
            <w:r>
              <w:rPr>
                <w:rFonts w:hint="eastAsia" w:cs="Calibri"/>
                <w:kern w:val="0"/>
                <w:sz w:val="24"/>
                <w:szCs w:val="24"/>
              </w:rPr>
              <w:t>5</w:t>
            </w:r>
          </w:p>
        </w:tc>
      </w:tr>
      <w:tr>
        <w:tblPrEx>
          <w:tblCellMar>
            <w:top w:w="0" w:type="dxa"/>
            <w:left w:w="108" w:type="dxa"/>
            <w:bottom w:w="0" w:type="dxa"/>
            <w:right w:w="108" w:type="dxa"/>
          </w:tblCellMar>
        </w:tblPrEx>
        <w:trPr>
          <w:trHeight w:val="450" w:hRule="atLeast"/>
          <w:jc w:val="center"/>
        </w:trPr>
        <w:tc>
          <w:tcPr>
            <w:tcW w:w="10151" w:type="dxa"/>
            <w:gridSpan w:val="8"/>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 w:val="20"/>
                <w:szCs w:val="20"/>
              </w:rPr>
            </w:pPr>
            <w:r>
              <w:rPr>
                <w:rFonts w:ascii="仿宋_GB2312" w:hAnsi="仿宋_GB2312" w:cs="Calibri"/>
                <w:kern w:val="0"/>
                <w:sz w:val="24"/>
                <w:szCs w:val="24"/>
              </w:rPr>
              <w:t>合计得分</w:t>
            </w:r>
          </w:p>
        </w:tc>
        <w:tc>
          <w:tcPr>
            <w:tcW w:w="525" w:type="dxa"/>
            <w:tcBorders>
              <w:top w:val="single" w:color="auto" w:sz="4" w:space="0"/>
              <w:left w:val="nil"/>
              <w:bottom w:val="single" w:color="auto" w:sz="4" w:space="0"/>
              <w:right w:val="single" w:color="auto" w:sz="4" w:space="0"/>
            </w:tcBorders>
            <w:vAlign w:val="center"/>
          </w:tcPr>
          <w:p>
            <w:pPr>
              <w:widowControl/>
              <w:jc w:val="left"/>
              <w:rPr>
                <w:kern w:val="0"/>
                <w:sz w:val="24"/>
                <w:szCs w:val="24"/>
              </w:rPr>
            </w:pPr>
            <w:r>
              <w:rPr>
                <w:rFonts w:hint="eastAsia" w:cs="Calibri"/>
                <w:kern w:val="0"/>
                <w:sz w:val="24"/>
                <w:szCs w:val="24"/>
              </w:rPr>
              <w:t>92</w:t>
            </w:r>
          </w:p>
        </w:tc>
      </w:tr>
    </w:tbl>
    <w:p>
      <w:pPr>
        <w:rPr>
          <w:rFonts w:ascii="仿宋" w:hAnsi="仿宋" w:eastAsia="仿宋" w:cs="Times New Roman"/>
        </w:rPr>
      </w:pPr>
      <w:r>
        <w:rPr>
          <w:rFonts w:hint="eastAsia" w:ascii="仿宋" w:hAnsi="仿宋" w:eastAsia="仿宋" w:cs="Times New Roman"/>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altName w:val="Times New Roman"/>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85BA8"/>
    <w:rsid w:val="00985BA8"/>
    <w:rsid w:val="00A91C16"/>
    <w:rsid w:val="332A1A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1"/>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unhideWhenUsed/>
    <w:uiPriority w:val="99"/>
    <w:pPr>
      <w:spacing w:before="100" w:beforeAutospacing="1" w:after="100" w:afterAutospacing="1"/>
      <w:jc w:val="left"/>
    </w:pPr>
    <w:rPr>
      <w:kern w:val="0"/>
      <w:sz w:val="24"/>
      <w:szCs w:val="24"/>
    </w:rPr>
  </w:style>
  <w:style w:type="paragraph" w:customStyle="1" w:styleId="5">
    <w:name w:val="Body text|1"/>
    <w:basedOn w:val="1"/>
    <w:uiPriority w:val="0"/>
    <w:pPr>
      <w:spacing w:line="396" w:lineRule="auto"/>
      <w:ind w:firstLine="400"/>
    </w:pPr>
    <w:rPr>
      <w:rFonts w:ascii="宋体" w:hAnsi="宋体"/>
      <w:sz w:val="30"/>
      <w:szCs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769</Words>
  <Characters>4385</Characters>
  <Lines>36</Lines>
  <Paragraphs>10</Paragraphs>
  <TotalTime>9</TotalTime>
  <ScaleCrop>false</ScaleCrop>
  <LinksUpToDate>false</LinksUpToDate>
  <CharactersWithSpaces>5144</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2022-11-10T08:16:00Z</dcterms:created>
  <dc:creator>Administrator</dc:creator>
  <cp:lastModifiedBy>东来</cp:lastModifiedBy>
  <dcterms:modified xsi:type="dcterms:W3CDTF">2023-09-22T02:06:04Z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