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eastAsia="仿宋_GB2312"/>
          <w:sz w:val="32"/>
          <w:szCs w:val="32"/>
        </w:rPr>
      </w:pPr>
      <w:r>
        <w:rPr>
          <w:rFonts w:hint="eastAsia" w:ascii="仿宋_GB2312" w:hAnsi="仿宋_GB2312" w:eastAsia="仿宋_GB2312" w:cs="仿宋_GB2312"/>
          <w:sz w:val="32"/>
          <w:szCs w:val="32"/>
        </w:rPr>
        <w:t>附件3</w:t>
      </w:r>
      <w:r>
        <w:rPr>
          <w:rFonts w:hint="eastAsia" w:eastAsia="仿宋_GB2312"/>
          <w:sz w:val="32"/>
          <w:szCs w:val="32"/>
        </w:rPr>
        <w:t>：</w:t>
      </w:r>
    </w:p>
    <w:p>
      <w:pPr>
        <w:jc w:val="center"/>
        <w:rPr>
          <w:rFonts w:eastAsia="方正小标宋简体"/>
          <w:sz w:val="36"/>
          <w:szCs w:val="36"/>
        </w:rPr>
      </w:pPr>
      <w:r>
        <w:rPr>
          <w:rFonts w:hint="eastAsia" w:ascii="方正小标宋简体" w:eastAsia="方正小标宋简体"/>
          <w:color w:val="000000"/>
          <w:sz w:val="36"/>
          <w:szCs w:val="36"/>
        </w:rPr>
        <w:t>2021</w:t>
      </w:r>
      <w:r>
        <w:rPr>
          <w:rFonts w:eastAsia="方正小标宋简体"/>
          <w:sz w:val="36"/>
          <w:szCs w:val="36"/>
        </w:rPr>
        <w:t>年度部门整体支出绩效自评报告</w:t>
      </w:r>
    </w:p>
    <w:p>
      <w:pPr>
        <w:ind w:firstLine="420" w:firstLineChars="200"/>
        <w:jc w:val="center"/>
      </w:pPr>
    </w:p>
    <w:p>
      <w:pPr>
        <w:ind w:firstLine="602" w:firstLineChars="200"/>
        <w:rPr>
          <w:rFonts w:ascii="宋体" w:hAnsi="宋体"/>
          <w:b/>
          <w:sz w:val="30"/>
          <w:szCs w:val="30"/>
        </w:rPr>
      </w:pPr>
      <w:r>
        <w:rPr>
          <w:rFonts w:ascii="宋体" w:hAnsi="宋体"/>
          <w:b/>
          <w:sz w:val="30"/>
          <w:szCs w:val="30"/>
        </w:rPr>
        <w:t>一、部门概况</w:t>
      </w:r>
    </w:p>
    <w:p>
      <w:pPr>
        <w:ind w:firstLine="600" w:firstLineChars="200"/>
        <w:rPr>
          <w:rFonts w:ascii="宋体" w:hAnsi="宋体"/>
          <w:sz w:val="30"/>
          <w:szCs w:val="30"/>
        </w:rPr>
      </w:pPr>
      <w:r>
        <w:rPr>
          <w:rFonts w:ascii="宋体" w:hAnsi="宋体"/>
          <w:sz w:val="30"/>
          <w:szCs w:val="30"/>
        </w:rPr>
        <w:t>（一）部门基本情况。</w:t>
      </w:r>
    </w:p>
    <w:p>
      <w:pPr>
        <w:ind w:firstLine="560" w:firstLineChars="200"/>
        <w:rPr>
          <w:rFonts w:ascii="宋体" w:hAnsi="宋体"/>
          <w:sz w:val="30"/>
          <w:szCs w:val="30"/>
        </w:rPr>
      </w:pPr>
      <w:r>
        <w:rPr>
          <w:rFonts w:ascii="仿宋_GB2312" w:hAnsi="黑体" w:eastAsia="仿宋_GB2312"/>
          <w:color w:val="000000"/>
          <w:sz w:val="28"/>
          <w:szCs w:val="28"/>
        </w:rPr>
        <w:t>冷水滩区劳动失业保险服务中心由主任室、办公室、业务室、财务室等4个部门构成，是人社局的下属二级机构，属于股级事业单位，编制8人，在职人员8人</w:t>
      </w:r>
      <w:r>
        <w:rPr>
          <w:rFonts w:hint="eastAsia" w:ascii="仿宋_GB2312" w:hAnsi="黑体" w:eastAsia="仿宋_GB2312"/>
          <w:color w:val="000000"/>
          <w:sz w:val="28"/>
          <w:szCs w:val="28"/>
          <w:lang w:eastAsia="zh-CN"/>
        </w:rPr>
        <w:t>，退休人员</w:t>
      </w:r>
      <w:r>
        <w:rPr>
          <w:rFonts w:hint="eastAsia" w:ascii="仿宋_GB2312" w:hAnsi="黑体" w:eastAsia="仿宋_GB2312"/>
          <w:color w:val="000000"/>
          <w:sz w:val="28"/>
          <w:szCs w:val="28"/>
          <w:lang w:val="en-US" w:eastAsia="zh-CN"/>
        </w:rPr>
        <w:t>3人</w:t>
      </w:r>
      <w:r>
        <w:rPr>
          <w:rFonts w:ascii="仿宋_GB2312" w:hAnsi="黑体" w:eastAsia="仿宋_GB2312"/>
          <w:color w:val="000000"/>
          <w:sz w:val="28"/>
          <w:szCs w:val="28"/>
        </w:rPr>
        <w:t>。</w:t>
      </w:r>
    </w:p>
    <w:p>
      <w:pPr>
        <w:ind w:firstLine="600" w:firstLineChars="200"/>
        <w:rPr>
          <w:rFonts w:ascii="宋体" w:hAnsi="宋体"/>
          <w:sz w:val="30"/>
          <w:szCs w:val="30"/>
        </w:rPr>
      </w:pPr>
      <w:r>
        <w:rPr>
          <w:rFonts w:ascii="宋体" w:hAnsi="宋体"/>
          <w:sz w:val="30"/>
          <w:szCs w:val="30"/>
        </w:rPr>
        <w:t>（二）</w:t>
      </w:r>
      <w:r>
        <w:rPr>
          <w:rFonts w:hint="eastAsia" w:ascii="宋体" w:hAnsi="宋体"/>
          <w:color w:val="000000"/>
          <w:sz w:val="30"/>
          <w:szCs w:val="30"/>
        </w:rPr>
        <w:t>2021</w:t>
      </w:r>
      <w:r>
        <w:rPr>
          <w:rFonts w:ascii="宋体" w:hAnsi="宋体"/>
          <w:sz w:val="30"/>
          <w:szCs w:val="30"/>
        </w:rPr>
        <w:t>年的重点工作</w:t>
      </w:r>
    </w:p>
    <w:p>
      <w:pPr>
        <w:ind w:firstLine="560" w:firstLineChars="200"/>
        <w:rPr>
          <w:rFonts w:hint="eastAsia" w:ascii="仿宋_GB2312" w:hAnsi="黑体" w:eastAsia="仿宋_GB2312"/>
          <w:color w:val="000000"/>
          <w:sz w:val="28"/>
          <w:szCs w:val="28"/>
          <w:lang w:eastAsia="zh-CN"/>
        </w:rPr>
      </w:pPr>
      <w:r>
        <w:rPr>
          <w:rFonts w:hint="eastAsia" w:ascii="仿宋_GB2312" w:hAnsi="黑体" w:eastAsia="仿宋_GB2312"/>
          <w:color w:val="000000"/>
          <w:sz w:val="28"/>
          <w:szCs w:val="28"/>
        </w:rPr>
        <w:t>1</w:t>
      </w:r>
      <w:r>
        <w:rPr>
          <w:rFonts w:hint="eastAsia" w:ascii="仿宋_GB2312" w:hAnsi="黑体" w:eastAsia="仿宋_GB2312"/>
          <w:color w:val="000000"/>
          <w:sz w:val="28"/>
          <w:szCs w:val="28"/>
          <w:lang w:eastAsia="zh-CN"/>
        </w:rPr>
        <w:t>、</w:t>
      </w:r>
      <w:r>
        <w:rPr>
          <w:rFonts w:hint="eastAsia" w:ascii="仿宋_GB2312" w:hAnsi="黑体" w:eastAsia="仿宋_GB2312"/>
          <w:color w:val="000000"/>
          <w:sz w:val="28"/>
          <w:szCs w:val="28"/>
        </w:rPr>
        <w:t>完成市里下达的失业保险征缴任务</w:t>
      </w:r>
      <w:r>
        <w:rPr>
          <w:rFonts w:hint="eastAsia" w:ascii="仿宋_GB2312" w:hAnsi="黑体" w:eastAsia="仿宋_GB2312"/>
          <w:color w:val="000000"/>
          <w:sz w:val="28"/>
          <w:szCs w:val="28"/>
          <w:lang w:eastAsia="zh-CN"/>
        </w:rPr>
        <w:t>；</w:t>
      </w:r>
    </w:p>
    <w:p>
      <w:pPr>
        <w:ind w:firstLine="560" w:firstLineChars="200"/>
        <w:rPr>
          <w:rFonts w:hint="eastAsia" w:ascii="仿宋_GB2312" w:hAnsi="黑体" w:eastAsia="仿宋_GB2312"/>
          <w:color w:val="000000"/>
          <w:sz w:val="28"/>
          <w:szCs w:val="28"/>
          <w:lang w:eastAsia="zh-CN"/>
        </w:rPr>
      </w:pPr>
      <w:r>
        <w:rPr>
          <w:rFonts w:hint="eastAsia" w:ascii="仿宋_GB2312" w:hAnsi="黑体" w:eastAsia="仿宋_GB2312"/>
          <w:color w:val="000000"/>
          <w:sz w:val="28"/>
          <w:szCs w:val="28"/>
        </w:rPr>
        <w:t>2</w:t>
      </w:r>
      <w:r>
        <w:rPr>
          <w:rFonts w:hint="eastAsia" w:ascii="仿宋_GB2312" w:hAnsi="黑体" w:eastAsia="仿宋_GB2312"/>
          <w:color w:val="000000"/>
          <w:sz w:val="28"/>
          <w:szCs w:val="28"/>
          <w:lang w:eastAsia="zh-CN"/>
        </w:rPr>
        <w:t>、</w:t>
      </w:r>
      <w:r>
        <w:rPr>
          <w:rFonts w:hint="eastAsia" w:ascii="仿宋_GB2312" w:hAnsi="黑体" w:eastAsia="仿宋_GB2312"/>
          <w:color w:val="000000"/>
          <w:sz w:val="28"/>
          <w:szCs w:val="28"/>
        </w:rPr>
        <w:t>失业人员的失业金发放到位及稳岗补贴发放到位</w:t>
      </w:r>
      <w:r>
        <w:rPr>
          <w:rFonts w:hint="eastAsia" w:ascii="仿宋_GB2312" w:hAnsi="黑体" w:eastAsia="仿宋_GB2312"/>
          <w:color w:val="000000"/>
          <w:sz w:val="28"/>
          <w:szCs w:val="28"/>
          <w:lang w:eastAsia="zh-CN"/>
        </w:rPr>
        <w:t>；</w:t>
      </w:r>
    </w:p>
    <w:p>
      <w:pPr>
        <w:ind w:firstLine="560" w:firstLineChars="200"/>
        <w:rPr>
          <w:rFonts w:ascii="宋体" w:hAnsi="宋体"/>
          <w:sz w:val="30"/>
          <w:szCs w:val="30"/>
        </w:rPr>
      </w:pPr>
      <w:r>
        <w:rPr>
          <w:rFonts w:hint="eastAsia" w:ascii="仿宋_GB2312" w:hAnsi="黑体" w:eastAsia="仿宋_GB2312"/>
          <w:color w:val="000000"/>
          <w:sz w:val="28"/>
          <w:szCs w:val="28"/>
        </w:rPr>
        <w:t>3</w:t>
      </w:r>
      <w:r>
        <w:rPr>
          <w:rFonts w:hint="eastAsia" w:ascii="仿宋_GB2312" w:hAnsi="黑体" w:eastAsia="仿宋_GB2312"/>
          <w:color w:val="000000"/>
          <w:sz w:val="28"/>
          <w:szCs w:val="28"/>
          <w:lang w:eastAsia="zh-CN"/>
        </w:rPr>
        <w:t>、</w:t>
      </w:r>
      <w:r>
        <w:rPr>
          <w:rFonts w:hint="eastAsia" w:ascii="仿宋_GB2312" w:hAnsi="黑体" w:eastAsia="仿宋_GB2312"/>
          <w:color w:val="000000"/>
          <w:sz w:val="28"/>
          <w:szCs w:val="28"/>
        </w:rPr>
        <w:t>完成失业保险基金业务系统与财务系统的对接。</w:t>
      </w:r>
    </w:p>
    <w:p>
      <w:pPr>
        <w:ind w:firstLine="602" w:firstLineChars="200"/>
        <w:rPr>
          <w:rFonts w:ascii="宋体" w:hAnsi="宋体"/>
          <w:b/>
          <w:sz w:val="30"/>
          <w:szCs w:val="30"/>
        </w:rPr>
      </w:pPr>
      <w:r>
        <w:rPr>
          <w:rFonts w:ascii="宋体" w:hAnsi="宋体"/>
          <w:b/>
          <w:sz w:val="30"/>
          <w:szCs w:val="30"/>
        </w:rPr>
        <w:t>二、</w:t>
      </w:r>
      <w:r>
        <w:rPr>
          <w:rFonts w:hint="eastAsia" w:ascii="宋体" w:hAnsi="宋体"/>
          <w:b/>
          <w:sz w:val="30"/>
          <w:szCs w:val="30"/>
          <w:lang w:val="en-US" w:eastAsia="zh-CN"/>
        </w:rPr>
        <w:t>一般公共预算</w:t>
      </w:r>
      <w:r>
        <w:rPr>
          <w:rFonts w:ascii="宋体" w:hAnsi="宋体"/>
          <w:b/>
          <w:sz w:val="30"/>
          <w:szCs w:val="30"/>
        </w:rPr>
        <w:t>支出情况</w:t>
      </w:r>
    </w:p>
    <w:p>
      <w:pPr>
        <w:ind w:firstLine="600" w:firstLineChars="200"/>
        <w:rPr>
          <w:rFonts w:ascii="宋体" w:hAnsi="宋体"/>
          <w:sz w:val="30"/>
          <w:szCs w:val="30"/>
        </w:rPr>
      </w:pPr>
      <w:r>
        <w:rPr>
          <w:rFonts w:ascii="宋体" w:hAnsi="宋体"/>
          <w:sz w:val="30"/>
          <w:szCs w:val="30"/>
        </w:rPr>
        <w:t>（一）基本支出情况。</w:t>
      </w:r>
    </w:p>
    <w:p>
      <w:pPr>
        <w:ind w:firstLine="560" w:firstLineChars="200"/>
        <w:rPr>
          <w:rFonts w:ascii="仿宋_GB2312" w:hAnsi="黑体" w:eastAsia="仿宋_GB2312"/>
          <w:color w:val="000000"/>
          <w:sz w:val="28"/>
          <w:szCs w:val="28"/>
        </w:rPr>
      </w:pPr>
      <w:r>
        <w:rPr>
          <w:rFonts w:hint="eastAsia" w:ascii="仿宋_GB2312" w:hAnsi="黑体" w:eastAsia="仿宋_GB2312"/>
          <w:color w:val="000000"/>
          <w:sz w:val="28"/>
          <w:szCs w:val="28"/>
          <w:lang w:val="en-US" w:eastAsia="zh-CN"/>
        </w:rPr>
        <w:t>2021年</w:t>
      </w:r>
      <w:r>
        <w:rPr>
          <w:rFonts w:hint="eastAsia" w:ascii="仿宋_GB2312" w:hAnsi="黑体" w:eastAsia="仿宋_GB2312"/>
          <w:color w:val="000000"/>
          <w:sz w:val="28"/>
          <w:szCs w:val="28"/>
        </w:rPr>
        <w:t>预算总支出</w:t>
      </w:r>
      <w:r>
        <w:rPr>
          <w:rFonts w:hint="eastAsia" w:ascii="仿宋_GB2312" w:hAnsi="黑体" w:eastAsia="仿宋_GB2312"/>
          <w:color w:val="000000"/>
          <w:sz w:val="28"/>
          <w:szCs w:val="28"/>
          <w:lang w:val="en-US" w:eastAsia="zh-CN"/>
        </w:rPr>
        <w:t>96.30</w:t>
      </w:r>
      <w:r>
        <w:rPr>
          <w:rFonts w:hint="eastAsia" w:ascii="仿宋_GB2312" w:hAnsi="黑体" w:eastAsia="仿宋_GB2312"/>
          <w:color w:val="000000"/>
          <w:sz w:val="28"/>
          <w:szCs w:val="28"/>
        </w:rPr>
        <w:t>万元，其中</w:t>
      </w:r>
      <w:r>
        <w:rPr>
          <w:rFonts w:hint="eastAsia" w:ascii="仿宋_GB2312" w:hAnsi="黑体" w:eastAsia="仿宋_GB2312"/>
          <w:color w:val="000000"/>
          <w:sz w:val="28"/>
          <w:szCs w:val="28"/>
          <w:lang w:eastAsia="zh-CN"/>
        </w:rPr>
        <w:t>：</w:t>
      </w:r>
      <w:r>
        <w:rPr>
          <w:rFonts w:hint="eastAsia" w:ascii="仿宋_GB2312" w:hAnsi="黑体" w:eastAsia="仿宋_GB2312"/>
          <w:color w:val="000000"/>
          <w:sz w:val="28"/>
          <w:szCs w:val="28"/>
        </w:rPr>
        <w:t>工资福利支出</w:t>
      </w:r>
      <w:r>
        <w:rPr>
          <w:rFonts w:hint="eastAsia" w:ascii="仿宋_GB2312" w:hAnsi="黑体" w:eastAsia="仿宋_GB2312"/>
          <w:color w:val="000000"/>
          <w:sz w:val="28"/>
          <w:szCs w:val="28"/>
          <w:lang w:val="en-US" w:eastAsia="zh-CN"/>
        </w:rPr>
        <w:t>85.97</w:t>
      </w:r>
      <w:r>
        <w:rPr>
          <w:rFonts w:hint="eastAsia" w:ascii="仿宋_GB2312" w:hAnsi="黑体" w:eastAsia="仿宋_GB2312"/>
          <w:color w:val="000000"/>
          <w:sz w:val="28"/>
          <w:szCs w:val="28"/>
        </w:rPr>
        <w:t>万元，商品和服务支出</w:t>
      </w:r>
      <w:r>
        <w:rPr>
          <w:rFonts w:hint="eastAsia" w:ascii="仿宋_GB2312" w:hAnsi="黑体" w:eastAsia="仿宋_GB2312"/>
          <w:color w:val="000000"/>
          <w:sz w:val="28"/>
          <w:szCs w:val="28"/>
          <w:lang w:val="en-US" w:eastAsia="zh-CN"/>
        </w:rPr>
        <w:t>10.33</w:t>
      </w:r>
      <w:r>
        <w:rPr>
          <w:rFonts w:hint="eastAsia" w:ascii="仿宋_GB2312" w:hAnsi="黑体" w:eastAsia="仿宋_GB2312"/>
          <w:color w:val="000000"/>
          <w:sz w:val="28"/>
          <w:szCs w:val="28"/>
        </w:rPr>
        <w:t>万元。</w:t>
      </w:r>
    </w:p>
    <w:p>
      <w:pPr>
        <w:ind w:firstLine="600" w:firstLineChars="200"/>
        <w:rPr>
          <w:rFonts w:ascii="宋体" w:hAnsi="宋体"/>
          <w:sz w:val="30"/>
          <w:szCs w:val="30"/>
        </w:rPr>
      </w:pPr>
      <w:r>
        <w:rPr>
          <w:rFonts w:ascii="宋体" w:hAnsi="宋体"/>
          <w:sz w:val="30"/>
          <w:szCs w:val="30"/>
        </w:rPr>
        <w:t>（二）项目支出情况。</w:t>
      </w:r>
    </w:p>
    <w:p>
      <w:pPr>
        <w:ind w:firstLine="560" w:firstLineChars="200"/>
        <w:rPr>
          <w:rFonts w:hint="eastAsia" w:ascii="仿宋_GB2312" w:hAnsi="黑体" w:eastAsia="仿宋_GB2312"/>
          <w:color w:val="000000"/>
          <w:sz w:val="28"/>
          <w:szCs w:val="28"/>
          <w:lang w:val="en-US" w:eastAsia="zh-CN"/>
        </w:rPr>
      </w:pPr>
      <w:bookmarkStart w:id="0" w:name="bookmark81"/>
      <w:r>
        <w:rPr>
          <w:rFonts w:hint="eastAsia" w:ascii="仿宋_GB2312" w:hAnsi="黑体" w:eastAsia="仿宋_GB2312"/>
          <w:color w:val="000000"/>
          <w:sz w:val="28"/>
          <w:szCs w:val="28"/>
          <w:lang w:val="en-US" w:eastAsia="zh-CN"/>
        </w:rPr>
        <w:t>冷水滩区劳动失业保险服务中心无项目支出。</w:t>
      </w:r>
    </w:p>
    <w:bookmarkEnd w:id="0"/>
    <w:p>
      <w:pPr>
        <w:pStyle w:val="6"/>
        <w:keepNext w:val="0"/>
        <w:keepLines w:val="0"/>
        <w:widowControl w:val="0"/>
        <w:numPr>
          <w:ilvl w:val="0"/>
          <w:numId w:val="1"/>
        </w:numPr>
        <w:shd w:val="clear" w:color="auto" w:fill="auto"/>
        <w:tabs>
          <w:tab w:val="left" w:pos="1538"/>
        </w:tabs>
        <w:bidi w:val="0"/>
        <w:spacing w:before="0" w:after="0" w:line="614" w:lineRule="exact"/>
        <w:ind w:left="0" w:right="0" w:firstLine="900"/>
        <w:jc w:val="left"/>
        <w:rPr>
          <w:rFonts w:hint="eastAsia" w:ascii="黑体" w:hAnsi="黑体" w:eastAsia="黑体" w:cs="黑体"/>
          <w:color w:val="000000"/>
          <w:spacing w:val="0"/>
          <w:w w:val="100"/>
          <w:position w:val="0"/>
          <w:sz w:val="32"/>
          <w:szCs w:val="32"/>
        </w:rPr>
      </w:pPr>
      <w:r>
        <w:rPr>
          <w:rFonts w:hint="eastAsia" w:ascii="黑体" w:hAnsi="黑体" w:eastAsia="黑体" w:cs="黑体"/>
          <w:color w:val="000000"/>
          <w:spacing w:val="0"/>
          <w:w w:val="100"/>
          <w:position w:val="0"/>
          <w:sz w:val="32"/>
          <w:szCs w:val="32"/>
        </w:rPr>
        <w:t>政府性基金预算支出情况</w:t>
      </w:r>
    </w:p>
    <w:p>
      <w:pPr>
        <w:pStyle w:val="6"/>
        <w:keepNext w:val="0"/>
        <w:keepLines w:val="0"/>
        <w:widowControl w:val="0"/>
        <w:numPr>
          <w:ilvl w:val="0"/>
          <w:numId w:val="0"/>
        </w:numPr>
        <w:shd w:val="clear" w:color="auto" w:fill="auto"/>
        <w:tabs>
          <w:tab w:val="left" w:pos="1538"/>
        </w:tabs>
        <w:bidi w:val="0"/>
        <w:spacing w:before="0" w:after="0" w:line="614" w:lineRule="exact"/>
        <w:ind w:left="900" w:leftChars="0" w:right="0" w:rightChars="0"/>
        <w:jc w:val="left"/>
        <w:rPr>
          <w:rFonts w:hint="eastAsia" w:ascii="仿宋_GB2312" w:hAnsi="黑体" w:eastAsia="仿宋_GB2312" w:cs="Calibri"/>
          <w:color w:val="000000"/>
          <w:kern w:val="2"/>
          <w:sz w:val="28"/>
          <w:szCs w:val="28"/>
          <w:u w:val="none"/>
          <w:shd w:val="clear"/>
          <w:lang w:val="en-US" w:eastAsia="zh-CN" w:bidi="ar-SA"/>
        </w:rPr>
      </w:pPr>
      <w:r>
        <w:rPr>
          <w:rFonts w:hint="eastAsia" w:ascii="仿宋_GB2312" w:hAnsi="黑体" w:eastAsia="仿宋_GB2312" w:cs="Calibri"/>
          <w:color w:val="000000"/>
          <w:kern w:val="2"/>
          <w:sz w:val="28"/>
          <w:szCs w:val="28"/>
          <w:u w:val="none"/>
          <w:shd w:val="clear"/>
          <w:lang w:val="en-US" w:eastAsia="zh-CN" w:bidi="ar-SA"/>
        </w:rPr>
        <w:t>无</w:t>
      </w:r>
    </w:p>
    <w:p>
      <w:pPr>
        <w:pStyle w:val="6"/>
        <w:keepNext w:val="0"/>
        <w:keepLines w:val="0"/>
        <w:widowControl w:val="0"/>
        <w:numPr>
          <w:ilvl w:val="0"/>
          <w:numId w:val="1"/>
        </w:numPr>
        <w:shd w:val="clear" w:color="auto" w:fill="auto"/>
        <w:tabs>
          <w:tab w:val="left" w:pos="1538"/>
        </w:tabs>
        <w:bidi w:val="0"/>
        <w:spacing w:before="0" w:after="0" w:line="614" w:lineRule="exact"/>
        <w:ind w:left="0" w:leftChars="0" w:right="0" w:firstLine="900" w:firstLineChars="0"/>
        <w:jc w:val="left"/>
        <w:rPr>
          <w:rFonts w:hint="eastAsia" w:ascii="黑体" w:hAnsi="黑体" w:eastAsia="黑体" w:cs="黑体"/>
          <w:color w:val="000000"/>
          <w:spacing w:val="0"/>
          <w:w w:val="100"/>
          <w:position w:val="0"/>
          <w:sz w:val="32"/>
          <w:szCs w:val="32"/>
        </w:rPr>
      </w:pPr>
      <w:r>
        <w:rPr>
          <w:rFonts w:hint="eastAsia" w:ascii="黑体" w:hAnsi="黑体" w:eastAsia="黑体" w:cs="黑体"/>
          <w:color w:val="000000"/>
          <w:spacing w:val="0"/>
          <w:w w:val="100"/>
          <w:position w:val="0"/>
          <w:sz w:val="32"/>
          <w:szCs w:val="32"/>
        </w:rPr>
        <w:t>国有资本经营预算支出情况</w:t>
      </w:r>
    </w:p>
    <w:p>
      <w:pPr>
        <w:pStyle w:val="6"/>
        <w:keepNext w:val="0"/>
        <w:keepLines w:val="0"/>
        <w:widowControl w:val="0"/>
        <w:numPr>
          <w:ilvl w:val="0"/>
          <w:numId w:val="0"/>
        </w:numPr>
        <w:shd w:val="clear" w:color="auto" w:fill="auto"/>
        <w:tabs>
          <w:tab w:val="left" w:pos="1538"/>
        </w:tabs>
        <w:bidi w:val="0"/>
        <w:spacing w:before="0" w:after="0" w:line="614" w:lineRule="exact"/>
        <w:ind w:left="900" w:leftChars="0" w:right="0" w:rightChars="0"/>
        <w:jc w:val="left"/>
        <w:rPr>
          <w:rFonts w:hint="eastAsia" w:ascii="仿宋_GB2312" w:hAnsi="黑体" w:eastAsia="仿宋_GB2312" w:cs="Calibri"/>
          <w:color w:val="000000"/>
          <w:kern w:val="2"/>
          <w:sz w:val="28"/>
          <w:szCs w:val="28"/>
          <w:u w:val="none"/>
          <w:shd w:val="clear"/>
          <w:lang w:val="en-US" w:eastAsia="zh-CN" w:bidi="ar-SA"/>
        </w:rPr>
      </w:pPr>
      <w:r>
        <w:rPr>
          <w:rFonts w:hint="eastAsia" w:ascii="仿宋_GB2312" w:hAnsi="黑体" w:eastAsia="仿宋_GB2312" w:cs="Calibri"/>
          <w:color w:val="000000"/>
          <w:kern w:val="2"/>
          <w:sz w:val="28"/>
          <w:szCs w:val="28"/>
          <w:u w:val="none"/>
          <w:shd w:val="clear"/>
          <w:lang w:val="en-US" w:eastAsia="zh-CN" w:bidi="ar-SA"/>
        </w:rPr>
        <w:t>无</w:t>
      </w:r>
    </w:p>
    <w:p>
      <w:pPr>
        <w:pStyle w:val="6"/>
        <w:keepNext w:val="0"/>
        <w:keepLines w:val="0"/>
        <w:widowControl w:val="0"/>
        <w:numPr>
          <w:ilvl w:val="0"/>
          <w:numId w:val="1"/>
        </w:numPr>
        <w:shd w:val="clear" w:color="auto" w:fill="auto"/>
        <w:tabs>
          <w:tab w:val="left" w:pos="1538"/>
        </w:tabs>
        <w:bidi w:val="0"/>
        <w:spacing w:before="0" w:after="0" w:line="614" w:lineRule="exact"/>
        <w:ind w:left="0" w:leftChars="0" w:right="0" w:firstLine="900" w:firstLineChars="0"/>
        <w:jc w:val="left"/>
        <w:rPr>
          <w:rFonts w:hint="eastAsia" w:ascii="黑体" w:hAnsi="黑体" w:eastAsia="黑体" w:cs="黑体"/>
          <w:color w:val="000000"/>
          <w:spacing w:val="0"/>
          <w:w w:val="100"/>
          <w:position w:val="0"/>
          <w:sz w:val="32"/>
          <w:szCs w:val="32"/>
        </w:rPr>
      </w:pPr>
      <w:r>
        <w:rPr>
          <w:rFonts w:hint="eastAsia" w:ascii="黑体" w:hAnsi="黑体" w:eastAsia="黑体" w:cs="黑体"/>
          <w:color w:val="000000"/>
          <w:spacing w:val="0"/>
          <w:w w:val="100"/>
          <w:position w:val="0"/>
          <w:sz w:val="32"/>
          <w:szCs w:val="32"/>
        </w:rPr>
        <w:t>社会保险基金预算支出情况</w:t>
      </w:r>
    </w:p>
    <w:p>
      <w:pPr>
        <w:pStyle w:val="6"/>
        <w:keepNext w:val="0"/>
        <w:keepLines w:val="0"/>
        <w:widowControl w:val="0"/>
        <w:numPr>
          <w:ilvl w:val="0"/>
          <w:numId w:val="0"/>
        </w:numPr>
        <w:shd w:val="clear" w:color="auto" w:fill="auto"/>
        <w:tabs>
          <w:tab w:val="left" w:pos="1538"/>
        </w:tabs>
        <w:bidi w:val="0"/>
        <w:spacing w:before="0" w:after="0" w:line="614" w:lineRule="exact"/>
        <w:ind w:right="0" w:rightChars="0" w:firstLine="560" w:firstLineChars="200"/>
        <w:jc w:val="both"/>
        <w:rPr>
          <w:rFonts w:hint="default" w:ascii="仿宋_GB2312" w:hAnsi="黑体" w:eastAsia="仿宋_GB2312" w:cs="Calibri"/>
          <w:color w:val="000000"/>
          <w:kern w:val="2"/>
          <w:sz w:val="28"/>
          <w:szCs w:val="28"/>
          <w:u w:val="none"/>
          <w:shd w:val="clear"/>
          <w:lang w:val="en-US" w:eastAsia="zh-CN" w:bidi="ar-SA"/>
        </w:rPr>
      </w:pPr>
      <w:r>
        <w:rPr>
          <w:rFonts w:hint="eastAsia" w:ascii="仿宋_GB2312" w:hAnsi="黑体" w:eastAsia="仿宋_GB2312" w:cs="Calibri"/>
          <w:color w:val="000000"/>
          <w:kern w:val="2"/>
          <w:sz w:val="28"/>
          <w:szCs w:val="28"/>
          <w:u w:val="none"/>
          <w:shd w:val="clear"/>
          <w:lang w:val="en-US" w:eastAsia="zh-CN" w:bidi="ar-SA"/>
        </w:rPr>
        <w:t>2021年社会保险基金预算支出15.97万元，其中：机关事业单位养老保险7.07万元，基本医疗保险3.85万元，住房公积金5.05万元。</w:t>
      </w:r>
    </w:p>
    <w:p>
      <w:pPr>
        <w:pStyle w:val="6"/>
        <w:keepNext w:val="0"/>
        <w:keepLines w:val="0"/>
        <w:widowControl w:val="0"/>
        <w:shd w:val="clear" w:color="auto" w:fill="auto"/>
        <w:tabs>
          <w:tab w:val="left" w:pos="1538"/>
        </w:tabs>
        <w:bidi w:val="0"/>
        <w:spacing w:before="0" w:after="0" w:line="614" w:lineRule="exact"/>
        <w:ind w:left="0" w:right="0" w:firstLine="900"/>
        <w:jc w:val="left"/>
        <w:rPr>
          <w:rFonts w:hint="eastAsia" w:ascii="黑体" w:hAnsi="黑体" w:eastAsia="黑体" w:cs="黑体"/>
          <w:sz w:val="32"/>
          <w:szCs w:val="32"/>
        </w:rPr>
      </w:pPr>
      <w:bookmarkStart w:id="1" w:name="bookmark84"/>
      <w:r>
        <w:rPr>
          <w:rFonts w:hint="eastAsia" w:ascii="黑体" w:hAnsi="黑体" w:eastAsia="黑体" w:cs="黑体"/>
          <w:color w:val="000000"/>
          <w:spacing w:val="0"/>
          <w:w w:val="100"/>
          <w:position w:val="0"/>
          <w:sz w:val="32"/>
          <w:szCs w:val="32"/>
        </w:rPr>
        <w:t>六</w:t>
      </w:r>
      <w:bookmarkEnd w:id="1"/>
      <w:r>
        <w:rPr>
          <w:rFonts w:hint="eastAsia" w:ascii="黑体" w:hAnsi="黑体" w:eastAsia="黑体" w:cs="黑体"/>
          <w:color w:val="000000"/>
          <w:spacing w:val="0"/>
          <w:w w:val="100"/>
          <w:position w:val="0"/>
          <w:sz w:val="32"/>
          <w:szCs w:val="32"/>
        </w:rPr>
        <w:t>、部门整体支出绩效情况</w:t>
      </w:r>
    </w:p>
    <w:p>
      <w:pPr>
        <w:ind w:firstLine="560" w:firstLineChars="200"/>
        <w:rPr>
          <w:rFonts w:hint="eastAsia" w:ascii="仿宋_GB2312" w:hAnsi="黑体" w:eastAsia="仿宋_GB2312" w:cs="Calibri"/>
          <w:color w:val="000000"/>
          <w:kern w:val="2"/>
          <w:sz w:val="28"/>
          <w:szCs w:val="28"/>
          <w:u w:val="none"/>
          <w:shd w:val="clear" w:color="auto" w:fill="auto"/>
          <w:lang w:val="en-US" w:eastAsia="zh-CN" w:bidi="ar-SA"/>
        </w:rPr>
      </w:pPr>
      <w:r>
        <w:rPr>
          <w:rFonts w:hint="eastAsia" w:ascii="仿宋_GB2312" w:hAnsi="黑体" w:eastAsia="仿宋_GB2312" w:cs="Calibri"/>
          <w:color w:val="000000"/>
          <w:kern w:val="2"/>
          <w:sz w:val="28"/>
          <w:szCs w:val="28"/>
          <w:u w:val="none"/>
          <w:shd w:val="clear" w:color="auto" w:fill="auto"/>
          <w:lang w:val="en-US" w:eastAsia="zh-CN" w:bidi="ar-SA"/>
        </w:rPr>
        <w:t>1、市里参保任务数30100人，实际完成参保人数31204人,实际缴费人数17704人，征缴实际完成440.58万元。</w:t>
      </w:r>
    </w:p>
    <w:p>
      <w:pPr>
        <w:ind w:firstLine="560" w:firstLineChars="200"/>
        <w:rPr>
          <w:rFonts w:hint="default" w:ascii="仿宋_GB2312" w:hAnsi="黑体" w:eastAsia="仿宋_GB2312" w:cs="Calibri"/>
          <w:color w:val="000000"/>
          <w:kern w:val="2"/>
          <w:sz w:val="28"/>
          <w:szCs w:val="28"/>
          <w:u w:val="none"/>
          <w:shd w:val="clear" w:color="auto" w:fill="auto"/>
          <w:lang w:val="en-US" w:eastAsia="zh-CN" w:bidi="ar-SA"/>
        </w:rPr>
      </w:pPr>
      <w:r>
        <w:rPr>
          <w:rFonts w:hint="eastAsia" w:ascii="仿宋_GB2312" w:hAnsi="黑体" w:eastAsia="仿宋_GB2312" w:cs="Calibri"/>
          <w:color w:val="000000"/>
          <w:kern w:val="2"/>
          <w:sz w:val="28"/>
          <w:szCs w:val="28"/>
          <w:u w:val="none"/>
          <w:shd w:val="clear" w:color="auto" w:fill="auto"/>
          <w:lang w:val="en-US" w:eastAsia="zh-CN" w:bidi="ar-SA"/>
        </w:rPr>
        <w:t>失业保险发放人月数3085，发放率100%，失业保险金支出383.16万元；全年代缴基本医疗保险人月数3333,基本医疗保险费支出95.54万元；本年享受技能提升补贴职工1人，技能提升补贴支出0.2万元；稳岗补贴发放62家企业，人数4389人，稳岗返还支出31.04万元；全年领取失业补助金人月数7015，失业补助金支出229万元。</w:t>
      </w:r>
    </w:p>
    <w:p>
      <w:pPr>
        <w:ind w:firstLine="560" w:firstLineChars="200"/>
        <w:rPr>
          <w:rFonts w:hint="eastAsia" w:ascii="仿宋_GB2312" w:hAnsi="黑体" w:eastAsia="仿宋_GB2312" w:cs="Calibri"/>
          <w:color w:val="000000"/>
          <w:kern w:val="2"/>
          <w:sz w:val="28"/>
          <w:szCs w:val="28"/>
          <w:u w:val="none"/>
          <w:shd w:val="clear" w:color="auto" w:fill="auto"/>
          <w:lang w:val="en-US" w:eastAsia="zh-CN" w:bidi="ar-SA"/>
        </w:rPr>
      </w:pPr>
      <w:r>
        <w:rPr>
          <w:rFonts w:hint="eastAsia" w:ascii="仿宋_GB2312" w:hAnsi="黑体" w:eastAsia="仿宋_GB2312" w:cs="Calibri"/>
          <w:color w:val="000000"/>
          <w:kern w:val="2"/>
          <w:sz w:val="28"/>
          <w:szCs w:val="28"/>
          <w:u w:val="none"/>
          <w:shd w:val="clear" w:color="auto" w:fill="auto"/>
          <w:lang w:val="en-US" w:eastAsia="zh-CN" w:bidi="ar-SA"/>
        </w:rPr>
        <w:t>2、完成失业人员政策咨询服务和在册领取失业保险人员的技能培训工作。完成全区失业保险基金的审核管理工作，并检查稽核参保单位登记、缴费及执行失业保险政策宣传。</w:t>
      </w:r>
    </w:p>
    <w:p>
      <w:pPr>
        <w:ind w:firstLine="560" w:firstLineChars="200"/>
        <w:rPr>
          <w:rFonts w:hint="eastAsia" w:ascii="仿宋" w:hAnsi="仿宋" w:eastAsia="仿宋" w:cs="仿宋"/>
          <w:color w:val="000000"/>
          <w:spacing w:val="0"/>
          <w:w w:val="100"/>
          <w:position w:val="0"/>
          <w:sz w:val="32"/>
          <w:szCs w:val="32"/>
        </w:rPr>
      </w:pPr>
      <w:r>
        <w:rPr>
          <w:rFonts w:hint="eastAsia" w:ascii="仿宋_GB2312" w:hAnsi="黑体" w:eastAsia="仿宋_GB2312" w:cs="Calibri"/>
          <w:color w:val="000000"/>
          <w:kern w:val="2"/>
          <w:sz w:val="28"/>
          <w:szCs w:val="28"/>
          <w:u w:val="none"/>
          <w:shd w:val="clear" w:color="auto" w:fill="auto"/>
          <w:lang w:val="en-US" w:eastAsia="zh-CN" w:bidi="ar-SA"/>
        </w:rPr>
        <w:t>3、完成失业保险金预算、决算、财务报表、信息、统计、上报工作。</w:t>
      </w:r>
    </w:p>
    <w:p>
      <w:pPr>
        <w:ind w:firstLine="602" w:firstLineChars="200"/>
        <w:rPr>
          <w:rFonts w:ascii="宋体" w:hAnsi="宋体"/>
          <w:b/>
          <w:sz w:val="30"/>
          <w:szCs w:val="30"/>
        </w:rPr>
      </w:pPr>
      <w:r>
        <w:rPr>
          <w:rFonts w:hint="eastAsia" w:ascii="宋体" w:hAnsi="宋体"/>
          <w:b/>
          <w:sz w:val="30"/>
          <w:szCs w:val="30"/>
          <w:lang w:eastAsia="zh-CN"/>
        </w:rPr>
        <w:t>七</w:t>
      </w:r>
      <w:r>
        <w:rPr>
          <w:rFonts w:hint="eastAsia" w:ascii="宋体" w:hAnsi="宋体"/>
          <w:b/>
          <w:sz w:val="30"/>
          <w:szCs w:val="30"/>
        </w:rPr>
        <w:t>、绩效自评得分情况及绩效等级。</w:t>
      </w:r>
    </w:p>
    <w:p>
      <w:pPr>
        <w:ind w:firstLine="560" w:firstLineChars="200"/>
        <w:rPr>
          <w:rFonts w:hint="eastAsia" w:ascii="仿宋_GB2312" w:hAnsi="黑体" w:eastAsia="仿宋_GB2312" w:cs="Calibri"/>
          <w:color w:val="000000"/>
          <w:kern w:val="2"/>
          <w:sz w:val="28"/>
          <w:szCs w:val="28"/>
          <w:u w:val="none"/>
          <w:shd w:val="clear" w:color="auto" w:fill="auto"/>
          <w:lang w:val="en-US" w:eastAsia="zh-CN" w:bidi="ar-SA"/>
        </w:rPr>
      </w:pPr>
      <w:r>
        <w:rPr>
          <w:rFonts w:hint="eastAsia" w:ascii="仿宋_GB2312" w:hAnsi="黑体" w:eastAsia="仿宋_GB2312" w:cs="Calibri"/>
          <w:color w:val="000000"/>
          <w:kern w:val="2"/>
          <w:sz w:val="28"/>
          <w:szCs w:val="28"/>
          <w:u w:val="none"/>
          <w:shd w:val="clear" w:color="auto" w:fill="auto"/>
          <w:lang w:val="en-US" w:eastAsia="zh-CN" w:bidi="ar-SA"/>
        </w:rPr>
        <w:t>绩效自评得分为96分，其中：预算完成率得分扣2分、公用经费控制率得分扣2分。</w:t>
      </w:r>
    </w:p>
    <w:p>
      <w:pPr>
        <w:ind w:firstLine="602" w:firstLineChars="200"/>
        <w:rPr>
          <w:rFonts w:hint="eastAsia" w:ascii="宋体" w:hAnsi="宋体" w:eastAsia="宋体"/>
          <w:b/>
          <w:sz w:val="30"/>
          <w:szCs w:val="30"/>
          <w:lang w:eastAsia="zh-CN"/>
        </w:rPr>
      </w:pPr>
      <w:r>
        <w:rPr>
          <w:rFonts w:hint="eastAsia" w:ascii="宋体" w:hAnsi="宋体"/>
          <w:b/>
          <w:sz w:val="30"/>
          <w:szCs w:val="30"/>
          <w:lang w:eastAsia="zh-CN"/>
        </w:rPr>
        <w:t>八</w:t>
      </w:r>
      <w:r>
        <w:rPr>
          <w:rFonts w:ascii="宋体" w:hAnsi="宋体"/>
          <w:b/>
          <w:sz w:val="30"/>
          <w:szCs w:val="30"/>
        </w:rPr>
        <w:t>、存在的问题</w:t>
      </w:r>
      <w:r>
        <w:rPr>
          <w:rFonts w:hint="eastAsia" w:ascii="宋体" w:hAnsi="宋体"/>
          <w:b/>
          <w:sz w:val="30"/>
          <w:szCs w:val="30"/>
          <w:lang w:eastAsia="zh-CN"/>
        </w:rPr>
        <w:t>及原因分析</w:t>
      </w:r>
    </w:p>
    <w:p>
      <w:pPr>
        <w:ind w:firstLine="560" w:firstLineChars="200"/>
        <w:rPr>
          <w:rFonts w:hint="eastAsia" w:ascii="仿宋_GB2312" w:hAnsi="黑体" w:eastAsia="仿宋_GB2312" w:cs="Calibri"/>
          <w:color w:val="000000"/>
          <w:kern w:val="2"/>
          <w:sz w:val="28"/>
          <w:szCs w:val="28"/>
          <w:u w:val="none"/>
          <w:shd w:val="clear" w:color="auto" w:fill="auto"/>
          <w:lang w:val="en-US" w:eastAsia="zh-CN" w:bidi="ar-SA"/>
        </w:rPr>
      </w:pPr>
      <w:r>
        <w:rPr>
          <w:rFonts w:hint="eastAsia" w:ascii="仿宋_GB2312" w:hAnsi="黑体" w:eastAsia="仿宋_GB2312" w:cs="Calibri"/>
          <w:color w:val="000000"/>
          <w:kern w:val="2"/>
          <w:sz w:val="28"/>
          <w:szCs w:val="28"/>
          <w:u w:val="none"/>
          <w:shd w:val="clear" w:color="auto" w:fill="auto"/>
          <w:lang w:val="en-US" w:eastAsia="zh-CN" w:bidi="ar-SA"/>
        </w:rPr>
        <w:t>固定资产管理水平有待提高。固定资产台账未及时与账面资产金额对账，且未与实物进行清点，导致年末资台账与账面资产金额存在差异，固定资产管理有待加强。</w:t>
      </w:r>
    </w:p>
    <w:p>
      <w:pPr>
        <w:ind w:firstLine="560" w:firstLineChars="200"/>
        <w:rPr>
          <w:rFonts w:hint="eastAsia" w:ascii="仿宋_GB2312" w:hAnsi="黑体" w:eastAsia="仿宋_GB2312" w:cs="Calibri"/>
          <w:color w:val="000000"/>
          <w:kern w:val="2"/>
          <w:sz w:val="28"/>
          <w:szCs w:val="28"/>
          <w:u w:val="none"/>
          <w:shd w:val="clear" w:color="auto" w:fill="auto"/>
          <w:lang w:val="en-US" w:eastAsia="zh-CN" w:bidi="ar-SA"/>
        </w:rPr>
      </w:pPr>
      <w:r>
        <w:rPr>
          <w:rFonts w:hint="eastAsia" w:ascii="仿宋_GB2312" w:hAnsi="黑体" w:eastAsia="仿宋_GB2312" w:cs="Calibri"/>
          <w:color w:val="000000"/>
          <w:kern w:val="2"/>
          <w:sz w:val="28"/>
          <w:szCs w:val="28"/>
          <w:u w:val="none"/>
          <w:shd w:val="clear" w:color="auto" w:fill="auto"/>
          <w:lang w:val="en-US" w:eastAsia="zh-CN" w:bidi="ar-SA"/>
        </w:rPr>
        <w:t>严格按照《固定资产管理办法》的规定加强固定资产管理，及时登记、更新台账，加强资产卡片管理，年终前对各类实物资产进行全面盘点，确保账账、账实相符。</w:t>
      </w:r>
    </w:p>
    <w:p>
      <w:pPr>
        <w:ind w:firstLine="602" w:firstLineChars="200"/>
        <w:rPr>
          <w:rFonts w:ascii="宋体" w:hAnsi="宋体"/>
          <w:b/>
          <w:sz w:val="30"/>
          <w:szCs w:val="30"/>
        </w:rPr>
      </w:pPr>
      <w:r>
        <w:rPr>
          <w:rFonts w:hint="eastAsia" w:ascii="宋体" w:hAnsi="宋体"/>
          <w:b/>
          <w:sz w:val="30"/>
          <w:szCs w:val="30"/>
          <w:lang w:eastAsia="zh-CN"/>
        </w:rPr>
        <w:t>九</w:t>
      </w:r>
      <w:r>
        <w:rPr>
          <w:rFonts w:ascii="宋体" w:hAnsi="宋体"/>
          <w:b/>
          <w:sz w:val="30"/>
          <w:szCs w:val="30"/>
        </w:rPr>
        <w:t>、改进措施和有关建议</w:t>
      </w:r>
    </w:p>
    <w:p>
      <w:pPr>
        <w:ind w:firstLine="560" w:firstLineChars="200"/>
        <w:rPr>
          <w:rFonts w:hint="eastAsia" w:ascii="仿宋_GB2312" w:hAnsi="黑体" w:eastAsia="仿宋_GB2312" w:cs="Calibri"/>
          <w:color w:val="000000"/>
          <w:kern w:val="2"/>
          <w:sz w:val="28"/>
          <w:szCs w:val="28"/>
          <w:u w:val="none"/>
          <w:shd w:val="clear" w:color="auto" w:fill="auto"/>
          <w:lang w:val="en-US" w:eastAsia="zh-CN" w:bidi="ar-SA"/>
        </w:rPr>
      </w:pPr>
      <w:r>
        <w:rPr>
          <w:rFonts w:hint="eastAsia" w:ascii="仿宋_GB2312" w:hAnsi="黑体" w:eastAsia="仿宋_GB2312" w:cs="Calibri"/>
          <w:color w:val="000000"/>
          <w:kern w:val="2"/>
          <w:sz w:val="28"/>
          <w:szCs w:val="28"/>
          <w:u w:val="none"/>
          <w:shd w:val="clear" w:color="auto" w:fill="auto"/>
          <w:lang w:val="en-US" w:eastAsia="zh-CN" w:bidi="ar-SA"/>
        </w:rPr>
        <w:t>（一）规范账务处理，提高财务信息质量严格按照《会计法》等规定执行财务核算，并结合实际情况，完整、准确地披露相关信息。</w:t>
      </w:r>
    </w:p>
    <w:p>
      <w:pPr>
        <w:ind w:firstLine="560" w:firstLineChars="200"/>
        <w:rPr>
          <w:rFonts w:hint="eastAsia" w:ascii="仿宋_GB2312" w:hAnsi="黑体" w:eastAsia="仿宋_GB2312" w:cs="Calibri"/>
          <w:color w:val="000000"/>
          <w:kern w:val="2"/>
          <w:sz w:val="28"/>
          <w:szCs w:val="28"/>
          <w:u w:val="none"/>
          <w:shd w:val="clear" w:color="auto" w:fill="auto"/>
          <w:lang w:val="en-US" w:eastAsia="zh-CN" w:bidi="ar-SA"/>
        </w:rPr>
      </w:pPr>
      <w:r>
        <w:rPr>
          <w:rFonts w:hint="eastAsia" w:ascii="仿宋_GB2312" w:hAnsi="黑体" w:eastAsia="仿宋_GB2312" w:cs="Calibri"/>
          <w:color w:val="000000"/>
          <w:kern w:val="2"/>
          <w:sz w:val="28"/>
          <w:szCs w:val="28"/>
          <w:u w:val="none"/>
          <w:shd w:val="clear" w:color="auto" w:fill="auto"/>
          <w:lang w:val="en-US" w:eastAsia="zh-CN" w:bidi="ar-SA"/>
        </w:rPr>
        <w:t>（二）完善管理制度，进一步加强资产管理</w:t>
      </w:r>
    </w:p>
    <w:p>
      <w:pPr>
        <w:ind w:firstLine="560" w:firstLineChars="200"/>
        <w:rPr>
          <w:rFonts w:hint="eastAsia" w:ascii="仿宋_GB2312" w:hAnsi="黑体" w:eastAsia="仿宋_GB2312" w:cs="Calibri"/>
          <w:color w:val="000000"/>
          <w:kern w:val="2"/>
          <w:sz w:val="28"/>
          <w:szCs w:val="28"/>
          <w:u w:val="none"/>
          <w:shd w:val="clear" w:color="auto" w:fill="auto"/>
          <w:lang w:val="en-US" w:eastAsia="zh-CN" w:bidi="ar-SA"/>
        </w:rPr>
      </w:pPr>
      <w:r>
        <w:rPr>
          <w:rFonts w:hint="eastAsia" w:ascii="仿宋_GB2312" w:hAnsi="黑体" w:eastAsia="仿宋_GB2312" w:cs="Calibri"/>
          <w:color w:val="000000"/>
          <w:kern w:val="2"/>
          <w:sz w:val="28"/>
          <w:szCs w:val="28"/>
          <w:u w:val="none"/>
          <w:shd w:val="clear" w:color="auto" w:fill="auto"/>
          <w:lang w:val="en-US" w:eastAsia="zh-CN" w:bidi="ar-SA"/>
        </w:rPr>
        <w:t>进一步贯彻落实中央</w:t>
      </w:r>
      <w:bookmarkStart w:id="2" w:name="_GoBack"/>
      <w:bookmarkEnd w:id="2"/>
      <w:r>
        <w:rPr>
          <w:rFonts w:hint="eastAsia" w:ascii="仿宋_GB2312" w:hAnsi="黑体" w:eastAsia="仿宋_GB2312" w:cs="Calibri"/>
          <w:color w:val="000000"/>
          <w:kern w:val="2"/>
          <w:sz w:val="28"/>
          <w:szCs w:val="28"/>
          <w:u w:val="none"/>
          <w:shd w:val="clear" w:color="auto" w:fill="auto"/>
          <w:lang w:val="en-US" w:eastAsia="zh-CN" w:bidi="ar-SA"/>
        </w:rPr>
        <w:t>八项规定和湖南省委九条规定，建立本部门工作经费、公务支出管理制度及厉行节约制度，加强经费审批和控制，规范支出标准与范围，并严格执行。严格按照《固定资产管理办法》的规定加强固定资产管理，及时登记、更新台账，加强资产卡片管理，年终前对各类实物资产进行全面盘点，确保账账、账实相符。</w:t>
      </w:r>
    </w:p>
    <w:p>
      <w:pPr>
        <w:ind w:firstLine="560" w:firstLineChars="200"/>
        <w:rPr>
          <w:rFonts w:hint="eastAsia" w:ascii="仿宋" w:hAnsi="仿宋" w:eastAsia="仿宋" w:cs="仿宋"/>
          <w:color w:val="000000"/>
          <w:spacing w:val="0"/>
          <w:w w:val="100"/>
          <w:position w:val="0"/>
          <w:sz w:val="32"/>
          <w:szCs w:val="32"/>
        </w:rPr>
      </w:pPr>
      <w:r>
        <w:rPr>
          <w:rFonts w:hint="eastAsia" w:ascii="仿宋_GB2312" w:hAnsi="黑体" w:eastAsia="仿宋_GB2312" w:cs="Calibri"/>
          <w:color w:val="000000"/>
          <w:kern w:val="2"/>
          <w:sz w:val="28"/>
          <w:szCs w:val="28"/>
          <w:u w:val="none"/>
          <w:shd w:val="clear" w:color="auto" w:fill="auto"/>
          <w:lang w:val="en-US" w:eastAsia="zh-CN" w:bidi="ar-SA"/>
        </w:rPr>
        <w:t>（三）加强新行政单位会计制度和新预算法学习培训。</w:t>
      </w:r>
    </w:p>
    <w:p>
      <w:pPr>
        <w:ind w:firstLine="602" w:firstLineChars="200"/>
        <w:rPr>
          <w:rFonts w:hint="eastAsia" w:ascii="宋体" w:hAnsi="宋体" w:eastAsia="宋体"/>
          <w:b/>
          <w:sz w:val="30"/>
          <w:szCs w:val="30"/>
          <w:lang w:eastAsia="zh-CN"/>
        </w:rPr>
      </w:pPr>
      <w:r>
        <w:rPr>
          <w:rFonts w:hint="eastAsia" w:ascii="宋体" w:hAnsi="宋体"/>
          <w:b/>
          <w:sz w:val="30"/>
          <w:szCs w:val="30"/>
          <w:lang w:eastAsia="zh-CN"/>
        </w:rPr>
        <w:t>十、其他需要说明的情况</w:t>
      </w:r>
    </w:p>
    <w:p>
      <w:pPr>
        <w:ind w:firstLine="602" w:firstLineChars="200"/>
        <w:rPr>
          <w:rFonts w:ascii="宋体" w:hAnsi="宋体"/>
          <w:b/>
          <w:sz w:val="30"/>
          <w:szCs w:val="30"/>
        </w:rPr>
      </w:pPr>
    </w:p>
    <w:p>
      <w:pPr>
        <w:ind w:firstLine="602" w:firstLineChars="200"/>
        <w:rPr>
          <w:rFonts w:ascii="宋体" w:hAnsi="宋体"/>
          <w:b/>
          <w:sz w:val="30"/>
          <w:szCs w:val="30"/>
        </w:rPr>
      </w:pPr>
    </w:p>
    <w:p>
      <w:pPr>
        <w:ind w:firstLine="602" w:firstLineChars="200"/>
        <w:rPr>
          <w:rFonts w:ascii="宋体" w:hAnsi="宋体"/>
          <w:b/>
          <w:sz w:val="30"/>
          <w:szCs w:val="30"/>
        </w:rPr>
      </w:pPr>
    </w:p>
    <w:p>
      <w:pPr>
        <w:ind w:firstLine="602" w:firstLineChars="200"/>
        <w:rPr>
          <w:rFonts w:ascii="宋体" w:hAnsi="宋体"/>
          <w:b/>
          <w:sz w:val="30"/>
          <w:szCs w:val="30"/>
        </w:rPr>
      </w:pPr>
    </w:p>
    <w:p>
      <w:pPr>
        <w:ind w:firstLine="602" w:firstLineChars="200"/>
        <w:rPr>
          <w:rFonts w:ascii="宋体" w:hAnsi="宋体"/>
          <w:b/>
          <w:sz w:val="30"/>
          <w:szCs w:val="30"/>
        </w:rPr>
      </w:pPr>
    </w:p>
    <w:p>
      <w:pPr>
        <w:spacing w:line="560" w:lineRule="exact"/>
        <w:rPr>
          <w:rFonts w:ascii="仿宋_GB2312" w:eastAsia="仿宋_GB2312"/>
          <w:color w:val="000000"/>
          <w:sz w:val="32"/>
        </w:rPr>
      </w:pPr>
    </w:p>
    <w:p>
      <w:pPr>
        <w:widowControl/>
        <w:rPr>
          <w:rFonts w:hint="eastAsia" w:ascii="黑体" w:hAnsi="宋体" w:eastAsia="黑体" w:cs="宋体"/>
          <w:bCs/>
          <w:kern w:val="0"/>
          <w:sz w:val="32"/>
          <w:szCs w:val="32"/>
        </w:rPr>
      </w:pPr>
    </w:p>
    <w:p/>
    <w:sectPr>
      <w:headerReference r:id="rId3" w:type="default"/>
      <w:footerReference r:id="rId4" w:type="default"/>
      <w:pgSz w:w="11850" w:h="16783"/>
      <w:pgMar w:top="1327" w:right="1650" w:bottom="1100" w:left="1800" w:header="0" w:footer="0" w:gutter="0"/>
      <w:cols w:space="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43"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方正小标宋简体">
    <w:altName w:val="黑体"/>
    <w:panose1 w:val="03000509000000000000"/>
    <w:charset w:val="86"/>
    <w:family w:val="script"/>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4</w:t>
                          </w:r>
                          <w:r>
                            <w:rPr>
                              <w:rFonts w:hint="eastAsia"/>
                              <w:sz w:val="1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jHpww4AgAAbwQAAA4AAABkcnMvZTJvRG9jLnhtbK1UzY7TMBC+I/EO&#10;lu80aVl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5RoplCw0/fv51+&#10;/Dr9/Equojyt9TNEPVjEhe6t6TA0w73HZWTdVU7FX/Ah8EPc40Vc0QXC46PpZDrN4eLwDQfgZ4/P&#10;rfPhnTCKRKOgDt1LorLDxoc+dAiJ2bRZN1KmDkpN2oJev3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mMenDDgCAABvBAAADgAAAAAAAAABACAAAAAfAQAAZHJzL2Uyb0RvYy54&#10;bWxQSwUGAAAAAAYABgBZAQAAyQUAAAAA&#10;">
              <v:fill on="f" focussize="0,0"/>
              <v:stroke on="f" weight="0.5pt"/>
              <v:imagedata o:title=""/>
              <o:lock v:ext="edit" aspectratio="f"/>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4</w:t>
                    </w:r>
                    <w:r>
                      <w:rPr>
                        <w:rFonts w:hint="eastAsia"/>
                        <w:sz w:val="1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top w:val="none" w:color="auto" w:sz="0" w:space="0"/>
        <w:left w:val="none" w:color="auto" w:sz="0" w:space="0"/>
        <w:bottom w:val="none" w:color="auto" w:sz="0" w:space="0"/>
        <w:right w:val="none" w:color="auto" w:sz="0" w:space="0"/>
      </w:pBdr>
      <w:rPr>
        <w:rFonts w:cs="Times New Roma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01220BF"/>
    <w:multiLevelType w:val="singleLevel"/>
    <w:tmpl w:val="801220BF"/>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E3MmM4Njk5ZDI1NTAxYzczOWE2ZDE3NmVmNzAwMzAifQ=="/>
  </w:docVars>
  <w:rsids>
    <w:rsidRoot w:val="0D796352"/>
    <w:rsid w:val="05623D1D"/>
    <w:rsid w:val="06206EC5"/>
    <w:rsid w:val="0D796352"/>
    <w:rsid w:val="215055E6"/>
    <w:rsid w:val="2F6B0C8B"/>
    <w:rsid w:val="32BC0374"/>
    <w:rsid w:val="49DA6E1B"/>
    <w:rsid w:val="4A4F1949"/>
    <w:rsid w:val="69EF45BF"/>
    <w:rsid w:val="75C92E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Calibri"/>
      <w:kern w:val="2"/>
      <w:sz w:val="21"/>
      <w:szCs w:val="21"/>
      <w:lang w:val="en-US" w:eastAsia="zh-CN" w:bidi="ar-SA"/>
    </w:rPr>
  </w:style>
  <w:style w:type="character" w:default="1" w:styleId="5">
    <w:name w:val="Default Paragraph Font"/>
    <w:semiHidden/>
    <w:qFormat/>
    <w:uiPriority w:val="0"/>
  </w:style>
  <w:style w:type="table" w:default="1" w:styleId="4">
    <w:name w:val="Normal Table"/>
    <w:autoRedefine/>
    <w:semiHidden/>
    <w:qFormat/>
    <w:uiPriority w:val="0"/>
    <w:tblPr>
      <w:tblCellMar>
        <w:top w:w="0" w:type="dxa"/>
        <w:left w:w="108" w:type="dxa"/>
        <w:bottom w:w="0" w:type="dxa"/>
        <w:right w:w="108" w:type="dxa"/>
      </w:tblCellMar>
    </w:tblPr>
  </w:style>
  <w:style w:type="paragraph" w:styleId="2">
    <w:name w:val="footer"/>
    <w:basedOn w:val="1"/>
    <w:qFormat/>
    <w:uiPriority w:val="99"/>
    <w:pPr>
      <w:tabs>
        <w:tab w:val="center" w:pos="4153"/>
        <w:tab w:val="right" w:pos="8306"/>
      </w:tabs>
      <w:snapToGrid w:val="0"/>
      <w:jc w:val="left"/>
    </w:pPr>
    <w:rPr>
      <w:sz w:val="18"/>
      <w:szCs w:val="18"/>
    </w:rPr>
  </w:style>
  <w:style w:type="paragraph" w:styleId="3">
    <w:name w:val="header"/>
    <w:basedOn w:val="1"/>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szCs w:val="18"/>
    </w:rPr>
  </w:style>
  <w:style w:type="paragraph" w:customStyle="1" w:styleId="6">
    <w:name w:val="Body text|1"/>
    <w:basedOn w:val="1"/>
    <w:qFormat/>
    <w:uiPriority w:val="0"/>
    <w:pPr>
      <w:widowControl w:val="0"/>
      <w:shd w:val="clear" w:color="auto" w:fill="auto"/>
      <w:spacing w:line="398" w:lineRule="auto"/>
      <w:ind w:firstLine="400"/>
    </w:pPr>
    <w:rPr>
      <w:rFonts w:ascii="宋体" w:hAnsi="宋体" w:eastAsia="宋体" w:cs="宋体"/>
      <w:sz w:val="30"/>
      <w:szCs w:val="30"/>
      <w:u w:val="none"/>
      <w:shd w:val="clear" w:color="auto" w:fill="auto"/>
      <w:lang w:val="zh-TW" w:eastAsia="zh-TW" w:bidi="zh-TW"/>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1140</Words>
  <Characters>1229</Characters>
  <Lines>0</Lines>
  <Paragraphs>0</Paragraphs>
  <TotalTime>88</TotalTime>
  <ScaleCrop>false</ScaleCrop>
  <LinksUpToDate>false</LinksUpToDate>
  <CharactersWithSpaces>1229</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2022-08-18T09:22:00Z</dcterms:created>
  <dc:creator>橙月</dc:creator>
  <cp:lastModifiedBy>自由行走的胡萝北</cp:lastModifiedBy>
  <dcterms:modified xsi:type="dcterms:W3CDTF">2024-01-25T08:40:17Z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A76E91F10157443AA68A02C05BC1C69F_13</vt:lpwstr>
  </property>
</Properties>
</file>