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b/>
          <w:sz w:val="44"/>
          <w:szCs w:val="44"/>
        </w:rPr>
      </w:pPr>
      <w:r>
        <w:rPr>
          <w:rFonts w:ascii="宋体"/>
          <w:b/>
          <w:sz w:val="44"/>
          <w:szCs w:val="44"/>
        </w:rPr>
        <w:t>202</w:t>
      </w:r>
      <w:r>
        <w:rPr>
          <w:rFonts w:hint="eastAsia" w:ascii="宋体"/>
          <w:b/>
          <w:sz w:val="44"/>
          <w:szCs w:val="44"/>
          <w:lang w:val="en-US" w:eastAsia="zh-CN"/>
        </w:rPr>
        <w:t>1</w:t>
      </w:r>
      <w:r>
        <w:rPr>
          <w:rFonts w:ascii="宋体"/>
          <w:b/>
          <w:sz w:val="44"/>
          <w:szCs w:val="44"/>
        </w:rPr>
        <w:t>年</w:t>
      </w:r>
      <w:r>
        <w:rPr>
          <w:rFonts w:hint="eastAsia" w:ascii="宋体"/>
          <w:b/>
          <w:sz w:val="44"/>
          <w:szCs w:val="44"/>
          <w:lang w:val="en-US" w:eastAsia="zh-CN"/>
        </w:rPr>
        <w:t>永州市</w:t>
      </w:r>
      <w:r>
        <w:rPr>
          <w:rFonts w:hint="eastAsia" w:ascii="宋体"/>
          <w:b/>
          <w:sz w:val="44"/>
          <w:szCs w:val="44"/>
        </w:rPr>
        <w:t>冷水滩</w:t>
      </w:r>
      <w:r>
        <w:rPr>
          <w:rFonts w:hint="eastAsia" w:ascii="宋体"/>
          <w:b/>
          <w:sz w:val="44"/>
          <w:szCs w:val="44"/>
          <w:lang w:eastAsia="zh-CN"/>
        </w:rPr>
        <w:t>区</w:t>
      </w:r>
      <w:r>
        <w:rPr>
          <w:rFonts w:hint="eastAsia" w:ascii="宋体"/>
          <w:b/>
          <w:sz w:val="44"/>
          <w:szCs w:val="44"/>
        </w:rPr>
        <w:t>政府</w:t>
      </w:r>
      <w:r>
        <w:rPr>
          <w:rFonts w:hint="eastAsia" w:ascii="宋体"/>
          <w:b/>
          <w:sz w:val="44"/>
          <w:szCs w:val="44"/>
          <w:lang w:eastAsia="zh-CN"/>
        </w:rPr>
        <w:t>发展研究中心</w:t>
      </w:r>
      <w:r>
        <w:rPr>
          <w:rFonts w:ascii="宋体"/>
          <w:b/>
          <w:sz w:val="44"/>
          <w:szCs w:val="44"/>
        </w:rPr>
        <w:t>部门整体支出绩效自评报告</w:t>
      </w:r>
    </w:p>
    <w:p>
      <w:pPr>
        <w:spacing w:line="640" w:lineRule="exact"/>
        <w:ind w:firstLine="602" w:firstLineChars="200"/>
        <w:rPr>
          <w:rFonts w:ascii="宋体"/>
          <w:b/>
          <w:sz w:val="30"/>
          <w:szCs w:val="30"/>
        </w:rPr>
      </w:pPr>
    </w:p>
    <w:p>
      <w:pPr>
        <w:spacing w:line="640" w:lineRule="exact"/>
        <w:ind w:firstLine="640" w:firstLineChars="200"/>
        <w:rPr>
          <w:rFonts w:hint="eastAsia" w:ascii="黑体" w:eastAsia="黑体" w:cs="仿宋"/>
          <w:sz w:val="32"/>
          <w:szCs w:val="32"/>
        </w:rPr>
      </w:pPr>
      <w:r>
        <w:rPr>
          <w:rFonts w:hint="eastAsia" w:ascii="黑体" w:eastAsia="黑体" w:cs="仿宋"/>
          <w:sz w:val="32"/>
          <w:szCs w:val="32"/>
        </w:rPr>
        <w:t>一、部门概况</w:t>
      </w:r>
    </w:p>
    <w:p>
      <w:pPr>
        <w:snapToGrid w:val="0"/>
        <w:spacing w:line="640" w:lineRule="exact"/>
        <w:ind w:firstLine="320" w:firstLineChars="100"/>
        <w:rPr>
          <w:rFonts w:hint="eastAsia" w:ascii="仿宋_GB2312" w:eastAsia="仿宋_GB2312" w:cs="仿宋_GB2312"/>
          <w:sz w:val="32"/>
          <w:szCs w:val="32"/>
          <w:lang w:val="en-US" w:eastAsia="zh-CN"/>
        </w:rPr>
      </w:pPr>
      <w:r>
        <w:rPr>
          <w:rFonts w:hint="eastAsia" w:ascii="楷体_GB2312" w:eastAsia="楷体_GB2312" w:cs="仿宋"/>
          <w:sz w:val="32"/>
          <w:szCs w:val="32"/>
        </w:rPr>
        <w:t>（一）项目单位基本情况</w:t>
      </w:r>
    </w:p>
    <w:p>
      <w:pPr>
        <w:spacing w:line="6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人员编制：核定全额拨款事业编制20人，实有在职人数17人，其中主任1人，副主任2人，管理人员10人，专业技术人员3人，工勤人员1人。</w:t>
      </w:r>
    </w:p>
    <w:p>
      <w:pPr>
        <w:spacing w:line="6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车辆编制及实有数：无车辆编制。</w:t>
      </w:r>
    </w:p>
    <w:p>
      <w:pPr>
        <w:snapToGrid w:val="0"/>
        <w:spacing w:line="640" w:lineRule="exact"/>
        <w:ind w:firstLine="320" w:firstLineChars="100"/>
        <w:rPr>
          <w:rFonts w:hint="eastAsia" w:ascii="楷体_GB2312" w:eastAsia="楷体_GB2312" w:cs="仿宋"/>
          <w:sz w:val="32"/>
          <w:szCs w:val="32"/>
        </w:rPr>
      </w:pPr>
      <w:r>
        <w:rPr>
          <w:rFonts w:hint="eastAsia" w:ascii="楷体_GB2312" w:eastAsia="楷体_GB2312" w:cs="仿宋"/>
          <w:sz w:val="32"/>
          <w:szCs w:val="32"/>
        </w:rPr>
        <w:t>（二）202</w:t>
      </w:r>
      <w:r>
        <w:rPr>
          <w:rFonts w:hint="eastAsia" w:ascii="楷体_GB2312" w:eastAsia="楷体_GB2312" w:cs="仿宋"/>
          <w:sz w:val="32"/>
          <w:szCs w:val="32"/>
          <w:lang w:val="en-US" w:eastAsia="zh-CN"/>
        </w:rPr>
        <w:t>1</w:t>
      </w:r>
      <w:r>
        <w:rPr>
          <w:rFonts w:hint="eastAsia" w:ascii="楷体_GB2312" w:eastAsia="楷体_GB2312" w:cs="仿宋"/>
          <w:sz w:val="32"/>
          <w:szCs w:val="32"/>
        </w:rPr>
        <w:t>年的重点工作：</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1、围绕全区经济社会发展和承接产业转移全局性、战略性、前瞻性、长期性问题，开展跟踪研究和超前谋划，为制定全区经济社会发展规划、承接产业转移中长期发展规划、政策措施、方案提出思路和建议。</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2、组织对全区经济运行情况和发展趋势进行分析研究，为区委、区政府提供咨询和决策建议。</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3、负责对全区重大经济社会政策、决策方案、政策实施觉果及决策绩放进行分析和督导评估，及时对政策和决策执行情况进行跟踪研究和督查反馈。</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负责区政府系统经济和社会发展决策咨询和政策研究工作的组织、协调、指导，组织和协调区政府系统经济社会发展以及承接产业转移等重大调研课题和区政府重大决策咨询课题研究，负责组织全区政府系统重大调研课题的项目申请、经费、成果申报，组织调研成果评选工作。</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5、会同有关部门开展承接产业转移相关服务工作，参与承接产业转移工作的指导、考核和督导评估。</w:t>
      </w:r>
    </w:p>
    <w:p>
      <w:pPr>
        <w:spacing w:line="6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6、组织开展区政府决策咨询和经济社会发展研究对外合作交流与咨询服务。</w:t>
      </w:r>
    </w:p>
    <w:p>
      <w:pPr>
        <w:spacing w:line="6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7、搜集有关经济社会发展和承接产业转移等方面的信息，掌握动态，分析预测经济社会发展趋势，为区委、区政府决策，制定政策措施和方案，提供信息依据和思路建议。</w:t>
      </w:r>
    </w:p>
    <w:p>
      <w:pPr>
        <w:spacing w:line="64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8、参与研究、起草区委、区政府重要政策文件，组织区政府主要领导报告、讲话等重要文稿的起草工作。</w:t>
      </w:r>
    </w:p>
    <w:p>
      <w:pPr>
        <w:spacing w:line="640" w:lineRule="exact"/>
        <w:ind w:firstLine="640" w:firstLineChars="200"/>
        <w:rPr>
          <w:rFonts w:hint="eastAsia" w:ascii="黑体" w:eastAsia="黑体" w:cs="仿宋"/>
          <w:sz w:val="32"/>
          <w:szCs w:val="32"/>
        </w:rPr>
      </w:pPr>
      <w:r>
        <w:rPr>
          <w:rFonts w:hint="eastAsia" w:ascii="黑体" w:eastAsia="黑体" w:cs="仿宋"/>
          <w:sz w:val="32"/>
          <w:szCs w:val="32"/>
        </w:rPr>
        <w:t>二、部门整体支出管理及使用情况</w:t>
      </w:r>
    </w:p>
    <w:p>
      <w:pPr>
        <w:spacing w:line="6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（一）基本支出情况：总支出</w:t>
      </w:r>
      <w:r>
        <w:rPr>
          <w:rFonts w:hint="eastAsia" w:ascii="宋体" w:hAnsi="宋体" w:eastAsia="宋体" w:cs="宋体"/>
          <w:color w:val="000000"/>
          <w:sz w:val="32"/>
          <w:szCs w:val="32"/>
        </w:rPr>
        <w:t>77.74</w:t>
      </w:r>
      <w:r>
        <w:rPr>
          <w:rFonts w:hint="eastAsia" w:ascii="仿宋_GB2312" w:eastAsia="仿宋_GB2312" w:cs="仿宋_GB2312"/>
          <w:sz w:val="32"/>
          <w:szCs w:val="32"/>
          <w:lang w:val="en-US" w:eastAsia="zh-CN"/>
        </w:rPr>
        <w:t>万元，其中工资福利支出73.90万元；一般商品和服务支出3.84万元。</w:t>
      </w:r>
    </w:p>
    <w:p>
      <w:pPr>
        <w:spacing w:line="640" w:lineRule="exact"/>
        <w:ind w:firstLine="640" w:firstLineChars="200"/>
        <w:rPr>
          <w:rFonts w:hint="eastAsia" w:ascii="仿宋_GB2312" w:eastAsia="仿宋_GB2312" w:cs="仿宋"/>
          <w:color w:val="C00000"/>
          <w:sz w:val="32"/>
          <w:szCs w:val="32"/>
        </w:rPr>
      </w:pPr>
      <w:r>
        <w:rPr>
          <w:rFonts w:hint="eastAsia" w:ascii="仿宋_GB2312" w:eastAsia="仿宋_GB2312" w:cs="仿宋_GB2312"/>
          <w:sz w:val="32"/>
          <w:szCs w:val="32"/>
          <w:lang w:val="en-US" w:eastAsia="zh-CN"/>
        </w:rPr>
        <w:t>（二）项目支出情况：专项经费支出0万元。</w:t>
      </w:r>
      <w:bookmarkStart w:id="0" w:name="_GoBack"/>
      <w:bookmarkEnd w:id="0"/>
    </w:p>
    <w:p>
      <w:pPr>
        <w:spacing w:line="640" w:lineRule="exact"/>
        <w:ind w:firstLine="640" w:firstLineChars="200"/>
        <w:rPr>
          <w:rFonts w:hint="eastAsia" w:ascii="黑体" w:eastAsia="黑体" w:cs="仿宋"/>
          <w:sz w:val="32"/>
          <w:szCs w:val="32"/>
        </w:rPr>
      </w:pPr>
      <w:r>
        <w:rPr>
          <w:rFonts w:hint="eastAsia" w:ascii="黑体" w:eastAsia="黑体" w:cs="仿宋"/>
          <w:sz w:val="32"/>
          <w:szCs w:val="32"/>
        </w:rPr>
        <w:t>三、部门整体支出绩效情况</w:t>
      </w:r>
    </w:p>
    <w:p>
      <w:pPr>
        <w:spacing w:line="600" w:lineRule="exact"/>
        <w:ind w:firstLine="640" w:firstLineChars="200"/>
        <w:rPr>
          <w:rFonts w:hint="eastAsia"/>
        </w:rPr>
      </w:pPr>
      <w:r>
        <w:rPr>
          <w:rFonts w:hint="eastAsia" w:ascii="Times New Roman" w:hAnsi="Times New Roman" w:eastAsia="仿宋_GB2312" w:cs="Times New Roman"/>
          <w:sz w:val="32"/>
          <w:szCs w:val="32"/>
          <w:lang w:val="en-US" w:eastAsia="zh-CN"/>
        </w:rPr>
        <w:t>2021年，区政府发展研究中心聚焦主责主业，当好参谋助手。</w:t>
      </w:r>
      <w:r>
        <w:rPr>
          <w:rFonts w:hint="eastAsia" w:ascii="Times New Roman" w:hAnsi="Times New Roman" w:eastAsia="仿宋_GB2312" w:cs="Times New Roman"/>
          <w:b/>
          <w:bCs/>
          <w:sz w:val="32"/>
          <w:szCs w:val="32"/>
          <w:lang w:val="en-US" w:eastAsia="zh-CN"/>
        </w:rPr>
        <w:t>一是发挥以文辅政主阵地。</w:t>
      </w:r>
      <w:r>
        <w:rPr>
          <w:rFonts w:ascii="Times New Roman" w:hAnsi="Times New Roman" w:eastAsia="仿宋_GB2312" w:cs="Times New Roman"/>
          <w:sz w:val="32"/>
          <w:szCs w:val="32"/>
        </w:rPr>
        <w:t>全年</w:t>
      </w:r>
      <w:r>
        <w:rPr>
          <w:rFonts w:hint="eastAsia" w:ascii="Times New Roman" w:hAnsi="Times New Roman" w:eastAsia="仿宋_GB2312" w:cs="Times New Roman"/>
          <w:sz w:val="32"/>
          <w:szCs w:val="32"/>
        </w:rPr>
        <w:t>起草政府工作报告、经济工作报告、各类区政府主要领导专题讲话稿、汇报材料、庆典致辞、调研报告、理论文章、经济形势分析等综合材料100余篇。</w:t>
      </w:r>
      <w:r>
        <w:rPr>
          <w:rFonts w:hint="eastAsia" w:ascii="Times New Roman" w:hAnsi="Times New Roman" w:eastAsia="仿宋_GB2312" w:cs="Times New Roman"/>
          <w:b/>
          <w:bCs w:val="0"/>
          <w:sz w:val="32"/>
          <w:szCs w:val="32"/>
        </w:rPr>
        <w:t>二是发挥参谋助手主战场</w:t>
      </w:r>
      <w:r>
        <w:rPr>
          <w:rFonts w:hint="eastAsia" w:ascii="Times New Roman" w:hAnsi="Times New Roman" w:eastAsia="仿宋_GB2312" w:cs="Times New Roman"/>
          <w:sz w:val="32"/>
          <w:szCs w:val="32"/>
        </w:rPr>
        <w:t>。主动作为，承担202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年《省政府年鉴》、省政府发展研究中心202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年《信息年鉴》组稿、</w:t>
      </w:r>
      <w:r>
        <w:rPr>
          <w:rFonts w:ascii="Times New Roman" w:hAnsi="Times New Roman" w:eastAsia="仿宋_GB2312" w:cs="Times New Roman"/>
          <w:sz w:val="32"/>
          <w:szCs w:val="32"/>
        </w:rPr>
        <w:t>市政府《永州市志》</w:t>
      </w:r>
      <w:r>
        <w:rPr>
          <w:rFonts w:hint="eastAsia" w:ascii="Times New Roman" w:hAnsi="Times New Roman" w:eastAsia="仿宋_GB2312" w:cs="Times New Roman"/>
          <w:sz w:val="32"/>
          <w:szCs w:val="32"/>
        </w:rPr>
        <w:t>和《永州年鉴》</w:t>
      </w:r>
      <w:r>
        <w:rPr>
          <w:rFonts w:ascii="Times New Roman" w:hAnsi="Times New Roman" w:eastAsia="仿宋_GB2312" w:cs="Times New Roman"/>
          <w:sz w:val="32"/>
          <w:szCs w:val="32"/>
        </w:rPr>
        <w:t>的组稿，</w:t>
      </w:r>
      <w:r>
        <w:rPr>
          <w:rFonts w:hint="eastAsia" w:ascii="Times New Roman" w:hAnsi="Times New Roman" w:eastAsia="仿宋_GB2312" w:cs="Times New Roman"/>
          <w:sz w:val="32"/>
          <w:szCs w:val="32"/>
        </w:rPr>
        <w:t>开展承接产业转移示范区建设、高科园主导产业和培育产业、脱贫攻坚、产业园区、园区企业用工、优化营商环境、基层医疗体系建设、经济形势分析、粤港澳蔬菜基地等调研工作。承担市政府研究室、新任市长来冷调研材料和调研方案拟定等工作。坚持每季度一次经济形势分析，及时调度全区经济运行情况，对全区进行分析研判，</w:t>
      </w:r>
      <w:r>
        <w:rPr>
          <w:rFonts w:ascii="Times New Roman" w:hAnsi="Times New Roman" w:eastAsia="仿宋_GB2312" w:cs="Times New Roman"/>
          <w:sz w:val="32"/>
          <w:szCs w:val="32"/>
        </w:rPr>
        <w:t>为区委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区政府研究部署经济工作参考</w:t>
      </w:r>
      <w:r>
        <w:rPr>
          <w:rFonts w:hint="eastAsia" w:ascii="Times New Roman" w:hAnsi="Times New Roman" w:eastAsia="仿宋_GB2312" w:cs="Times New Roman"/>
          <w:sz w:val="32"/>
          <w:szCs w:val="32"/>
        </w:rPr>
        <w:t>。</w:t>
      </w:r>
      <w:r>
        <w:rPr>
          <w:rFonts w:hint="eastAsia" w:ascii="Times New Roman" w:hAnsi="Times New Roman" w:eastAsia="仿宋_GB2312" w:cs="Times New Roman"/>
          <w:b/>
          <w:sz w:val="32"/>
          <w:szCs w:val="32"/>
        </w:rPr>
        <w:t>三是发挥信息传递主渠道。</w:t>
      </w:r>
      <w:r>
        <w:rPr>
          <w:rFonts w:hint="eastAsia" w:ascii="Times New Roman" w:hAnsi="Times New Roman" w:eastAsia="仿宋_GB2312" w:cs="Times New Roman"/>
          <w:sz w:val="32"/>
          <w:szCs w:val="32"/>
        </w:rPr>
        <w:t>从热门网站、报刊收集国家有关最新政策动态、正反舆情信息，特别是红网百姓呼声、永州红网论坛、市长信箱、区长信箱等舆情信息，并编辑区政务信息简报，报政府领导参阅，为领导决策提供参考，受到区委、区政府领导的好评。</w:t>
      </w:r>
      <w:r>
        <w:rPr>
          <w:rFonts w:hint="eastAsia" w:ascii="Times New Roman" w:hAnsi="Times New Roman" w:eastAsia="仿宋_GB2312" w:cs="Times New Roman"/>
          <w:sz w:val="32"/>
          <w:szCs w:val="32"/>
          <w:lang w:eastAsia="zh-CN"/>
        </w:rPr>
        <w:t>全年</w:t>
      </w:r>
      <w:r>
        <w:rPr>
          <w:rFonts w:hint="eastAsia" w:ascii="Times New Roman" w:hAnsi="Times New Roman" w:eastAsia="仿宋_GB2312" w:cs="Times New Roman"/>
          <w:sz w:val="32"/>
          <w:szCs w:val="32"/>
        </w:rPr>
        <w:t>编辑《冷水滩政务动态》上报市政府办公室56期356条，其中动态类信息84条、经验类信息143条、情况反映类信息15条、约稿信息114条。全年报送的政务信息被国务院办公厅采用7条、省政府办公厅采用17条、市政府办公室采用63条，排位全市第三。</w:t>
      </w:r>
    </w:p>
    <w:p>
      <w:pPr>
        <w:numPr>
          <w:ilvl w:val="0"/>
          <w:numId w:val="0"/>
        </w:numPr>
        <w:spacing w:line="640" w:lineRule="exact"/>
        <w:ind w:leftChars="200"/>
        <w:rPr>
          <w:rFonts w:hint="eastAsia" w:ascii="黑体" w:eastAsia="黑体" w:cs="仿宋"/>
          <w:sz w:val="32"/>
          <w:szCs w:val="32"/>
        </w:rPr>
      </w:pPr>
      <w:r>
        <w:rPr>
          <w:rFonts w:hint="eastAsia" w:ascii="黑体" w:eastAsia="黑体" w:cs="仿宋"/>
          <w:sz w:val="32"/>
          <w:szCs w:val="32"/>
        </w:rPr>
        <w:t>四、绩效自评得分情况及绩效等级。</w:t>
      </w:r>
    </w:p>
    <w:p>
      <w:pPr>
        <w:spacing w:line="64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年度绩效自评得分为：90分。绩效等级：优秀。</w:t>
      </w:r>
    </w:p>
    <w:p>
      <w:pPr>
        <w:spacing w:line="640" w:lineRule="exact"/>
        <w:ind w:firstLine="640" w:firstLineChars="200"/>
        <w:rPr>
          <w:rFonts w:hint="eastAsia" w:ascii="黑体" w:eastAsia="黑体" w:cs="仿宋"/>
          <w:sz w:val="32"/>
          <w:szCs w:val="32"/>
        </w:rPr>
      </w:pPr>
      <w:r>
        <w:rPr>
          <w:rFonts w:hint="eastAsia" w:ascii="黑体" w:eastAsia="黑体" w:cs="仿宋"/>
          <w:sz w:val="32"/>
          <w:szCs w:val="32"/>
        </w:rPr>
        <w:t>五、存在的问题</w:t>
      </w:r>
    </w:p>
    <w:p>
      <w:pPr>
        <w:spacing w:line="64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年主要存在的问题有：1．预算金额不足；2．尚未针对绩效考评制定比较明确的实施细则，有待进一步完善。</w:t>
      </w:r>
    </w:p>
    <w:p>
      <w:pPr>
        <w:spacing w:line="640" w:lineRule="exact"/>
        <w:ind w:firstLine="640" w:firstLineChars="200"/>
        <w:rPr>
          <w:rFonts w:hint="eastAsia" w:ascii="黑体" w:eastAsia="黑体" w:cs="仿宋"/>
          <w:sz w:val="32"/>
          <w:szCs w:val="32"/>
        </w:rPr>
      </w:pPr>
      <w:r>
        <w:rPr>
          <w:rFonts w:hint="eastAsia" w:ascii="黑体" w:eastAsia="黑体" w:cs="仿宋"/>
          <w:sz w:val="32"/>
          <w:szCs w:val="32"/>
        </w:rPr>
        <w:t>六、改进措施和有关建议</w:t>
      </w:r>
    </w:p>
    <w:p>
      <w:pPr>
        <w:widowControl/>
        <w:spacing w:line="640" w:lineRule="exact"/>
        <w:ind w:firstLine="640" w:firstLineChars="200"/>
        <w:jc w:val="left"/>
        <w:rPr>
          <w:rFonts w:hint="eastAsia" w:ascii="仿宋_GB2312" w:eastAsia="仿宋_GB2312" w:cs="仿宋"/>
          <w:sz w:val="32"/>
          <w:szCs w:val="32"/>
        </w:rPr>
      </w:pP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年改进措施：一</w:t>
      </w:r>
      <w:r>
        <w:rPr>
          <w:rFonts w:hint="eastAsia" w:ascii="仿宋_GB2312" w:eastAsia="仿宋_GB2312" w:cs="仿宋"/>
          <w:kern w:val="0"/>
          <w:sz w:val="32"/>
          <w:szCs w:val="32"/>
          <w:shd w:val="clear" w:color="auto" w:fill="FFFFFF"/>
        </w:rPr>
        <w:t>进一步加强单位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提高预算的合理性和准确性；细化预算编制工作，认真做好预算的编制。二是</w:t>
      </w:r>
      <w:r>
        <w:rPr>
          <w:rFonts w:hint="eastAsia" w:ascii="仿宋_GB2312" w:eastAsia="仿宋_GB2312" w:cs="仿宋"/>
          <w:sz w:val="32"/>
          <w:szCs w:val="32"/>
        </w:rPr>
        <w:t>加强财务人员的业务能力学习，积极与财政局各科室领导汇报、</w:t>
      </w:r>
      <w:r>
        <w:rPr>
          <w:rFonts w:hint="eastAsia" w:ascii="仿宋_GB2312" w:eastAsia="仿宋_GB2312" w:cs="宋体"/>
          <w:sz w:val="32"/>
          <w:szCs w:val="32"/>
        </w:rPr>
        <w:t>将预算编制与部门工作有机结合，进一步强化预算执行，提升财政资金使用效益</w:t>
      </w:r>
    </w:p>
    <w:sectPr>
      <w:footerReference r:id="rId3" w:type="default"/>
      <w:footerReference r:id="rId4" w:type="even"/>
      <w:pgSz w:w="11906" w:h="16838"/>
      <w:pgMar w:top="1985" w:right="1701" w:bottom="1701" w:left="1701" w:header="851" w:footer="96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ascii="宋体"/>
        <w:sz w:val="28"/>
        <w:szCs w:val="28"/>
      </w:rPr>
    </w:pPr>
    <w:r>
      <w:rPr>
        <w:rStyle w:val="10"/>
        <w:rFonts w:hint="eastAsia" w:ascii="宋体"/>
        <w:sz w:val="28"/>
        <w:szCs w:val="28"/>
      </w:rPr>
      <w:t>—</w:t>
    </w:r>
    <w:r>
      <w:rPr>
        <w:rStyle w:val="10"/>
        <w:rFonts w:ascii="宋体"/>
        <w:sz w:val="28"/>
        <w:szCs w:val="28"/>
      </w:rPr>
      <w:fldChar w:fldCharType="begin"/>
    </w:r>
    <w:r>
      <w:rPr>
        <w:rStyle w:val="10"/>
        <w:rFonts w:ascii="宋体"/>
        <w:sz w:val="28"/>
        <w:szCs w:val="28"/>
      </w:rPr>
      <w:instrText xml:space="preserve"> PAGE </w:instrText>
    </w:r>
    <w:r>
      <w:rPr>
        <w:rFonts w:ascii="宋体"/>
        <w:sz w:val="28"/>
        <w:szCs w:val="28"/>
      </w:rPr>
      <w:fldChar w:fldCharType="separate"/>
    </w:r>
    <w:r>
      <w:rPr>
        <w:rStyle w:val="10"/>
        <w:rFonts w:ascii="宋体"/>
        <w:sz w:val="28"/>
        <w:szCs w:val="28"/>
      </w:rPr>
      <w:t>3</w:t>
    </w:r>
    <w:r>
      <w:rPr>
        <w:rFonts w:ascii="宋体"/>
        <w:sz w:val="28"/>
        <w:szCs w:val="28"/>
      </w:rPr>
      <w:fldChar w:fldCharType="end"/>
    </w:r>
    <w:r>
      <w:rPr>
        <w:rStyle w:val="10"/>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sz w:val="28"/>
        <w:szCs w:val="28"/>
      </w:rPr>
    </w:pPr>
    <w:r>
      <w:rPr>
        <w:rStyle w:val="10"/>
        <w:rFonts w:hint="eastAsia" w:ascii="宋体"/>
        <w:sz w:val="28"/>
        <w:szCs w:val="28"/>
      </w:rPr>
      <w:t>—</w:t>
    </w:r>
    <w:r>
      <w:rPr>
        <w:rStyle w:val="10"/>
        <w:rFonts w:ascii="宋体"/>
        <w:sz w:val="28"/>
        <w:szCs w:val="28"/>
      </w:rPr>
      <w:fldChar w:fldCharType="begin"/>
    </w:r>
    <w:r>
      <w:rPr>
        <w:rStyle w:val="10"/>
        <w:rFonts w:ascii="宋体"/>
        <w:sz w:val="28"/>
        <w:szCs w:val="28"/>
      </w:rPr>
      <w:instrText xml:space="preserve"> PAGE </w:instrText>
    </w:r>
    <w:r>
      <w:rPr>
        <w:rFonts w:ascii="宋体"/>
        <w:sz w:val="28"/>
        <w:szCs w:val="28"/>
      </w:rPr>
      <w:fldChar w:fldCharType="separate"/>
    </w:r>
    <w:r>
      <w:rPr>
        <w:rStyle w:val="10"/>
        <w:rFonts w:ascii="宋体"/>
        <w:sz w:val="28"/>
        <w:szCs w:val="28"/>
      </w:rPr>
      <w:t>52</w:t>
    </w:r>
    <w:r>
      <w:rPr>
        <w:rFonts w:ascii="宋体"/>
        <w:sz w:val="28"/>
        <w:szCs w:val="28"/>
      </w:rPr>
      <w:fldChar w:fldCharType="end"/>
    </w:r>
    <w:r>
      <w:rPr>
        <w:rStyle w:val="10"/>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08F42F31"/>
    <w:rsid w:val="0D7116ED"/>
    <w:rsid w:val="0DC83A03"/>
    <w:rsid w:val="13951169"/>
    <w:rsid w:val="190873AA"/>
    <w:rsid w:val="1B595246"/>
    <w:rsid w:val="21227233"/>
    <w:rsid w:val="214B6055"/>
    <w:rsid w:val="220229C0"/>
    <w:rsid w:val="224F6049"/>
    <w:rsid w:val="229C4BB4"/>
    <w:rsid w:val="23C465C3"/>
    <w:rsid w:val="252D248D"/>
    <w:rsid w:val="277A582F"/>
    <w:rsid w:val="27A42993"/>
    <w:rsid w:val="29AA33BE"/>
    <w:rsid w:val="2E2209B9"/>
    <w:rsid w:val="326E42CA"/>
    <w:rsid w:val="331624CA"/>
    <w:rsid w:val="348C4EDB"/>
    <w:rsid w:val="35E275C4"/>
    <w:rsid w:val="39B21AF3"/>
    <w:rsid w:val="3A444921"/>
    <w:rsid w:val="3ACD3B57"/>
    <w:rsid w:val="3D231070"/>
    <w:rsid w:val="3DB836FF"/>
    <w:rsid w:val="3DE54518"/>
    <w:rsid w:val="420A62A6"/>
    <w:rsid w:val="537516CC"/>
    <w:rsid w:val="57405985"/>
    <w:rsid w:val="6A6C5078"/>
    <w:rsid w:val="6B576D51"/>
    <w:rsid w:val="6CD72490"/>
    <w:rsid w:val="713607FF"/>
    <w:rsid w:val="7718792D"/>
    <w:rsid w:val="7B292109"/>
    <w:rsid w:val="7BA75723"/>
    <w:rsid w:val="7BD8290D"/>
    <w:rsid w:val="7D567401"/>
    <w:rsid w:val="7F231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6">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1643</Words>
  <Characters>1700</Characters>
  <Lines>80</Lines>
  <Paragraphs>25</Paragraphs>
  <TotalTime>1</TotalTime>
  <ScaleCrop>false</ScaleCrop>
  <LinksUpToDate>false</LinksUpToDate>
  <CharactersWithSpaces>1701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2020-01-20T01:21:00Z</dcterms:created>
  <dc:creator>Administrator</dc:creator>
  <cp:lastModifiedBy>东来</cp:lastModifiedBy>
  <cp:lastPrinted>2020-11-23T08:22:00Z</cp:lastPrinted>
  <dcterms:modified xsi:type="dcterms:W3CDTF">2023-09-22T08:53:45Z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01798F900A904A519759DC1C6A33DC6B</vt:lpwstr>
  </property>
</Properties>
</file>